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Times New Roman" w:hAnsi="Times New Roman" w:eastAsia="宋体" w:cs="Times New Roman"/>
          <w:color w:val="auto"/>
          <w:sz w:val="52"/>
          <w:szCs w:val="52"/>
          <w:highlight w:val="none"/>
        </w:rPr>
      </w:pPr>
    </w:p>
    <w:p>
      <w:pPr>
        <w:bidi w:val="0"/>
        <w:rPr>
          <w:rFonts w:hint="default" w:ascii="Times New Roman" w:hAnsi="Times New Roman" w:eastAsia="宋体" w:cs="Times New Roman"/>
          <w:color w:val="auto"/>
          <w:sz w:val="84"/>
          <w:szCs w:val="84"/>
          <w:highlight w:val="none"/>
        </w:rPr>
      </w:pPr>
    </w:p>
    <w:p>
      <w:pPr>
        <w:keepNext w:val="0"/>
        <w:keepLines w:val="0"/>
        <w:pageBreakBefore w:val="0"/>
        <w:kinsoku/>
        <w:wordWrap/>
        <w:overflowPunct/>
        <w:topLinePunct w:val="0"/>
        <w:autoSpaceDE/>
        <w:autoSpaceDN/>
        <w:bidi w:val="0"/>
        <w:adjustRightInd w:val="0"/>
        <w:snapToGrid w:val="0"/>
        <w:ind w:firstLine="0"/>
        <w:jc w:val="center"/>
        <w:textAlignment w:val="auto"/>
        <w:outlineLvl w:val="0"/>
        <w:rPr>
          <w:rFonts w:hint="default" w:ascii="Times New Roman" w:hAnsi="Times New Roman" w:eastAsia="宋体" w:cs="Times New Roman"/>
          <w:bCs/>
          <w:color w:val="auto"/>
          <w:sz w:val="72"/>
          <w:szCs w:val="72"/>
          <w:highlight w:val="none"/>
        </w:rPr>
      </w:pPr>
      <w:bookmarkStart w:id="0" w:name="_Toc25666"/>
      <w:bookmarkStart w:id="1" w:name="_Toc16277"/>
      <w:bookmarkStart w:id="2" w:name="_Toc7770"/>
      <w:bookmarkStart w:id="3" w:name="_Toc28209"/>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p>
    <w:p>
      <w:pPr>
        <w:keepNext w:val="0"/>
        <w:keepLines w:val="0"/>
        <w:pageBreakBefore w:val="0"/>
        <w:kinsoku/>
        <w:wordWrap/>
        <w:overflowPunct/>
        <w:topLinePunct w:val="0"/>
        <w:autoSpaceDE/>
        <w:autoSpaceDN/>
        <w:bidi w:val="0"/>
        <w:adjustRightInd w:val="0"/>
        <w:snapToGrid w:val="0"/>
        <w:spacing w:before="192" w:beforeLines="80"/>
        <w:ind w:firstLine="0"/>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pStyle w:val="10"/>
        <w:keepNext w:val="0"/>
        <w:keepLines w:val="0"/>
        <w:pageBreakBefore w:val="0"/>
        <w:kinsoku/>
        <w:wordWrap/>
        <w:overflowPunct/>
        <w:topLinePunct w:val="0"/>
        <w:autoSpaceDE/>
        <w:autoSpaceDN/>
        <w:bidi w:val="0"/>
        <w:ind w:firstLine="0"/>
        <w:jc w:val="center"/>
        <w:textAlignment w:val="auto"/>
        <w:rPr>
          <w:rFonts w:hint="default" w:ascii="Times New Roman" w:hAnsi="Times New Roman" w:eastAsia="宋体" w:cs="Times New Roman"/>
          <w:color w:val="auto"/>
          <w:highlight w:val="none"/>
        </w:rPr>
      </w:pPr>
    </w:p>
    <w:p>
      <w:pPr>
        <w:pStyle w:val="10"/>
        <w:keepNext w:val="0"/>
        <w:keepLines w:val="0"/>
        <w:pageBreakBefore w:val="0"/>
        <w:kinsoku/>
        <w:wordWrap/>
        <w:overflowPunct/>
        <w:topLinePunct w:val="0"/>
        <w:autoSpaceDE/>
        <w:autoSpaceDN/>
        <w:bidi w:val="0"/>
        <w:ind w:firstLine="0"/>
        <w:jc w:val="center"/>
        <w:textAlignment w:val="auto"/>
        <w:rPr>
          <w:rFonts w:hint="default" w:ascii="Times New Roman" w:hAnsi="Times New Roman" w:eastAsia="宋体" w:cs="Times New Roman"/>
          <w:color w:val="auto"/>
          <w:highlight w:val="none"/>
        </w:rPr>
      </w:pPr>
    </w:p>
    <w:p>
      <w:pPr>
        <w:pStyle w:val="10"/>
        <w:keepNext w:val="0"/>
        <w:keepLines w:val="0"/>
        <w:pageBreakBefore w:val="0"/>
        <w:kinsoku/>
        <w:wordWrap/>
        <w:overflowPunct/>
        <w:topLinePunct w:val="0"/>
        <w:autoSpaceDE/>
        <w:autoSpaceDN/>
        <w:bidi w:val="0"/>
        <w:ind w:firstLine="0"/>
        <w:jc w:val="center"/>
        <w:textAlignment w:val="auto"/>
        <w:rPr>
          <w:rFonts w:hint="default" w:ascii="Times New Roman" w:hAnsi="Times New Roman" w:eastAsia="宋体" w:cs="Times New Roman"/>
          <w:color w:val="auto"/>
          <w:highlight w:val="none"/>
        </w:rPr>
      </w:pPr>
    </w:p>
    <w:p>
      <w:pPr>
        <w:pStyle w:val="10"/>
        <w:keepNext w:val="0"/>
        <w:keepLines w:val="0"/>
        <w:pageBreakBefore w:val="0"/>
        <w:kinsoku/>
        <w:wordWrap/>
        <w:overflowPunct/>
        <w:topLinePunct w:val="0"/>
        <w:autoSpaceDE/>
        <w:autoSpaceDN/>
        <w:bidi w:val="0"/>
        <w:ind w:firstLine="0"/>
        <w:jc w:val="center"/>
        <w:textAlignment w:val="auto"/>
        <w:rPr>
          <w:rFonts w:hint="default" w:ascii="Times New Roman" w:hAnsi="Times New Roman" w:eastAsia="宋体" w:cs="Times New Roman"/>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rPr>
          <w:rFonts w:hint="default"/>
          <w:color w:val="auto"/>
          <w:highlight w:val="none"/>
        </w:rPr>
      </w:pPr>
    </w:p>
    <w:p>
      <w:pPr>
        <w:keepNext w:val="0"/>
        <w:keepLines w:val="0"/>
        <w:pageBreakBefore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highlight w:val="none"/>
        </w:rPr>
      </w:pPr>
    </w:p>
    <w:p>
      <w:pPr>
        <w:keepNext w:val="0"/>
        <w:keepLines w:val="0"/>
        <w:pageBreakBefore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衡阳瑞源新材料有限公司年回收利用6万吨钢渣项目</w:t>
      </w:r>
    </w:p>
    <w:p>
      <w:pPr>
        <w:keepNext w:val="0"/>
        <w:keepLines w:val="0"/>
        <w:pageBreakBefore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lang w:val="en-US" w:eastAsia="zh-CN"/>
        </w:rPr>
        <w:t>衡阳瑞源新材料有限公司</w:t>
      </w:r>
    </w:p>
    <w:p>
      <w:pPr>
        <w:keepNext w:val="0"/>
        <w:keepLines w:val="0"/>
        <w:pageBreakBefore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二〇二四年一月</w:t>
      </w:r>
      <w:bookmarkStart w:id="4" w:name="_Hlk57884087"/>
    </w:p>
    <w:p>
      <w:pPr>
        <w:keepNext w:val="0"/>
        <w:keepLines w:val="0"/>
        <w:pageBreakBefore w:val="0"/>
        <w:kinsoku/>
        <w:wordWrap/>
        <w:overflowPunct/>
        <w:topLinePunct w:val="0"/>
        <w:autoSpaceDE/>
        <w:autoSpaceDN/>
        <w:bidi w:val="0"/>
        <w:adjustRightInd w:val="0"/>
        <w:snapToGrid w:val="0"/>
        <w:spacing w:line="288" w:lineRule="auto"/>
        <w:ind w:firstLine="0"/>
        <w:jc w:val="both"/>
        <w:textAlignment w:val="auto"/>
        <w:rPr>
          <w:rFonts w:hint="default" w:ascii="Times New Roman" w:hAnsi="Times New Roman" w:eastAsia="宋体" w:cs="Times New Roman"/>
          <w:color w:val="auto"/>
          <w:sz w:val="36"/>
          <w:szCs w:val="36"/>
          <w:highlight w:val="none"/>
          <w:u w:val="single"/>
          <w:lang w:val="en-US" w:eastAsia="zh-CN"/>
        </w:rPr>
      </w:pPr>
    </w:p>
    <w:p>
      <w:pPr>
        <w:keepNext w:val="0"/>
        <w:keepLines w:val="0"/>
        <w:pageBreakBefore w:val="0"/>
        <w:kinsoku/>
        <w:wordWrap/>
        <w:overflowPunct/>
        <w:topLinePunct w:val="0"/>
        <w:autoSpaceDE/>
        <w:autoSpaceDN/>
        <w:bidi w:val="0"/>
        <w:adjustRightInd w:val="0"/>
        <w:snapToGrid w:val="0"/>
        <w:spacing w:line="288" w:lineRule="auto"/>
        <w:ind w:firstLine="0"/>
        <w:jc w:val="both"/>
        <w:textAlignment w:val="auto"/>
        <w:rPr>
          <w:rFonts w:hint="default" w:ascii="Times New Roman" w:hAnsi="Times New Roman" w:eastAsia="宋体" w:cs="Times New Roman"/>
          <w:color w:val="auto"/>
          <w:sz w:val="36"/>
          <w:szCs w:val="36"/>
          <w:highlight w:val="none"/>
          <w:u w:val="single"/>
          <w:lang w:val="en-US" w:eastAsia="zh-CN"/>
        </w:rPr>
      </w:pPr>
    </w:p>
    <w:p>
      <w:pPr>
        <w:keepNext w:val="0"/>
        <w:keepLines w:val="0"/>
        <w:pageBreakBefore w:val="0"/>
        <w:kinsoku/>
        <w:wordWrap/>
        <w:overflowPunct/>
        <w:topLinePunct w:val="0"/>
        <w:autoSpaceDE/>
        <w:autoSpaceDN/>
        <w:bidi w:val="0"/>
        <w:adjustRightInd w:val="0"/>
        <w:snapToGrid w:val="0"/>
        <w:spacing w:line="288" w:lineRule="auto"/>
        <w:ind w:firstLine="0"/>
        <w:jc w:val="both"/>
        <w:textAlignment w:val="auto"/>
        <w:rPr>
          <w:rFonts w:hint="default" w:ascii="Times New Roman" w:hAnsi="Times New Roman" w:eastAsia="宋体" w:cs="Times New Roman"/>
          <w:color w:val="auto"/>
          <w:sz w:val="36"/>
          <w:szCs w:val="36"/>
          <w:highlight w:val="none"/>
          <w:u w:val="single"/>
          <w:lang w:val="en-US" w:eastAsia="zh-CN"/>
        </w:rPr>
      </w:pPr>
    </w:p>
    <w:p>
      <w:pPr>
        <w:keepNext w:val="0"/>
        <w:keepLines w:val="0"/>
        <w:pageBreakBefore w:val="0"/>
        <w:kinsoku/>
        <w:wordWrap/>
        <w:overflowPunct/>
        <w:topLinePunct w:val="0"/>
        <w:autoSpaceDE/>
        <w:autoSpaceDN/>
        <w:bidi w:val="0"/>
        <w:adjustRightInd w:val="0"/>
        <w:snapToGrid w:val="0"/>
        <w:spacing w:line="288" w:lineRule="auto"/>
        <w:ind w:firstLine="0"/>
        <w:jc w:val="both"/>
        <w:textAlignment w:val="auto"/>
        <w:rPr>
          <w:rFonts w:hint="default" w:ascii="Times New Roman" w:hAnsi="Times New Roman" w:eastAsia="宋体" w:cs="Times New Roman"/>
          <w:color w:val="auto"/>
          <w:sz w:val="36"/>
          <w:szCs w:val="36"/>
          <w:highlight w:val="none"/>
        </w:rPr>
      </w:pPr>
    </w:p>
    <w:p>
      <w:pPr>
        <w:keepNext w:val="0"/>
        <w:keepLines w:val="0"/>
        <w:pageBreakBefore w:val="0"/>
        <w:kinsoku/>
        <w:wordWrap/>
        <w:overflowPunct/>
        <w:topLinePunct w:val="0"/>
        <w:autoSpaceDE/>
        <w:autoSpaceDN/>
        <w:bidi w:val="0"/>
        <w:adjustRightInd w:val="0"/>
        <w:snapToGrid w:val="0"/>
        <w:spacing w:line="288" w:lineRule="auto"/>
        <w:ind w:firstLine="0"/>
        <w:jc w:val="both"/>
        <w:textAlignment w:val="auto"/>
        <w:rPr>
          <w:rFonts w:hint="default" w:ascii="Times New Roman" w:hAnsi="Times New Roman" w:eastAsia="宋体" w:cs="Times New Roman"/>
          <w:color w:val="auto"/>
          <w:sz w:val="36"/>
          <w:szCs w:val="36"/>
          <w:highlight w:val="none"/>
        </w:rPr>
      </w:pPr>
    </w:p>
    <w:p>
      <w:pPr>
        <w:pStyle w:val="10"/>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pStyle w:val="10"/>
        <w:rPr>
          <w:rFonts w:hint="default" w:ascii="Times New Roman" w:hAnsi="Times New Roman" w:eastAsia="宋体" w:cs="Times New Roman"/>
          <w:color w:val="auto"/>
          <w:highlight w:val="none"/>
        </w:rPr>
      </w:pPr>
    </w:p>
    <w:bookmarkEnd w:id="4"/>
    <w:p>
      <w:pPr>
        <w:adjustRightInd w:val="0"/>
        <w:snapToGrid w:val="0"/>
        <w:spacing w:line="288" w:lineRule="auto"/>
        <w:jc w:val="center"/>
        <w:outlineLvl w:val="0"/>
        <w:rPr>
          <w:rFonts w:hint="default" w:ascii="Times New Roman" w:hAnsi="Times New Roman" w:eastAsia="宋体" w:cs="Times New Roman"/>
          <w:color w:val="auto"/>
          <w:sz w:val="36"/>
          <w:szCs w:val="36"/>
          <w:highlight w:val="none"/>
        </w:rPr>
      </w:pPr>
      <w:bookmarkStart w:id="5" w:name="_Toc29020"/>
      <w:bookmarkStart w:id="6" w:name="_Toc30494"/>
      <w:bookmarkStart w:id="7" w:name="_Toc29889"/>
      <w:bookmarkStart w:id="8" w:name="_Toc631"/>
      <w:r>
        <w:rPr>
          <w:rFonts w:hint="default" w:ascii="Times New Roman" w:hAnsi="Times New Roman" w:eastAsia="宋体" w:cs="Times New Roman"/>
          <w:color w:val="auto"/>
          <w:sz w:val="36"/>
          <w:szCs w:val="36"/>
          <w:highlight w:val="none"/>
        </w:rPr>
        <w:t>中华人民共和国生态环境部制</w:t>
      </w:r>
      <w:bookmarkEnd w:id="5"/>
      <w:bookmarkEnd w:id="6"/>
      <w:bookmarkEnd w:id="7"/>
      <w:bookmarkEnd w:id="8"/>
    </w:p>
    <w:p>
      <w:pPr>
        <w:adjustRightInd w:val="0"/>
        <w:snapToGrid w:val="0"/>
        <w:spacing w:line="288" w:lineRule="auto"/>
        <w:ind w:firstLine="1040"/>
        <w:jc w:val="both"/>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417" w:right="1417" w:bottom="1417" w:left="1417" w:header="851" w:footer="1077" w:gutter="0"/>
          <w:pgNumType w:start="3"/>
          <w:cols w:space="720" w:num="1"/>
          <w:docGrid w:linePitch="312" w:charSpace="0"/>
        </w:sectPr>
      </w:pPr>
    </w:p>
    <w:p>
      <w:pPr>
        <w:pStyle w:val="31"/>
        <w:keepNext w:val="0"/>
        <w:keepLines w:val="0"/>
        <w:pageBreakBefore w:val="0"/>
        <w:widowControl w:val="0"/>
        <w:kinsoku/>
        <w:wordWrap/>
        <w:overflowPunct w:val="0"/>
        <w:topLinePunct w:val="0"/>
        <w:autoSpaceDE w:val="0"/>
        <w:autoSpaceDN w:val="0"/>
        <w:bidi w:val="0"/>
        <w:adjustRightInd/>
        <w:snapToGrid/>
        <w:ind w:firstLine="0" w:firstLineChars="0"/>
        <w:textAlignment w:val="baseline"/>
        <w:outlineLvl w:val="0"/>
        <w:rPr>
          <w:rFonts w:hint="default" w:ascii="Times New Roman" w:hAnsi="Times New Roman" w:eastAsia="宋体" w:cs="Times New Roman"/>
          <w:color w:val="auto"/>
          <w:highlight w:val="none"/>
          <w:lang w:val="en-US" w:eastAsia="zh-CN"/>
        </w:rPr>
      </w:pPr>
      <w:bookmarkStart w:id="9" w:name="_Toc27340"/>
      <w:bookmarkStart w:id="10" w:name="_Toc10802"/>
      <w:bookmarkStart w:id="11" w:name="_Toc8543"/>
      <w:bookmarkStart w:id="12" w:name="_Toc289"/>
      <w:bookmarkStart w:id="13" w:name="_Toc16880"/>
      <w:r>
        <w:rPr>
          <w:rFonts w:hint="default" w:ascii="Times New Roman" w:hAnsi="Times New Roman" w:eastAsia="宋体" w:cs="Times New Roman"/>
          <w:color w:val="auto"/>
          <w:highlight w:val="none"/>
          <w:lang w:val="en-US" w:eastAsia="zh-CN"/>
        </w:rPr>
        <w:t>衡阳瑞源新材料有限公司年回收利用6万吨钢渣项目</w:t>
      </w:r>
      <w:bookmarkEnd w:id="9"/>
      <w:bookmarkEnd w:id="10"/>
      <w:bookmarkEnd w:id="11"/>
    </w:p>
    <w:p>
      <w:pPr>
        <w:pStyle w:val="31"/>
        <w:keepNext w:val="0"/>
        <w:keepLines w:val="0"/>
        <w:pageBreakBefore w:val="0"/>
        <w:widowControl w:val="0"/>
        <w:kinsoku/>
        <w:wordWrap/>
        <w:overflowPunct w:val="0"/>
        <w:topLinePunct w:val="0"/>
        <w:autoSpaceDE w:val="0"/>
        <w:autoSpaceDN w:val="0"/>
        <w:bidi w:val="0"/>
        <w:adjustRightInd/>
        <w:snapToGrid/>
        <w:ind w:firstLine="0" w:firstLineChars="0"/>
        <w:textAlignment w:val="baseline"/>
        <w:outlineLvl w:val="0"/>
        <w:rPr>
          <w:rFonts w:hint="default" w:ascii="Times New Roman" w:hAnsi="Times New Roman" w:eastAsia="宋体" w:cs="Times New Roman"/>
          <w:color w:val="auto"/>
          <w:highlight w:val="none"/>
          <w:lang w:val="zh-CN" w:eastAsia="zh-CN"/>
        </w:rPr>
      </w:pPr>
      <w:bookmarkStart w:id="14" w:name="_Toc22569"/>
      <w:r>
        <w:rPr>
          <w:rFonts w:hint="default" w:ascii="Times New Roman" w:hAnsi="Times New Roman" w:eastAsia="宋体" w:cs="Times New Roman"/>
          <w:color w:val="auto"/>
          <w:highlight w:val="none"/>
          <w:lang w:val="zh-CN" w:eastAsia="zh-CN"/>
        </w:rPr>
        <w:t>环境影响报告表技术评审综合意见修改说明</w:t>
      </w:r>
      <w:bookmarkEnd w:id="12"/>
      <w:bookmarkEnd w:id="13"/>
      <w:bookmarkEnd w:id="14"/>
    </w:p>
    <w:tbl>
      <w:tblPr>
        <w:tblStyle w:val="20"/>
        <w:tblW w:w="495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686"/>
        <w:gridCol w:w="45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3" w:hRule="atLeast"/>
        </w:trPr>
        <w:tc>
          <w:tcPr>
            <w:tcW w:w="420" w:type="pct"/>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2052" w:type="pct"/>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专家评审意见</w:t>
            </w:r>
          </w:p>
        </w:tc>
        <w:tc>
          <w:tcPr>
            <w:tcW w:w="2526" w:type="pct"/>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修改说明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3779" w:type="dxa"/>
            <w:vAlign w:val="center"/>
          </w:tcPr>
          <w:p>
            <w:pPr>
              <w:keepNext w:val="0"/>
              <w:keepLines w:val="0"/>
              <w:pageBreakBefore w:val="0"/>
              <w:widowControl w:val="0"/>
              <w:kinsoku/>
              <w:wordWrap/>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rPr>
              <w:t>加强项目建设与樟树乡生态环境准入清单符合性分析</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已加强</w:t>
            </w:r>
            <w:r>
              <w:rPr>
                <w:rFonts w:hint="default" w:ascii="Times New Roman" w:hAnsi="Times New Roman" w:eastAsia="宋体" w:cs="Times New Roman"/>
                <w:b w:val="0"/>
                <w:bCs w:val="0"/>
                <w:color w:val="auto"/>
                <w:sz w:val="21"/>
                <w:szCs w:val="21"/>
                <w:highlight w:val="none"/>
              </w:rPr>
              <w:t>项目建设与樟树乡生态环境准入清单符合性分析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见P14-16；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3779" w:type="dxa"/>
            <w:vAlign w:val="center"/>
          </w:tcPr>
          <w:p>
            <w:pPr>
              <w:keepNext w:val="0"/>
              <w:keepLines w:val="0"/>
              <w:pageBreakBefore w:val="0"/>
              <w:widowControl/>
              <w:kinsoku/>
              <w:wordWrap/>
              <w:topLinePunct w:val="0"/>
              <w:bidi w:val="0"/>
              <w:adjustRightInd/>
              <w:snapToGrid/>
              <w:spacing w:line="240" w:lineRule="auto"/>
              <w:ind w:firstLine="0" w:firstLineChars="0"/>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完善工程建设内容一览表，补充储运工程内容，细化厂区平面布置和功能布局；明确原料堆场、产品堆场、加工区占地面积等经济技术指标，补充生产设备加工能力，并根据用地面积等分析原料加工规模可达性</w:t>
            </w:r>
            <w:r>
              <w:rPr>
                <w:rFonts w:hint="default" w:ascii="Times New Roman" w:hAnsi="Times New Roman" w:eastAsia="宋体" w:cs="Times New Roman"/>
                <w:b w:val="0"/>
                <w:bCs w:val="0"/>
                <w:color w:val="auto"/>
                <w:kern w:val="44"/>
                <w:sz w:val="21"/>
                <w:szCs w:val="21"/>
                <w:highlight w:val="none"/>
              </w:rPr>
              <w:t>；补充原料来源供货协议、原料成分全分析单，对原料来源提出控制要求；完善产品方案（补充废铁）；</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①已</w:t>
            </w:r>
            <w:r>
              <w:rPr>
                <w:rFonts w:hint="default" w:ascii="Times New Roman" w:hAnsi="Times New Roman" w:eastAsia="宋体" w:cs="Times New Roman"/>
                <w:b w:val="0"/>
                <w:bCs w:val="0"/>
                <w:color w:val="auto"/>
                <w:sz w:val="21"/>
                <w:szCs w:val="21"/>
                <w:highlight w:val="none"/>
              </w:rPr>
              <w:t>完善工程建设内容一览表，补充储运工程内容，细化厂区平面布置和功能布局</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见P29-31；</w:t>
            </w:r>
          </w:p>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kern w:val="44"/>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②已</w:t>
            </w:r>
            <w:r>
              <w:rPr>
                <w:rFonts w:hint="default" w:ascii="Times New Roman" w:hAnsi="Times New Roman" w:eastAsia="宋体" w:cs="Times New Roman"/>
                <w:b w:val="0"/>
                <w:bCs w:val="0"/>
                <w:color w:val="auto"/>
                <w:sz w:val="21"/>
                <w:szCs w:val="21"/>
                <w:highlight w:val="none"/>
              </w:rPr>
              <w:t>明确原料堆场、产品堆场、加工区占地面积等经济技术指标</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见P29-30</w:t>
            </w:r>
            <w:r>
              <w:rPr>
                <w:rFonts w:hint="default" w:ascii="Times New Roman" w:hAnsi="Times New Roman" w:eastAsia="宋体" w:cs="Times New Roman"/>
                <w:b w:val="0"/>
                <w:bCs w:val="0"/>
                <w:color w:val="auto"/>
                <w:sz w:val="21"/>
                <w:szCs w:val="21"/>
                <w:highlight w:val="none"/>
              </w:rPr>
              <w:t>，补充生产设备加工能力，并根据用地面积等分析原料加工规模可达</w:t>
            </w:r>
            <w:r>
              <w:rPr>
                <w:rFonts w:hint="default" w:ascii="Times New Roman" w:hAnsi="Times New Roman" w:eastAsia="宋体" w:cs="Times New Roman"/>
                <w:b w:val="0"/>
                <w:bCs w:val="0"/>
                <w:color w:val="auto"/>
                <w:kern w:val="44"/>
                <w:sz w:val="21"/>
                <w:szCs w:val="21"/>
                <w:highlight w:val="none"/>
              </w:rPr>
              <w:t>性</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见P35；</w:t>
            </w:r>
          </w:p>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kern w:val="44"/>
                <w:sz w:val="21"/>
                <w:szCs w:val="21"/>
                <w:highlight w:val="none"/>
                <w:lang w:val="en-US" w:eastAsia="zh-CN"/>
              </w:rPr>
            </w:pPr>
            <w:r>
              <w:rPr>
                <w:rFonts w:hint="default" w:ascii="Times New Roman" w:hAnsi="Times New Roman" w:eastAsia="宋体" w:cs="Times New Roman"/>
                <w:b w:val="0"/>
                <w:bCs w:val="0"/>
                <w:color w:val="auto"/>
                <w:kern w:val="44"/>
                <w:sz w:val="21"/>
                <w:szCs w:val="21"/>
                <w:highlight w:val="none"/>
                <w:lang w:val="en-US" w:eastAsia="zh-CN"/>
              </w:rPr>
              <w:t>③已</w:t>
            </w:r>
            <w:r>
              <w:rPr>
                <w:rFonts w:hint="default" w:ascii="Times New Roman" w:hAnsi="Times New Roman" w:eastAsia="宋体" w:cs="Times New Roman"/>
                <w:b w:val="0"/>
                <w:bCs w:val="0"/>
                <w:color w:val="auto"/>
                <w:kern w:val="44"/>
                <w:sz w:val="21"/>
                <w:szCs w:val="21"/>
                <w:highlight w:val="none"/>
              </w:rPr>
              <w:t>补充原料来源供货协议、原料成分全分析单</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见P95-106，并对</w:t>
            </w:r>
            <w:r>
              <w:rPr>
                <w:rFonts w:hint="default" w:ascii="Times New Roman" w:hAnsi="Times New Roman" w:eastAsia="宋体" w:cs="Times New Roman"/>
                <w:b w:val="0"/>
                <w:bCs w:val="0"/>
                <w:color w:val="auto"/>
                <w:kern w:val="44"/>
                <w:sz w:val="21"/>
                <w:szCs w:val="21"/>
                <w:highlight w:val="none"/>
              </w:rPr>
              <w:t>原料来源提出控制要求</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见P30-31；</w:t>
            </w:r>
          </w:p>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kern w:val="44"/>
                <w:sz w:val="21"/>
                <w:szCs w:val="21"/>
                <w:highlight w:val="none"/>
                <w:lang w:val="en-US" w:eastAsia="zh-CN"/>
              </w:rPr>
            </w:pPr>
            <w:r>
              <w:rPr>
                <w:rFonts w:hint="default" w:ascii="Times New Roman" w:hAnsi="Times New Roman" w:eastAsia="宋体" w:cs="Times New Roman"/>
                <w:b w:val="0"/>
                <w:bCs w:val="0"/>
                <w:color w:val="auto"/>
                <w:kern w:val="44"/>
                <w:sz w:val="21"/>
                <w:szCs w:val="21"/>
                <w:highlight w:val="none"/>
                <w:lang w:val="en-US" w:eastAsia="zh-CN"/>
              </w:rPr>
              <w:t>④已</w:t>
            </w:r>
            <w:r>
              <w:rPr>
                <w:rFonts w:hint="default" w:ascii="Times New Roman" w:hAnsi="Times New Roman" w:eastAsia="宋体" w:cs="Times New Roman"/>
                <w:b w:val="0"/>
                <w:bCs w:val="0"/>
                <w:color w:val="auto"/>
                <w:kern w:val="44"/>
                <w:sz w:val="21"/>
                <w:szCs w:val="21"/>
                <w:highlight w:val="none"/>
              </w:rPr>
              <w:t>完善产品方案（补充废铁）</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见P30</w:t>
            </w:r>
            <w:r>
              <w:rPr>
                <w:rFonts w:hint="default" w:ascii="Times New Roman" w:hAnsi="Times New Roman" w:eastAsia="宋体" w:cs="Times New Roman"/>
                <w:b w:val="0"/>
                <w:bCs w:val="0"/>
                <w:color w:val="auto"/>
                <w:kern w:val="44"/>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3779" w:type="dxa"/>
            <w:vAlign w:val="center"/>
          </w:tcPr>
          <w:p>
            <w:pPr>
              <w:keepNext w:val="0"/>
              <w:keepLines w:val="0"/>
              <w:pageBreakBefore w:val="0"/>
              <w:widowControl w:val="0"/>
              <w:kinsoku/>
              <w:wordWrap/>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kern w:val="44"/>
                <w:sz w:val="21"/>
                <w:szCs w:val="21"/>
                <w:highlight w:val="none"/>
              </w:rPr>
              <w:t>完善项目所在地区域污染源调查；</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kern w:val="44"/>
                <w:sz w:val="21"/>
                <w:szCs w:val="21"/>
                <w:highlight w:val="none"/>
              </w:rPr>
              <w:t>完善项目所在地区域污染源调查</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3779" w:type="dxa"/>
            <w:vAlign w:val="center"/>
          </w:tcPr>
          <w:p>
            <w:pPr>
              <w:keepNext w:val="0"/>
              <w:keepLines w:val="0"/>
              <w:pageBreakBefore w:val="0"/>
              <w:widowControl/>
              <w:kinsoku/>
              <w:wordWrap/>
              <w:topLinePunct w:val="0"/>
              <w:bidi w:val="0"/>
              <w:adjustRightInd/>
              <w:snapToGrid/>
              <w:spacing w:line="240" w:lineRule="auto"/>
              <w:ind w:firstLine="0" w:firstLineChars="0"/>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核实生产工艺流程与产排污节点图，核实有无筛分工序，完善标注各工序物料粒径，细化介绍原料上料、各工段物料输送方式；</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以</w:t>
            </w:r>
            <w:r>
              <w:rPr>
                <w:rFonts w:hint="default" w:ascii="Times New Roman" w:hAnsi="Times New Roman" w:eastAsia="宋体" w:cs="Times New Roman"/>
                <w:b w:val="0"/>
                <w:bCs w:val="0"/>
                <w:color w:val="auto"/>
                <w:sz w:val="21"/>
                <w:szCs w:val="21"/>
                <w:highlight w:val="none"/>
              </w:rPr>
              <w:t>核实生产工艺流程与产排污节点图</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核实存在筛分工序，标注</w:t>
            </w:r>
            <w:r>
              <w:rPr>
                <w:rFonts w:hint="default" w:ascii="Times New Roman" w:hAnsi="Times New Roman" w:eastAsia="宋体" w:cs="Times New Roman"/>
                <w:b w:val="0"/>
                <w:bCs w:val="0"/>
                <w:color w:val="auto"/>
                <w:sz w:val="21"/>
                <w:szCs w:val="21"/>
                <w:highlight w:val="none"/>
              </w:rPr>
              <w:t>物料粒径，细化介绍原料上料、各工段物料输送方式</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见P37-38；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3779" w:type="dxa"/>
            <w:vAlign w:val="center"/>
          </w:tcPr>
          <w:p>
            <w:pPr>
              <w:keepNext w:val="0"/>
              <w:keepLines w:val="0"/>
              <w:pageBreakBefore w:val="0"/>
              <w:widowControl/>
              <w:kinsoku/>
              <w:wordWrap/>
              <w:topLinePunct w:val="0"/>
              <w:bidi w:val="0"/>
              <w:adjustRightInd/>
              <w:snapToGrid/>
              <w:spacing w:line="240" w:lineRule="auto"/>
              <w:ind w:firstLine="0" w:firstLineChars="0"/>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核实喷雾抑尘+厂房阻隔抑尘效率，核实粉尘产排污量；提出有针对性的装卸/落料粉尘控制、规范原料/产品堆存的环境管理要求；</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①已</w:t>
            </w:r>
            <w:r>
              <w:rPr>
                <w:rFonts w:hint="default" w:ascii="Times New Roman" w:hAnsi="Times New Roman" w:eastAsia="宋体" w:cs="Times New Roman"/>
                <w:b w:val="0"/>
                <w:bCs w:val="0"/>
                <w:color w:val="auto"/>
                <w:sz w:val="21"/>
                <w:szCs w:val="21"/>
                <w:highlight w:val="none"/>
              </w:rPr>
              <w:t>核实喷雾抑尘+厂房阻隔抑尘效率，核实粉尘产排污量</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见P52-56</w:t>
            </w:r>
            <w:r>
              <w:rPr>
                <w:rFonts w:hint="default" w:ascii="Times New Roman" w:hAnsi="Times New Roman" w:eastAsia="宋体" w:cs="Times New Roman"/>
                <w:b w:val="0"/>
                <w:bCs w:val="0"/>
                <w:color w:val="auto"/>
                <w:sz w:val="21"/>
                <w:szCs w:val="21"/>
                <w:highlight w:val="none"/>
              </w:rPr>
              <w:t>；</w:t>
            </w:r>
          </w:p>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②已</w:t>
            </w:r>
            <w:r>
              <w:rPr>
                <w:rFonts w:hint="default" w:ascii="Times New Roman" w:hAnsi="Times New Roman" w:eastAsia="宋体" w:cs="Times New Roman"/>
                <w:b w:val="0"/>
                <w:bCs w:val="0"/>
                <w:color w:val="auto"/>
                <w:sz w:val="21"/>
                <w:szCs w:val="21"/>
                <w:highlight w:val="none"/>
              </w:rPr>
              <w:t>提出有针对性的装卸/落料粉尘控制、规范原料/产品堆存的环境管理要求</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见P52-53、P56</w:t>
            </w:r>
            <w:r>
              <w:rPr>
                <w:rFonts w:hint="default" w:ascii="Times New Roman" w:hAnsi="Times New Roman" w:eastAsia="宋体" w:cs="Times New Roman"/>
                <w:b w:val="0"/>
                <w:bCs w:val="0"/>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3779"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根据集雨面积核实初期雨水量，</w:t>
            </w:r>
            <w:r>
              <w:rPr>
                <w:rFonts w:hint="default" w:ascii="Times New Roman" w:hAnsi="Times New Roman" w:eastAsia="宋体" w:cs="Times New Roman"/>
                <w:b w:val="0"/>
                <w:bCs w:val="0"/>
                <w:color w:val="auto"/>
                <w:kern w:val="44"/>
                <w:sz w:val="21"/>
                <w:szCs w:val="21"/>
                <w:highlight w:val="none"/>
              </w:rPr>
              <w:t>调查是否有可依托初期雨水池并分析依托可行性；根据项目所在地管网建设现状，加强分析项目生活污水可排入污水处理厂处理可行性</w:t>
            </w:r>
            <w:r>
              <w:rPr>
                <w:rFonts w:hint="default" w:ascii="Times New Roman" w:hAnsi="Times New Roman" w:eastAsia="宋体" w:cs="Times New Roman"/>
                <w:b w:val="0"/>
                <w:bCs w:val="0"/>
                <w:color w:val="auto"/>
                <w:sz w:val="21"/>
                <w:szCs w:val="21"/>
                <w:highlight w:val="none"/>
              </w:rPr>
              <w:t>；</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kern w:val="44"/>
                <w:sz w:val="21"/>
                <w:szCs w:val="21"/>
                <w:highlight w:val="none"/>
              </w:rPr>
            </w:pPr>
            <w:r>
              <w:rPr>
                <w:rFonts w:hint="default" w:ascii="Times New Roman" w:hAnsi="Times New Roman" w:eastAsia="宋体" w:cs="Times New Roman"/>
                <w:b w:val="0"/>
                <w:bCs w:val="0"/>
                <w:color w:val="auto"/>
                <w:sz w:val="21"/>
                <w:szCs w:val="21"/>
                <w:highlight w:val="none"/>
                <w:lang w:val="en-US" w:eastAsia="zh-CN"/>
              </w:rPr>
              <w:t>①已</w:t>
            </w:r>
            <w:r>
              <w:rPr>
                <w:rFonts w:hint="default" w:ascii="Times New Roman" w:hAnsi="Times New Roman" w:eastAsia="宋体" w:cs="Times New Roman"/>
                <w:b w:val="0"/>
                <w:bCs w:val="0"/>
                <w:color w:val="auto"/>
                <w:sz w:val="21"/>
                <w:szCs w:val="21"/>
                <w:highlight w:val="none"/>
              </w:rPr>
              <w:t>根据集雨面积核实初期雨水量，</w:t>
            </w:r>
            <w:r>
              <w:rPr>
                <w:rFonts w:hint="default" w:ascii="Times New Roman" w:hAnsi="Times New Roman" w:eastAsia="宋体" w:cs="Times New Roman"/>
                <w:b w:val="0"/>
                <w:bCs w:val="0"/>
                <w:color w:val="auto"/>
                <w:kern w:val="44"/>
                <w:sz w:val="21"/>
                <w:szCs w:val="21"/>
                <w:highlight w:val="none"/>
              </w:rPr>
              <w:t>调查是否有可依托初期雨水池并分析依托可行性</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见P59</w:t>
            </w:r>
            <w:r>
              <w:rPr>
                <w:rFonts w:hint="default" w:ascii="Times New Roman" w:hAnsi="Times New Roman" w:eastAsia="宋体" w:cs="Times New Roman"/>
                <w:b w:val="0"/>
                <w:bCs w:val="0"/>
                <w:color w:val="auto"/>
                <w:kern w:val="44"/>
                <w:sz w:val="21"/>
                <w:szCs w:val="21"/>
                <w:highlight w:val="none"/>
              </w:rPr>
              <w:t>；</w:t>
            </w:r>
          </w:p>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44"/>
                <w:sz w:val="21"/>
                <w:szCs w:val="21"/>
                <w:highlight w:val="none"/>
                <w:lang w:val="en-US" w:eastAsia="zh-CN"/>
              </w:rPr>
              <w:t>②</w:t>
            </w:r>
            <w:r>
              <w:rPr>
                <w:rFonts w:hint="default" w:ascii="Times New Roman" w:hAnsi="Times New Roman" w:eastAsia="宋体" w:cs="Times New Roman"/>
                <w:b w:val="0"/>
                <w:bCs w:val="0"/>
                <w:color w:val="auto"/>
                <w:kern w:val="44"/>
                <w:sz w:val="21"/>
                <w:szCs w:val="21"/>
                <w:highlight w:val="none"/>
              </w:rPr>
              <w:t>根据项目所在地管网建设现状，加强分析项目生活污水可排入污水处理厂处理可行性</w:t>
            </w:r>
            <w:r>
              <w:rPr>
                <w:rFonts w:hint="default" w:ascii="Times New Roman" w:hAnsi="Times New Roman" w:eastAsia="宋体" w:cs="Times New Roman"/>
                <w:b w:val="0"/>
                <w:bCs w:val="0"/>
                <w:color w:val="auto"/>
                <w:kern w:val="44"/>
                <w:sz w:val="21"/>
                <w:szCs w:val="21"/>
                <w:highlight w:val="none"/>
                <w:lang w:eastAsia="zh-CN"/>
              </w:rPr>
              <w:t>，</w:t>
            </w:r>
            <w:r>
              <w:rPr>
                <w:rFonts w:hint="default" w:ascii="Times New Roman" w:hAnsi="Times New Roman" w:eastAsia="宋体" w:cs="Times New Roman"/>
                <w:b w:val="0"/>
                <w:bCs w:val="0"/>
                <w:color w:val="auto"/>
                <w:kern w:val="44"/>
                <w:sz w:val="21"/>
                <w:szCs w:val="21"/>
                <w:highlight w:val="none"/>
                <w:lang w:val="en-US" w:eastAsia="zh-CN"/>
              </w:rPr>
              <w:t>见P61-62</w:t>
            </w:r>
            <w:r>
              <w:rPr>
                <w:rFonts w:hint="default" w:ascii="Times New Roman" w:hAnsi="Times New Roman" w:eastAsia="宋体" w:cs="Times New Roman"/>
                <w:b w:val="0"/>
                <w:bCs w:val="0"/>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3779" w:type="dxa"/>
            <w:vAlign w:val="center"/>
          </w:tcPr>
          <w:p>
            <w:pPr>
              <w:keepNext w:val="0"/>
              <w:keepLines w:val="0"/>
              <w:pageBreakBefore w:val="0"/>
              <w:widowControl/>
              <w:kinsoku/>
              <w:wordWrap/>
              <w:topLinePunct w:val="0"/>
              <w:bidi w:val="0"/>
              <w:adjustRightInd/>
              <w:snapToGrid/>
              <w:spacing w:line="240" w:lineRule="auto"/>
              <w:ind w:firstLine="0" w:firstLineChars="0"/>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核实工业企业噪声源强调查清单，核实厂界噪声预测结果；</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rPr>
              <w:t>实工业企业噪声源强调查清单，核实厂界噪声预测结果</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见P63-66</w:t>
            </w:r>
            <w:r>
              <w:rPr>
                <w:rFonts w:hint="default" w:ascii="Times New Roman" w:hAnsi="Times New Roman" w:eastAsia="宋体" w:cs="Times New Roman"/>
                <w:b w:val="0"/>
                <w:bCs w:val="0"/>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3779" w:type="dxa"/>
            <w:vAlign w:val="center"/>
          </w:tcPr>
          <w:p>
            <w:pPr>
              <w:keepNext w:val="0"/>
              <w:keepLines w:val="0"/>
              <w:pageBreakBefore w:val="0"/>
              <w:widowControl w:val="0"/>
              <w:kinsoku/>
              <w:wordWrap/>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rPr>
              <w:t>核实环保设施投资，完善环保措施监督检查清单。</w:t>
            </w:r>
          </w:p>
        </w:tc>
        <w:tc>
          <w:tcPr>
            <w:tcW w:w="4652" w:type="dxa"/>
            <w:vAlign w:val="center"/>
          </w:tcPr>
          <w:p>
            <w:pPr>
              <w:pStyle w:val="30"/>
              <w:keepNext w:val="0"/>
              <w:keepLines w:val="0"/>
              <w:pageBreakBefore w:val="0"/>
              <w:widowControl w:val="0"/>
              <w:kinsoku/>
              <w:wordWrap/>
              <w:topLinePunct w:val="0"/>
              <w:bidi w:val="0"/>
              <w:adjustRightInd/>
              <w:snapToGrid/>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rPr>
              <w:t>核实环保设施投资，完善环保措施监督检查清单</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见P74-75</w:t>
            </w:r>
            <w:r>
              <w:rPr>
                <w:rFonts w:hint="default" w:ascii="Times New Roman" w:hAnsi="Times New Roman" w:eastAsia="宋体" w:cs="Times New Roman"/>
                <w:b w:val="0"/>
                <w:bCs w:val="0"/>
                <w:color w:val="auto"/>
                <w:sz w:val="21"/>
                <w:szCs w:val="21"/>
                <w:highlight w:val="none"/>
              </w:rPr>
              <w:t>。</w:t>
            </w:r>
          </w:p>
        </w:tc>
      </w:tr>
    </w:tbl>
    <w:p>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bookmarkStart w:id="15" w:name="_Toc4341"/>
    </w:p>
    <w:sdt>
      <w:sdtPr>
        <w:rPr>
          <w:rFonts w:hint="default" w:ascii="Times New Roman" w:hAnsi="Times New Roman" w:eastAsia="宋体" w:cs="Times New Roman"/>
          <w:color w:val="auto"/>
          <w:kern w:val="2"/>
          <w:sz w:val="21"/>
          <w:szCs w:val="24"/>
          <w:highlight w:val="none"/>
          <w:lang w:val="en-US" w:eastAsia="zh-CN" w:bidi="ar-SA"/>
        </w:rPr>
        <w:id w:val="147452310"/>
        <w15:color w:val="DBDBDB"/>
        <w:docPartObj>
          <w:docPartGallery w:val="Table of Contents"/>
          <w:docPartUnique/>
        </w:docPartObj>
      </w:sdtPr>
      <w:sdtEndPr>
        <w:rPr>
          <w:rFonts w:hint="default" w:ascii="Times New Roman" w:hAnsi="Times New Roman" w:eastAsia="宋体" w:cs="Times New Roman"/>
          <w:color w:val="auto"/>
          <w:kern w:val="2"/>
          <w:sz w:val="21"/>
          <w:szCs w:val="21"/>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6"/>
              <w:szCs w:val="44"/>
              <w:highlight w:val="none"/>
            </w:rPr>
          </w:pPr>
          <w:r>
            <w:rPr>
              <w:rFonts w:hint="default" w:ascii="Times New Roman" w:hAnsi="Times New Roman" w:eastAsia="宋体" w:cs="Times New Roman"/>
              <w:b/>
              <w:bCs/>
              <w:color w:val="auto"/>
              <w:sz w:val="36"/>
              <w:szCs w:val="44"/>
              <w:highlight w:val="none"/>
            </w:rPr>
            <w:t>目录</w:t>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TOC \o "1-1" \h \u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_Toc17717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_Toc17717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_Toc3038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lang w:val="en-US" w:eastAsia="zh-CN"/>
            </w:rPr>
            <w:t>二、</w:t>
          </w:r>
          <w:r>
            <w:rPr>
              <w:rFonts w:hint="default" w:ascii="Times New Roman" w:hAnsi="Times New Roman" w:eastAsia="宋体" w:cs="Times New Roman"/>
              <w:snapToGrid w:val="0"/>
              <w:color w:val="auto"/>
              <w:sz w:val="24"/>
              <w:szCs w:val="24"/>
              <w:highlight w:val="none"/>
            </w:rPr>
            <w:t>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_Toc3038 \h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_Toc1986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_Toc1986 \h </w:instrText>
          </w:r>
          <w:r>
            <w:rPr>
              <w:color w:val="auto"/>
              <w:sz w:val="24"/>
              <w:szCs w:val="24"/>
              <w:highlight w:val="none"/>
            </w:rPr>
            <w:fldChar w:fldCharType="separate"/>
          </w:r>
          <w:r>
            <w:rPr>
              <w:color w:val="auto"/>
              <w:sz w:val="24"/>
              <w:szCs w:val="24"/>
              <w:highlight w:val="none"/>
            </w:rPr>
            <w:t>40</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_Toc23998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四、主要环境影响和保护措施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_Toc23998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_Toc18621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_Toc18621 \h </w:instrText>
          </w:r>
          <w:r>
            <w:rPr>
              <w:color w:val="auto"/>
              <w:sz w:val="24"/>
              <w:szCs w:val="24"/>
              <w:highlight w:val="none"/>
            </w:rPr>
            <w:fldChar w:fldCharType="separate"/>
          </w:r>
          <w:r>
            <w:rPr>
              <w:color w:val="auto"/>
              <w:sz w:val="24"/>
              <w:szCs w:val="24"/>
              <w:highlight w:val="none"/>
            </w:rPr>
            <w:t>74</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_Toc8985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六、结论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_Toc8985 \h </w:instrText>
          </w:r>
          <w:r>
            <w:rPr>
              <w:color w:val="auto"/>
              <w:sz w:val="24"/>
              <w:szCs w:val="24"/>
              <w:highlight w:val="none"/>
            </w:rPr>
            <w:fldChar w:fldCharType="separate"/>
          </w:r>
          <w:r>
            <w:rPr>
              <w:color w:val="auto"/>
              <w:sz w:val="24"/>
              <w:szCs w:val="24"/>
              <w:highlight w:val="none"/>
            </w:rPr>
            <w:t>76</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_Toc23405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kern w:val="2"/>
              <w:sz w:val="24"/>
              <w:szCs w:val="24"/>
              <w:highlight w:val="none"/>
              <w:lang w:val="en-US" w:eastAsia="zh-CN" w:bidi="ar-SA"/>
            </w:rPr>
            <w:t>附表   建设项目污染物排放量汇总表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_Toc23405 \h </w:instrText>
          </w:r>
          <w:r>
            <w:rPr>
              <w:color w:val="auto"/>
              <w:sz w:val="24"/>
              <w:szCs w:val="24"/>
              <w:highlight w:val="none"/>
            </w:rPr>
            <w:fldChar w:fldCharType="separate"/>
          </w:r>
          <w:r>
            <w:rPr>
              <w:color w:val="auto"/>
              <w:sz w:val="24"/>
              <w:szCs w:val="24"/>
              <w:highlight w:val="none"/>
            </w:rPr>
            <w:t>77</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_Toc20455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附图1建设项目地理位置图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_Toc20455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_Toc32523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附图2</w:t>
          </w:r>
          <w:r>
            <w:rPr>
              <w:rFonts w:hint="default" w:ascii="Times New Roman" w:hAnsi="Times New Roman" w:eastAsia="宋体" w:cs="Times New Roman"/>
              <w:bCs w:val="0"/>
              <w:color w:val="auto"/>
              <w:sz w:val="24"/>
              <w:szCs w:val="24"/>
              <w:highlight w:val="none"/>
              <w:lang w:val="en-US" w:eastAsia="zh-CN"/>
            </w:rPr>
            <w:t>项目平面布置图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_Toc32523 \h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_Toc23830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附图3环境500m保护目标分布图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_Toc23830 \h </w:instrText>
          </w:r>
          <w:r>
            <w:rPr>
              <w:color w:val="auto"/>
              <w:sz w:val="24"/>
              <w:szCs w:val="24"/>
              <w:highlight w:val="none"/>
            </w:rPr>
            <w:fldChar w:fldCharType="separate"/>
          </w:r>
          <w:r>
            <w:rPr>
              <w:color w:val="auto"/>
              <w:sz w:val="24"/>
              <w:szCs w:val="24"/>
              <w:highlight w:val="none"/>
            </w:rPr>
            <w:t>80</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_Toc3324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附图4衡阳县土地利用总体规划图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_Toc3324 \h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_Toc14822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附图5衡阳市环境管控单元图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_Toc14822 \h </w:instrText>
          </w:r>
          <w:r>
            <w:rPr>
              <w:color w:val="auto"/>
              <w:sz w:val="24"/>
              <w:szCs w:val="24"/>
              <w:highlight w:val="none"/>
            </w:rPr>
            <w:fldChar w:fldCharType="separate"/>
          </w:r>
          <w:r>
            <w:rPr>
              <w:color w:val="auto"/>
              <w:sz w:val="24"/>
              <w:szCs w:val="24"/>
              <w:highlight w:val="none"/>
            </w:rPr>
            <w:t>82</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_Toc27973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附图6衡阳西渡高新技术产业园区边界范围图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_Toc27973 \h </w:instrText>
          </w:r>
          <w:r>
            <w:rPr>
              <w:color w:val="auto"/>
              <w:sz w:val="24"/>
              <w:szCs w:val="24"/>
              <w:highlight w:val="none"/>
            </w:rPr>
            <w:fldChar w:fldCharType="separate"/>
          </w:r>
          <w:r>
            <w:rPr>
              <w:color w:val="auto"/>
              <w:sz w:val="24"/>
              <w:szCs w:val="24"/>
              <w:highlight w:val="none"/>
            </w:rPr>
            <w:t>83</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_Toc5374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kern w:val="2"/>
              <w:sz w:val="24"/>
              <w:szCs w:val="24"/>
              <w:highlight w:val="none"/>
              <w:lang w:val="en-US" w:eastAsia="zh-CN" w:bidi="ar-SA"/>
            </w:rPr>
            <w:t>附图7项目环境现状监测布点图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_Toc5374 \h </w:instrText>
          </w:r>
          <w:r>
            <w:rPr>
              <w:color w:val="auto"/>
              <w:sz w:val="24"/>
              <w:szCs w:val="24"/>
              <w:highlight w:val="none"/>
            </w:rPr>
            <w:fldChar w:fldCharType="separate"/>
          </w:r>
          <w:r>
            <w:rPr>
              <w:color w:val="auto"/>
              <w:sz w:val="24"/>
              <w:szCs w:val="24"/>
              <w:highlight w:val="none"/>
            </w:rPr>
            <w:t>84</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_Toc18373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附件1营业执照</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_Toc18373 \h </w:instrText>
          </w:r>
          <w:r>
            <w:rPr>
              <w:color w:val="auto"/>
              <w:sz w:val="24"/>
              <w:szCs w:val="24"/>
              <w:highlight w:val="none"/>
            </w:rPr>
            <w:fldChar w:fldCharType="separate"/>
          </w:r>
          <w:r>
            <w:rPr>
              <w:color w:val="auto"/>
              <w:sz w:val="24"/>
              <w:szCs w:val="24"/>
              <w:highlight w:val="none"/>
            </w:rPr>
            <w:t>85</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_Toc9038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附件2委托书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_Toc9038 \h </w:instrText>
          </w:r>
          <w:r>
            <w:rPr>
              <w:color w:val="auto"/>
              <w:sz w:val="24"/>
              <w:szCs w:val="24"/>
              <w:highlight w:val="none"/>
            </w:rPr>
            <w:fldChar w:fldCharType="separate"/>
          </w:r>
          <w:r>
            <w:rPr>
              <w:color w:val="auto"/>
              <w:sz w:val="24"/>
              <w:szCs w:val="24"/>
              <w:highlight w:val="none"/>
            </w:rPr>
            <w:t>86</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_Toc8201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附件3 仓库（厂房）租赁合同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_Toc8201 \h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_Toc31493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附件4 园区准入证明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_Toc31493 \h </w:instrText>
          </w:r>
          <w:r>
            <w:rPr>
              <w:color w:val="auto"/>
              <w:sz w:val="24"/>
              <w:szCs w:val="24"/>
              <w:highlight w:val="none"/>
            </w:rPr>
            <w:fldChar w:fldCharType="separate"/>
          </w:r>
          <w:r>
            <w:rPr>
              <w:color w:val="auto"/>
              <w:sz w:val="24"/>
              <w:szCs w:val="24"/>
              <w:highlight w:val="none"/>
            </w:rPr>
            <w:t>90</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_Toc14584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附件5 声环境现状监测报告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_Toc14584 \h </w:instrText>
          </w:r>
          <w:r>
            <w:rPr>
              <w:color w:val="auto"/>
              <w:sz w:val="24"/>
              <w:szCs w:val="24"/>
              <w:highlight w:val="none"/>
            </w:rPr>
            <w:fldChar w:fldCharType="separate"/>
          </w:r>
          <w:r>
            <w:rPr>
              <w:color w:val="auto"/>
              <w:sz w:val="24"/>
              <w:szCs w:val="24"/>
              <w:highlight w:val="none"/>
            </w:rPr>
            <w:t>91</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_Toc2844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kern w:val="2"/>
              <w:sz w:val="24"/>
              <w:szCs w:val="24"/>
              <w:highlight w:val="none"/>
              <w:lang w:val="en-US" w:eastAsia="zh-CN" w:bidi="ar-SA"/>
            </w:rPr>
            <w:t>附件6 原料购入协议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_Toc2844 \h </w:instrText>
          </w:r>
          <w:r>
            <w:rPr>
              <w:color w:val="auto"/>
              <w:sz w:val="24"/>
              <w:szCs w:val="24"/>
              <w:highlight w:val="none"/>
            </w:rPr>
            <w:fldChar w:fldCharType="separate"/>
          </w:r>
          <w:r>
            <w:rPr>
              <w:color w:val="auto"/>
              <w:sz w:val="24"/>
              <w:szCs w:val="24"/>
              <w:highlight w:val="none"/>
            </w:rPr>
            <w:t>95</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_Toc18090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附件7 原料成品监测报告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_Toc18090 \h </w:instrText>
          </w:r>
          <w:r>
            <w:rPr>
              <w:color w:val="auto"/>
              <w:sz w:val="24"/>
              <w:szCs w:val="24"/>
              <w:highlight w:val="none"/>
            </w:rPr>
            <w:fldChar w:fldCharType="separate"/>
          </w:r>
          <w:r>
            <w:rPr>
              <w:color w:val="auto"/>
              <w:sz w:val="24"/>
              <w:szCs w:val="24"/>
              <w:highlight w:val="none"/>
            </w:rPr>
            <w:t>104</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_Toc15425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kern w:val="2"/>
              <w:sz w:val="24"/>
              <w:szCs w:val="24"/>
              <w:highlight w:val="none"/>
              <w:lang w:val="en-US" w:eastAsia="zh-CN" w:bidi="ar-SA"/>
            </w:rPr>
            <w:t>附件8 专家意见</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_Toc15425 \h </w:instrText>
          </w:r>
          <w:r>
            <w:rPr>
              <w:color w:val="auto"/>
              <w:sz w:val="24"/>
              <w:szCs w:val="24"/>
              <w:highlight w:val="none"/>
            </w:rPr>
            <w:fldChar w:fldCharType="separate"/>
          </w:r>
          <w:r>
            <w:rPr>
              <w:color w:val="auto"/>
              <w:sz w:val="24"/>
              <w:szCs w:val="24"/>
              <w:highlight w:val="none"/>
            </w:rPr>
            <w:t>107</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_Toc26661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kern w:val="2"/>
              <w:sz w:val="24"/>
              <w:szCs w:val="24"/>
              <w:highlight w:val="none"/>
              <w:lang w:val="en-US" w:eastAsia="zh-CN" w:bidi="ar-SA"/>
            </w:rPr>
            <w:t>附件9 专家签到表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_Toc26661 \h </w:instrText>
          </w:r>
          <w:r>
            <w:rPr>
              <w:color w:val="auto"/>
              <w:sz w:val="24"/>
              <w:szCs w:val="24"/>
              <w:highlight w:val="none"/>
            </w:rPr>
            <w:fldChar w:fldCharType="separate"/>
          </w:r>
          <w:r>
            <w:rPr>
              <w:color w:val="auto"/>
              <w:sz w:val="24"/>
              <w:szCs w:val="24"/>
              <w:highlight w:val="none"/>
            </w:rPr>
            <w:t>109</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6"/>
            <w:tabs>
              <w:tab w:val="right" w:leader="dot" w:pos="8844"/>
            </w:tabs>
            <w:spacing w:line="360" w:lineRule="auto"/>
            <w:rPr>
              <w:color w:val="auto"/>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_Toc28629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bCs/>
              <w:color w:val="auto"/>
              <w:kern w:val="2"/>
              <w:sz w:val="24"/>
              <w:szCs w:val="24"/>
              <w:highlight w:val="none"/>
              <w:lang w:val="en-US" w:eastAsia="zh-CN" w:bidi="ar-SA"/>
            </w:rPr>
            <w:t>附件</w:t>
          </w:r>
          <w:r>
            <w:rPr>
              <w:rFonts w:hint="eastAsia" w:ascii="Times New Roman" w:hAnsi="Times New Roman" w:cs="Times New Roman"/>
              <w:bCs/>
              <w:color w:val="auto"/>
              <w:kern w:val="2"/>
              <w:sz w:val="24"/>
              <w:szCs w:val="24"/>
              <w:highlight w:val="none"/>
              <w:lang w:val="en-US" w:eastAsia="zh-CN" w:bidi="ar-SA"/>
            </w:rPr>
            <w:t>10</w:t>
          </w:r>
          <w:r>
            <w:rPr>
              <w:rFonts w:hint="default" w:ascii="Times New Roman" w:hAnsi="Times New Roman" w:eastAsia="宋体" w:cs="Times New Roman"/>
              <w:bCs/>
              <w:color w:val="auto"/>
              <w:kern w:val="2"/>
              <w:sz w:val="24"/>
              <w:szCs w:val="24"/>
              <w:highlight w:val="none"/>
              <w:lang w:val="en-US" w:eastAsia="zh-CN" w:bidi="ar-SA"/>
            </w:rPr>
            <w:t xml:space="preserve"> </w:t>
          </w:r>
          <w:r>
            <w:rPr>
              <w:rFonts w:hint="eastAsia" w:ascii="Times New Roman" w:hAnsi="Times New Roman" w:cs="Times New Roman"/>
              <w:bCs/>
              <w:color w:val="auto"/>
              <w:kern w:val="2"/>
              <w:sz w:val="24"/>
              <w:szCs w:val="24"/>
              <w:highlight w:val="none"/>
              <w:lang w:val="en-US" w:eastAsia="zh-CN" w:bidi="ar-SA"/>
            </w:rPr>
            <w:t>日常考核专家意见</w:t>
          </w:r>
          <w:r>
            <w:rPr>
              <w:rFonts w:hint="default" w:ascii="Times New Roman" w:hAnsi="Times New Roman" w:eastAsia="宋体" w:cs="Times New Roman"/>
              <w:bCs/>
              <w:color w:val="auto"/>
              <w:kern w:val="2"/>
              <w:sz w:val="24"/>
              <w:szCs w:val="24"/>
              <w:highlight w:val="none"/>
              <w:lang w:val="en-US" w:eastAsia="zh-CN" w:bidi="ar-SA"/>
            </w:rPr>
            <w:t>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_Toc28629 \h </w:instrText>
          </w:r>
          <w:r>
            <w:rPr>
              <w:color w:val="auto"/>
              <w:sz w:val="24"/>
              <w:szCs w:val="24"/>
              <w:highlight w:val="none"/>
            </w:rPr>
            <w:fldChar w:fldCharType="separate"/>
          </w:r>
          <w:r>
            <w:rPr>
              <w:color w:val="auto"/>
              <w:sz w:val="24"/>
              <w:szCs w:val="24"/>
              <w:highlight w:val="none"/>
            </w:rPr>
            <w:t>110</w:t>
          </w:r>
          <w:r>
            <w:rPr>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2"/>
            <w:rPr>
              <w:rFonts w:hint="default" w:ascii="Times New Roman" w:hAnsi="Times New Roman" w:eastAsia="宋体" w:cs="Times New Roman"/>
              <w:color w:val="auto"/>
              <w:kern w:val="2"/>
              <w:sz w:val="21"/>
              <w:szCs w:val="21"/>
              <w:highlight w:val="none"/>
              <w:lang w:val="en-US" w:eastAsia="zh-CN" w:bidi="ar-SA"/>
            </w:rPr>
            <w:sectPr>
              <w:footerReference r:id="rId5" w:type="default"/>
              <w:pgSz w:w="11906" w:h="16838"/>
              <w:pgMar w:top="1701" w:right="1531" w:bottom="1701" w:left="1531" w:header="851" w:footer="1077" w:gutter="0"/>
              <w:cols w:space="720" w:num="1"/>
              <w:docGrid w:linePitch="312" w:charSpace="0"/>
            </w:sectPr>
          </w:pPr>
          <w:r>
            <w:rPr>
              <w:rFonts w:hint="default" w:ascii="Times New Roman" w:hAnsi="Times New Roman" w:eastAsia="宋体" w:cs="Times New Roman"/>
              <w:color w:val="auto"/>
              <w:highlight w:val="none"/>
            </w:rPr>
            <w:fldChar w:fldCharType="end"/>
          </w:r>
        </w:p>
      </w:sdtContent>
    </w:sdt>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snapToGrid w:val="0"/>
          <w:color w:val="auto"/>
          <w:sz w:val="30"/>
          <w:szCs w:val="30"/>
          <w:highlight w:val="none"/>
        </w:rPr>
      </w:pPr>
      <w:bookmarkStart w:id="16" w:name="_Toc16685"/>
      <w:bookmarkStart w:id="17" w:name="_Toc17717"/>
      <w:r>
        <w:rPr>
          <w:rFonts w:hint="default" w:ascii="Times New Roman" w:hAnsi="Times New Roman" w:eastAsia="宋体" w:cs="Times New Roman"/>
          <w:snapToGrid w:val="0"/>
          <w:color w:val="auto"/>
          <w:sz w:val="30"/>
          <w:szCs w:val="30"/>
          <w:highlight w:val="none"/>
        </w:rPr>
        <w:t>一、建设项目基本情况</w:t>
      </w:r>
      <w:bookmarkEnd w:id="15"/>
      <w:bookmarkEnd w:id="16"/>
      <w:bookmarkEnd w:id="17"/>
    </w:p>
    <w:tbl>
      <w:tblPr>
        <w:tblStyle w:val="19"/>
        <w:tblW w:w="89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39"/>
        <w:gridCol w:w="2580"/>
        <w:gridCol w:w="2212"/>
        <w:gridCol w:w="2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建设项目名称</w:t>
            </w:r>
          </w:p>
        </w:tc>
        <w:tc>
          <w:tcPr>
            <w:tcW w:w="7466" w:type="dxa"/>
            <w:gridSpan w:val="3"/>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衡阳瑞源新材料有限公司年回收利用6万吨钢渣项目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项目代码</w:t>
            </w:r>
          </w:p>
        </w:tc>
        <w:tc>
          <w:tcPr>
            <w:tcW w:w="7466" w:type="dxa"/>
            <w:gridSpan w:val="3"/>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建设单位联系人</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史锦屏</w:t>
            </w:r>
          </w:p>
        </w:tc>
        <w:tc>
          <w:tcPr>
            <w:tcW w:w="221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联系方式</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13575258855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建设地点</w:t>
            </w:r>
          </w:p>
        </w:tc>
        <w:tc>
          <w:tcPr>
            <w:tcW w:w="7466" w:type="dxa"/>
            <w:gridSpan w:val="3"/>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湖南省衡阳市衡阳县樟树乡樟树村樟树乡富华钢化玻璃厂内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地理坐标</w:t>
            </w:r>
          </w:p>
        </w:tc>
        <w:tc>
          <w:tcPr>
            <w:tcW w:w="7466" w:type="dxa"/>
            <w:gridSpan w:val="3"/>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（112度29分9.323秒，26度55分32.128秒）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国民经济</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行业类别</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C4210金属废料和碎屑加工处理</w:t>
            </w:r>
          </w:p>
        </w:tc>
        <w:tc>
          <w:tcPr>
            <w:tcW w:w="221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bookmarkStart w:id="18" w:name="_Hlk49843745"/>
            <w:r>
              <w:rPr>
                <w:rFonts w:hint="default" w:ascii="Times New Roman" w:hAnsi="Times New Roman" w:eastAsia="宋体" w:cs="Times New Roman"/>
                <w:color w:val="auto"/>
                <w:kern w:val="0"/>
                <w:sz w:val="24"/>
                <w:szCs w:val="24"/>
                <w:highlight w:val="none"/>
              </w:rPr>
              <w:t>建设项目</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行业类别</w:t>
            </w:r>
            <w:bookmarkEnd w:id="18"/>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三十九、废弃资源综合利用业42，85.金属废料和碎屑加工处理421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建设性质</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新建（迁建）</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□改建</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□扩建</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□技术改造</w:t>
            </w:r>
          </w:p>
        </w:tc>
        <w:tc>
          <w:tcPr>
            <w:tcW w:w="221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建设项目</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申报情形</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首次申报项目</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不予批准后再次申报项目</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超五年重新审核项目</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项目审批（核准/</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备案）部门（选填）</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w:t>
            </w:r>
          </w:p>
        </w:tc>
        <w:tc>
          <w:tcPr>
            <w:tcW w:w="221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项目审批（核准/</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备案）文号（选填）</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总投资（万元）</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600</w:t>
            </w:r>
          </w:p>
        </w:tc>
        <w:tc>
          <w:tcPr>
            <w:tcW w:w="2212"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环保投资（万元）</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环保投资占比（%）</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2.5%</w:t>
            </w:r>
          </w:p>
        </w:tc>
        <w:tc>
          <w:tcPr>
            <w:tcW w:w="2212"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施工工期</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9"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是否开工建设</w:t>
            </w:r>
          </w:p>
        </w:tc>
        <w:tc>
          <w:tcPr>
            <w:tcW w:w="2580"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否</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是</w:t>
            </w:r>
          </w:p>
        </w:tc>
        <w:tc>
          <w:tcPr>
            <w:tcW w:w="2212" w:type="dxa"/>
            <w:noWrap w:val="0"/>
            <w:tcMar>
              <w:top w:w="16" w:type="dxa"/>
              <w:left w:w="16" w:type="dxa"/>
              <w:right w:w="16" w:type="dxa"/>
            </w:tcMar>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用地（用海）</w:t>
            </w:r>
          </w:p>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面积（m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w:t>
            </w:r>
          </w:p>
        </w:tc>
        <w:tc>
          <w:tcPr>
            <w:tcW w:w="2674"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7" w:hRule="atLeast"/>
          <w:jc w:val="center"/>
        </w:trPr>
        <w:tc>
          <w:tcPr>
            <w:tcW w:w="1439"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评价</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设置</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情况</w:t>
            </w:r>
          </w:p>
        </w:tc>
        <w:tc>
          <w:tcPr>
            <w:tcW w:w="7466" w:type="dxa"/>
            <w:gridSpan w:val="3"/>
            <w:noWrap w:val="0"/>
            <w:vAlign w:val="center"/>
          </w:tcPr>
          <w:p>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根据环办环评〔2020〕33号</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关于印发《建设项目环境影响报告表》内容、格式及编制技术指南的通知等有关文件</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中建设项目环境报告表编制技术指南（污染影响类）（试行）：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一般情况下，建设单位应按照本指南要求，组织填写建设项目环境影响报告表。建设项目产生的环境影响需要深入论证的，应参照环境影响评价相关技术导则开展专项评价工作。根据建设项目排污情况及所涉环境敏感程度，确定专项评价的类别。大气、地表水、环境风险、生态和海洋专项评价具体设置原则见表1-1。</w:t>
            </w:r>
          </w:p>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表1-1专项评价设置原则说明表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4035"/>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专项评价类别</w:t>
                  </w:r>
                </w:p>
              </w:tc>
              <w:tc>
                <w:tcPr>
                  <w:tcW w:w="4035"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设置原则</w:t>
                  </w:r>
                </w:p>
              </w:tc>
              <w:tc>
                <w:tcPr>
                  <w:tcW w:w="2224"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项目判断情况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大气</w:t>
                  </w:r>
                </w:p>
              </w:tc>
              <w:tc>
                <w:tcPr>
                  <w:tcW w:w="4035"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排放废气含有毒有害污染物二噁英、苯并[a]芘、氰化物、氯气且厂界外500米范围内有环境空气保护目标的建设项目</w:t>
                  </w:r>
                </w:p>
              </w:tc>
              <w:tc>
                <w:tcPr>
                  <w:tcW w:w="2224"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本项目排放废气主要为颗粒物，不涉及上述污染物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地表水</w:t>
                  </w:r>
                </w:p>
              </w:tc>
              <w:tc>
                <w:tcPr>
                  <w:tcW w:w="4035"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新增工业废水直排建设项目（槽罐车外送污水处理厂的除外）；新增废水直排的污水集中处理厂</w:t>
                  </w:r>
                </w:p>
              </w:tc>
              <w:tc>
                <w:tcPr>
                  <w:tcW w:w="2224"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本项目无工业废水外排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环境风险</w:t>
                  </w:r>
                </w:p>
              </w:tc>
              <w:tc>
                <w:tcPr>
                  <w:tcW w:w="4035"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有毒有害和易燃易爆危险物质存储量超过临界量的建设项目</w:t>
                  </w:r>
                </w:p>
              </w:tc>
              <w:tc>
                <w:tcPr>
                  <w:tcW w:w="2224"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根据风险评价判定可知，项目贮存量未超过临界值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生态</w:t>
                  </w:r>
                </w:p>
              </w:tc>
              <w:tc>
                <w:tcPr>
                  <w:tcW w:w="4035"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取水口下游500米范围内有重要水生生物的自然产卵场、索饵场、越冬场和洄游通道的新增河道取水的污染类建设项目</w:t>
                  </w:r>
                </w:p>
              </w:tc>
              <w:tc>
                <w:tcPr>
                  <w:tcW w:w="2224"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本项目不涉及取水口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海洋</w:t>
                  </w:r>
                </w:p>
              </w:tc>
              <w:tc>
                <w:tcPr>
                  <w:tcW w:w="4035"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直接向海排放污染物的海洋工程建设项目</w:t>
                  </w:r>
                </w:p>
              </w:tc>
              <w:tc>
                <w:tcPr>
                  <w:tcW w:w="2224" w:type="dxa"/>
                  <w:vAlign w:val="center"/>
                </w:tcPr>
                <w:p>
                  <w:pPr>
                    <w:keepNext w:val="0"/>
                    <w:keepLines w:val="0"/>
                    <w:widowControl/>
                    <w:suppressLineNumbers w:val="0"/>
                    <w:spacing w:line="240" w:lineRule="auto"/>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981" w:type="dxa"/>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备注</w:t>
                  </w:r>
                </w:p>
              </w:tc>
              <w:tc>
                <w:tcPr>
                  <w:tcW w:w="6259" w:type="dxa"/>
                  <w:gridSpan w:val="2"/>
                  <w:vAlign w:val="center"/>
                </w:tcPr>
                <w:p>
                  <w:pPr>
                    <w:keepNext w:val="0"/>
                    <w:keepLines w:val="0"/>
                    <w:widowControl/>
                    <w:numPr>
                      <w:ilvl w:val="0"/>
                      <w:numId w:val="0"/>
                    </w:numPr>
                    <w:suppressLineNumbers w:val="0"/>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1.废气中有毒有害污染物指纳入《有毒有害大气污染物名录》的污染物（不包括无排放标准的污染物）。</w:t>
                  </w:r>
                </w:p>
                <w:p>
                  <w:pPr>
                    <w:keepNext w:val="0"/>
                    <w:keepLines w:val="0"/>
                    <w:widowControl/>
                    <w:numPr>
                      <w:ilvl w:val="0"/>
                      <w:numId w:val="0"/>
                    </w:numPr>
                    <w:suppressLineNumbers w:val="0"/>
                    <w:spacing w:line="240" w:lineRule="auto"/>
                    <w:ind w:leftChars="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2.环境空气保护目标指自然保护区、风景名胜区、居住区、文化区和农村地区中人群较集中的区域。</w:t>
                  </w:r>
                </w:p>
                <w:p>
                  <w:pPr>
                    <w:keepNext w:val="0"/>
                    <w:keepLines w:val="0"/>
                    <w:widowControl/>
                    <w:numPr>
                      <w:ilvl w:val="0"/>
                      <w:numId w:val="0"/>
                    </w:numPr>
                    <w:suppressLineNumbers w:val="0"/>
                    <w:spacing w:line="240" w:lineRule="auto"/>
                    <w:ind w:leftChars="0"/>
                    <w:jc w:val="left"/>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3.临界量及其计算方法可参考《建设项目环境风险评价技术导则》（HJ169）附录B、附录C。</w:t>
                  </w:r>
                </w:p>
              </w:tc>
            </w:tr>
          </w:tbl>
          <w:p>
            <w:pPr>
              <w:adjustRightInd w:val="0"/>
              <w:snapToGrid w:val="0"/>
              <w:spacing w:line="360" w:lineRule="auto"/>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本项目均不涉及上表中专项评价设置原则要求，故本项目无须设置专项评价。</w:t>
            </w:r>
          </w:p>
        </w:tc>
      </w:tr>
    </w:tbl>
    <w:p>
      <w:pPr>
        <w:autoSpaceDE w:val="0"/>
        <w:autoSpaceDN w:val="0"/>
        <w:adjustRightInd w:val="0"/>
        <w:snapToGrid w:val="0"/>
        <w:spacing w:line="240" w:lineRule="auto"/>
        <w:jc w:val="center"/>
        <w:rPr>
          <w:rFonts w:hint="default" w:ascii="Times New Roman" w:hAnsi="Times New Roman" w:eastAsia="宋体" w:cs="Times New Roman"/>
          <w:color w:val="auto"/>
          <w:kern w:val="0"/>
          <w:sz w:val="24"/>
          <w:szCs w:val="24"/>
          <w:highlight w:val="none"/>
        </w:rPr>
        <w:sectPr>
          <w:footerReference r:id="rId6" w:type="default"/>
          <w:pgSz w:w="11906" w:h="16838"/>
          <w:pgMar w:top="1701" w:right="1531" w:bottom="1701" w:left="1531" w:header="851" w:footer="1077" w:gutter="0"/>
          <w:pgNumType w:fmt="decimal" w:start="1"/>
          <w:cols w:space="720" w:num="1"/>
          <w:docGrid w:linePitch="312" w:charSpace="0"/>
        </w:sectPr>
      </w:pPr>
    </w:p>
    <w:tbl>
      <w:tblPr>
        <w:tblStyle w:val="19"/>
        <w:tblW w:w="89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74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9"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规划</w:t>
            </w:r>
          </w:p>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情况</w:t>
            </w:r>
          </w:p>
        </w:tc>
        <w:tc>
          <w:tcPr>
            <w:tcW w:w="74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sz w:val="24"/>
                <w:szCs w:val="24"/>
                <w:highlight w:val="none"/>
                <w:lang w:val="en-US" w:eastAsia="zh-CN" w:bidi="ar"/>
              </w:rPr>
            </w:pPr>
            <w:r>
              <w:rPr>
                <w:rFonts w:hint="default" w:ascii="Times New Roman" w:hAnsi="Times New Roman" w:eastAsia="宋体" w:cs="Times New Roman"/>
                <w:b w:val="0"/>
                <w:bCs w:val="0"/>
                <w:color w:val="auto"/>
                <w:spacing w:val="0"/>
                <w:w w:val="100"/>
                <w:kern w:val="0"/>
                <w:sz w:val="24"/>
                <w:szCs w:val="24"/>
                <w:highlight w:val="none"/>
                <w:lang w:val="en-US" w:eastAsia="zh-CN" w:bidi="ar"/>
              </w:rPr>
              <w:t>湖南衡阳西渡高新技术产业园区前身为湖南衡阳西渡经济开发区，成立于1992年，1994年被湖南省人民政府确定为省级开发区，2012年经省人民政府批准升级为高新技术产业园区并更为现名。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39"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规划</w:t>
            </w:r>
          </w:p>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环境</w:t>
            </w:r>
          </w:p>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影响</w:t>
            </w:r>
          </w:p>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评价</w:t>
            </w:r>
          </w:p>
          <w:p>
            <w:pPr>
              <w:autoSpaceDE w:val="0"/>
              <w:autoSpaceDN w:val="0"/>
              <w:adjustRightInd w:val="0"/>
              <w:snapToGrid w:val="0"/>
              <w:spacing w:line="240" w:lineRule="auto"/>
              <w:jc w:val="center"/>
              <w:rPr>
                <w:rFonts w:hint="default" w:ascii="Times New Roman" w:hAnsi="Times New Roman" w:eastAsia="宋体" w:cs="Times New Roman"/>
                <w:color w:val="auto"/>
                <w:spacing w:val="0"/>
                <w:w w:val="100"/>
                <w:kern w:val="0"/>
                <w:sz w:val="24"/>
                <w:szCs w:val="24"/>
                <w:highlight w:val="none"/>
              </w:rPr>
            </w:pPr>
            <w:r>
              <w:rPr>
                <w:rFonts w:hint="default" w:ascii="Times New Roman" w:hAnsi="Times New Roman" w:eastAsia="宋体" w:cs="Times New Roman"/>
                <w:color w:val="auto"/>
                <w:spacing w:val="0"/>
                <w:w w:val="100"/>
                <w:kern w:val="0"/>
                <w:sz w:val="24"/>
                <w:szCs w:val="24"/>
                <w:highlight w:val="none"/>
              </w:rPr>
              <w:t>情况</w:t>
            </w:r>
          </w:p>
        </w:tc>
        <w:tc>
          <w:tcPr>
            <w:tcW w:w="74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w w:val="100"/>
                <w:kern w:val="0"/>
                <w:sz w:val="24"/>
                <w:szCs w:val="24"/>
                <w:highlight w:val="none"/>
                <w:lang w:val="en-US" w:eastAsia="zh-CN" w:bidi="ar"/>
              </w:rPr>
            </w:pPr>
            <w:r>
              <w:rPr>
                <w:rFonts w:hint="default" w:ascii="Times New Roman" w:hAnsi="Times New Roman" w:eastAsia="宋体" w:cs="Times New Roman"/>
                <w:b w:val="0"/>
                <w:bCs w:val="0"/>
                <w:color w:val="auto"/>
                <w:spacing w:val="0"/>
                <w:w w:val="100"/>
                <w:kern w:val="0"/>
                <w:sz w:val="24"/>
                <w:szCs w:val="24"/>
                <w:highlight w:val="none"/>
                <w:lang w:val="en-US" w:eastAsia="zh-CN" w:bidi="ar"/>
              </w:rPr>
              <w:t>工业园区：衡阳西渡高新技术产业园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sz w:val="24"/>
                <w:szCs w:val="24"/>
                <w:highlight w:val="none"/>
                <w:lang w:val="en-US" w:eastAsia="zh-CN" w:bidi="ar"/>
              </w:rPr>
            </w:pPr>
            <w:r>
              <w:rPr>
                <w:rFonts w:hint="default" w:ascii="Times New Roman" w:hAnsi="Times New Roman" w:eastAsia="宋体" w:cs="Times New Roman"/>
                <w:b w:val="0"/>
                <w:bCs w:val="0"/>
                <w:color w:val="auto"/>
                <w:spacing w:val="0"/>
                <w:w w:val="100"/>
                <w:kern w:val="0"/>
                <w:sz w:val="24"/>
                <w:szCs w:val="24"/>
                <w:highlight w:val="none"/>
                <w:lang w:val="en-US" w:eastAsia="zh-CN" w:bidi="ar"/>
              </w:rPr>
              <w:t>1、《衡阳西渡经济开发区环境影响报告书》审判机关：湖南省环境保护厅；审查文件名称：《关于衡阳西渡经济开发区环境影响报告书的批复》审批文号：湘环评〔2013〕285号。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sz w:val="24"/>
                <w:szCs w:val="24"/>
                <w:highlight w:val="none"/>
                <w:lang w:val="en-US" w:eastAsia="zh-CN" w:bidi="ar"/>
              </w:rPr>
            </w:pPr>
            <w:r>
              <w:rPr>
                <w:rFonts w:hint="default" w:ascii="Times New Roman" w:hAnsi="Times New Roman" w:eastAsia="宋体" w:cs="Times New Roman"/>
                <w:b w:val="0"/>
                <w:bCs w:val="0"/>
                <w:color w:val="auto"/>
                <w:spacing w:val="0"/>
                <w:w w:val="100"/>
                <w:kern w:val="0"/>
                <w:sz w:val="24"/>
                <w:szCs w:val="24"/>
                <w:highlight w:val="none"/>
                <w:lang w:val="en-US" w:eastAsia="zh-CN" w:bidi="ar"/>
              </w:rPr>
              <w:t>2、《湖南衡阳西渡高新技术产业园区环境影响跟踪评价报告书》审判机关：湖南省生态环境厅；审查文件名称：《关于湖南衡阳西渡高新技术产业园区环境影响跟踪评价工作意见的函》审批文号：湘环评函〔2022〕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0" w:hRule="atLeast"/>
          <w:jc w:val="center"/>
        </w:trPr>
        <w:tc>
          <w:tcPr>
            <w:tcW w:w="1439"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及规</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划环</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境影</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响评</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价符</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合性</w:t>
            </w:r>
          </w:p>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分析</w:t>
            </w:r>
          </w:p>
        </w:tc>
        <w:tc>
          <w:tcPr>
            <w:tcW w:w="7466" w:type="dxa"/>
            <w:noWrap w:val="0"/>
            <w:vAlign w:val="center"/>
          </w:tcPr>
          <w:p>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1、与衡阳西渡高新技术产业开发区发展规划的符合性分析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420" w:leftChars="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（1）定位符合性分析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衡阳西渡高新技术产业园产业定位为：以生物医药、外贸加工和机械电子制造产业基地为主导产业，以农产品加工行业为辅导产业，配套物流及居民安置区，建立省级新型工业化示范基地，打造新型的省级经济开发区，在衡阳西渡高新技术产业园区2022年度工作要点中提出：要着力推进园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三生三态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协同融合（生产、生活、生态和规划形态、园区业态、产业生态）。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本项目所属行业为C4210-金属废料和碎屑加工处理，属于金属废物回收利用，有助于帮助园区提高资源利用率，降低金属垃圾产出，保护园区环境，符合园区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三生三态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协同融合的目标，符合园区发展定位。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（2）功能布局符合性分析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衡阳西渡高新技术产业园区功能布局规划发展为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一核心，三组团</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心：依托海英大道紧邻老城区的南路段及英睦塘水库，打造园区的核心配套区，其中包括行政，办公，商务，商业，文化等功能。以此服务并联系整合园区其他组团。三组团：围绕核心组团，分别是东西北三个组团。其中，西部组团以居住为主，同时包含一定产业。北部组团以工业为主，也包含一定的居住功能。而东部组团的职能则主要为物流及工业。本项目位于衡阳县西渡高新技术产业园区阳古社区阳古镇S336线以南（附图6），靠近西渡高新技术产业开发区东部组团，项目所在地块为工业用地，已纳入衡阳西渡高新技术产业园区，符合园区功能布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土地利用规划符合性分析衡阳西渡高新技术产业开发区规划工业用地为496.84公顷，占开发区建设用地的66.84%；制定严格的工业准入制度，入园项目需进行环境评估，禁止不符合环保要求的项目入园。一类工业区175.98公顷，规划设置在西南部。禁止安排对环境有污染的二类工业和三类工业（如化学工业、造纸工业、冶金工业、建材工业、食品工业、纺织工业、大中型机械制造工业等）。二类工业区277.26公顷，规划设置在东部。三类工业区，主要为生物医药用地区，占地面积为43.60公顷。本项目为破碎钢渣回收利用项目，在落实本环评提出的各项环保措施后符合入园相应的环保要求。项目靠近西渡高新技术产业开发区东部组团，根据樟树乡土地利用规划（附图4），项目用地为二类工业用地，符合园区的土地利用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综上所述，本项目的建设与《衡阳西渡高新技术产业开发区发展规划》相符。</w:t>
            </w:r>
          </w:p>
          <w:p>
            <w:pPr>
              <w:keepNext w:val="0"/>
              <w:keepLines w:val="0"/>
              <w:widowControl/>
              <w:numPr>
                <w:ilvl w:val="0"/>
                <w:numId w:val="0"/>
              </w:numPr>
              <w:suppressLineNumbers w:val="0"/>
              <w:spacing w:line="360" w:lineRule="auto"/>
              <w:ind w:left="0" w:leftChars="0" w:firstLine="0" w:firstLineChars="0"/>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2、与《关于衡阳西渡经济开发区环境影响报告书的批复》（湘环评〔2013〕285号）相符性分析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拟建于衡阳县西渡高新技术产业园区阳古社区阳古镇S336线以东（附图6），所处地块为工业用地，符合《关于衡阳西渡经济开发区环境影响报告书的批复》（湘环评〔2013〕285号）中的相关要求。具体符合性分析见表1-2。</w:t>
            </w:r>
          </w:p>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表1-2本项目与《关于衡阳西渡经济开发区环境影响报告书的批复》（湘环评〔2013〕285号）符合性分析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3484"/>
              <w:gridCol w:w="2216"/>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规划环评批复要求</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本项目情况</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充分利用自然地形和绿化隔离带使各功能区隔离，按报告书要求，将经开区中部南、北两侧均临近规划居住区的二类工业用地调整为一类工业用地，对现状居住工业混杂局面逐步调整，控制在规划道路两侧新建对噪声敏感的建筑物，确保功能区划明确、产业相对集中、生态环境优良，减轻功能区相互干扰影响。</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本项目处于园区的管理范围内，租用已建厂房用于生产，用地为工业用地，与周边各功能区的隔离依托现有。</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严格执行经开区入园企业准入制度，入园项目选址必须符合经开区总体发展规划、用地规划、环保规划及主导产业定位要求，不得引进国家明令淘汰和禁止发展的能耗物耗高、环境污染严重、不符合产业政策的建设项目，禁止气型污染严重企业、涉重金属企业入驻，严格控制三类工业。管委会和地方环保行政主管部门必须按照报告书提出的经开区准入限制行业类型一览表做好项目的招商把关，在入园项目前期和建设期，必须严格执行建设项目环境影响评价和</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三同时</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管理制度，推行清洁生产工艺，确保排污浓度、总量满足达标排放和总量控制要求；加强对规划区内企业的环境监管，完善企业环保手续、确保污防设施正常运营、达标排放，总体满足产业定位和地方环保管理要求。</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属于C4210-金属废料和碎屑加工处理，符合经开区总体发展规划、用地规划、环保规划及主导产业定位要求，不属于气型污染严重、涉重金属项目，符合规划环评审查意见要求；项目将按要求完善各项环保手续，在采取本环评提出的环保措施情况下，确保各种污染物能达标排放。</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落实经开区水污染控制措施。经开区排水实施雨污分流，近期排水经收集后排入西渡高新技术产业园区工业污水处理厂深度处理，远期经开区自建污水处理厂，其选址、规模、处理工艺等另行环评论证，污水处理厂尾水排放执行《城镇污水处理厂污染物排放标准》（GB18918-2002）中的一级B标准，经专管排入蒸水。加快实施衡阳县城污水处理厂扩建、园区污水处理厂建设、配套排水管网建设等基础设施建设，截污、排污管网必须与道路建设、区域开发、项目引进同步进行，保障经开区废水实现集中深度处理。在经开区与集中污水处理厂接管运营完成前，应限制引进水型污染企业，已建成企业废水应经自行处理满足《污水综合排放标准》（GB8978-1996）一级标准后方可外排。</w:t>
                  </w:r>
                </w:p>
              </w:tc>
              <w:tc>
                <w:tcPr>
                  <w:tcW w:w="2216" w:type="dxa"/>
                  <w:vAlign w:val="center"/>
                </w:tcPr>
                <w:p>
                  <w:pPr>
                    <w:pStyle w:val="3"/>
                    <w:spacing w:line="240" w:lineRule="auto"/>
                    <w:jc w:val="center"/>
                    <w:rPr>
                      <w:rFonts w:hint="default" w:ascii="Times New Roman" w:hAnsi="Times New Roman" w:eastAsia="宋体" w:cs="Times New Roman"/>
                      <w:bCs/>
                      <w:color w:val="auto"/>
                      <w:sz w:val="21"/>
                      <w:szCs w:val="21"/>
                      <w:highlight w:val="none"/>
                      <w:u w:val="none"/>
                      <w:lang w:val="en-US" w:eastAsia="zh-CN"/>
                    </w:rPr>
                  </w:pPr>
                  <w:bookmarkStart w:id="19" w:name="_Toc32476"/>
                  <w:bookmarkStart w:id="20" w:name="_Toc9734"/>
                  <w:r>
                    <w:rPr>
                      <w:rFonts w:hint="default" w:ascii="Times New Roman" w:hAnsi="Times New Roman" w:eastAsia="宋体" w:cs="Times New Roman"/>
                      <w:b w:val="0"/>
                      <w:bCs/>
                      <w:color w:val="auto"/>
                      <w:kern w:val="2"/>
                      <w:sz w:val="21"/>
                      <w:szCs w:val="21"/>
                      <w:highlight w:val="none"/>
                      <w:u w:val="none"/>
                      <w:lang w:val="en-US" w:eastAsia="zh-CN" w:bidi="ar-SA"/>
                    </w:rPr>
                    <w:t>本项目位于衡阳西渡高新技术产业园区，配套污水管网现已完工并投入运营；</w:t>
                  </w:r>
                  <w:r>
                    <w:rPr>
                      <w:rFonts w:hint="default" w:ascii="Times New Roman" w:hAnsi="Times New Roman" w:eastAsia="宋体" w:cs="Times New Roman"/>
                      <w:b w:val="0"/>
                      <w:bCs/>
                      <w:color w:val="auto"/>
                      <w:kern w:val="2"/>
                      <w:sz w:val="21"/>
                      <w:szCs w:val="21"/>
                      <w:highlight w:val="none"/>
                      <w:u w:val="none"/>
                      <w:lang w:val="en-US" w:eastAsia="zh-CN" w:bidi="ar-SA"/>
                    </w:rPr>
                    <w:t>本项目生活污水经化粪池预处理达标后排入园区生活污水管网，至衡阳西渡高新技术产业园污水处理厂进一步处理，处理达标后排放。</w:t>
                  </w:r>
                  <w:bookmarkEnd w:id="19"/>
                  <w:bookmarkEnd w:id="20"/>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4</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按报告书要求做好经开区大气污染控制措施。管委会应积极推广清洁能源，严格控制新建10t/h以下燃煤锅炉，凡10t/h以下锅炉必须采用燃气等清洁燃料，园区燃煤含硫率应确保控制在1%以内。建立经开区清洁生产管理考核机制，对各企业工艺废气产出的生产节点，应配置废气收集与净化处理装置，确保达标排放；加强生产工艺研究与技术改进，采取有效措施，减少入园企业工艺废气的无组织排放；入园企业各生产装置排放的废气须经处理达到相应的行业排放标准及《大气污染物综合排放标准》中二级标准要求。合理优化工业布局，在不同性质的工业企业间设置合理的间隔距离，防止相互干扰。</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用能为电能，不设置锅炉；项目建成后企业将按照排污许可规范和自行监测技术指南的相关要求进行自行监测，保证各类污染物达标排放；项目租赁已建厂房用于生产，与周边不同性质的工业企业间的间隔依托现有。</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本项目固废特别是危险固废将严格按照相关规定进行收集、转运、综合利用和无害化处置，项目固废均可得到妥善处置。</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经开区要建立专职环境监督管理机构，建立健全环境风险事故防范措施和应急预案，严防环境风险事故发生。</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本项目将制定企业应急预案，并与园区联动，建立健全环境风险事故防范和应急措施。</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7</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按经开区开发规划统筹制定拆迁安置方案，妥善落实移民生产生活安置措施，防止移民再次安置和次生环境问题。</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本项目租用已建厂房进行生产，不涉及移民、拆迁。</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8</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做好建设期的生态保护和水土保持工作。经开区建设过程中，应按照景观设计和功能分隔要求保留一定的自然山体绿地，切实做好生态环境的保护、恢复和补偿工作，落实水土保持措施，以减少经开区开发建设过程中对区域生态环境的影响。</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本项目租用已建厂房，不新增用地进行生产，只需在厂区范围内进行改造性施工建设，对区域生态环境的影响较小。</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9</w:t>
                  </w:r>
                </w:p>
              </w:tc>
              <w:tc>
                <w:tcPr>
                  <w:tcW w:w="3484"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污染物总量控制：COD&lt;560t/a、氨氮≤80t/a、S02&lt;660t/a、NOx≤750t/a，总量指标纳入当地环保部门污染物总量控制管理。</w:t>
                  </w:r>
                </w:p>
              </w:tc>
              <w:tc>
                <w:tcPr>
                  <w:tcW w:w="2216"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本项目水污染物总量</w:t>
                  </w:r>
                  <w:r>
                    <w:rPr>
                      <w:rFonts w:hint="default" w:ascii="Times New Roman" w:hAnsi="Times New Roman" w:eastAsia="宋体" w:cs="Times New Roman"/>
                      <w:bCs/>
                      <w:color w:val="auto"/>
                      <w:sz w:val="21"/>
                      <w:szCs w:val="21"/>
                      <w:highlight w:val="none"/>
                      <w:u w:val="none"/>
                      <w:lang w:val="en-US" w:eastAsia="zh-CN"/>
                    </w:rPr>
                    <w:t>纳入西渡高新技术产业园区工业污水处理厂总量范围内，不单独申请；</w:t>
                  </w:r>
                  <w:r>
                    <w:rPr>
                      <w:rFonts w:hint="default" w:ascii="Times New Roman" w:hAnsi="Times New Roman" w:eastAsia="宋体" w:cs="Times New Roman"/>
                      <w:bCs/>
                      <w:color w:val="auto"/>
                      <w:sz w:val="21"/>
                      <w:szCs w:val="21"/>
                      <w:highlight w:val="none"/>
                      <w:u w:val="none"/>
                      <w:lang w:val="en-US" w:eastAsia="zh-CN"/>
                    </w:rPr>
                    <w:t>项目不涉及废气总量控制指标。</w:t>
                  </w:r>
                </w:p>
              </w:tc>
              <w:tc>
                <w:tcPr>
                  <w:tcW w:w="848"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综上所述，本项目符合西渡经济开发区环评批复的相关要求。</w:t>
            </w:r>
          </w:p>
          <w:p>
            <w:pPr>
              <w:keepNext w:val="0"/>
              <w:keepLines w:val="0"/>
              <w:widowControl/>
              <w:suppressLineNumbers w:val="0"/>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lang w:val="en-US" w:eastAsia="zh-CN" w:bidi="ar"/>
              </w:rPr>
              <w:t>3、与《关于湖南衡阳西渡高新技术产业园区环境影响跟踪评价工作意见的函》（湘环评函〔2022〕85号）相符性分析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本项目与《关于湖南衡阳西渡高新技术产业园区环境影响跟踪评价工作意见的函》（湘环评函〔2022〕85号）的具体符合性分析见表1-3。</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表1-3本项目与西渡高新技术产业园区跟踪环评工作意见的符合性分析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2873"/>
              <w:gridCol w:w="272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规划环评批复要求</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本项目情况</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按程序做好高新区规划调整。规划实施以来，高新区未严格按照规划功能分区进行布置，存在不同性质的工业企业交错布设，未进行分区管控；存在区域实际开发用地现状、产业定位与原规划及城市总体规划不符等情形；区域整体开发强度偏低。高新区应结合衡阳市国土空间规划和环境可行性结论，尽快按规定程序开展规划调整工作，通过优化空间布局、用地性质调整、引导产业集中、严格控规等举措和施产因业地布制局宜，用地并调按整规产划业修区编功相能关布要求完善国土、规划、环保等相关手续，做到规范、有序和可持续发展，基于高新区常年主导风向生态环境敏感点较多，周边的工业企业应强化污染防治设施的治理效果，按要求设置一定的绿化隔离带，最大程度地避免对邻近生态环境敏感区的不良环境影响。后续引进企业，应合理引导企业布局，确保各行业企业在其相应的规划产业片区内发展，严禁跨红线布局。</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本项目为C4210-金属废料和碎屑加工处理，位于衡阳西渡高新技术产业园园区内，项目用地为工业用地，符合园区产业定位和用地规划。</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严格产业环境准入，衡阳西渡高新区后续发展与规划调整须符合高新区</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三线一单</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环境准入要求。长江经济带发展负面清单指南（试行）、湖南省湘江保护条例及《报告书》提出的环境准入条件和负面清单要求。应对不符合产业定位。环境准入和用地规划要求的企业，在严格确保污染物不增加的前提下予以保留。入驻企业应按照《关于加强重点行业建设项目区域削减措施监督管理的通知》等有关文件要求，依据区域环境质量改善目标，制定配套区域污染物削减方案，采取有效的污染物区域削减措施，腾出足够的环境容量。鉴于较为密集的生态环境敏感点位于高新区常年主导风向下风向，高新区必须禁止气型污染严重的企业、涉重排放企业入驻，严格控制三类工业。入驻企业应优先考虑使用清洁能源、能耗低、技术工艺先进、清洁生产和环境管理水平高、污染防治技术成熟的企业，必须严格执行环境保护</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三同时</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制度，确保外排污染物满足排污许可证管控要求。</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本项目为C4210-金属废料和碎屑加工处理，用能为电能，无总量控制指标；不属于气型污染严重、涉重排放的企业，项目各污染物在采取相应措施处理后能够做到达标排放。</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进一步落实高新区污染管控措施。进一步完善区城雨污分流和污污分流系统、污水收集管建设，确保高新区废水应收尽收；鉴于高新区基础设施尚不完善，区域内的污水未全部纳入污水处理厂集中深度处理，且受纳水体蒸水目前环境容量有限污水处理厂配套接管未完成的区域，应禁止引进水型污染企业，并加快办理污水处理厂入河排污口论证手续。优化能源结构，推广清洁能源，加强高新区大气污染防治，加大对区内山泰化工、恒生制药、得阳鞋业等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高新区范围内仍有企业存在环保手续履行不到位的情形</w:t>
                  </w:r>
                  <w:r>
                    <w:rPr>
                      <w:rFonts w:hint="eastAsia" w:ascii="Times New Roman" w:hAnsi="Times New Roman" w:eastAsia="宋体" w:cs="Times New Roman"/>
                      <w:bCs/>
                      <w:color w:val="auto"/>
                      <w:sz w:val="21"/>
                      <w:szCs w:val="21"/>
                      <w:highlight w:val="none"/>
                      <w:u w:val="none"/>
                      <w:lang w:val="en-US" w:eastAsia="zh-CN"/>
                    </w:rPr>
                    <w:t>，必</w:t>
                  </w:r>
                  <w:r>
                    <w:rPr>
                      <w:rFonts w:hint="default" w:ascii="Times New Roman" w:hAnsi="Times New Roman" w:eastAsia="宋体" w:cs="Times New Roman"/>
                      <w:bCs/>
                      <w:color w:val="auto"/>
                      <w:sz w:val="21"/>
                      <w:szCs w:val="21"/>
                      <w:highlight w:val="none"/>
                      <w:u w:val="none"/>
                      <w:lang w:val="en-US" w:eastAsia="zh-CN"/>
                    </w:rPr>
                    <w:t>须严格落实排污许可制度和污染物排放总量控制，重点抓好企业环保手续的完善工作。</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目前园区已建成衡阳西渡高新技术产业园污水处理厂，园区配套污水管网现已完工并投入运营；本项目废水、废气、固废在采取本环评相应措施处理后能够做到达标排放。</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4</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完善高新区环境监测体系。严格落实跟踪评价提出的监测方案，应结合高新区规划的功能分区、产业布局、重点企业分布、特征污染物的排放种类和状况、环境敏感目标分布等，建立健全环境空气、地表水、地下水、土壤等环境要素的监控体系并按《报告书》提出的要求，对相应点位（断面）开展跟踪监测。加强对高新区重点排放单位、环保投诉较多企业的监督性监测。</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本项目拟在建成后根据排污许可的相关规范做好自行监测。</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健全高新区环境风险防控体系。加强高新区重要环境风险源管控，加强高新区危险化学品储运的环境风险管理，严格落实应急响应联动机制，确保区域环境安全。</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本项目将制定企业应急预案，并与园区联动，落实有效的事故风险防范和应急措施，加强危险化学品储运的环境风险管理。</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加强对环境敏感点的保护。严格做好控规，杜绝在规划的工业用地上新增环境敏感目标、建设居民区，做好商业用</w:t>
                  </w:r>
                  <w:r>
                    <w:rPr>
                      <w:rFonts w:hint="eastAsia" w:ascii="Times New Roman" w:hAnsi="Times New Roman" w:eastAsia="宋体" w:cs="Times New Roman"/>
                      <w:bCs/>
                      <w:color w:val="auto"/>
                      <w:sz w:val="21"/>
                      <w:szCs w:val="21"/>
                      <w:highlight w:val="none"/>
                      <w:u w:val="none"/>
                      <w:lang w:val="en-US" w:eastAsia="zh-CN"/>
                    </w:rPr>
                    <w:t>地和</w:t>
                  </w:r>
                  <w:r>
                    <w:rPr>
                      <w:rFonts w:hint="default" w:ascii="Times New Roman" w:hAnsi="Times New Roman" w:eastAsia="宋体" w:cs="Times New Roman"/>
                      <w:bCs/>
                      <w:color w:val="auto"/>
                      <w:sz w:val="21"/>
                      <w:szCs w:val="21"/>
                      <w:highlight w:val="none"/>
                      <w:u w:val="none"/>
                      <w:lang w:val="en-US" w:eastAsia="zh-CN"/>
                    </w:rPr>
                    <w:t>居住用地周边的规划控制，在下一轮规划调整中应从提升指导性可操作性的角度出发推动产业集中布局、降低环境影响，强化产城融合度较高区域产业准入，严格控制气型污染企业入驻，加强对现有企业的污染防治措施。按要求做好功能区及具体项目用地周边规划控制，衡阳西渡高新区应根据开发规划统筹制定折迁安置方案，落实移民生产生活安置措施，防治移民再次安置和次生环境问题。</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本项目废气排放量较少，不属于园区禁入的气型污染严重的企业，项目三废在采取本环评相应措施处理后能够做到达标排放。</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7</w:t>
                  </w:r>
                </w:p>
              </w:tc>
              <w:tc>
                <w:tcPr>
                  <w:tcW w:w="287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做好高新区后续开发过程中生态环境保护和水土保持，尽可能保留自然水体，施工期对土石方开挖，堆存及回填要实施围挡、护坡等措施，裸露地及时恢复植被，防止后续开发建设中的扬尘污染和水土流失。</w:t>
                  </w:r>
                </w:p>
              </w:tc>
              <w:tc>
                <w:tcPr>
                  <w:tcW w:w="2727"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本项目租用已建厂房，不新增用地，只需在厂区范围内进行改造性施工建设，对区域生态环境的影响较小。</w:t>
                  </w:r>
                </w:p>
              </w:tc>
              <w:tc>
                <w:tcPr>
                  <w:tcW w:w="893" w:type="dxa"/>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综上所述，本项目符合西渡高新技术产业园区跟踪环评工作意见的相关要求。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8" w:hRule="atLeast"/>
          <w:jc w:val="center"/>
        </w:trPr>
        <w:tc>
          <w:tcPr>
            <w:tcW w:w="1439"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其他符合性分析</w:t>
            </w:r>
          </w:p>
        </w:tc>
        <w:tc>
          <w:tcPr>
            <w:tcW w:w="746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1.产业政策符合性分析</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属于废弃资源综合利用及非金属矿物制品项目，根据《产业结构调整指导目录》（2019年本），本项目不属于《产业结构调整指导目录（2019年本）》中的限制类和淘汰类产业，属于允许类，且未使用限制、淘汰类设备。因此，本项目符合国家相关产业政策。</w:t>
            </w:r>
          </w:p>
          <w:p>
            <w:pPr>
              <w:keepNext w:val="0"/>
              <w:keepLines w:val="0"/>
              <w:pageBreakBefore w:val="0"/>
              <w:widowControl/>
              <w:suppressLineNumbers w:val="0"/>
              <w:kinsoku/>
              <w:wordWrap/>
              <w:overflowPunct/>
              <w:topLinePunct w:val="0"/>
              <w:autoSpaceDE/>
              <w:autoSpaceDN/>
              <w:bidi w:val="0"/>
              <w:adjustRightInd w:val="0"/>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2.项目建设与《衡阳市人民政府关于实施</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三线一单</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生态环境分区管控的意见（衡政发〔2020〕9号）》的符合性分析</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（1）生态保护红线</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根据《湖南省生态保护红线》，湖南省生态保护红线划定面积为4.28万平方公里，占全省国土面积的20.23%。全省生态保护红线空间格局为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一湖三山四水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为洞庭湖（主要包括东洞庭湖、南洞庭湖、横岭湖、西洞庭湖等自然保护区和长江岸线），主要生态功能为生物多样性维护、洪水调蓄。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为湘资沅澧（湘江、资水、沅江、澧水）的源头区及重要水域。</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选址位于湖南省衡阳市衡阳县樟树乡樟树村，本项目所在区域为工业用地，不涉及重点生态功能区、生态敏感区、生态脆弱区、禁止开发区以及其他未列入上述范围、但具有重要生态功能或生态环境敏感、脆弱的区域，不属于生态红线管控区，符合生态红线区域保护规划，符合《湖南省生态保护红线》要求。</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（2）环境质量底线</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报告以环境质量评价标准作为项目所在区域的环境质量底线，大气环境质量目标为《环境空气质量标准》（GB3095-2012及2018修改单）二级标准；项目区域地表水体为蒸水，根据《湖南省主要地表水系水环境功能区划》（DB43/023-2005）要求，项目区域属于蒸水英陂拦河坝至湘江入河口河段（52.0km），属于工业用水，执行《地表水环境质量标准》（GB3838-2002）中的IV类水质标准。本次环评引用《衡阳县县城污水处理厂提标改造项目环境影响评价报告表》2019年1月13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15日的地表水监测数据，根据监测结果可知，蒸水监测断</w:t>
            </w:r>
            <w:r>
              <w:rPr>
                <w:rFonts w:hint="eastAsia" w:ascii="Times New Roman" w:hAnsi="Times New Roman" w:eastAsia="宋体" w:cs="Times New Roman"/>
                <w:color w:val="auto"/>
                <w:kern w:val="0"/>
                <w:sz w:val="24"/>
                <w:szCs w:val="24"/>
                <w:highlight w:val="none"/>
                <w:lang w:val="en-US" w:eastAsia="zh-CN" w:bidi="ar"/>
              </w:rPr>
              <w:t>面满</w:t>
            </w:r>
            <w:r>
              <w:rPr>
                <w:rFonts w:hint="default" w:ascii="Times New Roman" w:hAnsi="Times New Roman" w:eastAsia="宋体" w:cs="Times New Roman"/>
                <w:color w:val="auto"/>
                <w:kern w:val="0"/>
                <w:sz w:val="24"/>
                <w:szCs w:val="24"/>
                <w:highlight w:val="none"/>
                <w:lang w:val="en-US" w:eastAsia="zh-CN" w:bidi="ar"/>
              </w:rPr>
              <w:t>足《地表水环境质量标准》（GB3838-2002）中IV类水质标准要求，满足水环境质量底线要求；声环境质量目标为《声环境质量标准》（GB3096-2008）3类标准。</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根据项目所在地环境质量现状调查和污染排放影响分析可知，本项目运营后对区域内环境影响较小，环境质量可以保持现有水平，不会对区域环境质量底线造成冲击。</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（3）资源利用上线</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不属于高耗能、高污染型企业。项目建设过程中所利用的资源主要为水、电，均为清洁能源，项目运行过程通过内部管理、设备选择、原辅材料的选用和管理、废物回收利用、污染治理等多方面采取合理可行的防治措施，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节能、降耗、减污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为目标，有效的控制污染。项目的水、电等资源利用不会突破区域的资源利用上线。</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（4）生态环境准入清单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①与衡阳市衡阳县樟树乡生态环境准入清单符合性分析</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根据《衡阳市人民政府关于实施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三线一单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生态环境分区管控的意见（衡政发〔2020〕9号）》中附件1：衡阳市环境管控单元，可知本项目所在区域属于衡阳市一般管控单元，项目与衡阳市衡阳县樟树乡生态环境准入清单符合性分析见表1-4、1-5。</w:t>
            </w:r>
          </w:p>
          <w:p>
            <w:pPr>
              <w:keepNext w:val="0"/>
              <w:keepLines w:val="0"/>
              <w:pageBreakBefore w:val="0"/>
              <w:widowControl/>
              <w:suppressLineNumbers w:val="0"/>
              <w:kinsoku/>
              <w:wordWrap/>
              <w:overflowPunct/>
              <w:topLinePunct w:val="0"/>
              <w:autoSpaceDE/>
              <w:autoSpaceDN/>
              <w:bidi w:val="0"/>
              <w:adjustRightInd w:val="0"/>
              <w:snapToGrid/>
              <w:spacing w:line="240" w:lineRule="auto"/>
              <w:ind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i w:val="0"/>
                <w:iCs w:val="0"/>
                <w:caps w:val="0"/>
                <w:color w:val="auto"/>
                <w:spacing w:val="0"/>
                <w:sz w:val="21"/>
                <w:szCs w:val="21"/>
                <w:highlight w:val="none"/>
              </w:rPr>
              <w:t>表1-</w:t>
            </w:r>
            <w:r>
              <w:rPr>
                <w:rFonts w:hint="default" w:ascii="Times New Roman" w:hAnsi="Times New Roman" w:eastAsia="宋体" w:cs="Times New Roman"/>
                <w:b/>
                <w:bCs/>
                <w:i w:val="0"/>
                <w:iCs w:val="0"/>
                <w:caps w:val="0"/>
                <w:color w:val="auto"/>
                <w:spacing w:val="0"/>
                <w:sz w:val="21"/>
                <w:szCs w:val="21"/>
                <w:highlight w:val="none"/>
                <w:lang w:val="en-US" w:eastAsia="zh-CN"/>
              </w:rPr>
              <w:t>4</w:t>
            </w:r>
            <w:r>
              <w:rPr>
                <w:rFonts w:hint="default" w:ascii="Times New Roman" w:hAnsi="Times New Roman" w:eastAsia="宋体" w:cs="Times New Roman"/>
                <w:b/>
                <w:bCs/>
                <w:i w:val="0"/>
                <w:iCs w:val="0"/>
                <w:caps w:val="0"/>
                <w:color w:val="auto"/>
                <w:spacing w:val="0"/>
                <w:sz w:val="21"/>
                <w:szCs w:val="21"/>
                <w:highlight w:val="none"/>
              </w:rPr>
              <w:t xml:space="preserve"> </w:t>
            </w:r>
            <w:r>
              <w:rPr>
                <w:rFonts w:hint="default" w:ascii="Times New Roman" w:hAnsi="Times New Roman" w:eastAsia="宋体" w:cs="Times New Roman"/>
                <w:b/>
                <w:bCs/>
                <w:i w:val="0"/>
                <w:iCs w:val="0"/>
                <w:caps w:val="0"/>
                <w:color w:val="auto"/>
                <w:spacing w:val="0"/>
                <w:sz w:val="21"/>
                <w:szCs w:val="21"/>
                <w:highlight w:val="none"/>
                <w:lang w:val="en-US" w:eastAsia="zh-CN"/>
              </w:rPr>
              <w:t>衡阳市</w:t>
            </w:r>
            <w:r>
              <w:rPr>
                <w:rFonts w:hint="default" w:ascii="Times New Roman" w:hAnsi="Times New Roman" w:eastAsia="宋体" w:cs="Times New Roman"/>
                <w:b/>
                <w:bCs/>
                <w:i w:val="0"/>
                <w:iCs w:val="0"/>
                <w:caps w:val="0"/>
                <w:color w:val="auto"/>
                <w:spacing w:val="0"/>
                <w:sz w:val="21"/>
                <w:szCs w:val="21"/>
                <w:highlight w:val="none"/>
              </w:rPr>
              <w:t>生态空间管控区域规划保护内容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809"/>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环境管控单元编码</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ZH43042130004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行政区划</w:t>
                  </w:r>
                </w:p>
              </w:tc>
              <w:tc>
                <w:tcPr>
                  <w:tcW w:w="1809"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省</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1809"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市</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衡阳市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1809"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县</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衡阳县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单位分类</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单元面积（km</w:t>
                  </w:r>
                  <w:r>
                    <w:rPr>
                      <w:rFonts w:hint="default" w:ascii="Times New Roman" w:hAnsi="Times New Roman" w:eastAsia="宋体" w:cs="Times New Roman"/>
                      <w:i w:val="0"/>
                      <w:iCs w:val="0"/>
                      <w:caps w:val="0"/>
                      <w:color w:val="auto"/>
                      <w:spacing w:val="0"/>
                      <w:sz w:val="21"/>
                      <w:szCs w:val="21"/>
                      <w:highlight w:val="none"/>
                      <w:vertAlign w:val="superscript"/>
                      <w:lang w:val="en-US" w:eastAsia="zh-CN"/>
                    </w:rPr>
                    <w:t>2</w:t>
                  </w:r>
                  <w:r>
                    <w:rPr>
                      <w:rFonts w:hint="default" w:ascii="Times New Roman" w:hAnsi="Times New Roman" w:eastAsia="宋体" w:cs="Times New Roman"/>
                      <w:i w:val="0"/>
                      <w:iCs w:val="0"/>
                      <w:caps w:val="0"/>
                      <w:color w:val="auto"/>
                      <w:spacing w:val="0"/>
                      <w:sz w:val="21"/>
                      <w:szCs w:val="21"/>
                      <w:highlight w:val="none"/>
                      <w:vertAlign w:val="baseline"/>
                      <w:lang w:val="en-US" w:eastAsia="zh-CN"/>
                    </w:rPr>
                    <w:t>）</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615.15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涉及乡镇（街道）</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rPr>
                    <w:t>西渡镇/板市乡/关市镇/井头镇/岘山镇/演陂镇/樟树乡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主体功能定位</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rPr>
                    <w:t>国家层面农产品主产区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经济产业布局</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rPr>
                    <w:t>铁矿采选、石材开采加工、农副产品加工、生态农业、生态旅游、畜禽养殖等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主要环境问题</w:t>
                  </w:r>
                </w:p>
              </w:tc>
              <w:tc>
                <w:tcPr>
                  <w:tcW w:w="3622" w:type="dxa"/>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rPr>
                    <w:t>乡镇生活污水处理厂未建成，养殖废水处理不能稳定达标。</w:t>
                  </w:r>
                </w:p>
              </w:tc>
            </w:tr>
          </w:tbl>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i w:val="0"/>
                <w:iCs w:val="0"/>
                <w:caps w:val="0"/>
                <w:color w:val="auto"/>
                <w:spacing w:val="0"/>
                <w:sz w:val="21"/>
                <w:szCs w:val="21"/>
                <w:highlight w:val="none"/>
              </w:rPr>
              <w:t>表1-</w:t>
            </w:r>
            <w:r>
              <w:rPr>
                <w:rFonts w:hint="default" w:ascii="Times New Roman" w:hAnsi="Times New Roman" w:eastAsia="宋体" w:cs="Times New Roman"/>
                <w:b/>
                <w:bCs/>
                <w:i w:val="0"/>
                <w:iCs w:val="0"/>
                <w:caps w:val="0"/>
                <w:color w:val="auto"/>
                <w:spacing w:val="0"/>
                <w:sz w:val="21"/>
                <w:szCs w:val="21"/>
                <w:highlight w:val="none"/>
                <w:lang w:val="en-US" w:eastAsia="zh-CN"/>
              </w:rPr>
              <w:t>5</w:t>
            </w:r>
            <w:r>
              <w:rPr>
                <w:rFonts w:hint="default" w:ascii="Times New Roman" w:hAnsi="Times New Roman" w:eastAsia="宋体" w:cs="Times New Roman"/>
                <w:b/>
                <w:bCs/>
                <w:i w:val="0"/>
                <w:iCs w:val="0"/>
                <w:caps w:val="0"/>
                <w:color w:val="auto"/>
                <w:spacing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bidi="ar"/>
              </w:rPr>
              <w:t>与衡阳县西渡镇生态环境准入清单符合性分析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3476"/>
              <w:gridCol w:w="2771"/>
              <w:gridCol w:w="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主要属性</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樟树乡</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▉大气环境高排放重点管控区——衡阳县西渡镇、樟树乡企业集中区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▉农用地优先保护区/其他土壤重点管控区——市县级采矿权</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空间布局约束</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（1.1）新建涉VOCs排放的工业企业要入园区；</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本项目不涉及VOCs，且处于园区范围内；</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（1.2）养殖业按划定的禁养区、限养区、适养区实施分类管理。</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本项目不属于养殖业</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污染物排放管控</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（2.1）完善污水收集配套管网，工业集聚区要建立水环境管理档案，实现</w:t>
                  </w:r>
                  <w:r>
                    <w:rPr>
                      <w:rFonts w:hint="eastAsia" w:ascii="Times New Roman" w:hAnsi="Times New Roman" w:eastAsia="宋体"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一园一档</w:t>
                  </w:r>
                  <w:r>
                    <w:rPr>
                      <w:rFonts w:hint="eastAsia" w:ascii="Times New Roman" w:hAnsi="Times New Roman" w:eastAsia="宋体"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tc>
              <w:tc>
                <w:tcPr>
                  <w:tcW w:w="0" w:type="auto"/>
                  <w:vAlign w:val="center"/>
                </w:tcPr>
                <w:p>
                  <w:pPr>
                    <w:pStyle w:val="3"/>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
                    </w:rPr>
                  </w:pPr>
                  <w:bookmarkStart w:id="21" w:name="_Toc4343"/>
                  <w:bookmarkStart w:id="22" w:name="_Toc14120"/>
                  <w:r>
                    <w:rPr>
                      <w:rFonts w:hint="default" w:ascii="Times New Roman" w:hAnsi="Times New Roman" w:eastAsia="宋体" w:cs="Times New Roman"/>
                      <w:b w:val="0"/>
                      <w:bCs/>
                      <w:color w:val="auto"/>
                      <w:kern w:val="2"/>
                      <w:sz w:val="21"/>
                      <w:szCs w:val="21"/>
                      <w:highlight w:val="none"/>
                      <w:u w:val="none"/>
                      <w:lang w:val="en-US" w:eastAsia="zh-CN" w:bidi="ar-SA"/>
                    </w:rPr>
                    <w:t>本项目无生产废水外排，本项目生活污水经化粪池预处理达标后排入园区生活污水管网，至衡阳西渡高新技术产业园污水处理厂进一步处理，处理达标后排放；初期雨水依托衡阳富华钢化玻璃有限公司园区初期雨水池收集后排入园区雨水管网；</w:t>
                  </w:r>
                  <w:bookmarkEnd w:id="21"/>
                  <w:bookmarkEnd w:id="22"/>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（2.2）完成</w:t>
                  </w:r>
                  <w:r>
                    <w:rPr>
                      <w:rFonts w:hint="eastAsia" w:ascii="Times New Roman" w:hAnsi="Times New Roman" w:eastAsia="宋体"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散乱污</w:t>
                  </w:r>
                  <w:r>
                    <w:rPr>
                      <w:rFonts w:hint="eastAsia" w:ascii="Times New Roman" w:hAnsi="Times New Roman" w:eastAsia="宋体"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涉气企业整治工作，重点工业企业完成无组织排放治理改造，强制推进清洁生产审核，实行区域内VOCs排放等量或倍量削减替代，交通运输设备制造、工程机械制造和家具制造行业全面推行油性漆改水性漆。加快推进园区内淘汰取缔燃煤小锅炉、实施集中供热、清洁能源替代。县城建成区域内，任何单位和个人不得燃放烟花爆竹，禁止露天烧烤直排，禁止垃圾、秸秆和落叶露天焚烧。</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本项目不涉及VOCs排放；不使用锅炉；主要使用能源为电能，属于清洁能源；</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（2.3）积极推进垃圾收运体系建设，建设覆盖城乡的垃圾收运系统，严格监督分类垃圾分类收集、分类处理。推进农村环境综合整治全县域覆盖，畜禽规模养殖场（小区）配套建设废弃物处理设施的比例达到 85%以上。</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本项目严格落实分类垃圾、分类收集、分类处理；</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环境风险防控</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（3.1）加强环境风险防控和应急管理，制定和完善突发环境事件和饮用水水源地突发环境事件应急预案，加强风险防控和突发环境事件应急处理处置能力。</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本项目环境风险较小，未来计划编制应急预案；本项目不涉及饮用水水源地；</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（3.2根据建设用地</w:t>
                  </w:r>
                  <w:r>
                    <w:rPr>
                      <w:rFonts w:hint="eastAsia" w:ascii="Times New Roman" w:hAnsi="Times New Roman" w:eastAsia="宋体" w:cs="Times New Roman"/>
                      <w:color w:val="auto"/>
                      <w:kern w:val="0"/>
                      <w:sz w:val="21"/>
                      <w:szCs w:val="21"/>
                      <w:highlight w:val="none"/>
                      <w:vertAlign w:val="baseline"/>
                      <w:lang w:val="en-US" w:eastAsia="zh-CN" w:bidi="ar"/>
                    </w:rPr>
                    <w:t>土壤</w:t>
                  </w:r>
                  <w:r>
                    <w:rPr>
                      <w:rFonts w:hint="default" w:ascii="Times New Roman" w:hAnsi="Times New Roman" w:eastAsia="宋体" w:cs="Times New Roman"/>
                      <w:color w:val="auto"/>
                      <w:kern w:val="0"/>
                      <w:sz w:val="21"/>
                      <w:szCs w:val="21"/>
                      <w:highlight w:val="none"/>
                      <w:vertAlign w:val="baseline"/>
                      <w:lang w:val="en-US" w:eastAsia="zh-CN" w:bidi="ar"/>
                    </w:rPr>
                    <w:t>环境调查评估及现有重金属污染场地调查结果，逐步建立污染地块名录及其开发利用的负面清单合理确定土地用途。土地开发利用必须符合</w:t>
                  </w:r>
                  <w:r>
                    <w:rPr>
                      <w:rFonts w:hint="eastAsia" w:ascii="Times New Roman" w:hAnsi="Times New Roman" w:eastAsia="宋体" w:cs="Times New Roman"/>
                      <w:color w:val="auto"/>
                      <w:kern w:val="0"/>
                      <w:sz w:val="21"/>
                      <w:szCs w:val="21"/>
                      <w:highlight w:val="none"/>
                      <w:vertAlign w:val="baseline"/>
                      <w:lang w:val="en-US" w:eastAsia="zh-CN" w:bidi="ar"/>
                    </w:rPr>
                    <w:t>土壤</w:t>
                  </w:r>
                  <w:r>
                    <w:rPr>
                      <w:rFonts w:hint="default" w:ascii="Times New Roman" w:hAnsi="Times New Roman" w:eastAsia="宋体" w:cs="Times New Roman"/>
                      <w:color w:val="auto"/>
                      <w:kern w:val="0"/>
                      <w:sz w:val="21"/>
                      <w:szCs w:val="21"/>
                      <w:highlight w:val="none"/>
                      <w:vertAlign w:val="baseline"/>
                      <w:lang w:val="en-US" w:eastAsia="zh-CN" w:bidi="ar"/>
                    </w:rPr>
                    <w:t>环境质量要求。各部门在编制土地利用总体规划、城市总体规划、控制性详细规划等相关规划时，应充分考虑污染地块的环境风险，合理确定土地用途。制定实施受污染耕地安全利用方案，采取农艺凋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本项目不涉及重金属，且租借衡阳富华钢化玻璃有限公司厂房，厂房内无生产设施，不存在与本项目有关的原有污染情况及历史遗留环境问题。经现场勘查，不存在与该项目有关的原有污染情况。</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资源开发效率要求</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本项目生产过程中所用的资源主要为水、电资源，为清洁能源；</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（4.2）水资源：大力推进农业、工业、城镇节水，全面推进节水型社会建设。</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项目无生产废水外排，用水量低，并在可行范围内推进节水行动。</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符合</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②与湖南省衡阳市衡阳县西渡高新技术产业园区生态环境准入清单符合性分析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根据《湖南省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三线一单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生态环境总体管控要求暨</w:t>
            </w:r>
            <w:r>
              <w:rPr>
                <w:rFonts w:hint="eastAsia" w:ascii="Times New Roman" w:hAnsi="Times New Roman" w:eastAsia="宋体" w:cs="Times New Roman"/>
                <w:color w:val="auto"/>
                <w:kern w:val="0"/>
                <w:sz w:val="24"/>
                <w:szCs w:val="24"/>
                <w:highlight w:val="none"/>
                <w:lang w:val="en-US" w:eastAsia="zh-CN" w:bidi="ar"/>
              </w:rPr>
              <w:t>省</w:t>
            </w:r>
            <w:r>
              <w:rPr>
                <w:rFonts w:hint="default" w:ascii="Times New Roman" w:hAnsi="Times New Roman" w:eastAsia="宋体" w:cs="Times New Roman"/>
                <w:color w:val="auto"/>
                <w:kern w:val="0"/>
                <w:sz w:val="24"/>
                <w:szCs w:val="24"/>
                <w:highlight w:val="none"/>
                <w:lang w:val="en-US" w:eastAsia="zh-CN" w:bidi="ar"/>
              </w:rPr>
              <w:t>级以上产业园区生态环境准入清单》，本项目位于湖南衡阳西渡高新技术产业园区，</w:t>
            </w:r>
            <w:r>
              <w:rPr>
                <w:rFonts w:hint="default" w:ascii="Times New Roman" w:hAnsi="Times New Roman" w:eastAsia="宋体" w:cs="Times New Roman"/>
                <w:color w:val="auto"/>
                <w:kern w:val="0"/>
                <w:sz w:val="24"/>
                <w:szCs w:val="24"/>
                <w:highlight w:val="none"/>
                <w:lang w:val="en-US" w:eastAsia="zh-CN" w:bidi="ar"/>
              </w:rPr>
              <w:t>所在区域单元分类为重点管控单元，环境管控单元编码为ZH43042120002</w:t>
            </w:r>
            <w:r>
              <w:rPr>
                <w:rFonts w:hint="default" w:ascii="Times New Roman" w:hAnsi="Times New Roman" w:eastAsia="宋体" w:cs="Times New Roman"/>
                <w:color w:val="auto"/>
                <w:kern w:val="0"/>
                <w:sz w:val="24"/>
                <w:szCs w:val="24"/>
                <w:highlight w:val="none"/>
                <w:lang w:val="en-US" w:eastAsia="zh-CN" w:bidi="ar"/>
              </w:rPr>
              <w:t>，项目与西渡高新技术产业园区生态环境准入清单符合性分析见表1-6、1-7。</w:t>
            </w:r>
          </w:p>
          <w:p>
            <w:pPr>
              <w:keepNext w:val="0"/>
              <w:keepLines w:val="0"/>
              <w:pageBreakBefore w:val="0"/>
              <w:widowControl/>
              <w:suppressLineNumbers w:val="0"/>
              <w:kinsoku/>
              <w:wordWrap/>
              <w:overflowPunct/>
              <w:topLinePunct w:val="0"/>
              <w:autoSpaceDE/>
              <w:autoSpaceDN/>
              <w:bidi w:val="0"/>
              <w:adjustRightInd w:val="0"/>
              <w:snapToGrid/>
              <w:spacing w:line="240" w:lineRule="auto"/>
              <w:ind w:firstLine="422" w:firstLineChars="200"/>
              <w:jc w:val="center"/>
              <w:textAlignment w:val="auto"/>
              <w:rPr>
                <w:rFonts w:hint="default" w:ascii="Times New Roman" w:hAnsi="Times New Roman" w:eastAsia="宋体" w:cs="Times New Roman"/>
                <w:b/>
                <w:bCs/>
                <w:i w:val="0"/>
                <w:iCs w:val="0"/>
                <w:caps w:val="0"/>
                <w:color w:val="auto"/>
                <w:spacing w:val="0"/>
                <w:sz w:val="21"/>
                <w:szCs w:val="21"/>
                <w:highlight w:val="none"/>
                <w:lang w:val="en-US" w:eastAsia="zh-CN"/>
              </w:rPr>
            </w:pPr>
            <w:r>
              <w:rPr>
                <w:rFonts w:hint="default" w:ascii="Times New Roman" w:hAnsi="Times New Roman" w:eastAsia="宋体" w:cs="Times New Roman"/>
                <w:b/>
                <w:bCs/>
                <w:i w:val="0"/>
                <w:iCs w:val="0"/>
                <w:caps w:val="0"/>
                <w:color w:val="auto"/>
                <w:spacing w:val="0"/>
                <w:sz w:val="21"/>
                <w:szCs w:val="21"/>
                <w:highlight w:val="none"/>
              </w:rPr>
              <w:t>表1-</w:t>
            </w:r>
            <w:r>
              <w:rPr>
                <w:rFonts w:hint="default" w:ascii="Times New Roman" w:hAnsi="Times New Roman" w:eastAsia="宋体" w:cs="Times New Roman"/>
                <w:b/>
                <w:bCs/>
                <w:i w:val="0"/>
                <w:iCs w:val="0"/>
                <w:caps w:val="0"/>
                <w:color w:val="auto"/>
                <w:spacing w:val="0"/>
                <w:sz w:val="21"/>
                <w:szCs w:val="21"/>
                <w:highlight w:val="none"/>
                <w:lang w:val="en-US" w:eastAsia="zh-CN"/>
              </w:rPr>
              <w:t>6</w:t>
            </w:r>
            <w:r>
              <w:rPr>
                <w:rFonts w:hint="default" w:ascii="Times New Roman" w:hAnsi="Times New Roman" w:eastAsia="宋体" w:cs="Times New Roman"/>
                <w:b/>
                <w:bCs/>
                <w:i w:val="0"/>
                <w:iCs w:val="0"/>
                <w:caps w:val="0"/>
                <w:color w:val="auto"/>
                <w:spacing w:val="0"/>
                <w:sz w:val="21"/>
                <w:szCs w:val="21"/>
                <w:highlight w:val="none"/>
              </w:rPr>
              <w:t xml:space="preserve"> </w:t>
            </w:r>
            <w:bookmarkStart w:id="23" w:name="_Toc5805"/>
            <w:r>
              <w:rPr>
                <w:rFonts w:hint="default" w:ascii="Times New Roman" w:hAnsi="Times New Roman" w:eastAsia="宋体" w:cs="Times New Roman"/>
                <w:b/>
                <w:bCs/>
                <w:i w:val="0"/>
                <w:iCs w:val="0"/>
                <w:caps w:val="0"/>
                <w:color w:val="auto"/>
                <w:spacing w:val="0"/>
                <w:sz w:val="21"/>
                <w:szCs w:val="21"/>
                <w:highlight w:val="none"/>
              </w:rPr>
              <w:t>湖南省</w:t>
            </w:r>
            <w:bookmarkEnd w:id="23"/>
            <w:r>
              <w:rPr>
                <w:rFonts w:hint="default" w:ascii="Times New Roman" w:hAnsi="Times New Roman" w:eastAsia="宋体" w:cs="Times New Roman"/>
                <w:b/>
                <w:bCs/>
                <w:i w:val="0"/>
                <w:iCs w:val="0"/>
                <w:caps w:val="0"/>
                <w:color w:val="auto"/>
                <w:spacing w:val="0"/>
                <w:sz w:val="21"/>
                <w:szCs w:val="21"/>
                <w:highlight w:val="none"/>
              </w:rPr>
              <w:t>生态空间管控区域规划保护内容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809"/>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单元名称</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湖南衡阳西渡高新技术产业园区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环境管控单元编码</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ZH43042120002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行政区划</w:t>
                  </w:r>
                </w:p>
              </w:tc>
              <w:tc>
                <w:tcPr>
                  <w:tcW w:w="180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省</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180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市</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衡阳市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p>
              </w:tc>
              <w:tc>
                <w:tcPr>
                  <w:tcW w:w="180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县</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衡阳县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单位分类</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单元面积（km</w:t>
                  </w:r>
                  <w:r>
                    <w:rPr>
                      <w:rFonts w:hint="default" w:ascii="Times New Roman" w:hAnsi="Times New Roman" w:eastAsia="宋体" w:cs="Times New Roman"/>
                      <w:i w:val="0"/>
                      <w:iCs w:val="0"/>
                      <w:caps w:val="0"/>
                      <w:color w:val="auto"/>
                      <w:spacing w:val="0"/>
                      <w:sz w:val="21"/>
                      <w:szCs w:val="21"/>
                      <w:highlight w:val="none"/>
                      <w:vertAlign w:val="superscript"/>
                      <w:lang w:val="en-US" w:eastAsia="zh-CN"/>
                    </w:rPr>
                    <w:t>2</w:t>
                  </w:r>
                  <w:r>
                    <w:rPr>
                      <w:rFonts w:hint="default" w:ascii="Times New Roman" w:hAnsi="Times New Roman" w:eastAsia="宋体" w:cs="Times New Roman"/>
                      <w:i w:val="0"/>
                      <w:iCs w:val="0"/>
                      <w:caps w:val="0"/>
                      <w:color w:val="auto"/>
                      <w:spacing w:val="0"/>
                      <w:sz w:val="21"/>
                      <w:szCs w:val="21"/>
                      <w:highlight w:val="none"/>
                      <w:vertAlign w:val="baseline"/>
                      <w:lang w:val="en-US" w:eastAsia="zh-CN"/>
                    </w:rPr>
                    <w:t>）</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7.433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涉及乡镇（街道）</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核准范围（一区一园）：西渡镇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主体功能定位</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国家级农产品主产区；</w:t>
                  </w:r>
                </w:p>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西渡镇：国家级重点开发城镇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主导产业</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t>湘环评函[2013]285号：</w:t>
                  </w:r>
                  <w:r>
                    <w:rPr>
                      <w:rFonts w:hint="default" w:ascii="Times New Roman" w:hAnsi="Times New Roman" w:eastAsia="宋体" w:cs="Times New Roman"/>
                      <w:i w:val="0"/>
                      <w:iCs w:val="0"/>
                      <w:caps w:val="0"/>
                      <w:color w:val="auto"/>
                      <w:spacing w:val="0"/>
                      <w:sz w:val="21"/>
                      <w:szCs w:val="21"/>
                      <w:highlight w:val="none"/>
                      <w:vertAlign w:val="baseline"/>
                      <w:lang w:val="en-US" w:eastAsia="zh-CN"/>
                    </w:rPr>
                    <w:t>以生物医药、外贸加工（服装缝纫加工、鞋帽加工、箱包加工等为重点的来料加工型生活用品制造）和机械电子制造产业（不含电镀加工及线路板生产）为主导，辅以发展农产品加工业。</w:t>
                  </w:r>
                </w:p>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t>湘发改函[2015]314号：</w:t>
                  </w:r>
                  <w:r>
                    <w:rPr>
                      <w:rFonts w:hint="default" w:ascii="Times New Roman" w:hAnsi="Times New Roman" w:eastAsia="宋体" w:cs="Times New Roman"/>
                      <w:i w:val="0"/>
                      <w:iCs w:val="0"/>
                      <w:caps w:val="0"/>
                      <w:color w:val="auto"/>
                      <w:spacing w:val="0"/>
                      <w:sz w:val="21"/>
                      <w:szCs w:val="21"/>
                      <w:highlight w:val="none"/>
                      <w:vertAlign w:val="baseline"/>
                      <w:lang w:val="en-US" w:eastAsia="zh-CN"/>
                    </w:rPr>
                    <w:t>新扩区医药制造业，皮革、毛皮、羽毛及其制品和制鞋业，非金属矿物制品等产业。</w:t>
                  </w:r>
                </w:p>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b/>
                      <w:bCs/>
                      <w:i w:val="0"/>
                      <w:iCs w:val="0"/>
                      <w:caps w:val="0"/>
                      <w:color w:val="auto"/>
                      <w:spacing w:val="0"/>
                      <w:sz w:val="21"/>
                      <w:szCs w:val="21"/>
                      <w:highlight w:val="none"/>
                      <w:vertAlign w:val="baseline"/>
                      <w:lang w:val="en-US" w:eastAsia="zh-CN"/>
                    </w:rPr>
                    <w:t>六部委公告2018年第4号：</w:t>
                  </w:r>
                  <w:r>
                    <w:rPr>
                      <w:rFonts w:hint="default" w:ascii="Times New Roman" w:hAnsi="Times New Roman" w:eastAsia="宋体" w:cs="Times New Roman"/>
                      <w:i w:val="0"/>
                      <w:iCs w:val="0"/>
                      <w:caps w:val="0"/>
                      <w:color w:val="auto"/>
                      <w:spacing w:val="0"/>
                      <w:sz w:val="21"/>
                      <w:szCs w:val="21"/>
                      <w:highlight w:val="none"/>
                      <w:vertAlign w:val="baseline"/>
                      <w:lang w:val="en-US" w:eastAsia="zh-CN"/>
                    </w:rPr>
                    <w:t>医药、智能机器、非金属矿物制品。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主要环境问题和</w:t>
                  </w:r>
                </w:p>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重要敏感目标</w:t>
                  </w:r>
                </w:p>
              </w:tc>
              <w:tc>
                <w:tcPr>
                  <w:tcW w:w="3622"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bookmarkStart w:id="24" w:name="_Toc35013860"/>
                  <w:bookmarkStart w:id="25" w:name="_Toc34321400"/>
                  <w:r>
                    <w:rPr>
                      <w:rFonts w:hint="default" w:ascii="Times New Roman" w:hAnsi="Times New Roman" w:eastAsia="宋体" w:cs="Times New Roman"/>
                      <w:i w:val="0"/>
                      <w:iCs w:val="0"/>
                      <w:caps w:val="0"/>
                      <w:color w:val="auto"/>
                      <w:spacing w:val="0"/>
                      <w:sz w:val="21"/>
                      <w:szCs w:val="21"/>
                      <w:highlight w:val="none"/>
                      <w:vertAlign w:val="baseline"/>
                      <w:lang w:val="en-US" w:eastAsia="zh-CN"/>
                    </w:rPr>
                    <w:t>1、联胜路西往东段、英秋大道至牌坊段主管网与依托的污水处理厂还未接通；</w:t>
                  </w:r>
                </w:p>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sz w:val="21"/>
                      <w:szCs w:val="21"/>
                      <w:highlight w:val="none"/>
                      <w:vertAlign w:val="baseline"/>
                      <w:lang w:val="en-US" w:eastAsia="zh-CN"/>
                    </w:rPr>
                    <w:t>2、园区紧邻县城，园区下风向紧邻居民区和学校</w:t>
                  </w:r>
                  <w:bookmarkEnd w:id="24"/>
                  <w:bookmarkEnd w:id="25"/>
                  <w:r>
                    <w:rPr>
                      <w:rFonts w:hint="default" w:ascii="Times New Roman" w:hAnsi="Times New Roman" w:eastAsia="宋体" w:cs="Times New Roman"/>
                      <w:i w:val="0"/>
                      <w:iCs w:val="0"/>
                      <w:caps w:val="0"/>
                      <w:color w:val="auto"/>
                      <w:spacing w:val="0"/>
                      <w:sz w:val="21"/>
                      <w:szCs w:val="21"/>
                      <w:highlight w:val="none"/>
                      <w:vertAlign w:val="baseline"/>
                      <w:lang w:val="en-US" w:eastAsia="zh-CN"/>
                    </w:rPr>
                    <w:t>。</w:t>
                  </w:r>
                </w:p>
              </w:tc>
            </w:tr>
          </w:tbl>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表1-7与衡阳县西渡高新技术产业园区生态环境准入清单符合性分析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823"/>
              <w:gridCol w:w="2771"/>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97"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26" w:name="_Toc9196"/>
                  <w:bookmarkStart w:id="27" w:name="_Toc18900"/>
                  <w:bookmarkStart w:id="28" w:name="_Toc27457"/>
                  <w:bookmarkStart w:id="29" w:name="_Toc9911"/>
                  <w:r>
                    <w:rPr>
                      <w:rFonts w:hint="default" w:ascii="Times New Roman" w:hAnsi="Times New Roman" w:eastAsia="宋体" w:cs="Times New Roman"/>
                      <w:b w:val="0"/>
                      <w:bCs/>
                      <w:color w:val="auto"/>
                      <w:kern w:val="2"/>
                      <w:sz w:val="21"/>
                      <w:szCs w:val="21"/>
                      <w:highlight w:val="none"/>
                      <w:u w:val="none"/>
                      <w:lang w:val="en-US" w:eastAsia="zh-CN" w:bidi="ar-SA"/>
                    </w:rPr>
                    <w:t>管控维度</w:t>
                  </w:r>
                  <w:bookmarkEnd w:id="26"/>
                  <w:bookmarkEnd w:id="27"/>
                  <w:bookmarkEnd w:id="28"/>
                  <w:bookmarkEnd w:id="29"/>
                </w:p>
              </w:tc>
              <w:tc>
                <w:tcPr>
                  <w:tcW w:w="2823"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30" w:name="_Toc29623"/>
                  <w:bookmarkStart w:id="31" w:name="_Toc30152"/>
                  <w:bookmarkStart w:id="32" w:name="_Toc20223"/>
                  <w:bookmarkStart w:id="33" w:name="_Toc30234"/>
                  <w:r>
                    <w:rPr>
                      <w:rFonts w:hint="default" w:ascii="Times New Roman" w:hAnsi="Times New Roman" w:eastAsia="宋体" w:cs="Times New Roman"/>
                      <w:b w:val="0"/>
                      <w:bCs/>
                      <w:color w:val="auto"/>
                      <w:kern w:val="2"/>
                      <w:sz w:val="21"/>
                      <w:szCs w:val="21"/>
                      <w:highlight w:val="none"/>
                      <w:u w:val="none"/>
                      <w:lang w:val="en-US" w:eastAsia="zh-CN" w:bidi="ar-SA"/>
                    </w:rPr>
                    <w:t>管控要求</w:t>
                  </w:r>
                  <w:bookmarkEnd w:id="30"/>
                  <w:bookmarkEnd w:id="31"/>
                  <w:bookmarkEnd w:id="32"/>
                  <w:bookmarkEnd w:id="33"/>
                </w:p>
              </w:tc>
              <w:tc>
                <w:tcPr>
                  <w:tcW w:w="2771"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34" w:name="_Toc26740"/>
                  <w:bookmarkStart w:id="35" w:name="_Toc16828"/>
                  <w:bookmarkStart w:id="36" w:name="_Toc22766"/>
                  <w:bookmarkStart w:id="37" w:name="_Toc13765"/>
                  <w:r>
                    <w:rPr>
                      <w:rFonts w:hint="default" w:ascii="Times New Roman" w:hAnsi="Times New Roman" w:eastAsia="宋体" w:cs="Times New Roman"/>
                      <w:b w:val="0"/>
                      <w:bCs/>
                      <w:color w:val="auto"/>
                      <w:kern w:val="2"/>
                      <w:sz w:val="21"/>
                      <w:szCs w:val="21"/>
                      <w:highlight w:val="none"/>
                      <w:u w:val="none"/>
                      <w:lang w:val="en-US" w:eastAsia="zh-CN" w:bidi="ar-SA"/>
                    </w:rPr>
                    <w:t>本项目情况</w:t>
                  </w:r>
                  <w:bookmarkEnd w:id="34"/>
                  <w:bookmarkEnd w:id="35"/>
                  <w:bookmarkEnd w:id="36"/>
                  <w:bookmarkEnd w:id="37"/>
                </w:p>
              </w:tc>
              <w:tc>
                <w:tcPr>
                  <w:tcW w:w="849"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38" w:name="_Toc22801"/>
                  <w:bookmarkStart w:id="39" w:name="_Toc25505"/>
                  <w:bookmarkStart w:id="40" w:name="_Toc31724"/>
                  <w:bookmarkStart w:id="41" w:name="_Toc32346"/>
                  <w:r>
                    <w:rPr>
                      <w:rFonts w:hint="default" w:ascii="Times New Roman" w:hAnsi="Times New Roman" w:eastAsia="宋体" w:cs="Times New Roman"/>
                      <w:b w:val="0"/>
                      <w:bCs/>
                      <w:color w:val="auto"/>
                      <w:kern w:val="2"/>
                      <w:sz w:val="21"/>
                      <w:szCs w:val="21"/>
                      <w:highlight w:val="none"/>
                      <w:u w:val="none"/>
                      <w:lang w:val="en-US" w:eastAsia="zh-CN" w:bidi="ar-SA"/>
                    </w:rPr>
                    <w:t>符合性</w:t>
                  </w:r>
                  <w:bookmarkEnd w:id="38"/>
                  <w:bookmarkEnd w:id="39"/>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42" w:name="_Toc9462"/>
                  <w:bookmarkStart w:id="43" w:name="_Toc17622"/>
                  <w:bookmarkStart w:id="44" w:name="_Toc13622"/>
                  <w:bookmarkStart w:id="45" w:name="_Toc8596"/>
                  <w:r>
                    <w:rPr>
                      <w:rFonts w:hint="default" w:ascii="Times New Roman" w:hAnsi="Times New Roman" w:eastAsia="宋体" w:cs="Times New Roman"/>
                      <w:b w:val="0"/>
                      <w:bCs/>
                      <w:color w:val="auto"/>
                      <w:kern w:val="2"/>
                      <w:sz w:val="21"/>
                      <w:szCs w:val="21"/>
                      <w:highlight w:val="none"/>
                      <w:u w:val="none"/>
                      <w:lang w:val="en-US" w:eastAsia="zh-CN" w:bidi="ar-SA"/>
                    </w:rPr>
                    <w:t>空间布局约束</w:t>
                  </w:r>
                  <w:bookmarkEnd w:id="42"/>
                  <w:bookmarkEnd w:id="43"/>
                  <w:bookmarkEnd w:id="44"/>
                  <w:bookmarkEnd w:id="45"/>
                </w:p>
              </w:tc>
              <w:tc>
                <w:tcPr>
                  <w:tcW w:w="2823" w:type="dxa"/>
                  <w:vAlign w:val="center"/>
                </w:tcPr>
                <w:p>
                  <w:pPr>
                    <w:pStyle w:val="3"/>
                    <w:numPr>
                      <w:ilvl w:val="1"/>
                      <w:numId w:val="0"/>
                    </w:numPr>
                    <w:spacing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46" w:name="_Toc9336"/>
                  <w:bookmarkStart w:id="47" w:name="_Toc27633"/>
                  <w:bookmarkStart w:id="48" w:name="_Toc8972"/>
                  <w:bookmarkStart w:id="49" w:name="_Toc21628"/>
                  <w:r>
                    <w:rPr>
                      <w:rFonts w:hint="default" w:ascii="Times New Roman" w:hAnsi="Times New Roman" w:eastAsia="宋体" w:cs="Times New Roman"/>
                      <w:b w:val="0"/>
                      <w:bCs/>
                      <w:color w:val="auto"/>
                      <w:kern w:val="2"/>
                      <w:sz w:val="21"/>
                      <w:szCs w:val="21"/>
                      <w:highlight w:val="none"/>
                      <w:lang w:val="en-US" w:eastAsia="zh-CN" w:bidi="ar-SA"/>
                    </w:rPr>
                    <w:t>（1.1）</w:t>
                  </w:r>
                  <w:r>
                    <w:rPr>
                      <w:rFonts w:hint="default" w:ascii="Times New Roman" w:hAnsi="Times New Roman" w:eastAsia="宋体" w:cs="Times New Roman"/>
                      <w:b w:val="0"/>
                      <w:bCs/>
                      <w:color w:val="auto"/>
                      <w:kern w:val="2"/>
                      <w:sz w:val="21"/>
                      <w:szCs w:val="21"/>
                      <w:highlight w:val="none"/>
                      <w:u w:val="none"/>
                      <w:lang w:val="en-US" w:eastAsia="zh-CN" w:bidi="ar-SA"/>
                    </w:rPr>
                    <w:t>各功能区相对集中布置，充分利用自然地形和绿化隔离带使各功能区隔离。</w:t>
                  </w:r>
                  <w:bookmarkEnd w:id="46"/>
                  <w:bookmarkEnd w:id="47"/>
                  <w:bookmarkEnd w:id="48"/>
                  <w:bookmarkEnd w:id="49"/>
                </w:p>
                <w:p>
                  <w:pPr>
                    <w:pStyle w:val="3"/>
                    <w:numPr>
                      <w:ilvl w:val="0"/>
                      <w:numId w:val="0"/>
                    </w:numPr>
                    <w:spacing w:line="240" w:lineRule="auto"/>
                    <w:ind w:leftChars="0"/>
                    <w:jc w:val="both"/>
                    <w:rPr>
                      <w:rFonts w:hint="default" w:ascii="Times New Roman" w:hAnsi="Times New Roman" w:eastAsia="宋体" w:cs="Times New Roman"/>
                      <w:b w:val="0"/>
                      <w:bCs/>
                      <w:color w:val="auto"/>
                      <w:kern w:val="2"/>
                      <w:sz w:val="21"/>
                      <w:szCs w:val="21"/>
                      <w:highlight w:val="none"/>
                      <w:u w:val="none"/>
                      <w:lang w:val="en-US" w:eastAsia="zh-CN" w:bidi="ar-SA"/>
                    </w:rPr>
                  </w:pPr>
                  <w:bookmarkStart w:id="50" w:name="_Toc21724"/>
                  <w:bookmarkStart w:id="51" w:name="_Toc11959"/>
                  <w:bookmarkStart w:id="52" w:name="_Toc16234"/>
                  <w:bookmarkStart w:id="53" w:name="_Toc29440"/>
                  <w:r>
                    <w:rPr>
                      <w:rFonts w:hint="default" w:ascii="Times New Roman" w:hAnsi="Times New Roman" w:eastAsia="宋体" w:cs="Times New Roman"/>
                      <w:b w:val="0"/>
                      <w:bCs/>
                      <w:color w:val="auto"/>
                      <w:kern w:val="2"/>
                      <w:sz w:val="21"/>
                      <w:szCs w:val="21"/>
                      <w:highlight w:val="none"/>
                      <w:u w:val="none"/>
                      <w:lang w:val="en-US" w:eastAsia="zh-CN" w:bidi="ar-SA"/>
                    </w:rPr>
                    <w:t>（1.2）禁止气型污染严重企业、涉重金属企业入驻，严格控制三类工业。</w:t>
                  </w:r>
                  <w:bookmarkEnd w:id="50"/>
                  <w:bookmarkEnd w:id="51"/>
                  <w:bookmarkEnd w:id="52"/>
                  <w:bookmarkEnd w:id="53"/>
                </w:p>
              </w:tc>
              <w:tc>
                <w:tcPr>
                  <w:tcW w:w="2771" w:type="dxa"/>
                  <w:vAlign w:val="center"/>
                </w:tcPr>
                <w:p>
                  <w:pPr>
                    <w:pStyle w:val="3"/>
                    <w:spacing w:line="240" w:lineRule="auto"/>
                    <w:jc w:val="left"/>
                    <w:rPr>
                      <w:rFonts w:hint="default" w:ascii="Times New Roman" w:hAnsi="Times New Roman" w:eastAsia="宋体" w:cs="Times New Roman"/>
                      <w:b w:val="0"/>
                      <w:bCs/>
                      <w:color w:val="auto"/>
                      <w:kern w:val="2"/>
                      <w:sz w:val="21"/>
                      <w:szCs w:val="21"/>
                      <w:highlight w:val="none"/>
                      <w:u w:val="none"/>
                      <w:lang w:val="en-US" w:eastAsia="zh-CN" w:bidi="ar-SA"/>
                    </w:rPr>
                  </w:pPr>
                  <w:bookmarkStart w:id="54" w:name="_Toc7849"/>
                  <w:bookmarkStart w:id="55" w:name="_Toc4864"/>
                  <w:bookmarkStart w:id="56" w:name="_Toc26060"/>
                  <w:bookmarkStart w:id="57" w:name="_Toc30146"/>
                  <w:r>
                    <w:rPr>
                      <w:rFonts w:hint="default" w:ascii="Times New Roman" w:hAnsi="Times New Roman" w:eastAsia="宋体" w:cs="Times New Roman"/>
                      <w:b w:val="0"/>
                      <w:bCs/>
                      <w:color w:val="auto"/>
                      <w:kern w:val="2"/>
                      <w:sz w:val="21"/>
                      <w:szCs w:val="21"/>
                      <w:highlight w:val="none"/>
                      <w:u w:val="none"/>
                      <w:lang w:val="en-US" w:eastAsia="zh-CN" w:bidi="ar-SA"/>
                    </w:rPr>
                    <w:t>1、本项目为C4210-金属废料和碎屑加工处理，项目用地为工业用地，周边主要为工业用地。</w:t>
                  </w:r>
                  <w:bookmarkEnd w:id="54"/>
                  <w:bookmarkEnd w:id="55"/>
                  <w:bookmarkEnd w:id="56"/>
                  <w:bookmarkEnd w:id="57"/>
                </w:p>
                <w:p>
                  <w:pPr>
                    <w:pStyle w:val="8"/>
                    <w:jc w:val="left"/>
                    <w:rPr>
                      <w:rFonts w:hint="default" w:ascii="Times New Roman" w:hAnsi="Times New Roman" w:eastAsia="宋体" w:cs="Times New Roman"/>
                      <w:b w:val="0"/>
                      <w:bCs/>
                      <w:color w:val="auto"/>
                      <w:kern w:val="2"/>
                      <w:sz w:val="21"/>
                      <w:szCs w:val="21"/>
                      <w:highlight w:val="none"/>
                      <w:u w:val="none"/>
                      <w:lang w:val="en-US" w:eastAsia="zh-CN" w:bidi="ar-SA"/>
                    </w:rPr>
                  </w:pPr>
                  <w:bookmarkStart w:id="58" w:name="_Toc30693"/>
                  <w:bookmarkStart w:id="59" w:name="_Toc3189"/>
                  <w:r>
                    <w:rPr>
                      <w:rFonts w:hint="default" w:ascii="Times New Roman" w:hAnsi="Times New Roman" w:eastAsia="宋体" w:cs="Times New Roman"/>
                      <w:b w:val="0"/>
                      <w:bCs/>
                      <w:color w:val="auto"/>
                      <w:kern w:val="2"/>
                      <w:sz w:val="21"/>
                      <w:szCs w:val="21"/>
                      <w:highlight w:val="none"/>
                      <w:u w:val="none"/>
                      <w:lang w:val="en-US" w:eastAsia="zh-CN" w:bidi="ar-SA"/>
                    </w:rPr>
                    <w:t>2、本项目不属于三类工业</w:t>
                  </w:r>
                  <w:bookmarkEnd w:id="58"/>
                  <w:bookmarkEnd w:id="59"/>
                  <w:r>
                    <w:rPr>
                      <w:rFonts w:hint="eastAsia" w:cs="Times New Roman"/>
                      <w:b w:val="0"/>
                      <w:bCs/>
                      <w:color w:val="auto"/>
                      <w:kern w:val="2"/>
                      <w:sz w:val="21"/>
                      <w:szCs w:val="21"/>
                      <w:highlight w:val="none"/>
                      <w:u w:val="none"/>
                      <w:lang w:val="en-US" w:eastAsia="zh-CN" w:bidi="ar-SA"/>
                    </w:rPr>
                    <w:t>、</w:t>
                  </w:r>
                  <w:r>
                    <w:rPr>
                      <w:rFonts w:hint="default" w:ascii="Times New Roman" w:hAnsi="Times New Roman" w:eastAsia="宋体" w:cs="Times New Roman"/>
                      <w:b w:val="0"/>
                      <w:bCs/>
                      <w:color w:val="auto"/>
                      <w:kern w:val="2"/>
                      <w:sz w:val="21"/>
                      <w:szCs w:val="21"/>
                      <w:highlight w:val="none"/>
                      <w:u w:val="none"/>
                      <w:lang w:val="en-US" w:eastAsia="zh-CN" w:bidi="ar-SA"/>
                    </w:rPr>
                    <w:t>气型污染严重企业、涉重金属企业</w:t>
                  </w:r>
                  <w:r>
                    <w:rPr>
                      <w:rFonts w:hint="eastAsia" w:cs="Times New Roman"/>
                      <w:b w:val="0"/>
                      <w:bCs/>
                      <w:color w:val="auto"/>
                      <w:kern w:val="2"/>
                      <w:sz w:val="21"/>
                      <w:szCs w:val="21"/>
                      <w:highlight w:val="none"/>
                      <w:u w:val="none"/>
                      <w:lang w:val="en-US" w:eastAsia="zh-CN" w:bidi="ar-SA"/>
                    </w:rPr>
                    <w:t>。</w:t>
                  </w:r>
                </w:p>
              </w:tc>
              <w:tc>
                <w:tcPr>
                  <w:tcW w:w="849"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60" w:name="_Toc3385"/>
                  <w:bookmarkStart w:id="61" w:name="_Toc3350"/>
                  <w:bookmarkStart w:id="62" w:name="_Toc14548"/>
                  <w:bookmarkStart w:id="63" w:name="_Toc23806"/>
                  <w:r>
                    <w:rPr>
                      <w:rFonts w:hint="default" w:ascii="Times New Roman" w:hAnsi="Times New Roman" w:eastAsia="宋体" w:cs="Times New Roman"/>
                      <w:b w:val="0"/>
                      <w:bCs/>
                      <w:color w:val="auto"/>
                      <w:kern w:val="2"/>
                      <w:sz w:val="21"/>
                      <w:szCs w:val="21"/>
                      <w:highlight w:val="none"/>
                      <w:u w:val="none"/>
                      <w:lang w:val="en-US" w:eastAsia="zh-CN" w:bidi="ar-SA"/>
                    </w:rPr>
                    <w:t>符合</w:t>
                  </w:r>
                  <w:bookmarkEnd w:id="60"/>
                  <w:bookmarkEnd w:id="61"/>
                  <w:bookmarkEnd w:id="62"/>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64" w:name="_Toc2344"/>
                  <w:bookmarkStart w:id="65" w:name="_Toc25687"/>
                  <w:bookmarkStart w:id="66" w:name="_Toc14882"/>
                  <w:bookmarkStart w:id="67" w:name="_Toc17077"/>
                  <w:r>
                    <w:rPr>
                      <w:rFonts w:hint="default" w:ascii="Times New Roman" w:hAnsi="Times New Roman" w:eastAsia="宋体" w:cs="Times New Roman"/>
                      <w:b w:val="0"/>
                      <w:bCs/>
                      <w:color w:val="auto"/>
                      <w:kern w:val="2"/>
                      <w:sz w:val="21"/>
                      <w:szCs w:val="21"/>
                      <w:highlight w:val="none"/>
                      <w:u w:val="none"/>
                      <w:lang w:val="en-US" w:eastAsia="zh-CN" w:bidi="ar-SA"/>
                    </w:rPr>
                    <w:t>污染物排放管控</w:t>
                  </w:r>
                  <w:bookmarkEnd w:id="64"/>
                  <w:bookmarkEnd w:id="65"/>
                  <w:bookmarkEnd w:id="66"/>
                  <w:bookmarkEnd w:id="67"/>
                </w:p>
              </w:tc>
              <w:tc>
                <w:tcPr>
                  <w:tcW w:w="2823"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68" w:name="_Toc5056"/>
                  <w:bookmarkStart w:id="69" w:name="_Toc8249"/>
                  <w:bookmarkStart w:id="70" w:name="_Toc28056"/>
                  <w:bookmarkStart w:id="71" w:name="_Toc2503"/>
                  <w:r>
                    <w:rPr>
                      <w:rFonts w:hint="default" w:ascii="Times New Roman" w:hAnsi="Times New Roman" w:eastAsia="宋体" w:cs="Times New Roman"/>
                      <w:b w:val="0"/>
                      <w:bCs/>
                      <w:color w:val="auto"/>
                      <w:kern w:val="2"/>
                      <w:sz w:val="21"/>
                      <w:szCs w:val="21"/>
                      <w:highlight w:val="none"/>
                      <w:u w:val="none"/>
                      <w:lang w:val="en-US" w:eastAsia="zh-CN" w:bidi="ar-SA"/>
                    </w:rPr>
                    <w:t>（2.1）废水：加快园区污水管网建设，雨污分流，污水经收集后排入西渡高新技术产业园区工业污水处理厂，处理达标后外排至蒸水。</w:t>
                  </w:r>
                  <w:bookmarkEnd w:id="68"/>
                  <w:bookmarkEnd w:id="69"/>
                  <w:bookmarkEnd w:id="70"/>
                  <w:bookmarkEnd w:id="71"/>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72" w:name="_Toc29207"/>
                  <w:bookmarkStart w:id="73" w:name="_Toc5496"/>
                  <w:bookmarkStart w:id="74" w:name="_Toc25694"/>
                  <w:bookmarkStart w:id="75" w:name="_Toc23739"/>
                  <w:r>
                    <w:rPr>
                      <w:rFonts w:hint="default" w:ascii="Times New Roman" w:hAnsi="Times New Roman" w:eastAsia="宋体" w:cs="Times New Roman"/>
                      <w:b w:val="0"/>
                      <w:bCs/>
                      <w:color w:val="auto"/>
                      <w:kern w:val="2"/>
                      <w:sz w:val="21"/>
                      <w:szCs w:val="21"/>
                      <w:highlight w:val="none"/>
                      <w:u w:val="none"/>
                      <w:lang w:val="en-US" w:eastAsia="zh-CN" w:bidi="ar-SA"/>
                    </w:rPr>
                    <w:t>（2.2）废气：对各企业工艺废气产出的生产节点，应配置废气收集与净化处理装置，确保达标排放；采取有效措施，减少入园企业工艺废气的无组织排放。实行区域内VOCs排放等量或倍量削减替代。交通运输设备制造、工程机械制造和家具制造行业全面实施油性漆改水性漆，减少VOCs产生量。强化末端治理，加快推进工业涂装、包装印刷等行业企业VOCs治理，确保达标排放。</w:t>
                  </w:r>
                  <w:bookmarkEnd w:id="72"/>
                  <w:bookmarkEnd w:id="73"/>
                  <w:bookmarkEnd w:id="74"/>
                  <w:bookmarkEnd w:id="75"/>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76" w:name="_Toc17763"/>
                  <w:bookmarkStart w:id="77" w:name="_Toc22373"/>
                  <w:bookmarkStart w:id="78" w:name="_Toc25675"/>
                  <w:bookmarkStart w:id="79" w:name="_Toc16606"/>
                  <w:r>
                    <w:rPr>
                      <w:rFonts w:hint="default" w:ascii="Times New Roman" w:hAnsi="Times New Roman" w:eastAsia="宋体" w:cs="Times New Roman"/>
                      <w:b w:val="0"/>
                      <w:bCs/>
                      <w:color w:val="auto"/>
                      <w:kern w:val="2"/>
                      <w:sz w:val="21"/>
                      <w:szCs w:val="21"/>
                      <w:highlight w:val="none"/>
                      <w:u w:val="none"/>
                      <w:lang w:val="en-US" w:eastAsia="zh-CN" w:bidi="ar-SA"/>
                    </w:rPr>
                    <w:t>（2.3）固废：做好工业固体废物和生活垃圾的分类收集、转运、综合利用和无害化处置，建立统一的固废收集、贮存、运输、综合利用和安全处置的运营管理体系；推进清洁生产，减少固体废物产生量；加强固体废物的资源化进程，提高综合利用率；规范固体废物处置措施，严防二次污染。</w:t>
                  </w:r>
                  <w:bookmarkEnd w:id="76"/>
                  <w:bookmarkEnd w:id="77"/>
                  <w:bookmarkEnd w:id="78"/>
                  <w:bookmarkEnd w:id="79"/>
                </w:p>
              </w:tc>
              <w:tc>
                <w:tcPr>
                  <w:tcW w:w="2771" w:type="dxa"/>
                  <w:vAlign w:val="center"/>
                </w:tcPr>
                <w:p>
                  <w:pPr>
                    <w:pStyle w:val="3"/>
                    <w:spacing w:line="240" w:lineRule="auto"/>
                    <w:jc w:val="left"/>
                    <w:rPr>
                      <w:rFonts w:hint="default" w:ascii="Times New Roman" w:hAnsi="Times New Roman" w:eastAsia="宋体" w:cs="Times New Roman"/>
                      <w:b w:val="0"/>
                      <w:bCs/>
                      <w:color w:val="auto"/>
                      <w:kern w:val="2"/>
                      <w:sz w:val="21"/>
                      <w:szCs w:val="21"/>
                      <w:highlight w:val="none"/>
                      <w:u w:val="none"/>
                      <w:lang w:val="en-US" w:eastAsia="zh-CN" w:bidi="ar-SA"/>
                    </w:rPr>
                  </w:pPr>
                  <w:bookmarkStart w:id="80" w:name="_Toc19397"/>
                  <w:bookmarkStart w:id="81" w:name="_Toc6353"/>
                  <w:bookmarkStart w:id="82" w:name="_Toc6110"/>
                  <w:bookmarkStart w:id="83" w:name="_Toc3892"/>
                  <w:r>
                    <w:rPr>
                      <w:rFonts w:hint="default" w:ascii="Times New Roman" w:hAnsi="Times New Roman" w:eastAsia="宋体" w:cs="Times New Roman"/>
                      <w:b w:val="0"/>
                      <w:bCs/>
                      <w:color w:val="auto"/>
                      <w:kern w:val="2"/>
                      <w:sz w:val="21"/>
                      <w:szCs w:val="21"/>
                      <w:highlight w:val="none"/>
                      <w:u w:val="none"/>
                      <w:lang w:val="en-US" w:eastAsia="zh-CN" w:bidi="ar-SA"/>
                    </w:rPr>
                    <w:t>1、本项目</w:t>
                  </w:r>
                  <w:bookmarkEnd w:id="80"/>
                  <w:r>
                    <w:rPr>
                      <w:rFonts w:hint="default" w:ascii="Times New Roman" w:hAnsi="Times New Roman" w:eastAsia="宋体" w:cs="Times New Roman"/>
                      <w:b w:val="0"/>
                      <w:bCs/>
                      <w:color w:val="auto"/>
                      <w:kern w:val="2"/>
                      <w:sz w:val="21"/>
                      <w:szCs w:val="21"/>
                      <w:highlight w:val="none"/>
                      <w:u w:val="none"/>
                      <w:lang w:val="en-US" w:eastAsia="zh-CN" w:bidi="ar-SA"/>
                    </w:rPr>
                    <w:t>生活污水经化粪池预处理达标后排入园区生活污水管网，至衡阳西渡高新技术产业园污水处理厂进一步处理，处理达标后排放。</w:t>
                  </w:r>
                  <w:bookmarkEnd w:id="81"/>
                  <w:bookmarkEnd w:id="82"/>
                  <w:bookmarkEnd w:id="83"/>
                </w:p>
                <w:p>
                  <w:pPr>
                    <w:pStyle w:val="3"/>
                    <w:spacing w:line="240" w:lineRule="auto"/>
                    <w:jc w:val="left"/>
                    <w:rPr>
                      <w:rFonts w:hint="default" w:ascii="Times New Roman" w:hAnsi="Times New Roman" w:eastAsia="宋体" w:cs="Times New Roman"/>
                      <w:b w:val="0"/>
                      <w:bCs/>
                      <w:color w:val="auto"/>
                      <w:kern w:val="2"/>
                      <w:sz w:val="21"/>
                      <w:szCs w:val="21"/>
                      <w:highlight w:val="none"/>
                      <w:u w:val="none"/>
                      <w:lang w:val="en-US" w:eastAsia="zh-CN" w:bidi="ar-SA"/>
                    </w:rPr>
                  </w:pPr>
                  <w:bookmarkStart w:id="84" w:name="_Toc11715"/>
                  <w:bookmarkStart w:id="85" w:name="_Toc24886"/>
                  <w:bookmarkStart w:id="86" w:name="_Toc16882"/>
                  <w:bookmarkStart w:id="87" w:name="_Toc16668"/>
                  <w:r>
                    <w:rPr>
                      <w:rFonts w:hint="default" w:ascii="Times New Roman" w:hAnsi="Times New Roman" w:eastAsia="宋体" w:cs="Times New Roman"/>
                      <w:b w:val="0"/>
                      <w:bCs/>
                      <w:color w:val="auto"/>
                      <w:kern w:val="2"/>
                      <w:sz w:val="21"/>
                      <w:szCs w:val="21"/>
                      <w:highlight w:val="none"/>
                      <w:u w:val="none"/>
                      <w:lang w:val="en-US" w:eastAsia="zh-CN" w:bidi="ar-SA"/>
                    </w:rPr>
                    <w:t>2、本项目为废钢渣破碎回收利用项目，主要用能为电能，位于西渡高新技术产业园区内，项目生产废气通过水雾喷淋处理后能够达标排放。</w:t>
                  </w:r>
                  <w:bookmarkEnd w:id="84"/>
                  <w:bookmarkEnd w:id="85"/>
                  <w:bookmarkEnd w:id="86"/>
                  <w:bookmarkEnd w:id="87"/>
                </w:p>
                <w:p>
                  <w:pPr>
                    <w:pStyle w:val="3"/>
                    <w:spacing w:line="240" w:lineRule="auto"/>
                    <w:jc w:val="left"/>
                    <w:rPr>
                      <w:rFonts w:hint="default" w:ascii="Times New Roman" w:hAnsi="Times New Roman" w:eastAsia="宋体" w:cs="Times New Roman"/>
                      <w:b w:val="0"/>
                      <w:bCs/>
                      <w:color w:val="auto"/>
                      <w:kern w:val="2"/>
                      <w:sz w:val="21"/>
                      <w:szCs w:val="21"/>
                      <w:highlight w:val="none"/>
                      <w:u w:val="none"/>
                      <w:lang w:val="en-US" w:eastAsia="zh-CN" w:bidi="ar-SA"/>
                    </w:rPr>
                  </w:pPr>
                  <w:bookmarkStart w:id="88" w:name="_Toc11752"/>
                  <w:bookmarkStart w:id="89" w:name="_Toc6314"/>
                  <w:bookmarkStart w:id="90" w:name="_Toc9761"/>
                  <w:bookmarkStart w:id="91" w:name="_Toc23275"/>
                  <w:r>
                    <w:rPr>
                      <w:rFonts w:hint="default" w:ascii="Times New Roman" w:hAnsi="Times New Roman" w:eastAsia="宋体" w:cs="Times New Roman"/>
                      <w:b w:val="0"/>
                      <w:bCs/>
                      <w:color w:val="auto"/>
                      <w:kern w:val="2"/>
                      <w:sz w:val="21"/>
                      <w:szCs w:val="21"/>
                      <w:highlight w:val="none"/>
                      <w:u w:val="none"/>
                      <w:lang w:val="en-US" w:eastAsia="zh-CN" w:bidi="ar-SA"/>
                    </w:rPr>
                    <w:t>3、本项目固废均可得到妥善处置。</w:t>
                  </w:r>
                  <w:bookmarkEnd w:id="88"/>
                  <w:bookmarkEnd w:id="89"/>
                  <w:bookmarkEnd w:id="90"/>
                  <w:bookmarkEnd w:id="91"/>
                </w:p>
              </w:tc>
              <w:tc>
                <w:tcPr>
                  <w:tcW w:w="849"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92" w:name="_Toc20647"/>
                  <w:bookmarkStart w:id="93" w:name="_Toc4248"/>
                  <w:bookmarkStart w:id="94" w:name="_Toc3929"/>
                  <w:bookmarkStart w:id="95" w:name="_Toc611"/>
                  <w:r>
                    <w:rPr>
                      <w:rFonts w:hint="default" w:ascii="Times New Roman" w:hAnsi="Times New Roman" w:eastAsia="宋体" w:cs="Times New Roman"/>
                      <w:b w:val="0"/>
                      <w:bCs/>
                      <w:color w:val="auto"/>
                      <w:kern w:val="2"/>
                      <w:sz w:val="21"/>
                      <w:szCs w:val="21"/>
                      <w:highlight w:val="none"/>
                      <w:u w:val="none"/>
                      <w:lang w:val="en-US" w:eastAsia="zh-CN" w:bidi="ar-SA"/>
                    </w:rPr>
                    <w:t>符合</w:t>
                  </w:r>
                  <w:bookmarkEnd w:id="92"/>
                  <w:bookmarkEnd w:id="93"/>
                  <w:bookmarkEnd w:id="94"/>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96" w:name="_Toc3509"/>
                  <w:bookmarkStart w:id="97" w:name="_Toc26203"/>
                  <w:bookmarkStart w:id="98" w:name="_Toc2749"/>
                  <w:bookmarkStart w:id="99" w:name="_Toc6899"/>
                  <w:r>
                    <w:rPr>
                      <w:rFonts w:hint="default" w:ascii="Times New Roman" w:hAnsi="Times New Roman" w:eastAsia="宋体" w:cs="Times New Roman"/>
                      <w:b w:val="0"/>
                      <w:bCs/>
                      <w:color w:val="auto"/>
                      <w:kern w:val="2"/>
                      <w:sz w:val="21"/>
                      <w:szCs w:val="21"/>
                      <w:highlight w:val="none"/>
                      <w:u w:val="none"/>
                      <w:lang w:val="en-US" w:eastAsia="zh-CN" w:bidi="ar-SA"/>
                    </w:rPr>
                    <w:t>环境风险防控</w:t>
                  </w:r>
                  <w:bookmarkEnd w:id="96"/>
                  <w:bookmarkEnd w:id="97"/>
                  <w:bookmarkEnd w:id="98"/>
                  <w:bookmarkEnd w:id="99"/>
                </w:p>
              </w:tc>
              <w:tc>
                <w:tcPr>
                  <w:tcW w:w="2823"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00" w:name="_Toc33"/>
                  <w:bookmarkStart w:id="101" w:name="_Toc12952"/>
                  <w:bookmarkStart w:id="102" w:name="_Toc13764"/>
                  <w:bookmarkStart w:id="103" w:name="_Toc6823"/>
                  <w:r>
                    <w:rPr>
                      <w:rFonts w:hint="default" w:ascii="Times New Roman" w:hAnsi="Times New Roman" w:eastAsia="宋体" w:cs="Times New Roman"/>
                      <w:b w:val="0"/>
                      <w:bCs/>
                      <w:color w:val="auto"/>
                      <w:kern w:val="2"/>
                      <w:sz w:val="21"/>
                      <w:szCs w:val="21"/>
                      <w:highlight w:val="none"/>
                      <w:u w:val="none"/>
                      <w:lang w:val="en-US" w:eastAsia="zh-CN" w:bidi="ar-SA"/>
                    </w:rPr>
                    <w:t>（3.1）园区应建立健全环境风险防控体系，严格落实《湖南衡阳西渡经济开发区突发环境事件应急预案》中提出的各项环境风险事故防范措施，严防环境风险事故发生，提高应急处置能力。</w:t>
                  </w:r>
                  <w:bookmarkEnd w:id="100"/>
                  <w:bookmarkEnd w:id="101"/>
                  <w:bookmarkEnd w:id="102"/>
                  <w:bookmarkEnd w:id="103"/>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04" w:name="_Toc809"/>
                  <w:bookmarkStart w:id="105" w:name="_Toc23857"/>
                  <w:bookmarkStart w:id="106" w:name="_Toc30281"/>
                  <w:bookmarkStart w:id="107" w:name="_Toc20089"/>
                  <w:r>
                    <w:rPr>
                      <w:rFonts w:hint="default" w:ascii="Times New Roman" w:hAnsi="Times New Roman" w:eastAsia="宋体" w:cs="Times New Roman"/>
                      <w:b w:val="0"/>
                      <w:bCs/>
                      <w:color w:val="auto"/>
                      <w:kern w:val="2"/>
                      <w:sz w:val="21"/>
                      <w:szCs w:val="21"/>
                      <w:highlight w:val="none"/>
                      <w:u w:val="none"/>
                      <w:lang w:val="en-US" w:eastAsia="zh-CN" w:bidi="ar-SA"/>
                    </w:rPr>
                    <w:t>（3.2）园区可能发生突发环境事件的污染物排放企业，生产、储存、运输、使用危险化学品的企业，</w:t>
                  </w:r>
                  <w:r>
                    <w:rPr>
                      <w:rFonts w:hint="eastAsia" w:ascii="Times New Roman" w:hAnsi="Times New Roman" w:eastAsia="宋体" w:cs="Times New Roman"/>
                      <w:b w:val="0"/>
                      <w:bCs/>
                      <w:color w:val="auto"/>
                      <w:kern w:val="2"/>
                      <w:sz w:val="21"/>
                      <w:szCs w:val="21"/>
                      <w:highlight w:val="none"/>
                      <w:u w:val="none"/>
                      <w:lang w:val="en-US" w:eastAsia="zh-CN" w:bidi="ar-SA"/>
                    </w:rPr>
                    <w:t>生产</w:t>
                  </w:r>
                  <w:r>
                    <w:rPr>
                      <w:rFonts w:hint="default" w:ascii="Times New Roman" w:hAnsi="Times New Roman" w:eastAsia="宋体" w:cs="Times New Roman"/>
                      <w:b w:val="0"/>
                      <w:bCs/>
                      <w:color w:val="auto"/>
                      <w:kern w:val="2"/>
                      <w:sz w:val="21"/>
                      <w:szCs w:val="21"/>
                      <w:highlight w:val="none"/>
                      <w:u w:val="none"/>
                      <w:lang w:val="en-US" w:eastAsia="zh-CN" w:bidi="ar-SA"/>
                    </w:rPr>
                    <w:t>、收集、贮存、运输、利用、处置危险废物的企业等应当编制和实施环境应急预案；鼓励其他企业制定单独的环境应急预案，或在突发事件应急预案中制定环境应急预案专章，并备案。</w:t>
                  </w:r>
                  <w:bookmarkEnd w:id="104"/>
                  <w:bookmarkEnd w:id="105"/>
                  <w:bookmarkEnd w:id="106"/>
                  <w:bookmarkEnd w:id="107"/>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08" w:name="_Toc1647"/>
                  <w:bookmarkStart w:id="109" w:name="_Toc30800"/>
                  <w:bookmarkStart w:id="110" w:name="_Toc25703"/>
                  <w:bookmarkStart w:id="111" w:name="_Toc23531"/>
                  <w:r>
                    <w:rPr>
                      <w:rFonts w:hint="default" w:ascii="Times New Roman" w:hAnsi="Times New Roman" w:eastAsia="宋体" w:cs="Times New Roman"/>
                      <w:b w:val="0"/>
                      <w:bCs/>
                      <w:color w:val="auto"/>
                      <w:kern w:val="2"/>
                      <w:sz w:val="21"/>
                      <w:szCs w:val="21"/>
                      <w:highlight w:val="none"/>
                      <w:u w:val="none"/>
                      <w:lang w:val="en-US" w:eastAsia="zh-CN" w:bidi="ar-SA"/>
                    </w:rPr>
                    <w:t>（3.3）建设用地土壤风险防控：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w:t>
                  </w:r>
                  <w:bookmarkEnd w:id="108"/>
                  <w:bookmarkEnd w:id="109"/>
                  <w:bookmarkEnd w:id="110"/>
                  <w:bookmarkEnd w:id="111"/>
                </w:p>
              </w:tc>
              <w:tc>
                <w:tcPr>
                  <w:tcW w:w="2771"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12" w:name="_Toc1808"/>
                  <w:bookmarkStart w:id="113" w:name="_Toc20032"/>
                  <w:bookmarkStart w:id="114" w:name="_Toc18347"/>
                  <w:bookmarkStart w:id="115" w:name="_Toc1506"/>
                  <w:r>
                    <w:rPr>
                      <w:rFonts w:hint="default" w:ascii="Times New Roman" w:hAnsi="Times New Roman" w:eastAsia="宋体" w:cs="Times New Roman"/>
                      <w:b w:val="0"/>
                      <w:bCs/>
                      <w:color w:val="auto"/>
                      <w:kern w:val="2"/>
                      <w:sz w:val="21"/>
                      <w:szCs w:val="21"/>
                      <w:highlight w:val="none"/>
                      <w:u w:val="none"/>
                      <w:lang w:val="en-US" w:eastAsia="zh-CN" w:bidi="ar-SA"/>
                    </w:rPr>
                    <w:t>1、本项目拟建立风险防范措施，严防环境风险事故发生。</w:t>
                  </w:r>
                  <w:bookmarkEnd w:id="112"/>
                  <w:bookmarkEnd w:id="113"/>
                  <w:bookmarkEnd w:id="114"/>
                  <w:bookmarkEnd w:id="115"/>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16" w:name="_Toc16224"/>
                  <w:bookmarkStart w:id="117" w:name="_Toc11630"/>
                  <w:bookmarkStart w:id="118" w:name="_Toc1342"/>
                  <w:bookmarkStart w:id="119" w:name="_Toc23715"/>
                  <w:r>
                    <w:rPr>
                      <w:rFonts w:hint="default" w:ascii="Times New Roman" w:hAnsi="Times New Roman" w:eastAsia="宋体" w:cs="Times New Roman"/>
                      <w:b w:val="0"/>
                      <w:bCs/>
                      <w:color w:val="auto"/>
                      <w:kern w:val="2"/>
                      <w:sz w:val="21"/>
                      <w:szCs w:val="21"/>
                      <w:highlight w:val="none"/>
                      <w:u w:val="none"/>
                      <w:lang w:val="en-US" w:eastAsia="zh-CN" w:bidi="ar-SA"/>
                    </w:rPr>
                    <w:t>2、本环评要求项目尽快编制突发环境事件应急预案，并备案。</w:t>
                  </w:r>
                  <w:bookmarkEnd w:id="116"/>
                  <w:bookmarkEnd w:id="117"/>
                  <w:bookmarkEnd w:id="118"/>
                  <w:bookmarkEnd w:id="119"/>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20" w:name="_Toc370"/>
                  <w:bookmarkStart w:id="121" w:name="_Toc6864"/>
                  <w:bookmarkStart w:id="122" w:name="_Toc16265"/>
                  <w:bookmarkStart w:id="123" w:name="_Toc9487"/>
                  <w:r>
                    <w:rPr>
                      <w:rFonts w:hint="default" w:ascii="Times New Roman" w:hAnsi="Times New Roman" w:eastAsia="宋体" w:cs="Times New Roman"/>
                      <w:b w:val="0"/>
                      <w:bCs/>
                      <w:color w:val="auto"/>
                      <w:kern w:val="2"/>
                      <w:sz w:val="21"/>
                      <w:szCs w:val="21"/>
                      <w:highlight w:val="none"/>
                      <w:u w:val="none"/>
                      <w:lang w:val="en-US" w:eastAsia="zh-CN" w:bidi="ar-SA"/>
                    </w:rPr>
                    <w:t>3、本项目租赁已建厂房，地块用途为工业用地，不属于污染地块。项目施工期在厂区范围内进行改造性施工建设，对区域土壤环境的影响较小，且营运期间不会对土壤造成影响。</w:t>
                  </w:r>
                  <w:bookmarkEnd w:id="120"/>
                  <w:bookmarkEnd w:id="121"/>
                  <w:bookmarkEnd w:id="122"/>
                  <w:bookmarkEnd w:id="123"/>
                </w:p>
              </w:tc>
              <w:tc>
                <w:tcPr>
                  <w:tcW w:w="849"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24" w:name="_Toc17536"/>
                  <w:bookmarkStart w:id="125" w:name="_Toc31921"/>
                  <w:bookmarkStart w:id="126" w:name="_Toc27888"/>
                  <w:bookmarkStart w:id="127" w:name="_Toc27036"/>
                  <w:r>
                    <w:rPr>
                      <w:rFonts w:hint="default" w:ascii="Times New Roman" w:hAnsi="Times New Roman" w:eastAsia="宋体" w:cs="Times New Roman"/>
                      <w:b w:val="0"/>
                      <w:bCs/>
                      <w:color w:val="auto"/>
                      <w:kern w:val="2"/>
                      <w:sz w:val="21"/>
                      <w:szCs w:val="21"/>
                      <w:highlight w:val="none"/>
                      <w:u w:val="none"/>
                      <w:lang w:val="en-US" w:eastAsia="zh-CN" w:bidi="ar-SA"/>
                    </w:rPr>
                    <w:t>符合</w:t>
                  </w:r>
                  <w:bookmarkEnd w:id="124"/>
                  <w:bookmarkEnd w:id="125"/>
                  <w:bookmarkEnd w:id="126"/>
                  <w:bookmarkEnd w:id="1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28" w:name="_Toc8574"/>
                  <w:bookmarkStart w:id="129" w:name="_Toc4097"/>
                  <w:bookmarkStart w:id="130" w:name="_Toc20818"/>
                  <w:bookmarkStart w:id="131" w:name="_Toc23893"/>
                  <w:r>
                    <w:rPr>
                      <w:rFonts w:hint="default" w:ascii="Times New Roman" w:hAnsi="Times New Roman" w:eastAsia="宋体" w:cs="Times New Roman"/>
                      <w:b w:val="0"/>
                      <w:bCs/>
                      <w:color w:val="auto"/>
                      <w:kern w:val="2"/>
                      <w:sz w:val="21"/>
                      <w:szCs w:val="21"/>
                      <w:highlight w:val="none"/>
                      <w:u w:val="none"/>
                      <w:lang w:val="en-US" w:eastAsia="zh-CN" w:bidi="ar-SA"/>
                    </w:rPr>
                    <w:t>资源开发效率要求</w:t>
                  </w:r>
                  <w:bookmarkEnd w:id="128"/>
                  <w:bookmarkEnd w:id="129"/>
                  <w:bookmarkEnd w:id="130"/>
                  <w:bookmarkEnd w:id="131"/>
                </w:p>
              </w:tc>
              <w:tc>
                <w:tcPr>
                  <w:tcW w:w="2823"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32" w:name="_Toc7864"/>
                  <w:bookmarkStart w:id="133" w:name="_Toc14842"/>
                  <w:bookmarkStart w:id="134" w:name="_Toc4876"/>
                  <w:bookmarkStart w:id="135" w:name="_Toc13365"/>
                  <w:r>
                    <w:rPr>
                      <w:rFonts w:hint="default" w:ascii="Times New Roman" w:hAnsi="Times New Roman" w:eastAsia="宋体" w:cs="Times New Roman"/>
                      <w:b w:val="0"/>
                      <w:bCs/>
                      <w:color w:val="auto"/>
                      <w:kern w:val="2"/>
                      <w:sz w:val="21"/>
                      <w:szCs w:val="21"/>
                      <w:highlight w:val="none"/>
                      <w:u w:val="none"/>
                      <w:lang w:val="en-US" w:eastAsia="zh-CN" w:bidi="ar-SA"/>
                    </w:rPr>
                    <w:t>（4.1）能源：园区属于高污染燃料禁燃区，其中西渡产业园执行《高污染燃料目录》</w:t>
                  </w:r>
                  <w:r>
                    <w:rPr>
                      <w:rFonts w:hint="eastAsia" w:ascii="Times New Roman" w:hAnsi="Times New Roman" w:eastAsia="宋体" w:cs="Times New Roman"/>
                      <w:b w:val="0"/>
                      <w:bCs/>
                      <w:color w:val="auto"/>
                      <w:kern w:val="2"/>
                      <w:sz w:val="21"/>
                      <w:szCs w:val="21"/>
                      <w:highlight w:val="none"/>
                      <w:u w:val="none"/>
                      <w:lang w:val="en-US" w:eastAsia="zh-CN" w:bidi="ar-SA"/>
                    </w:rPr>
                    <w:t>“</w:t>
                  </w:r>
                  <w:r>
                    <w:rPr>
                      <w:rFonts w:hint="default" w:ascii="Times New Roman" w:hAnsi="Times New Roman" w:eastAsia="宋体" w:cs="Times New Roman"/>
                      <w:b w:val="0"/>
                      <w:bCs/>
                      <w:color w:val="auto"/>
                      <w:kern w:val="2"/>
                      <w:sz w:val="21"/>
                      <w:szCs w:val="21"/>
                      <w:highlight w:val="none"/>
                      <w:u w:val="none"/>
                      <w:lang w:val="en-US" w:eastAsia="zh-CN" w:bidi="ar-SA"/>
                    </w:rPr>
                    <w:t>Ⅲ类（严格）</w:t>
                  </w:r>
                  <w:r>
                    <w:rPr>
                      <w:rFonts w:hint="eastAsia" w:ascii="Times New Roman" w:hAnsi="Times New Roman" w:eastAsia="宋体" w:cs="Times New Roman"/>
                      <w:b w:val="0"/>
                      <w:bCs/>
                      <w:color w:val="auto"/>
                      <w:kern w:val="2"/>
                      <w:sz w:val="21"/>
                      <w:szCs w:val="21"/>
                      <w:highlight w:val="none"/>
                      <w:u w:val="none"/>
                      <w:lang w:val="en-US" w:eastAsia="zh-CN" w:bidi="ar-SA"/>
                    </w:rPr>
                    <w:t>”</w:t>
                  </w:r>
                  <w:r>
                    <w:rPr>
                      <w:rFonts w:hint="default" w:ascii="Times New Roman" w:hAnsi="Times New Roman" w:eastAsia="宋体" w:cs="Times New Roman"/>
                      <w:b w:val="0"/>
                      <w:bCs/>
                      <w:color w:val="auto"/>
                      <w:kern w:val="2"/>
                      <w:sz w:val="21"/>
                      <w:szCs w:val="21"/>
                      <w:highlight w:val="none"/>
                      <w:u w:val="none"/>
                      <w:lang w:val="en-US" w:eastAsia="zh-CN" w:bidi="ar-SA"/>
                    </w:rPr>
                    <w:t>要求。园区应按</w:t>
                  </w:r>
                  <w:r>
                    <w:rPr>
                      <w:rFonts w:hint="eastAsia" w:ascii="Times New Roman" w:hAnsi="Times New Roman" w:eastAsia="宋体" w:cs="Times New Roman"/>
                      <w:b w:val="0"/>
                      <w:bCs/>
                      <w:color w:val="auto"/>
                      <w:kern w:val="2"/>
                      <w:sz w:val="21"/>
                      <w:szCs w:val="21"/>
                      <w:highlight w:val="none"/>
                      <w:u w:val="none"/>
                      <w:lang w:val="en-US" w:eastAsia="zh-CN" w:bidi="ar-SA"/>
                    </w:rPr>
                    <w:t>“</w:t>
                  </w:r>
                  <w:r>
                    <w:rPr>
                      <w:rFonts w:hint="default" w:ascii="Times New Roman" w:hAnsi="Times New Roman" w:eastAsia="宋体" w:cs="Times New Roman"/>
                      <w:b w:val="0"/>
                      <w:bCs/>
                      <w:color w:val="auto"/>
                      <w:kern w:val="2"/>
                      <w:sz w:val="21"/>
                      <w:szCs w:val="21"/>
                      <w:highlight w:val="none"/>
                      <w:u w:val="none"/>
                      <w:lang w:val="en-US" w:eastAsia="zh-CN" w:bidi="ar-SA"/>
                    </w:rPr>
                    <w:t>湖南省工程建设项目审批制度改革工作领导小组办公室关于印发《工程建设项目区域评估工作实施方案》的通知</w:t>
                  </w:r>
                  <w:r>
                    <w:rPr>
                      <w:rFonts w:hint="eastAsia" w:ascii="Times New Roman" w:hAnsi="Times New Roman" w:eastAsia="宋体" w:cs="Times New Roman"/>
                      <w:b w:val="0"/>
                      <w:bCs/>
                      <w:color w:val="auto"/>
                      <w:kern w:val="2"/>
                      <w:sz w:val="21"/>
                      <w:szCs w:val="21"/>
                      <w:highlight w:val="none"/>
                      <w:u w:val="none"/>
                      <w:lang w:val="en-US" w:eastAsia="zh-CN" w:bidi="ar-SA"/>
                    </w:rPr>
                    <w:t>”</w:t>
                  </w:r>
                  <w:r>
                    <w:rPr>
                      <w:rFonts w:hint="default" w:ascii="Times New Roman" w:hAnsi="Times New Roman" w:eastAsia="宋体" w:cs="Times New Roman"/>
                      <w:b w:val="0"/>
                      <w:bCs/>
                      <w:color w:val="auto"/>
                      <w:kern w:val="2"/>
                      <w:sz w:val="21"/>
                      <w:szCs w:val="21"/>
                      <w:highlight w:val="none"/>
                      <w:u w:val="none"/>
                      <w:lang w:val="en-US" w:eastAsia="zh-CN" w:bidi="ar-SA"/>
                    </w:rPr>
                    <w:t>，尽快开展节能评估工作。</w:t>
                  </w:r>
                  <w:bookmarkEnd w:id="132"/>
                  <w:bookmarkEnd w:id="133"/>
                  <w:bookmarkEnd w:id="134"/>
                  <w:bookmarkEnd w:id="135"/>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36" w:name="_Toc8922"/>
                  <w:bookmarkStart w:id="137" w:name="_Toc17335"/>
                  <w:bookmarkStart w:id="138" w:name="_Toc26342"/>
                  <w:bookmarkStart w:id="139" w:name="_Toc1856"/>
                  <w:r>
                    <w:rPr>
                      <w:rFonts w:hint="default" w:ascii="Times New Roman" w:hAnsi="Times New Roman" w:eastAsia="宋体" w:cs="Times New Roman"/>
                      <w:b w:val="0"/>
                      <w:bCs/>
                      <w:color w:val="auto"/>
                      <w:kern w:val="2"/>
                      <w:sz w:val="21"/>
                      <w:szCs w:val="21"/>
                      <w:highlight w:val="none"/>
                      <w:u w:val="none"/>
                      <w:lang w:val="en-US" w:eastAsia="zh-CN" w:bidi="ar-SA"/>
                    </w:rPr>
                    <w:t>（4.2）水资源：强化工业节水，淘汰落后的用水技术、工艺、产品和设备，开展高耗水工业行业节水技术改造，开展水平衡测试和用水效率评估，大力推广工业水循环利用，推进节水型企业、节水型工业园区建设。实施最严格水资源管理制度考核，突出用水总量和强度控制目标，到2020年，衡阳县万元工业增加值用水量比2015年下降32.7%，万元GDP用水量应比2015年下降30%。</w:t>
                  </w:r>
                  <w:bookmarkEnd w:id="136"/>
                  <w:bookmarkEnd w:id="137"/>
                  <w:bookmarkEnd w:id="138"/>
                  <w:bookmarkEnd w:id="139"/>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40" w:name="_Toc28606"/>
                  <w:bookmarkStart w:id="141" w:name="_Toc9970"/>
                  <w:bookmarkStart w:id="142" w:name="_Toc28384"/>
                  <w:bookmarkStart w:id="143" w:name="_Toc5786"/>
                  <w:r>
                    <w:rPr>
                      <w:rFonts w:hint="default" w:ascii="Times New Roman" w:hAnsi="Times New Roman" w:eastAsia="宋体" w:cs="Times New Roman"/>
                      <w:b w:val="0"/>
                      <w:bCs/>
                      <w:color w:val="auto"/>
                      <w:kern w:val="2"/>
                      <w:sz w:val="21"/>
                      <w:szCs w:val="21"/>
                      <w:highlight w:val="none"/>
                      <w:u w:val="none"/>
                      <w:lang w:val="en-US" w:eastAsia="zh-CN" w:bidi="ar-SA"/>
                    </w:rPr>
                    <w:t>（4.3）土地资源：提高土地使用效率和节约集约程度，园区土地投资强度达到3000万元/公顷。严格执行土地使用标准，工业项目投资强度执行《湖南省建设用地指标》（2020版）十二等区域控制指标要求。</w:t>
                  </w:r>
                  <w:bookmarkEnd w:id="140"/>
                  <w:bookmarkEnd w:id="141"/>
                  <w:bookmarkEnd w:id="142"/>
                  <w:bookmarkEnd w:id="143"/>
                </w:p>
              </w:tc>
              <w:tc>
                <w:tcPr>
                  <w:tcW w:w="2771"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44" w:name="_Toc21876"/>
                  <w:bookmarkStart w:id="145" w:name="_Toc6021"/>
                  <w:bookmarkStart w:id="146" w:name="_Toc6620"/>
                  <w:bookmarkStart w:id="147" w:name="_Toc32536"/>
                  <w:r>
                    <w:rPr>
                      <w:rFonts w:hint="default" w:ascii="Times New Roman" w:hAnsi="Times New Roman" w:eastAsia="宋体" w:cs="Times New Roman"/>
                      <w:b w:val="0"/>
                      <w:bCs/>
                      <w:color w:val="auto"/>
                      <w:kern w:val="2"/>
                      <w:sz w:val="21"/>
                      <w:szCs w:val="21"/>
                      <w:highlight w:val="none"/>
                      <w:u w:val="none"/>
                      <w:lang w:val="en-US" w:eastAsia="zh-CN" w:bidi="ar-SA"/>
                    </w:rPr>
                    <w:t>1、本项目生产使用电能，不使用高污染燃料。</w:t>
                  </w:r>
                  <w:bookmarkEnd w:id="144"/>
                  <w:bookmarkEnd w:id="145"/>
                  <w:bookmarkEnd w:id="146"/>
                  <w:bookmarkEnd w:id="147"/>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48" w:name="_Toc12500"/>
                  <w:bookmarkStart w:id="149" w:name="_Toc10163"/>
                  <w:bookmarkStart w:id="150" w:name="_Toc12796"/>
                  <w:bookmarkStart w:id="151" w:name="_Toc17878"/>
                  <w:r>
                    <w:rPr>
                      <w:rFonts w:hint="default" w:ascii="Times New Roman" w:hAnsi="Times New Roman" w:eastAsia="宋体" w:cs="Times New Roman"/>
                      <w:b w:val="0"/>
                      <w:bCs/>
                      <w:color w:val="auto"/>
                      <w:kern w:val="2"/>
                      <w:sz w:val="21"/>
                      <w:szCs w:val="21"/>
                      <w:highlight w:val="none"/>
                      <w:u w:val="none"/>
                      <w:lang w:val="en-US" w:eastAsia="zh-CN" w:bidi="ar-SA"/>
                    </w:rPr>
                    <w:t>2、本项目不属于高耗水工业行业。</w:t>
                  </w:r>
                  <w:bookmarkEnd w:id="148"/>
                  <w:bookmarkEnd w:id="149"/>
                  <w:bookmarkEnd w:id="150"/>
                  <w:bookmarkEnd w:id="151"/>
                </w:p>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52" w:name="_Toc21178"/>
                  <w:bookmarkStart w:id="153" w:name="_Toc6821"/>
                  <w:bookmarkStart w:id="154" w:name="_Toc21822"/>
                  <w:bookmarkStart w:id="155" w:name="_Toc11685"/>
                  <w:r>
                    <w:rPr>
                      <w:rFonts w:hint="default" w:ascii="Times New Roman" w:hAnsi="Times New Roman" w:eastAsia="宋体" w:cs="Times New Roman"/>
                      <w:b w:val="0"/>
                      <w:bCs/>
                      <w:color w:val="auto"/>
                      <w:kern w:val="2"/>
                      <w:sz w:val="21"/>
                      <w:szCs w:val="21"/>
                      <w:highlight w:val="none"/>
                      <w:u w:val="none"/>
                      <w:lang w:val="en-US" w:eastAsia="zh-CN" w:bidi="ar-SA"/>
                    </w:rPr>
                    <w:t>3、本项目用地为工业用地，符合土地使用标准。项目投资强度符合《湖南省建设用地指标》（2020版）十二等区域控制指标要求。</w:t>
                  </w:r>
                  <w:bookmarkEnd w:id="152"/>
                  <w:bookmarkEnd w:id="153"/>
                  <w:bookmarkEnd w:id="154"/>
                  <w:bookmarkEnd w:id="155"/>
                </w:p>
              </w:tc>
              <w:tc>
                <w:tcPr>
                  <w:tcW w:w="849" w:type="dxa"/>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56" w:name="_Toc21539"/>
                  <w:bookmarkStart w:id="157" w:name="_Toc32023"/>
                  <w:bookmarkStart w:id="158" w:name="_Toc18784"/>
                  <w:bookmarkStart w:id="159" w:name="_Toc13029"/>
                  <w:r>
                    <w:rPr>
                      <w:rFonts w:hint="default" w:ascii="Times New Roman" w:hAnsi="Times New Roman" w:eastAsia="宋体" w:cs="Times New Roman"/>
                      <w:b w:val="0"/>
                      <w:bCs/>
                      <w:color w:val="auto"/>
                      <w:kern w:val="2"/>
                      <w:sz w:val="21"/>
                      <w:szCs w:val="21"/>
                      <w:highlight w:val="none"/>
                      <w:u w:val="none"/>
                      <w:lang w:val="en-US" w:eastAsia="zh-CN" w:bidi="ar-SA"/>
                    </w:rPr>
                    <w:t>符合</w:t>
                  </w:r>
                  <w:bookmarkEnd w:id="156"/>
                  <w:bookmarkEnd w:id="157"/>
                  <w:bookmarkEnd w:id="158"/>
                  <w:bookmarkEnd w:id="159"/>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综上所述，本项目建设符合</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三线一单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的控制要求</w:t>
            </w:r>
          </w:p>
          <w:p>
            <w:pPr>
              <w:keepNext w:val="0"/>
              <w:keepLines w:val="0"/>
              <w:widowControl/>
              <w:numPr>
                <w:ilvl w:val="0"/>
                <w:numId w:val="1"/>
              </w:numPr>
              <w:suppressLineNumbers w:val="0"/>
              <w:spacing w:line="360" w:lineRule="auto"/>
              <w:ind w:left="0" w:leftChars="0" w:firstLine="0" w:firstLineChars="0"/>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产业政策符合性分析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对照《产业结构调整指导目录（2019年本）》（2021修订），本项目属于《产业结构调整指导目录（2019年本）（2021修订）》中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鼓励类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二、建材：11利用矿山尾矿、建筑废弃物、工业废弃物、江河湖（渠）海淤泥以及农林剩余物等二次资源生产建材及其工艺技术装备开发，因此项目建设符合国家和地方产业政策。本项目所选用机械设备未列入《部分工业行业淘汰落后生产工艺装备和产品指导目录（2010年本）》（工产业（2010）第122号）中，无淘汰、落后设备。</w:t>
            </w:r>
            <w:r>
              <w:rPr>
                <w:rFonts w:hint="default" w:ascii="Times New Roman" w:hAnsi="Times New Roman" w:eastAsia="宋体" w:cs="Times New Roman"/>
                <w:b/>
                <w:bCs/>
                <w:color w:val="auto"/>
                <w:kern w:val="0"/>
                <w:sz w:val="24"/>
                <w:szCs w:val="24"/>
                <w:highlight w:val="none"/>
                <w:lang w:val="en-US" w:eastAsia="zh-CN" w:bidi="ar"/>
              </w:rPr>
              <w:t>3、选址合理性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①用地合理性本项目租赁衡阳富华钢化玻璃有限公司闲置厂房进行生产，项目用地属工业用地。项目环保手续齐全，用地合理。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环境影响角度由工程分析以及各环境要素的影响评价结果可知，项目实施后各类污染物在采取防治措施后可以达标排放，各项污染防治措施技术可行，经济合理，在严格落实各项环保措施后，各污染因子对周围环境影响不大，从环境影响角度看，项目选址是合理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③环境敏感性和环境容量本项目位于衡阳县樟树乡，所在区域不属于环境敏感区。现状监测结果表明，项目所在地具有一定的环境容量。综上所述，本项目选址合理。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④项目所在地区域污染源调查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租借衡阳富华钢化玻璃有限公司现有厂房，北侧与东侧为衡阳富华钢化玻璃有限公司现有厂房，经调查，目前衡阳富华钢化玻璃有限公司因为由于经营不善，目前不进行生产，厂房作为仓库进行出租，不进行生产，因此无废气、废水排放。南侧与西侧土地为荒地，无工业企业存在，无污染。</w:t>
            </w:r>
          </w:p>
          <w:p>
            <w:pPr>
              <w:keepNext w:val="0"/>
              <w:keepLines w:val="0"/>
              <w:widowControl/>
              <w:suppressLineNumbers w:val="0"/>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lang w:val="en-US" w:eastAsia="zh-CN" w:bidi="ar"/>
              </w:rPr>
              <w:t>4、其他符合性分析：</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4.1.项目建设与《湖南省</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十四五</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生态环境保护规划》的符合性分析</w:t>
            </w:r>
          </w:p>
          <w:p>
            <w:pPr>
              <w:pStyle w:val="31"/>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表1-8建设项目与《湖南省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生态环境保护规划》要求对照一览表</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01"/>
              <w:gridCol w:w="3156"/>
              <w:gridCol w:w="191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pct"/>
                  <w:gridSpan w:val="3"/>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规划要求</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本项目情况</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pct"/>
                  <w:gridSpan w:val="2"/>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三、致力绿色低碳循环发展</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（一）优化国土空间保护格局。</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（二）推动形成绿色生产方式。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（三）倡导绿色低碳生活方式。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（四）积极应对气候变化。</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（五）严格生态环境准入</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本项目严格落实湖南省</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三线一单</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生态环境总体管控要求，将生态保护红线、环境质量底线、资源利用上线和生态环境准入清单作为硬约束落实到环境管控单元；本项目不涉及二氧化硫、氮氧化物等含碳污染物排放</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四、深入打好污染防治攻坚战</w:t>
                  </w: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专栏1 </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碧水</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洞庭湖总磷控制与削减行动。实施洞庭湖总磷控制与削减行动，加强工业、农业、生活污染治理，持续降低环湖区域及入湖流域总磷污染物排放总量。加强河湖连通，保障湖区生态水量，提升水环境容量。进一步加大湿地保护、湖滨河滨生态缓冲带建设等工作力度，切实提升环境自净能力。</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长江干支流治污治岸治渔。（1）长江经济带生态环境突出问题整改。（2）长江经济带城镇污水垃圾处理、化工污染治理、农业面源污染治理、船舶污染治理和尾矿库污染治理</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4＋1</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工程。（3）沿江黑臭水体治理、采煤沉陷区综合治理、重点流域系统治理工程。长江干流及主要支流入河排污口排查整治，实施入河排污口规范化工程。（4）长江干支流岸线整治，实施非法码头整治和岸线生态恢复；化工园区和化工企业整治工程。（5）落实长江</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十年禁渔</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要求，生物多样性保护与修复工程。（6）重点小流域治理与水生态修复，矿山生态恢复工程。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重点领域治污工程。（1）工业水污染深度治理，省级及以上园区环境综合整治。（2）污水管网新建及改造项目。（3）县市区黑臭水体治理。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集中式饮用水源及良好水体保护工程。（1）千吨万人、千人以上集中式饮用水水源地规范化建设及整治工程。（2）东江湖、水府庙等水质良好湖库保护工程。（3）美丽河湖创建工程。</w:t>
                  </w:r>
                </w:p>
              </w:tc>
              <w:tc>
                <w:tcPr>
                  <w:tcW w:w="1319" w:type="pct"/>
                  <w:noWrap w:val="0"/>
                  <w:vAlign w:val="center"/>
                </w:tcPr>
                <w:p>
                  <w:pPr>
                    <w:pStyle w:val="3"/>
                    <w:spacing w:line="240" w:lineRule="auto"/>
                    <w:jc w:val="center"/>
                    <w:rPr>
                      <w:rFonts w:hint="default" w:ascii="Times New Roman" w:hAnsi="Times New Roman" w:eastAsia="宋体" w:cs="Times New Roman"/>
                      <w:b w:val="0"/>
                      <w:bCs/>
                      <w:color w:val="auto"/>
                      <w:kern w:val="2"/>
                      <w:sz w:val="21"/>
                      <w:szCs w:val="21"/>
                      <w:highlight w:val="none"/>
                      <w:u w:val="none"/>
                      <w:lang w:val="en-US" w:eastAsia="zh-CN" w:bidi="ar-SA"/>
                    </w:rPr>
                  </w:pPr>
                  <w:bookmarkStart w:id="160" w:name="_Toc20744"/>
                  <w:bookmarkStart w:id="161" w:name="_Toc4877"/>
                  <w:r>
                    <w:rPr>
                      <w:rFonts w:hint="default" w:ascii="Times New Roman" w:hAnsi="Times New Roman" w:eastAsia="宋体" w:cs="Times New Roman"/>
                      <w:b w:val="0"/>
                      <w:bCs/>
                      <w:color w:val="auto"/>
                      <w:kern w:val="2"/>
                      <w:sz w:val="21"/>
                      <w:szCs w:val="21"/>
                      <w:highlight w:val="none"/>
                      <w:u w:val="none"/>
                      <w:lang w:val="en-US" w:eastAsia="zh-CN" w:bidi="ar-SA"/>
                    </w:rPr>
                    <w:t>本项目位于衡阳县樟树乡樟树村，无生产废水外排，</w:t>
                  </w:r>
                  <w:r>
                    <w:rPr>
                      <w:rFonts w:hint="default" w:ascii="Times New Roman" w:hAnsi="Times New Roman" w:eastAsia="宋体" w:cs="Times New Roman"/>
                      <w:b w:val="0"/>
                      <w:bCs/>
                      <w:color w:val="auto"/>
                      <w:kern w:val="2"/>
                      <w:sz w:val="21"/>
                      <w:szCs w:val="21"/>
                      <w:highlight w:val="none"/>
                      <w:u w:val="none"/>
                      <w:lang w:val="en-US" w:eastAsia="zh-CN" w:bidi="ar-SA"/>
                    </w:rPr>
                    <w:t>本项目生活污水经化粪池预处理达标后排入园区生活污水管网，至衡阳西渡高新技术产业园污水处理厂进一步处理，处理达标后排放。</w:t>
                  </w:r>
                  <w:bookmarkEnd w:id="160"/>
                  <w:bookmarkEnd w:id="161"/>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专栏2 </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蓝天</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长株潭及其大气传输通道城市大气联防共治工程。在长株潭及其大气传输通道城市实施燃煤锅炉淘汰退出，实施重点行业绿色转型升级与综合整治、清洁能源替代、集中供热、煤炭清洁利用等，开展城市建筑施工扬尘控制、道路保洁、空气质量预警预报等工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全省PM 2.5及臭氧污染协同治理工程。开展工业VOCs综合治理，工业NOx深度治理，柴油机排放控制工程。面源污染系统治理工程（扬尘污染治理、秸秆综合利用、餐饮油烟综合整治、恶臭治理）。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非电行业超低排放改造。有序推进钢铁行业超低排放改造，到2023年底前，湖南华菱湘潭钢铁有限公司完成超低排放改造，衡阳华菱钢管有限公司、湖南华菱涟源钢铁有限公司、冷水江钢铁有限责任公司等3家钢铁企业完成80%以上超低排放改造任务；到2025年底前，钢铁企业全面完成超低排放改造。</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本项目产生的大气污染物能有效处理，采取相应治理措施后可达标排放</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专栏3 </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净土</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调查评估与修复工程。（1）重点行业企业用地土壤污染状况全覆盖调查。（2）重点区域污染地块风险管控或修复。（3）耕地土壤重金属污染成因排查工程。（4）含重金属无主矿山矿涌水治理。（5）地下水监管能力建设及地下水环境状况调查评估、管控与修复示范。</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重金属污染耕地治理试点工程。以长株潭地区重金属污染耕地作为试点区域。精准划分耕地土壤环境质量类别，对优先保护类、安全利用类、严格管控类耕地实施分类分区管理。开展受重金属污染耕地安全利用和严格管控，针对当前主要污染源开展阻控技术示范验证，编制源头管控技术指南，筛选重金属污染耕地治理技术，建立示范基地。</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根据衡阳市环境保护局印发的《衡阳市污染地块名录（第一批）》《衡阳市污染地块名录及开发利用负面清单（第二批）》等文件可知，本项目用地不在衡阳市污染地块名录中</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专栏4 农业农村生态环境改善工</w:t>
                  </w:r>
                  <w:r>
                    <w:rPr>
                      <w:rFonts w:hint="eastAsia" w:ascii="Times New Roman" w:hAnsi="Times New Roman" w:eastAsia="宋体" w:cs="Times New Roman"/>
                      <w:bCs/>
                      <w:color w:val="auto"/>
                      <w:sz w:val="21"/>
                      <w:szCs w:val="21"/>
                      <w:highlight w:val="none"/>
                      <w:u w:val="none"/>
                      <w:lang w:val="en-US" w:eastAsia="zh-CN"/>
                    </w:rPr>
                    <w:t>程要</w:t>
                  </w:r>
                  <w:r>
                    <w:rPr>
                      <w:rFonts w:hint="default" w:ascii="Times New Roman" w:hAnsi="Times New Roman" w:eastAsia="宋体" w:cs="Times New Roman"/>
                      <w:bCs/>
                      <w:color w:val="auto"/>
                      <w:sz w:val="21"/>
                      <w:szCs w:val="21"/>
                      <w:highlight w:val="none"/>
                      <w:u w:val="none"/>
                      <w:lang w:val="en-US" w:eastAsia="zh-CN"/>
                    </w:rPr>
                    <w:t>求</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农村生活污水治理梯次推进项目。根据农村生活污水治理规划以及国家考核要求，全省完成3200个行政村生活污水治理。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农业农村面源污染综合防控。以洞庭湖区为重点，兼顾城郊区、丘陵山区，开展农村面源污染综合防治示范区建设，重点建设区域农业农村规模水产养殖尾水治理、畜禽粪污综合治理和资源化利用等面源污染防治工程，形成一批可复制可推广污染防控模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农村黑臭水体治理示范工程。利用卫星遥感监测技术对全省农村黑臭水体进行全面排查，形成黑臭水体治理清单；开展黑臭水体整治试点工作。业、工业、城镇节水，全面推进节水型社会建设。</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本项目位于衡阳县樟树乡樟树村，建设地点不在农村地区，不涉及农村污水治理</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专栏5 重金属污染防治重点工程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涉铊、锑等企业及排污口排查工程。对全省涉铊、锑等企业及排污口开展排查调查。</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矿山修复及矿涌水综合治理工程。对全省关闭退出的煤矿和非煤矿山涌水进行风险管控和污染治理。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重金属污染治理技术攻关工程。（1）水口山含铍废渣无害化处理项目。（2）锰渣大宗资源化利用处理项目。（3）历史遗留铬渣、砷渣资源化和无害化处理工程。</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本项目不涉及重金属排放</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专栏6 自然生态保护修复重点工程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生态安全屏障保护修复工程。开展武陵—雪峰山地、南岭山地、幕阜—罗霄山地生态保护与修复，长江岸线湖南段生态保护修复。</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长株潭生态绿心保护修复工程。以打造具有国际品质的都市绿心为目标，弘扬生态文化，系统提升长株潭生态绿心地区内生物多样性保护、水源涵养、土壤保持、水源保护、调节气候等生态服务功能。</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生态脆弱区治理。石漠化综合治理工程、小流域水土流失综合治理。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林地建设。天然林（公益林）保护修复工程、重点防护林建设工程。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绿色矿山建设。推进历史遗留废弃矿山生态修复，重点解决历史遗留露天矿山生态破坏问题，加强矿山开采边坡综合整治，进行地形重塑、生态植被重建，恢复矿区生态环境，实行绿色矿山建设。</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生物多样性保护工程。开展生物多样性保护优先区域本底综合调查，建立全省珍稀濒危野生动植物资源野外监测体系，推进候鸟、草食动物、大型猫科动物及其栖息地保护工程。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生态质量状况监测评估。县域重点生态功能区、生态文明示范创建区遥感监测评估，自然保护地生态环境保护成效评估。全省及生态保护红线生态质量监测评价。</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本项目不涉及生态工程</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专栏7 环境风险防范重点工程</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固废处理利用技术攻关工程。（1）垃圾焚烧飞灰水洗脱氯预处理项目，单个处理规模为3万吨/年。（2）钢铁企业窑炉协同处置固体废物工程。（3）城市矿产无污染循环利用项目，家电拆解年处理能力新增1千万台套。</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应急基础保障工程。（1）区域级环境应急物资储备库建设工程。（2）应急装备、车辆填平补齐工程。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城市放射性废物库废旧放射源清源和库房提质改造工程。（1）开展放射性废源清源转运，清理枚数预计2100枚放射源。（2）对湖南省城市放射性废物库一、二号库坑底及库房按新要求进行提质改造。</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资源循环利用项目。（1）园区循环化改造。（2）国家级大宗固废综合利用基地建设。</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生活垃圾处理项目。（1）</w:t>
                  </w:r>
                  <w:r>
                    <w:rPr>
                      <w:rFonts w:hint="eastAsia" w:ascii="Times New Roman" w:hAnsi="Times New Roman" w:eastAsia="宋体" w:cs="Times New Roman"/>
                      <w:bCs/>
                      <w:color w:val="auto"/>
                      <w:sz w:val="21"/>
                      <w:szCs w:val="21"/>
                      <w:highlight w:val="none"/>
                      <w:u w:val="none"/>
                      <w:lang w:val="en-US" w:eastAsia="zh-CN"/>
                    </w:rPr>
                    <w:t>县级</w:t>
                  </w:r>
                  <w:r>
                    <w:rPr>
                      <w:rFonts w:hint="default" w:ascii="Times New Roman" w:hAnsi="Times New Roman" w:eastAsia="宋体" w:cs="Times New Roman"/>
                      <w:bCs/>
                      <w:color w:val="auto"/>
                      <w:sz w:val="21"/>
                      <w:szCs w:val="21"/>
                      <w:highlight w:val="none"/>
                      <w:u w:val="none"/>
                      <w:lang w:val="en-US" w:eastAsia="zh-CN"/>
                    </w:rPr>
                    <w:t>以上生活垃圾焚烧发电设施建设项目。（2）生活垃圾分类前端项目。（3）县以上厨余垃圾处理设施建设项目。</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本项目属于</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三十九、废弃资源综合利用业42，</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中的</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85.金属废料和碎屑加工处理421</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，不属于前款相关工程</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重点任务和措施</w:t>
                  </w: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优化产业结构</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（一）落后产能淘汰压减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（二）传统产业绿色转型</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（三）产业集群和园区升级改造</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（四）产业布局优化调整</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本项目主要从事废钢渣回收利用，根据《国民经济行业分类》（GB/T4754-2017），属金属废料和碎屑加工处理C4210，项目的建设不属于《产业结构调整指导目录（</w:t>
                  </w:r>
                  <w:r>
                    <w:rPr>
                      <w:rFonts w:hint="default" w:ascii="Times New Roman" w:hAnsi="Times New Roman" w:eastAsia="宋体" w:cs="Times New Roman"/>
                      <w:color w:val="auto"/>
                      <w:highlight w:val="none"/>
                      <w:lang w:val="en-US" w:eastAsia="zh-CN"/>
                    </w:rPr>
                    <w:t>2021修订版</w:t>
                  </w:r>
                  <w:r>
                    <w:rPr>
                      <w:rFonts w:hint="default" w:ascii="Times New Roman" w:hAnsi="Times New Roman" w:eastAsia="宋体" w:cs="Times New Roman"/>
                      <w:bCs/>
                      <w:color w:val="auto"/>
                      <w:sz w:val="21"/>
                      <w:szCs w:val="21"/>
                      <w:highlight w:val="none"/>
                      <w:u w:val="none"/>
                      <w:lang w:val="en-US" w:eastAsia="zh-CN"/>
                    </w:rPr>
                    <w:t>）》中</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限制类</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或</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淘汰类</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项目，视为</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允许类</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；同时项目建设不属于《限制用地项目目录（2012年本）》《禁止用地项目目录（2012年本）》中</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限制类</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和</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淘汰类</w:t>
                  </w:r>
                  <w:r>
                    <w:rPr>
                      <w:rFonts w:hint="eastAsia" w:ascii="Times New Roman" w:hAnsi="Times New Roman" w:eastAsia="宋体" w:cs="Times New Roman"/>
                      <w:bCs/>
                      <w:color w:val="auto"/>
                      <w:sz w:val="21"/>
                      <w:szCs w:val="21"/>
                      <w:highlight w:val="none"/>
                      <w:u w:val="none"/>
                      <w:lang w:val="en-US" w:eastAsia="zh-CN"/>
                    </w:rPr>
                    <w:t>”</w:t>
                  </w:r>
                  <w:r>
                    <w:rPr>
                      <w:rFonts w:hint="default" w:ascii="Times New Roman" w:hAnsi="Times New Roman" w:eastAsia="宋体" w:cs="Times New Roman"/>
                      <w:bCs/>
                      <w:color w:val="auto"/>
                      <w:sz w:val="21"/>
                      <w:szCs w:val="21"/>
                      <w:highlight w:val="none"/>
                      <w:u w:val="none"/>
                      <w:lang w:val="en-US" w:eastAsia="zh-CN"/>
                    </w:rPr>
                    <w:t>产业。项目建设符合国家产业政策。</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优化能源结构，加快清洁能源低碳高效发展</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（一）推进能源结构优化，大力发展清洁能源</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（二）严格控制煤炭消费总量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（三）推进能源布局优化</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（四）实施终端能源清洁化替代</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本项目使用水、电均为园区提供，不涉及高耗能工艺，不使用煤炭。</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优化交通结构，大力发展绿色运输</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优化调整货物运输结构</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（二）提升机动车船绿色低碳水平</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（三）加强车油联合管控，全面保障油品质量</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（四）强化非道路移动源综合治理（五）推进重点行业污染深度治理（六）推进大气氨污染防控</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本项目临近S336省道，运输便利，本项目不属于重点行业，不产生大气氨污染物</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5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深化系统治污，着力解决人民群众关切的突出环境问题</w:t>
                  </w:r>
                </w:p>
              </w:tc>
              <w:tc>
                <w:tcPr>
                  <w:tcW w:w="217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（一）深化扬尘污染治理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（二）推进露天矿山综合整治</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（三）加强秸秆综合利用和禁烧</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（四）开展餐饮油烟，恶臭异味专项整治</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（五）加强消耗臭氧层物质和氢氟碳化物管理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（六）强化有毒气体排放管控</w:t>
                  </w:r>
                </w:p>
              </w:tc>
              <w:tc>
                <w:tcPr>
                  <w:tcW w:w="13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本项目不涉及扬尘、秸秆焚烧、矿山、食堂油烟、消耗臭氧层物质和有毒气体排放</w:t>
                  </w:r>
                </w:p>
              </w:tc>
              <w:tc>
                <w:tcPr>
                  <w:tcW w:w="45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符合</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项目生产过程中产生的三废经采取本环评要求的措施处理后可实现达标排放，对周围环境影响较小。因此，本项目符合《湖南省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生态环境保护规划》的相关要求。</w:t>
            </w:r>
          </w:p>
          <w:p>
            <w:pPr>
              <w:keepNext w:val="0"/>
              <w:keepLines w:val="0"/>
              <w:widowControl/>
              <w:suppressLineNumbers w:val="0"/>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lang w:val="en-US" w:eastAsia="zh-CN" w:bidi="ar"/>
              </w:rPr>
              <w:t>4.2与《衡阳市</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十四五</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生态环境保护规划》的符合性分析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根据《衡阳市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生态环境保护规划》要求，深入打好碧水保卫战，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蒸水流域为重点，加快推进重要江河湖库敏感区域内污水处理设施提标改造，新建城镇污水处理设施严格执行一级A排放标准，推动城镇污水处理厂全面开展污水处理设施提标改造，鼓励有条件的区域通过人工湿地等设施，进一步提升污水处理设施出水水质。对城市污水处理设施产生的污泥进行稳定化、无害化处理处置，鼓励资源化利用，新建城市污水处理设施同步配套污泥处理处置设施，加快对现有不达标的污泥处理处置设施进行达标改造</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夯实工业园区基础设施建设，进一步完善流域内高新技术开发区、西渡高新区、三塘工业园等工业聚集区、镇园合一污水处理厂及配套管网建设和提质改造。特别针对污水处理厂纳污范围内污水收集系统未覆盖或标准偏低的区域，加快收集管网建设与改造</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本项目位于西渡高新技术产业园区内，目前园区已建成衡阳西渡高新技术产业园污水处理厂，园区配套污水管网现已完工并投入运营。</w:t>
            </w:r>
            <w:r>
              <w:rPr>
                <w:rFonts w:hint="default" w:ascii="Times New Roman" w:hAnsi="Times New Roman" w:eastAsia="宋体" w:cs="Times New Roman"/>
                <w:color w:val="auto"/>
                <w:kern w:val="0"/>
                <w:sz w:val="24"/>
                <w:szCs w:val="24"/>
                <w:highlight w:val="none"/>
                <w:lang w:val="en-US" w:eastAsia="zh-CN" w:bidi="ar"/>
              </w:rPr>
              <w:t>本项目生活污水经化粪池预处理达标后排入园区生活污水管网，至衡阳西渡高新技术产业园污水处理厂进一步处理，处理达标后排放。</w:t>
            </w:r>
            <w:r>
              <w:rPr>
                <w:rFonts w:hint="default" w:ascii="Times New Roman" w:hAnsi="Times New Roman" w:eastAsia="宋体" w:cs="Times New Roman"/>
                <w:color w:val="auto"/>
                <w:kern w:val="0"/>
                <w:sz w:val="24"/>
                <w:szCs w:val="24"/>
                <w:highlight w:val="none"/>
                <w:lang w:val="en-US" w:eastAsia="zh-CN" w:bidi="ar"/>
              </w:rPr>
              <w:t>符合《衡阳市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生态环境保护规划》的相关要求。</w:t>
            </w:r>
          </w:p>
          <w:p>
            <w:pPr>
              <w:keepNext w:val="0"/>
              <w:keepLines w:val="0"/>
              <w:widowControl/>
              <w:suppressLineNumbers w:val="0"/>
              <w:spacing w:line="360" w:lineRule="auto"/>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color w:val="auto"/>
                <w:kern w:val="0"/>
                <w:sz w:val="24"/>
                <w:szCs w:val="24"/>
                <w:highlight w:val="none"/>
                <w:lang w:val="en-US" w:eastAsia="zh-CN" w:bidi="ar"/>
              </w:rPr>
              <w:t>4.3与《湖南省湘江保护条例》（2023年修订）符合性分析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根据《湖南省湘江保护条例》（2023年修订）：</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禁止在湘江流域饮用水水源一级保护区内设置排污口（渠），禁止新建、改建、扩建与供水设施和保护水源无关的建设项目；已经设置排污口（渠）、建成与供水设施和保护水源无关的建设项目，县级以上人民政府应当在省级人民政府规定期限内组织拆除或者关闭。禁止在湘江流域饮用水水源一级保护区内从事网箱养殖、旅游、游泳、垂钓或者其他可能污染饮用水水体的活动。（2）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r>
              <w:rPr>
                <w:rFonts w:hint="default" w:ascii="Times New Roman" w:hAnsi="Times New Roman" w:eastAsia="宋体" w:cs="Times New Roman"/>
                <w:color w:val="auto"/>
                <w:kern w:val="0"/>
                <w:sz w:val="24"/>
                <w:szCs w:val="24"/>
                <w:highlight w:val="none"/>
                <w:lang w:val="en-US" w:eastAsia="zh-CN" w:bidi="ar"/>
              </w:rPr>
              <w:t>（3）禁止在湘江干流岸线一公里范围内新建、扩建化工园区和化工项目。禁止在湘江干流岸线一公里范围内新建、改建、扩建尾矿库；但是以提升安全、生态环境保护水平为目的的改建除外。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本项目位于西渡高新技术产业园区内，属于湘江流域保护范围，项目不涉及重金属废水排放，</w:t>
            </w:r>
            <w:r>
              <w:rPr>
                <w:rFonts w:hint="default" w:ascii="Times New Roman" w:hAnsi="Times New Roman" w:eastAsia="宋体" w:cs="Times New Roman"/>
                <w:color w:val="auto"/>
                <w:kern w:val="0"/>
                <w:sz w:val="24"/>
                <w:szCs w:val="24"/>
                <w:highlight w:val="none"/>
                <w:lang w:val="en-US" w:eastAsia="zh-CN" w:bidi="ar"/>
              </w:rPr>
              <w:t>本项目生活污水经化粪池预处理达标后排入园区生活污水管网，至衡阳西渡高新技术产业园污水处理厂进一步处理，处理达标后排放</w:t>
            </w:r>
            <w:r>
              <w:rPr>
                <w:rFonts w:hint="default" w:ascii="Times New Roman" w:hAnsi="Times New Roman" w:eastAsia="宋体" w:cs="Times New Roman"/>
                <w:color w:val="auto"/>
                <w:kern w:val="0"/>
                <w:sz w:val="24"/>
                <w:szCs w:val="24"/>
                <w:highlight w:val="none"/>
                <w:lang w:val="en-US" w:eastAsia="zh-CN" w:bidi="ar"/>
              </w:rPr>
              <w:t>。因此，本项目符合湘江保护条例相关要求。</w:t>
            </w:r>
          </w:p>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4.4与《钢铁渣处理与综合利用技术标准》（GB/T51387-2019）符合性分析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住房和城乡建设部关于发布国家标准《钢铁渣处理与综合利用技术标准》的公告于2019年7月发布。本项目为废钢渣的处理、金属回用及外售，其处理过程及设备要求、金属回用等流程均满足《钢铁渣处理与综合利用技术标准》（GB/T51387-2019）中相应要求。</w:t>
            </w:r>
          </w:p>
        </w:tc>
      </w:tr>
    </w:tbl>
    <w:p>
      <w:pPr>
        <w:rPr>
          <w:rFonts w:hint="default" w:ascii="Times New Roman" w:hAnsi="Times New Roman" w:eastAsia="宋体" w:cs="Times New Roman"/>
          <w:color w:val="auto"/>
          <w:highlight w:val="none"/>
        </w:rPr>
        <w:sectPr>
          <w:footerReference r:id="rId7" w:type="default"/>
          <w:pgSz w:w="11906" w:h="16838"/>
          <w:pgMar w:top="1701" w:right="1531" w:bottom="1701" w:left="1531" w:header="851" w:footer="1077" w:gutter="0"/>
          <w:pgNumType w:fmt="decimal"/>
          <w:cols w:space="720" w:num="1"/>
          <w:docGrid w:linePitch="312" w:charSpace="0"/>
        </w:sectPr>
      </w:pP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snapToGrid w:val="0"/>
          <w:color w:val="auto"/>
          <w:sz w:val="30"/>
          <w:szCs w:val="30"/>
          <w:highlight w:val="none"/>
        </w:rPr>
      </w:pPr>
      <w:bookmarkStart w:id="162" w:name="_Toc31997"/>
      <w:bookmarkStart w:id="163" w:name="_Toc28233"/>
      <w:bookmarkStart w:id="164" w:name="_Toc3038"/>
      <w:r>
        <w:rPr>
          <w:rFonts w:hint="default" w:ascii="Times New Roman" w:hAnsi="Times New Roman" w:eastAsia="宋体" w:cs="Times New Roman"/>
          <w:snapToGrid w:val="0"/>
          <w:color w:val="auto"/>
          <w:sz w:val="30"/>
          <w:szCs w:val="30"/>
          <w:highlight w:val="none"/>
          <w:lang w:val="en-US" w:eastAsia="zh-CN"/>
        </w:rPr>
        <w:t>二、</w:t>
      </w:r>
      <w:r>
        <w:rPr>
          <w:rFonts w:hint="default" w:ascii="Times New Roman" w:hAnsi="Times New Roman" w:eastAsia="宋体" w:cs="Times New Roman"/>
          <w:snapToGrid w:val="0"/>
          <w:color w:val="auto"/>
          <w:sz w:val="30"/>
          <w:szCs w:val="30"/>
          <w:highlight w:val="none"/>
        </w:rPr>
        <w:t>建设项目工程分析</w:t>
      </w:r>
      <w:bookmarkEnd w:id="162"/>
      <w:bookmarkEnd w:id="163"/>
      <w:bookmarkEnd w:id="164"/>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5" w:hRule="atLeast"/>
          <w:jc w:val="center"/>
        </w:trPr>
        <w:tc>
          <w:tcPr>
            <w:tcW w:w="823" w:type="dxa"/>
            <w:noWrap w:val="0"/>
            <w:vAlign w:val="center"/>
          </w:tcPr>
          <w:p>
            <w:pPr>
              <w:pStyle w:val="17"/>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161" w:type="dxa"/>
            <w:noWrap w:val="0"/>
            <w:vAlign w:val="top"/>
          </w:tcPr>
          <w:p>
            <w:pPr>
              <w:keepNext w:val="0"/>
              <w:keepLines w:val="0"/>
              <w:widowControl/>
              <w:numPr>
                <w:ilvl w:val="0"/>
                <w:numId w:val="2"/>
              </w:numPr>
              <w:suppressLineNumbers w:val="0"/>
              <w:tabs>
                <w:tab w:val="left" w:pos="5692"/>
              </w:tabs>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项目由来</w:t>
            </w:r>
            <w:r>
              <w:rPr>
                <w:rFonts w:hint="default" w:ascii="Times New Roman" w:hAnsi="Times New Roman" w:eastAsia="宋体" w:cs="Times New Roman"/>
                <w:b/>
                <w:bCs/>
                <w:color w:val="auto"/>
                <w:kern w:val="0"/>
                <w:sz w:val="24"/>
                <w:szCs w:val="24"/>
                <w:highlight w:val="none"/>
                <w:lang w:val="en-US" w:eastAsia="zh-CN" w:bidi="ar"/>
              </w:rPr>
              <w:tab/>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衡阳瑞源新材料有限公司，成立于2023年，位于湖南省衡阳市衡阳县樟树乡樟树村，位于衡阳西渡高新技术产业园区，是一家以从事</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HYPERLINK "https://www.tianyancha.com/advance/search/e-pc_homeicon"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废弃资源综合利用业</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为主的企业，主要生产经营范围为钢铁企业的钢渣再加工。根据《中华人民共和国环境保护法》《中华人民共和国环境影响评价法》《建设项目环境保护管理条例》《建设项目环境影响评价分类管理名录》（2021版）的有关规定，编制《</w:t>
            </w:r>
            <w:r>
              <w:rPr>
                <w:rFonts w:hint="default" w:ascii="Times New Roman" w:hAnsi="Times New Roman" w:eastAsia="宋体" w:cs="Times New Roman"/>
                <w:color w:val="auto"/>
                <w:kern w:val="0"/>
                <w:sz w:val="24"/>
                <w:szCs w:val="24"/>
                <w:highlight w:val="none"/>
                <w:lang w:val="en-US" w:eastAsia="zh-CN" w:bidi="ar"/>
              </w:rPr>
              <w:t>衡阳瑞源新材料有限公司年回收利用6万吨钢渣项目环境影响报告表</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widowControl/>
              <w:numPr>
                <w:ilvl w:val="0"/>
                <w:numId w:val="2"/>
              </w:numPr>
              <w:suppressLineNumbers w:val="0"/>
              <w:spacing w:line="360" w:lineRule="auto"/>
              <w:ind w:left="0" w:leftChars="0" w:firstLine="0" w:firstLineChars="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项目组成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项目选址于衡阳县樟树乡樟树村衡阳</w:t>
            </w:r>
            <w:r>
              <w:rPr>
                <w:rFonts w:hint="default" w:ascii="Times New Roman" w:hAnsi="Times New Roman" w:eastAsia="宋体" w:cs="Times New Roman"/>
                <w:b w:val="0"/>
                <w:bCs w:val="0"/>
                <w:color w:val="auto"/>
                <w:kern w:val="0"/>
                <w:sz w:val="24"/>
                <w:szCs w:val="24"/>
                <w:highlight w:val="none"/>
                <w:lang w:val="en-US" w:eastAsia="zh-CN" w:bidi="ar"/>
              </w:rPr>
              <w:t>富华钢化玻璃有限公司厂房内</w:t>
            </w:r>
            <w:r>
              <w:rPr>
                <w:rFonts w:hint="default" w:ascii="Times New Roman" w:hAnsi="Times New Roman" w:eastAsia="宋体" w:cs="Times New Roman"/>
                <w:color w:val="auto"/>
                <w:kern w:val="0"/>
                <w:sz w:val="24"/>
                <w:szCs w:val="24"/>
                <w:highlight w:val="none"/>
                <w:lang w:val="en-US" w:eastAsia="zh-CN" w:bidi="ar"/>
              </w:rPr>
              <w:t>，主要由主体工程、辅助工程、公用工程及环保工程组成，具体见表2-1。</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表2-1主要建设内容、规模及功能定位一览表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9"/>
              <w:gridCol w:w="734"/>
              <w:gridCol w:w="5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491"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项目类别</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内容</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功能/规模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491"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主体工程</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rPr>
                    <w:t>生产厂房</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
                    </w:rPr>
                    <w:t>租赁</w:t>
                  </w:r>
                  <w:r>
                    <w:rPr>
                      <w:rFonts w:hint="default" w:ascii="Times New Roman" w:hAnsi="Times New Roman" w:eastAsia="宋体" w:cs="Times New Roman"/>
                      <w:color w:val="auto"/>
                      <w:kern w:val="0"/>
                      <w:sz w:val="21"/>
                      <w:szCs w:val="21"/>
                      <w:highlight w:val="none"/>
                      <w:lang w:val="en-US" w:eastAsia="zh-CN" w:bidi="ar"/>
                    </w:rPr>
                    <w:t>衡阳</w:t>
                  </w:r>
                  <w:r>
                    <w:rPr>
                      <w:rFonts w:hint="default" w:ascii="Times New Roman" w:hAnsi="Times New Roman" w:eastAsia="宋体" w:cs="Times New Roman"/>
                      <w:b w:val="0"/>
                      <w:bCs w:val="0"/>
                      <w:color w:val="auto"/>
                      <w:kern w:val="0"/>
                      <w:sz w:val="21"/>
                      <w:szCs w:val="21"/>
                      <w:highlight w:val="none"/>
                      <w:lang w:val="en-US" w:eastAsia="zh-CN" w:bidi="ar"/>
                    </w:rPr>
                    <w:t>富华钢化玻璃有限公司现有厂房作为生产区，</w:t>
                  </w:r>
                  <w:r>
                    <w:rPr>
                      <w:rFonts w:hint="default" w:ascii="Times New Roman" w:hAnsi="Times New Roman" w:eastAsia="宋体" w:cs="Times New Roman"/>
                      <w:bCs/>
                      <w:color w:val="auto"/>
                      <w:sz w:val="21"/>
                      <w:szCs w:val="21"/>
                      <w:highlight w:val="none"/>
                      <w:u w:val="none"/>
                      <w:lang w:val="en-US" w:eastAsia="zh-CN"/>
                    </w:rPr>
                    <w:t>1栋钢结构生产车间，</w:t>
                  </w:r>
                  <w:r>
                    <w:rPr>
                      <w:rFonts w:hint="default" w:ascii="Times New Roman" w:hAnsi="Times New Roman" w:eastAsia="宋体" w:cs="Times New Roman"/>
                      <w:b w:val="0"/>
                      <w:bCs w:val="0"/>
                      <w:color w:val="auto"/>
                      <w:kern w:val="0"/>
                      <w:sz w:val="21"/>
                      <w:szCs w:val="21"/>
                      <w:highlight w:val="none"/>
                      <w:lang w:val="en-US" w:eastAsia="zh-CN" w:bidi="ar"/>
                    </w:rPr>
                    <w:t>厂房封闭</w:t>
                  </w:r>
                  <w:r>
                    <w:rPr>
                      <w:rFonts w:hint="default" w:ascii="Times New Roman" w:hAnsi="Times New Roman" w:eastAsia="宋体" w:cs="Times New Roman"/>
                      <w:bCs/>
                      <w:color w:val="auto"/>
                      <w:sz w:val="21"/>
                      <w:szCs w:val="21"/>
                      <w:highlight w:val="none"/>
                      <w:u w:val="none"/>
                      <w:lang w:val="en-US" w:eastAsia="zh-CN"/>
                    </w:rPr>
                    <w:t>，约高9m。厂房内含1条生产线，包括破碎、磁选、筛分、二次破碎、二次磁选、二次筛分等流程，采用全封闭建设、占地面积约600m</w:t>
                  </w:r>
                  <w:r>
                    <w:rPr>
                      <w:rFonts w:hint="default" w:ascii="Times New Roman" w:hAnsi="Times New Roman" w:eastAsia="宋体" w:cs="Times New Roman"/>
                      <w:bCs/>
                      <w:color w:val="auto"/>
                      <w:sz w:val="21"/>
                      <w:szCs w:val="21"/>
                      <w:highlight w:val="none"/>
                      <w:u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491"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highlight w:val="none"/>
                      <w:lang w:val="en-US" w:eastAsia="zh-CN"/>
                    </w:rPr>
                    <w:t>储运</w:t>
                  </w:r>
                  <w:r>
                    <w:rPr>
                      <w:rFonts w:hint="default" w:ascii="Times New Roman" w:hAnsi="Times New Roman" w:eastAsia="宋体" w:cs="Times New Roman"/>
                      <w:bCs/>
                      <w:color w:val="auto"/>
                      <w:sz w:val="21"/>
                      <w:szCs w:val="21"/>
                      <w:highlight w:val="none"/>
                      <w:u w:val="none"/>
                      <w:lang w:val="en-US" w:eastAsia="zh-CN"/>
                    </w:rPr>
                    <w:t>工程</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原料堆场</w:t>
                  </w:r>
                </w:p>
              </w:tc>
              <w:tc>
                <w:tcPr>
                  <w:tcW w:w="3777" w:type="pct"/>
                  <w:noWrap w:val="0"/>
                  <w:vAlign w:val="center"/>
                </w:tcPr>
                <w:p>
                  <w:pPr>
                    <w:keepNext w:val="0"/>
                    <w:keepLines w:val="0"/>
                    <w:pageBreakBefore w:val="0"/>
                    <w:widowControl/>
                    <w:suppressLineNumbers w:val="0"/>
                    <w:kinsoku/>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厂房封闭，租赁</w:t>
                  </w:r>
                  <w:r>
                    <w:rPr>
                      <w:rFonts w:hint="default" w:ascii="Times New Roman" w:hAnsi="Times New Roman" w:eastAsia="宋体" w:cs="Times New Roman"/>
                      <w:color w:val="auto"/>
                      <w:kern w:val="0"/>
                      <w:sz w:val="21"/>
                      <w:szCs w:val="21"/>
                      <w:highlight w:val="none"/>
                      <w:lang w:val="en-US" w:eastAsia="zh-CN" w:bidi="ar"/>
                    </w:rPr>
                    <w:t>衡阳</w:t>
                  </w:r>
                  <w:r>
                    <w:rPr>
                      <w:rFonts w:hint="default" w:ascii="Times New Roman" w:hAnsi="Times New Roman" w:eastAsia="宋体" w:cs="Times New Roman"/>
                      <w:b w:val="0"/>
                      <w:bCs w:val="0"/>
                      <w:color w:val="auto"/>
                      <w:kern w:val="0"/>
                      <w:sz w:val="21"/>
                      <w:szCs w:val="21"/>
                      <w:highlight w:val="none"/>
                      <w:lang w:val="en-US" w:eastAsia="zh-CN" w:bidi="ar"/>
                    </w:rPr>
                    <w:t>富华钢化玻璃有限公司现有厂房的一部分作为</w:t>
                  </w:r>
                  <w:r>
                    <w:rPr>
                      <w:rFonts w:hint="default" w:ascii="Times New Roman" w:hAnsi="Times New Roman" w:eastAsia="宋体" w:cs="Times New Roman"/>
                      <w:bCs/>
                      <w:color w:val="auto"/>
                      <w:sz w:val="21"/>
                      <w:szCs w:val="21"/>
                      <w:highlight w:val="none"/>
                      <w:u w:val="none"/>
                      <w:lang w:val="en-US" w:eastAsia="zh-CN"/>
                    </w:rPr>
                    <w:t>原料堆场，</w:t>
                  </w:r>
                  <w:r>
                    <w:rPr>
                      <w:rFonts w:hint="default" w:ascii="Times New Roman" w:hAnsi="Times New Roman" w:eastAsia="宋体" w:cs="Times New Roman"/>
                      <w:color w:val="auto"/>
                      <w:kern w:val="0"/>
                      <w:sz w:val="21"/>
                      <w:szCs w:val="21"/>
                      <w:highlight w:val="none"/>
                      <w:lang w:val="en-US" w:eastAsia="zh-CN" w:bidi="ar"/>
                    </w:rPr>
                    <w:t>位于主体工程厂房东侧的</w:t>
                  </w:r>
                  <w:r>
                    <w:rPr>
                      <w:rFonts w:hint="default" w:ascii="Times New Roman" w:hAnsi="Times New Roman" w:eastAsia="宋体" w:cs="Times New Roman"/>
                      <w:bCs/>
                      <w:color w:val="auto"/>
                      <w:sz w:val="21"/>
                      <w:szCs w:val="21"/>
                      <w:highlight w:val="none"/>
                      <w:u w:val="none"/>
                      <w:lang w:val="en-US" w:eastAsia="zh-CN"/>
                    </w:rPr>
                    <w:t>1栋钢结构生产车间内</w:t>
                  </w:r>
                  <w:r>
                    <w:rPr>
                      <w:rFonts w:hint="default" w:ascii="Times New Roman" w:hAnsi="Times New Roman" w:eastAsia="宋体" w:cs="Times New Roman"/>
                      <w:b w:val="0"/>
                      <w:bCs w:val="0"/>
                      <w:color w:val="auto"/>
                      <w:kern w:val="0"/>
                      <w:sz w:val="21"/>
                      <w:szCs w:val="21"/>
                      <w:highlight w:val="none"/>
                      <w:lang w:val="en-US" w:eastAsia="zh-CN" w:bidi="ar"/>
                    </w:rPr>
                    <w:t>，占地面积约500m</w:t>
                  </w:r>
                  <w:r>
                    <w:rPr>
                      <w:rFonts w:hint="default" w:ascii="Times New Roman" w:hAnsi="Times New Roman" w:eastAsia="宋体" w:cs="Times New Roman"/>
                      <w:b w:val="0"/>
                      <w:bCs w:val="0"/>
                      <w:color w:val="auto"/>
                      <w:kern w:val="0"/>
                      <w:sz w:val="21"/>
                      <w:szCs w:val="21"/>
                      <w:highlight w:val="none"/>
                      <w:vertAlign w:val="superscript"/>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，堆场</w:t>
                  </w:r>
                  <w:r>
                    <w:rPr>
                      <w:rFonts w:hint="default" w:ascii="Times New Roman" w:hAnsi="Times New Roman" w:eastAsia="宋体" w:cs="Times New Roman"/>
                      <w:color w:val="auto"/>
                      <w:kern w:val="0"/>
                      <w:sz w:val="21"/>
                      <w:szCs w:val="21"/>
                      <w:highlight w:val="none"/>
                      <w:lang w:val="en-US" w:eastAsia="zh-CN" w:bidi="ar"/>
                    </w:rPr>
                    <w:t>设置三面围挡，地面硬化，有棚顶，用于存放原料，定期进行洒水抑尘。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成品堆场</w:t>
                  </w:r>
                </w:p>
              </w:tc>
              <w:tc>
                <w:tcPr>
                  <w:tcW w:w="3777" w:type="pct"/>
                  <w:noWrap w:val="0"/>
                  <w:vAlign w:val="center"/>
                </w:tcPr>
                <w:p>
                  <w:pPr>
                    <w:keepNext w:val="0"/>
                    <w:keepLines w:val="0"/>
                    <w:pageBreakBefore w:val="0"/>
                    <w:widowControl/>
                    <w:suppressLineNumbers w:val="0"/>
                    <w:kinsoku/>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厂房封闭，租赁</w:t>
                  </w:r>
                  <w:r>
                    <w:rPr>
                      <w:rFonts w:hint="default" w:ascii="Times New Roman" w:hAnsi="Times New Roman" w:eastAsia="宋体" w:cs="Times New Roman"/>
                      <w:color w:val="auto"/>
                      <w:kern w:val="0"/>
                      <w:sz w:val="21"/>
                      <w:szCs w:val="21"/>
                      <w:highlight w:val="none"/>
                      <w:lang w:val="en-US" w:eastAsia="zh-CN" w:bidi="ar"/>
                    </w:rPr>
                    <w:t>衡阳</w:t>
                  </w:r>
                  <w:r>
                    <w:rPr>
                      <w:rFonts w:hint="default" w:ascii="Times New Roman" w:hAnsi="Times New Roman" w:eastAsia="宋体" w:cs="Times New Roman"/>
                      <w:b w:val="0"/>
                      <w:bCs w:val="0"/>
                      <w:color w:val="auto"/>
                      <w:kern w:val="0"/>
                      <w:sz w:val="21"/>
                      <w:szCs w:val="21"/>
                      <w:highlight w:val="none"/>
                      <w:lang w:val="en-US" w:eastAsia="zh-CN" w:bidi="ar"/>
                    </w:rPr>
                    <w:t>富华钢化玻璃有限公司现有厂房的一部分作为</w:t>
                  </w:r>
                  <w:r>
                    <w:rPr>
                      <w:rFonts w:hint="default" w:ascii="Times New Roman" w:hAnsi="Times New Roman" w:eastAsia="宋体" w:cs="Times New Roman"/>
                      <w:bCs/>
                      <w:color w:val="auto"/>
                      <w:sz w:val="21"/>
                      <w:szCs w:val="21"/>
                      <w:highlight w:val="none"/>
                      <w:u w:val="none"/>
                      <w:lang w:val="en-US" w:eastAsia="zh-CN"/>
                    </w:rPr>
                    <w:t>成品堆场，</w:t>
                  </w:r>
                  <w:r>
                    <w:rPr>
                      <w:rFonts w:hint="default" w:ascii="Times New Roman" w:hAnsi="Times New Roman" w:eastAsia="宋体" w:cs="Times New Roman"/>
                      <w:color w:val="auto"/>
                      <w:kern w:val="0"/>
                      <w:sz w:val="21"/>
                      <w:szCs w:val="21"/>
                      <w:highlight w:val="none"/>
                      <w:lang w:val="en-US" w:eastAsia="zh-CN" w:bidi="ar"/>
                    </w:rPr>
                    <w:t>位于主体工程厂房东侧的</w:t>
                  </w:r>
                  <w:r>
                    <w:rPr>
                      <w:rFonts w:hint="default" w:ascii="Times New Roman" w:hAnsi="Times New Roman" w:eastAsia="宋体" w:cs="Times New Roman"/>
                      <w:bCs/>
                      <w:color w:val="auto"/>
                      <w:sz w:val="21"/>
                      <w:szCs w:val="21"/>
                      <w:highlight w:val="none"/>
                      <w:u w:val="none"/>
                      <w:lang w:val="en-US" w:eastAsia="zh-CN"/>
                    </w:rPr>
                    <w:t>1栋钢结构生产车间内</w:t>
                  </w:r>
                  <w:r>
                    <w:rPr>
                      <w:rFonts w:hint="default" w:ascii="Times New Roman" w:hAnsi="Times New Roman" w:eastAsia="宋体" w:cs="Times New Roman"/>
                      <w:b w:val="0"/>
                      <w:bCs w:val="0"/>
                      <w:color w:val="auto"/>
                      <w:kern w:val="0"/>
                      <w:sz w:val="21"/>
                      <w:szCs w:val="21"/>
                      <w:highlight w:val="none"/>
                      <w:lang w:val="en-US" w:eastAsia="zh-CN" w:bidi="ar"/>
                    </w:rPr>
                    <w:t>，占地面积约500m</w:t>
                  </w:r>
                  <w:r>
                    <w:rPr>
                      <w:rFonts w:hint="default" w:ascii="Times New Roman" w:hAnsi="Times New Roman" w:eastAsia="宋体" w:cs="Times New Roman"/>
                      <w:b w:val="0"/>
                      <w:bCs w:val="0"/>
                      <w:color w:val="auto"/>
                      <w:kern w:val="0"/>
                      <w:sz w:val="21"/>
                      <w:szCs w:val="21"/>
                      <w:highlight w:val="none"/>
                      <w:vertAlign w:val="superscript"/>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，堆场</w:t>
                  </w:r>
                  <w:r>
                    <w:rPr>
                      <w:rFonts w:hint="default" w:ascii="Times New Roman" w:hAnsi="Times New Roman" w:eastAsia="宋体" w:cs="Times New Roman"/>
                      <w:color w:val="auto"/>
                      <w:kern w:val="0"/>
                      <w:sz w:val="21"/>
                      <w:szCs w:val="21"/>
                      <w:highlight w:val="none"/>
                      <w:lang w:val="en-US" w:eastAsia="zh-CN" w:bidi="ar"/>
                    </w:rPr>
                    <w:t>设置三面围挡，地面硬化，有棚顶，用于存放成品，定期进行洒水抑尘。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68"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491"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辅助工程</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办公区</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混砖结构，生产车间东北方向，1F，建筑面积约100m</w:t>
                  </w:r>
                  <w:r>
                    <w:rPr>
                      <w:rFonts w:hint="default" w:ascii="Times New Roman" w:hAnsi="Times New Roman" w:eastAsia="宋体" w:cs="Times New Roman"/>
                      <w:bCs/>
                      <w:color w:val="auto"/>
                      <w:sz w:val="21"/>
                      <w:szCs w:val="21"/>
                      <w:highlight w:val="none"/>
                      <w:u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68"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4</w:t>
                  </w:r>
                </w:p>
              </w:tc>
              <w:tc>
                <w:tcPr>
                  <w:tcW w:w="491"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公用工程</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供水</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厂内自备井水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排水</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雨污分流，初期雨水经收集流入初期雨水池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供电</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依托城镇供电系统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68"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w:t>
                  </w:r>
                </w:p>
              </w:tc>
              <w:tc>
                <w:tcPr>
                  <w:tcW w:w="491"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环保工程</w:t>
                  </w: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废水</w:t>
                  </w:r>
                </w:p>
              </w:tc>
              <w:tc>
                <w:tcPr>
                  <w:tcW w:w="3777" w:type="pct"/>
                  <w:noWrap w:val="0"/>
                  <w:vAlign w:val="center"/>
                </w:tcPr>
                <w:p>
                  <w:pPr>
                    <w:pStyle w:val="8"/>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无生产废水外排；生活污水经化粪池处理后排入园区污水管网，进入衡阳西渡高新技术产业园污水处理厂进一步处理，处理达标后排放；初期雨水依托衡阳富华钢化玻璃有限公司厂区内雨水收集池收集后沉淀处理后排放至园区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废气</w:t>
                  </w:r>
                </w:p>
              </w:tc>
              <w:tc>
                <w:tcPr>
                  <w:tcW w:w="3777" w:type="pct"/>
                  <w:noWrap w:val="0"/>
                  <w:vAlign w:val="center"/>
                </w:tcPr>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车间为密闭式钢式厂房，生产区采用喷雾除尘，原料上料前进行洒水降低生产时粉尘产生量；原料堆场及成品堆场同时硬化地面，厂区道路硬化并定期洒水；</w:t>
                  </w:r>
                </w:p>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堆场扬尘（颗粒物）：定期喷洒降尘；</w:t>
                  </w:r>
                </w:p>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装卸料粉尘（颗粒物）：厂房封闭、洒水抑尘；</w:t>
                  </w:r>
                </w:p>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运输粉尘（颗粒物）：定期清扫、洒水抑尘；</w:t>
                  </w:r>
                </w:p>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给料扬尘（颗粒物）：厂房封闭、湿式作业、水雾喷淋抑尘；</w:t>
                  </w:r>
                </w:p>
                <w:p>
                  <w:pPr>
                    <w:keepNext w:val="0"/>
                    <w:keepLines w:val="0"/>
                    <w:pageBreakBefore w:val="0"/>
                    <w:widowControl/>
                    <w:suppressLineNumbers w:val="0"/>
                    <w:kinsoku/>
                    <w:overflowPunct/>
                    <w:topLinePunct w:val="0"/>
                    <w:bidi w:val="0"/>
                    <w:adjustRightInd/>
                    <w:snapToGrid/>
                    <w:spacing w:line="240" w:lineRule="auto"/>
                    <w:jc w:val="left"/>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破碎、筛分过程粉尘（颗粒物）：厂房封闭、湿式作业、水雾喷淋抑尘。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噪声</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全封闭的生产车间，基础减震，设置围墙，绿化降噪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固废</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生活垃圾集中收集定期清运交由环卫部门处理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68"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91"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4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固废处理设施</w:t>
                  </w:r>
                </w:p>
              </w:tc>
              <w:tc>
                <w:tcPr>
                  <w:tcW w:w="377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设置一间一般固废暂存间（建筑面积10m</w:t>
                  </w:r>
                  <w:r>
                    <w:rPr>
                      <w:rFonts w:hint="default" w:ascii="Times New Roman" w:hAnsi="Times New Roman" w:eastAsia="宋体" w:cs="Times New Roman"/>
                      <w:bCs/>
                      <w:color w:val="auto"/>
                      <w:sz w:val="21"/>
                      <w:szCs w:val="21"/>
                      <w:highlight w:val="none"/>
                      <w:u w:val="none"/>
                      <w:vertAlign w:val="superscript"/>
                      <w:lang w:val="en-US" w:eastAsia="zh-CN"/>
                    </w:rPr>
                    <w:t>2</w:t>
                  </w:r>
                  <w:r>
                    <w:rPr>
                      <w:rFonts w:hint="default" w:ascii="Times New Roman" w:hAnsi="Times New Roman" w:eastAsia="宋体" w:cs="Times New Roman"/>
                      <w:bCs/>
                      <w:color w:val="auto"/>
                      <w:sz w:val="21"/>
                      <w:szCs w:val="21"/>
                      <w:highlight w:val="none"/>
                      <w:u w:val="none"/>
                      <w:lang w:val="en-US" w:eastAsia="zh-CN"/>
                    </w:rPr>
                    <w:t>）、一间危险废物暂存间（建筑面积10m</w:t>
                  </w:r>
                  <w:r>
                    <w:rPr>
                      <w:rFonts w:hint="default" w:ascii="Times New Roman" w:hAnsi="Times New Roman" w:eastAsia="宋体" w:cs="Times New Roman"/>
                      <w:bCs/>
                      <w:color w:val="auto"/>
                      <w:sz w:val="21"/>
                      <w:szCs w:val="21"/>
                      <w:highlight w:val="none"/>
                      <w:u w:val="none"/>
                      <w:vertAlign w:val="superscript"/>
                      <w:lang w:val="en-US" w:eastAsia="zh-CN"/>
                    </w:rPr>
                    <w:t>2</w:t>
                  </w:r>
                  <w:r>
                    <w:rPr>
                      <w:rFonts w:hint="default" w:ascii="Times New Roman" w:hAnsi="Times New Roman" w:eastAsia="宋体" w:cs="Times New Roman"/>
                      <w:bCs/>
                      <w:color w:val="auto"/>
                      <w:sz w:val="21"/>
                      <w:szCs w:val="21"/>
                      <w:highlight w:val="none"/>
                      <w:u w:val="none"/>
                      <w:lang w:val="en-US"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生活垃圾集中收集后交由当地环卫部门处理；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生产车间散落粉尘于一般固废暂存间暂存后交由相关单位回收；</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废润滑油及油桶危废存放于危废暂存间，交由有资质单位进行处置。</w:t>
                  </w:r>
                </w:p>
              </w:tc>
            </w:tr>
          </w:tbl>
          <w:p>
            <w:pPr>
              <w:keepNext w:val="0"/>
              <w:keepLines w:val="0"/>
              <w:widowControl/>
              <w:numPr>
                <w:ilvl w:val="0"/>
                <w:numId w:val="2"/>
              </w:numPr>
              <w:suppressLineNumbers w:val="0"/>
              <w:spacing w:line="360" w:lineRule="auto"/>
              <w:ind w:left="0" w:leftChars="0" w:firstLine="0" w:firstLineChars="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主要产品及产能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本项目主要的产品方案见表2-2。</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表2-2项目主要产品方案一览表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931"/>
              <w:gridCol w:w="931"/>
              <w:gridCol w:w="1310"/>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生产线</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产品名称</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产品粒径</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产量（万吨）</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钢渣加工线</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尾渣</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3—5mm</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5.782</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外售给本地水泥厂或替代砂石进行铺路、回填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废铁</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0.21</w:t>
                  </w:r>
                </w:p>
              </w:tc>
              <w:tc>
                <w:tcPr>
                  <w:tcW w:w="0" w:type="auto"/>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磁选得到的废铁，外售</w:t>
                  </w:r>
                </w:p>
              </w:tc>
            </w:tr>
          </w:tbl>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4、主要生产设施及设施参数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0"/>
                <w:sz w:val="20"/>
                <w:szCs w:val="20"/>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本项目主要生产设备见表2-3。</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表2-3项目主要设备一览表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587"/>
              <w:gridCol w:w="1587"/>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生产线</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设备名称</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规模型号</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100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钢渣加工线</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锤破机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600×600</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锤破机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600×400</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磁选机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全磁</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4</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磁选机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半磁</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皮带输送机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铲车</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7</w:t>
                  </w:r>
                </w:p>
              </w:tc>
              <w:tc>
                <w:tcPr>
                  <w:tcW w:w="10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筛分机</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w:t>
                  </w:r>
                </w:p>
              </w:tc>
              <w:tc>
                <w:tcPr>
                  <w:tcW w:w="100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r>
          </w:tbl>
          <w:p>
            <w:pPr>
              <w:keepNext w:val="0"/>
              <w:keepLines w:val="0"/>
              <w:widowControl/>
              <w:suppressLineNumbers w:val="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5、主要原辅材料及燃料的种类和用量</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本项目原辅料消耗情况详见表2-4。</w:t>
            </w:r>
          </w:p>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表2-4项目原辅材料消耗一览表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984"/>
              <w:gridCol w:w="1984"/>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名称</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年消耗量</w:t>
                  </w:r>
                </w:p>
              </w:tc>
              <w:tc>
                <w:tcPr>
                  <w:tcW w:w="125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钢渣</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6万t</w:t>
                  </w:r>
                </w:p>
              </w:tc>
              <w:tc>
                <w:tcPr>
                  <w:tcW w:w="125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水</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Cs/>
                      <w:color w:val="auto"/>
                      <w:sz w:val="21"/>
                      <w:szCs w:val="21"/>
                      <w:highlight w:val="none"/>
                      <w:u w:val="none"/>
                      <w:lang w:val="en-US" w:eastAsia="zh-CN"/>
                    </w:rPr>
                    <w:t>11235t</w:t>
                  </w:r>
                </w:p>
              </w:tc>
              <w:tc>
                <w:tcPr>
                  <w:tcW w:w="125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当地井水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电</w:t>
                  </w:r>
                </w:p>
              </w:tc>
              <w:tc>
                <w:tcPr>
                  <w:tcW w:w="124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12万KWh</w:t>
                  </w:r>
                </w:p>
              </w:tc>
              <w:tc>
                <w:tcPr>
                  <w:tcW w:w="1250"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当地供电所</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钢渣来源于外购，根据原料来源供货协议（见附件）主要为电炉渣尾渣、白渣灰渣，具体为钢渣综合利用生产线加工后的废渣，主要有球磨加工后的尾渣、尾渣粒、尾泥球磨沉淀池清理出的泥浆、白灰；由原料成分全分析单可得，本项目原料中不含镉、锰、镍、铅、锌等重金属，属于一般固废，不属于危险废物。</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6、总平面布置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本项目租赁衡阳富华钢化玻璃有限公司的部分用地，主体工程为生产区，位于衡阳富华钢化玻璃有限公司厂房西侧，用地地块为长条形，建筑面积为600m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。租赁主体工程厂房东部衡阳富华钢化玻璃有限公司现有厂房作为原料堆场、成品堆场，其中原料堆场建筑面积为500m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成品堆场建筑面积为500m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。办公区设置在厂区西北角，生产车间西方向预设一间一般固废暂存间（建筑面积10m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）、一间危险废物暂存间（建筑面积10m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），项目总平面布置图详见附图2。</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7、公用工程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（1）给水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根据建设方提供资料，本项目主要生活用水、厂区道路洒水、喷淋用水、生产线抑尘用水等。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根据建设方提供资料，本项目主要生活用水、生产用水为井水。</w:t>
            </w:r>
          </w:p>
          <w:p>
            <w:pPr>
              <w:pStyle w:val="43"/>
              <w:keepNext w:val="0"/>
              <w:keepLines w:val="0"/>
              <w:pageBreakBefore w:val="0"/>
              <w:kinsoku/>
              <w:wordWrap/>
              <w:overflowPunct/>
              <w:topLinePunct w:val="0"/>
              <w:autoSpaceDE/>
              <w:autoSpaceDN/>
              <w:bidi w:val="0"/>
              <w:adjustRightInd/>
              <w:snapToGrid/>
              <w:spacing w:beforeLines="0" w:after="0" w:afterAutospacing="0" w:line="360" w:lineRule="auto"/>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①</w:t>
            </w:r>
            <w:r>
              <w:rPr>
                <w:rFonts w:hint="default" w:ascii="Times New Roman" w:hAnsi="Times New Roman" w:eastAsia="宋体" w:cs="Times New Roman"/>
                <w:color w:val="auto"/>
                <w:sz w:val="24"/>
                <w:szCs w:val="24"/>
                <w:highlight w:val="none"/>
                <w:u w:val="none"/>
              </w:rPr>
              <w:t>生活</w:t>
            </w:r>
            <w:r>
              <w:rPr>
                <w:rFonts w:hint="default" w:ascii="Times New Roman" w:hAnsi="Times New Roman" w:eastAsia="宋体" w:cs="Times New Roman"/>
                <w:color w:val="auto"/>
                <w:sz w:val="24"/>
                <w:szCs w:val="24"/>
                <w:highlight w:val="none"/>
                <w:u w:val="none"/>
                <w:lang w:val="en-US" w:eastAsia="zh-CN"/>
              </w:rPr>
              <w:t>用</w:t>
            </w:r>
            <w:r>
              <w:rPr>
                <w:rFonts w:hint="default" w:ascii="Times New Roman" w:hAnsi="Times New Roman" w:eastAsia="宋体" w:cs="Times New Roman"/>
                <w:color w:val="auto"/>
                <w:sz w:val="24"/>
                <w:szCs w:val="24"/>
                <w:highlight w:val="none"/>
                <w:u w:val="none"/>
              </w:rPr>
              <w:t>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本项目劳动定员5人，年工作300天，均不在厂区内食宿，参照《湖南省用水定额》</w:t>
            </w:r>
            <w:r>
              <w:rPr>
                <w:rFonts w:hint="default" w:ascii="Times New Roman" w:hAnsi="Times New Roman" w:eastAsia="宋体" w:cs="Times New Roman"/>
                <w:color w:val="auto"/>
                <w:kern w:val="0"/>
                <w:sz w:val="24"/>
                <w:szCs w:val="24"/>
                <w:highlight w:val="none"/>
                <w:u w:val="none"/>
                <w:lang w:val="en-US" w:eastAsia="zh-CN" w:bidi="ar-SA"/>
              </w:rPr>
              <w:t>（DB43/T 388-2020），农村居民用水量为90L/人·d，则用水量为0.45m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/d、135m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/a。废水排放量约为用水量的80%，即营运期生活污水排放量约0.36m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/d、108m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default" w:ascii="Times New Roman" w:hAnsi="Times New Roman" w:eastAsia="宋体" w:cs="Times New Roman"/>
                <w:color w:val="auto"/>
                <w:kern w:val="0"/>
                <w:sz w:val="24"/>
                <w:szCs w:val="24"/>
                <w:highlight w:val="none"/>
                <w:u w:val="none"/>
                <w:lang w:val="en-US" w:eastAsia="zh-CN" w:bidi="ar-SA"/>
              </w:rPr>
              <w:t>。</w:t>
            </w:r>
            <w:r>
              <w:rPr>
                <w:rFonts w:hint="default" w:ascii="Times New Roman" w:hAnsi="Times New Roman" w:eastAsia="宋体" w:cs="Times New Roman"/>
                <w:color w:val="auto"/>
                <w:kern w:val="0"/>
                <w:sz w:val="24"/>
                <w:szCs w:val="24"/>
                <w:highlight w:val="none"/>
                <w:u w:val="none"/>
                <w:lang w:val="en-US" w:eastAsia="zh-CN" w:bidi="ar-SA"/>
              </w:rPr>
              <w:t>生活污水经化粪池处理后排入园区污水管网，进入衡阳西渡高新技术产业园污水处理厂进一步处理，处理达标后排放。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②生产用水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本项目生产用水主要包括道路降尘用水、生产线抑尘用水、洗车用水、堆场洒水抑尘用水。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1、道路降尘用水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项目道路面积约</w:t>
            </w:r>
            <w:r>
              <w:rPr>
                <w:rFonts w:hint="default" w:ascii="Times New Roman" w:hAnsi="Times New Roman" w:eastAsia="宋体" w:cs="Times New Roman"/>
                <w:color w:val="auto"/>
                <w:kern w:val="0"/>
                <w:sz w:val="24"/>
                <w:szCs w:val="24"/>
                <w:highlight w:val="none"/>
                <w:u w:val="none"/>
                <w:lang w:val="en-US" w:eastAsia="zh-CN" w:bidi="ar-SA"/>
              </w:rPr>
              <w:t>600m</w:t>
            </w:r>
            <w:r>
              <w:rPr>
                <w:rFonts w:hint="default" w:ascii="Times New Roman" w:hAnsi="Times New Roman" w:eastAsia="宋体" w:cs="Times New Roman"/>
                <w:color w:val="auto"/>
                <w:kern w:val="0"/>
                <w:sz w:val="24"/>
                <w:szCs w:val="24"/>
                <w:highlight w:val="none"/>
                <w:u w:val="none"/>
                <w:vertAlign w:val="superscript"/>
                <w:lang w:val="en-US" w:eastAsia="zh-CN" w:bidi="ar-SA"/>
              </w:rPr>
              <w:t>2</w:t>
            </w:r>
            <w:r>
              <w:rPr>
                <w:rFonts w:hint="default" w:ascii="Times New Roman" w:hAnsi="Times New Roman" w:eastAsia="宋体" w:cs="Times New Roman"/>
                <w:color w:val="auto"/>
                <w:kern w:val="0"/>
                <w:sz w:val="24"/>
                <w:szCs w:val="24"/>
                <w:highlight w:val="none"/>
                <w:u w:val="none"/>
                <w:lang w:val="en-US" w:eastAsia="zh-CN" w:bidi="ar-SA"/>
              </w:rPr>
              <w:t>，按平均2L/m</w:t>
            </w:r>
            <w:r>
              <w:rPr>
                <w:rFonts w:hint="default" w:ascii="Times New Roman" w:hAnsi="Times New Roman" w:eastAsia="宋体" w:cs="Times New Roman"/>
                <w:color w:val="auto"/>
                <w:kern w:val="0"/>
                <w:sz w:val="24"/>
                <w:szCs w:val="24"/>
                <w:highlight w:val="none"/>
                <w:u w:val="none"/>
                <w:vertAlign w:val="superscript"/>
                <w:lang w:val="en-US" w:eastAsia="zh-CN" w:bidi="ar-SA"/>
              </w:rPr>
              <w:t>2</w:t>
            </w:r>
            <w:r>
              <w:rPr>
                <w:rFonts w:hint="default" w:ascii="Times New Roman" w:hAnsi="Times New Roman" w:eastAsia="宋体" w:cs="Times New Roman"/>
                <w:color w:val="auto"/>
                <w:kern w:val="0"/>
                <w:sz w:val="24"/>
                <w:szCs w:val="24"/>
                <w:highlight w:val="none"/>
                <w:u w:val="none"/>
                <w:lang w:val="en-US" w:eastAsia="zh-CN" w:bidi="ar-SA"/>
              </w:rPr>
              <w:t>·次，每天洒水3次（雨天不进行喷洒）。本项目工作日为300天，非雨天按250天计算，则道路洒水抑尘用水量为</w:t>
            </w:r>
            <w:r>
              <w:rPr>
                <w:rFonts w:hint="default" w:ascii="Times New Roman" w:hAnsi="Times New Roman" w:eastAsia="宋体" w:cs="Times New Roman"/>
                <w:color w:val="auto"/>
                <w:kern w:val="0"/>
                <w:sz w:val="24"/>
                <w:szCs w:val="24"/>
                <w:highlight w:val="none"/>
                <w:u w:val="none"/>
                <w:lang w:val="en-US" w:eastAsia="zh-CN" w:bidi="ar-SA"/>
              </w:rPr>
              <w:t>3.6m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/d、900m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default" w:ascii="Times New Roman" w:hAnsi="Times New Roman" w:eastAsia="宋体" w:cs="Times New Roman"/>
                <w:color w:val="auto"/>
                <w:kern w:val="0"/>
                <w:sz w:val="24"/>
                <w:szCs w:val="24"/>
                <w:highlight w:val="none"/>
                <w:u w:val="none"/>
                <w:lang w:val="en-US" w:eastAsia="zh-CN" w:bidi="ar-SA"/>
              </w:rPr>
              <w:t>。这部分水全部蒸发或渗漏损失。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2、生产线抑尘用水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项目制砂生产线破碎机、筛分机倒料口均设置有喷淋设施，每个倒料口喷淋用水量以1m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/h；本项目有2台破碎机、2台筛分机，则制砂生产线喷淋用水量约</w:t>
            </w:r>
            <w:r>
              <w:rPr>
                <w:rFonts w:hint="default" w:ascii="Times New Roman" w:hAnsi="Times New Roman" w:eastAsia="宋体" w:cs="Times New Roman"/>
                <w:color w:val="auto"/>
                <w:kern w:val="0"/>
                <w:sz w:val="24"/>
                <w:szCs w:val="24"/>
                <w:highlight w:val="none"/>
                <w:u w:val="none"/>
                <w:lang w:val="en-US" w:eastAsia="zh-CN" w:bidi="ar-SA"/>
              </w:rPr>
              <w:t>4m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/h</w:t>
            </w:r>
            <w:r>
              <w:rPr>
                <w:rFonts w:hint="default" w:ascii="Times New Roman" w:hAnsi="Times New Roman" w:eastAsia="宋体" w:cs="Times New Roman"/>
                <w:color w:val="auto"/>
                <w:kern w:val="0"/>
                <w:sz w:val="24"/>
                <w:szCs w:val="24"/>
                <w:highlight w:val="none"/>
                <w:u w:val="none"/>
                <w:lang w:val="en-US" w:eastAsia="zh-CN" w:bidi="ar-SA"/>
              </w:rPr>
              <w:t>。本项目年工作日为300天，日加工时间为8小时，则项目制砂生产线抑尘用水量约为</w:t>
            </w:r>
            <w:r>
              <w:rPr>
                <w:rFonts w:hint="default" w:ascii="Times New Roman" w:hAnsi="Times New Roman" w:eastAsia="宋体" w:cs="Times New Roman"/>
                <w:color w:val="auto"/>
                <w:kern w:val="0"/>
                <w:sz w:val="24"/>
                <w:szCs w:val="24"/>
                <w:highlight w:val="none"/>
                <w:u w:val="none"/>
                <w:lang w:val="en-US" w:eastAsia="zh-CN" w:bidi="ar-SA"/>
              </w:rPr>
              <w:t>32m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/d、9600m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default" w:ascii="Times New Roman" w:hAnsi="Times New Roman" w:eastAsia="宋体" w:cs="Times New Roman"/>
                <w:color w:val="auto"/>
                <w:kern w:val="0"/>
                <w:sz w:val="24"/>
                <w:szCs w:val="24"/>
                <w:highlight w:val="none"/>
                <w:u w:val="none"/>
                <w:lang w:val="en-US" w:eastAsia="zh-CN" w:bidi="ar-SA"/>
              </w:rPr>
              <w:t>。这部分水全部蒸发损失。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3、洗车用水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本项目年运输物料量按照12万（原料6万吨＋成品约6万吨）吨计算，按40t每车计，每年约为3000辆次，洗车用水量为0.1m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/辆•次，用水量为300m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/a，这部分水全部蒸发损失。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u w:val="none"/>
                <w:lang w:val="en-US" w:eastAsia="zh-CN" w:bidi="ar-SA"/>
              </w:rPr>
              <w:t>堆场洒水抑尘用水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本项目原料堆场、成品堆场需要定期洒水抑尘，根据《建筑给水排水设计规范》（GB50015-2009），项目洒水抑尘用水定额按0.5L/m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次计。原料堆场洒水抑尘平均一天2次，堆场总面积约1000m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则本项目原料堆场洒水抑尘用水总量为</w:t>
            </w:r>
            <w:r>
              <w:rPr>
                <w:rFonts w:hint="default" w:ascii="Times New Roman" w:hAnsi="Times New Roman" w:eastAsia="宋体" w:cs="Times New Roman"/>
                <w:b w:val="0"/>
                <w:bCs w:val="0"/>
                <w:color w:val="auto"/>
                <w:sz w:val="24"/>
                <w:szCs w:val="24"/>
                <w:highlight w:val="none"/>
                <w:lang w:val="en-US" w:eastAsia="zh-CN"/>
              </w:rPr>
              <w:t>1m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/d（300m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u w:val="none"/>
                <w:lang w:val="en-US" w:eastAsia="zh-CN" w:bidi="ar-SA"/>
              </w:rPr>
              <w:t>这部分水全部蒸发或渗漏损失。</w:t>
            </w:r>
          </w:p>
          <w:p>
            <w:pPr>
              <w:keepNext w:val="0"/>
              <w:keepLines w:val="0"/>
              <w:pageBreakBefore w:val="0"/>
              <w:widowControl/>
              <w:suppressLineNumbers w:val="0"/>
              <w:kinsoku/>
              <w:overflowPunct/>
              <w:topLinePunct w:val="0"/>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表2-5本项目用水量一览表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498"/>
              <w:gridCol w:w="1323"/>
              <w:gridCol w:w="1123"/>
              <w:gridCol w:w="152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序号</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用水项目名称</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使用人数或单位数</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用水标准</w:t>
                  </w:r>
                </w:p>
              </w:tc>
              <w:tc>
                <w:tcPr>
                  <w:tcW w:w="962"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日用水量m</w:t>
                  </w:r>
                  <w:r>
                    <w:rPr>
                      <w:rFonts w:hint="default" w:ascii="Times New Roman" w:hAnsi="Times New Roman" w:eastAsia="宋体" w:cs="Times New Roman"/>
                      <w:bCs/>
                      <w:color w:val="auto"/>
                      <w:sz w:val="21"/>
                      <w:szCs w:val="21"/>
                      <w:highlight w:val="none"/>
                      <w:u w:val="none"/>
                      <w:vertAlign w:val="superscript"/>
                      <w:lang w:val="en-US" w:eastAsia="zh-CN"/>
                    </w:rPr>
                    <w:t>3</w:t>
                  </w:r>
                  <w:r>
                    <w:rPr>
                      <w:rFonts w:hint="default" w:ascii="Times New Roman" w:hAnsi="Times New Roman" w:eastAsia="宋体" w:cs="Times New Roman"/>
                      <w:bCs/>
                      <w:color w:val="auto"/>
                      <w:sz w:val="21"/>
                      <w:szCs w:val="21"/>
                      <w:highlight w:val="none"/>
                      <w:u w:val="none"/>
                      <w:lang w:val="en-US" w:eastAsia="zh-CN"/>
                    </w:rPr>
                    <w:t>/d</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年用水量</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m</w:t>
                  </w:r>
                  <w:r>
                    <w:rPr>
                      <w:rFonts w:hint="default" w:ascii="Times New Roman" w:hAnsi="Times New Roman" w:eastAsia="宋体" w:cs="Times New Roman"/>
                      <w:bCs/>
                      <w:color w:val="auto"/>
                      <w:sz w:val="21"/>
                      <w:szCs w:val="21"/>
                      <w:highlight w:val="none"/>
                      <w:u w:val="none"/>
                      <w:vertAlign w:val="superscript"/>
                      <w:lang w:val="en-US" w:eastAsia="zh-CN"/>
                    </w:rPr>
                    <w:t>3</w:t>
                  </w:r>
                  <w:r>
                    <w:rPr>
                      <w:rFonts w:hint="default" w:ascii="Times New Roman" w:hAnsi="Times New Roman" w:eastAsia="宋体" w:cs="Times New Roman"/>
                      <w:bCs/>
                      <w:color w:val="auto"/>
                      <w:sz w:val="21"/>
                      <w:szCs w:val="21"/>
                      <w:highlight w:val="none"/>
                      <w:u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生活用水</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5人</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90L/人•d</w:t>
                  </w:r>
                </w:p>
              </w:tc>
              <w:tc>
                <w:tcPr>
                  <w:tcW w:w="15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13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道路降尘用水</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每天洒水3</w:t>
                  </w:r>
                  <w:r>
                    <w:rPr>
                      <w:rFonts w:hint="default" w:ascii="Times New Roman" w:hAnsi="Times New Roman" w:eastAsia="宋体" w:cs="Times New Roman"/>
                      <w:color w:val="auto"/>
                      <w:sz w:val="21"/>
                      <w:szCs w:val="21"/>
                      <w:highlight w:val="none"/>
                      <w:u w:val="none"/>
                      <w:lang w:val="en-US" w:eastAsia="zh-CN"/>
                    </w:rPr>
                    <w:t>次，雨天不洒水</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rPr>
                    <w:t>L/m</w:t>
                  </w:r>
                  <w:r>
                    <w:rPr>
                      <w:rFonts w:hint="default" w:ascii="Times New Roman" w:hAnsi="Times New Roman" w:eastAsia="宋体" w:cs="Times New Roman"/>
                      <w:color w:val="auto"/>
                      <w:sz w:val="21"/>
                      <w:szCs w:val="21"/>
                      <w:highlight w:val="none"/>
                      <w:u w:val="none"/>
                      <w:vertAlign w:val="superscript"/>
                    </w:rPr>
                    <w:t>2</w:t>
                  </w:r>
                  <w:r>
                    <w:rPr>
                      <w:rFonts w:hint="default" w:ascii="Times New Roman" w:hAnsi="Times New Roman" w:eastAsia="宋体" w:cs="Times New Roman"/>
                      <w:color w:val="auto"/>
                      <w:sz w:val="21"/>
                      <w:szCs w:val="21"/>
                      <w:highlight w:val="none"/>
                      <w:u w:val="none"/>
                      <w:vertAlign w:val="baseline"/>
                    </w:rPr>
                    <w:t>·</w:t>
                  </w:r>
                  <w:r>
                    <w:rPr>
                      <w:rFonts w:hint="default" w:ascii="Times New Roman" w:hAnsi="Times New Roman" w:eastAsia="宋体" w:cs="Times New Roman"/>
                      <w:color w:val="auto"/>
                      <w:sz w:val="21"/>
                      <w:szCs w:val="21"/>
                      <w:highlight w:val="none"/>
                      <w:u w:val="none"/>
                    </w:rPr>
                    <w:t>次</w:t>
                  </w:r>
                </w:p>
              </w:tc>
              <w:tc>
                <w:tcPr>
                  <w:tcW w:w="15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3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3</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生产线抑尘用水</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2400h/a</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/h</w:t>
                  </w:r>
                </w:p>
              </w:tc>
              <w:tc>
                <w:tcPr>
                  <w:tcW w:w="15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3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4</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bidi="ar-SA"/>
                    </w:rPr>
                    <w:t>洗车用水</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bidi="ar-SA"/>
                    </w:rPr>
                    <w:t>3000辆•次/年</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0.1m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/辆•次</w:t>
                  </w:r>
                </w:p>
              </w:tc>
              <w:tc>
                <w:tcPr>
                  <w:tcW w:w="15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3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5</w:t>
                  </w:r>
                </w:p>
              </w:tc>
              <w:tc>
                <w:tcPr>
                  <w:tcW w:w="943" w:type="pc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bidi="ar-SA"/>
                    </w:rPr>
                    <w:t>堆场洒水抑尘用水</w:t>
                  </w:r>
                </w:p>
              </w:tc>
              <w:tc>
                <w:tcPr>
                  <w:tcW w:w="833"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每天洒水</w:t>
                  </w:r>
                  <w:r>
                    <w:rPr>
                      <w:rFonts w:hint="default" w:ascii="Times New Roman" w:hAnsi="Times New Roman" w:eastAsia="宋体" w:cs="Times New Roman"/>
                      <w:color w:val="auto"/>
                      <w:sz w:val="21"/>
                      <w:szCs w:val="21"/>
                      <w:highlight w:val="none"/>
                      <w:u w:val="none"/>
                      <w:lang w:val="en-US" w:eastAsia="zh-CN"/>
                    </w:rPr>
                    <w:t>2次</w:t>
                  </w:r>
                </w:p>
              </w:tc>
              <w:tc>
                <w:tcPr>
                  <w:tcW w:w="707" w:type="pc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Cs/>
                      <w:color w:val="auto"/>
                      <w:sz w:val="21"/>
                      <w:szCs w:val="21"/>
                      <w:highlight w:val="none"/>
                      <w:u w:val="none"/>
                      <w:lang w:val="en-US" w:eastAsia="zh-CN"/>
                    </w:rPr>
                    <w:t>0.5</w:t>
                  </w:r>
                  <w:r>
                    <w:rPr>
                      <w:rFonts w:hint="default" w:ascii="Times New Roman" w:hAnsi="Times New Roman" w:eastAsia="宋体" w:cs="Times New Roman"/>
                      <w:color w:val="auto"/>
                      <w:sz w:val="21"/>
                      <w:szCs w:val="21"/>
                      <w:highlight w:val="none"/>
                      <w:u w:val="none"/>
                    </w:rPr>
                    <w:t>L/m</w:t>
                  </w:r>
                  <w:r>
                    <w:rPr>
                      <w:rFonts w:hint="default" w:ascii="Times New Roman" w:hAnsi="Times New Roman" w:eastAsia="宋体" w:cs="Times New Roman"/>
                      <w:color w:val="auto"/>
                      <w:sz w:val="21"/>
                      <w:szCs w:val="21"/>
                      <w:highlight w:val="none"/>
                      <w:u w:val="none"/>
                      <w:vertAlign w:val="superscript"/>
                    </w:rPr>
                    <w:t>2</w:t>
                  </w:r>
                  <w:r>
                    <w:rPr>
                      <w:rFonts w:hint="default" w:ascii="Times New Roman" w:hAnsi="Times New Roman" w:eastAsia="宋体" w:cs="Times New Roman"/>
                      <w:color w:val="auto"/>
                      <w:sz w:val="21"/>
                      <w:szCs w:val="21"/>
                      <w:highlight w:val="none"/>
                      <w:u w:val="none"/>
                      <w:vertAlign w:val="baseline"/>
                    </w:rPr>
                    <w:t>·</w:t>
                  </w:r>
                  <w:r>
                    <w:rPr>
                      <w:rFonts w:hint="default" w:ascii="Times New Roman" w:hAnsi="Times New Roman" w:eastAsia="宋体" w:cs="Times New Roman"/>
                      <w:color w:val="auto"/>
                      <w:sz w:val="21"/>
                      <w:szCs w:val="21"/>
                      <w:highlight w:val="none"/>
                      <w:u w:val="none"/>
                    </w:rPr>
                    <w:t>次</w:t>
                  </w:r>
                </w:p>
              </w:tc>
              <w:tc>
                <w:tcPr>
                  <w:tcW w:w="15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3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（2）排水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本项目雨污分流，厂区周边需设置截水沟渠，将初期雨水排入衡阳富华钢化玻璃有限公司厂区内雨水收集池，</w:t>
            </w:r>
            <w:r>
              <w:rPr>
                <w:rFonts w:hint="default" w:ascii="Times New Roman" w:hAnsi="Times New Roman" w:eastAsia="宋体" w:cs="Times New Roman"/>
                <w:color w:val="auto"/>
                <w:kern w:val="0"/>
                <w:sz w:val="24"/>
                <w:szCs w:val="24"/>
                <w:highlight w:val="none"/>
                <w:lang w:val="en-US" w:eastAsia="zh-CN" w:bidi="ar"/>
              </w:rPr>
              <w:t>经雨水收集池收集后沉淀处理后排放至园区雨水管网。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本项目无生产废水外排。</w:t>
            </w:r>
            <w:r>
              <w:rPr>
                <w:rFonts w:hint="default" w:ascii="Times New Roman" w:hAnsi="Times New Roman" w:eastAsia="宋体" w:cs="Times New Roman"/>
                <w:color w:val="auto"/>
                <w:kern w:val="0"/>
                <w:sz w:val="24"/>
                <w:szCs w:val="24"/>
                <w:highlight w:val="none"/>
                <w:lang w:val="en-US" w:eastAsia="zh-CN" w:bidi="ar"/>
              </w:rPr>
              <w:t>生活污水经化粪池处理后排入园区污水管网，进入衡阳西渡高新技术产业园污水处理厂进一步处理，处理达标后排放；初期雨水依托衡阳富华钢化玻璃有限公司厂区内雨水收集池收集后沉淀处理后排放至园区雨水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表2-6</w:t>
            </w:r>
            <w:r>
              <w:rPr>
                <w:rFonts w:hint="default" w:ascii="Times New Roman" w:hAnsi="Times New Roman" w:eastAsia="宋体" w:cs="Times New Roman"/>
                <w:b/>
                <w:bCs/>
                <w:color w:val="auto"/>
                <w:sz w:val="21"/>
                <w:szCs w:val="21"/>
                <w:highlight w:val="none"/>
                <w:lang w:val="en-US" w:eastAsia="zh-CN"/>
              </w:rPr>
              <w:t>用水、排水情况一览表（以天计，单位</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/d，生产期间无雨天数约250天</w:t>
            </w:r>
            <w:r>
              <w:rPr>
                <w:rFonts w:hint="default" w:ascii="Times New Roman" w:hAnsi="Times New Roman" w:eastAsia="宋体" w:cs="Times New Roman"/>
                <w:b/>
                <w:bCs/>
                <w:color w:val="auto"/>
                <w:sz w:val="21"/>
                <w:szCs w:val="21"/>
                <w:highlight w:val="none"/>
                <w:lang w:val="en-US" w:eastAsia="zh-CN"/>
              </w:rPr>
              <w:t>）</w:t>
            </w:r>
          </w:p>
          <w:tbl>
            <w:tblPr>
              <w:tblStyle w:val="19"/>
              <w:tblW w:w="0" w:type="auto"/>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6"/>
              <w:gridCol w:w="894"/>
              <w:gridCol w:w="834"/>
              <w:gridCol w:w="580"/>
              <w:gridCol w:w="705"/>
              <w:gridCol w:w="39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项目给排水一览图</w:t>
                  </w:r>
                </w:p>
              </w:tc>
              <w:tc>
                <w:tcPr>
                  <w:tcW w:w="894" w:type="dxa"/>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全厂用水量</w:t>
                  </w:r>
                </w:p>
              </w:tc>
              <w:tc>
                <w:tcPr>
                  <w:tcW w:w="834" w:type="dxa"/>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产污系数</w:t>
                  </w:r>
                </w:p>
              </w:tc>
              <w:tc>
                <w:tcPr>
                  <w:tcW w:w="0" w:type="auto"/>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损耗量</w:t>
                  </w:r>
                </w:p>
              </w:tc>
              <w:tc>
                <w:tcPr>
                  <w:tcW w:w="705" w:type="dxa"/>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废水量</w:t>
                  </w:r>
                </w:p>
              </w:tc>
              <w:tc>
                <w:tcPr>
                  <w:tcW w:w="3956" w:type="dxa"/>
                  <w:tcBorders>
                    <w:left w:val="single" w:color="000000" w:sz="8" w:space="0"/>
                    <w:bottom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处理方法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生活用水</w:t>
                  </w:r>
                </w:p>
              </w:tc>
              <w:tc>
                <w:tcPr>
                  <w:tcW w:w="89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0.45</w:t>
                  </w:r>
                </w:p>
              </w:tc>
              <w:tc>
                <w:tcPr>
                  <w:tcW w:w="8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0.09</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0.36</w:t>
                  </w:r>
                </w:p>
              </w:tc>
              <w:tc>
                <w:tcPr>
                  <w:tcW w:w="3956" w:type="dxa"/>
                  <w:tcBorders>
                    <w:top w:val="single" w:color="000000" w:sz="8" w:space="0"/>
                    <w:left w:val="single" w:color="000000" w:sz="8" w:space="0"/>
                    <w:bottom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经化粪池处理后排入园区污水管网，进入衡阳西渡高新技术产业园污水处理厂进一步处理，处理达标后排放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道路降尘用水</w:t>
                  </w:r>
                </w:p>
              </w:tc>
              <w:tc>
                <w:tcPr>
                  <w:tcW w:w="89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3.6</w:t>
                  </w:r>
                </w:p>
              </w:tc>
              <w:tc>
                <w:tcPr>
                  <w:tcW w:w="8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3.6</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3956" w:type="dxa"/>
                  <w:vMerge w:val="restart"/>
                  <w:tcBorders>
                    <w:top w:val="single" w:color="000000" w:sz="8" w:space="0"/>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生产线抑尘用水</w:t>
                  </w:r>
                </w:p>
              </w:tc>
              <w:tc>
                <w:tcPr>
                  <w:tcW w:w="89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32</w:t>
                  </w:r>
                </w:p>
              </w:tc>
              <w:tc>
                <w:tcPr>
                  <w:tcW w:w="8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0" w:type="auto"/>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32</w:t>
                  </w:r>
                </w:p>
              </w:tc>
              <w:tc>
                <w:tcPr>
                  <w:tcW w:w="705"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3956" w:type="dxa"/>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洗车用水</w:t>
                  </w:r>
                </w:p>
              </w:tc>
              <w:tc>
                <w:tcPr>
                  <w:tcW w:w="89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834" w:type="dxa"/>
                  <w:tcBorders>
                    <w:top w:val="single" w:color="000000" w:sz="8"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3956" w:type="dxa"/>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堆场洒水抑尘用水</w:t>
                  </w:r>
                </w:p>
              </w:tc>
              <w:tc>
                <w:tcPr>
                  <w:tcW w:w="89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8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0" w:type="auto"/>
                  <w:tcBorders>
                    <w:top w:val="single" w:color="auto" w:sz="4"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3956" w:type="dxa"/>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PrEx>
              <w:trPr>
                <w:trHeight w:val="285" w:hRule="atLeast"/>
              </w:trPr>
              <w:tc>
                <w:tcPr>
                  <w:tcW w:w="0" w:type="auto"/>
                  <w:tcBorders>
                    <w:top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合计</w:t>
                  </w:r>
                </w:p>
              </w:tc>
              <w:tc>
                <w:tcPr>
                  <w:tcW w:w="894" w:type="dxa"/>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38.05</w:t>
                  </w:r>
                </w:p>
              </w:tc>
              <w:tc>
                <w:tcPr>
                  <w:tcW w:w="834" w:type="dxa"/>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0" w:type="auto"/>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37.69</w:t>
                  </w:r>
                </w:p>
              </w:tc>
              <w:tc>
                <w:tcPr>
                  <w:tcW w:w="705" w:type="dxa"/>
                  <w:tcBorders>
                    <w:top w:val="single" w:color="auto" w:sz="4"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0.36</w:t>
                  </w:r>
                </w:p>
              </w:tc>
              <w:tc>
                <w:tcPr>
                  <w:tcW w:w="3956" w:type="dxa"/>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表2-7</w:t>
            </w:r>
            <w:r>
              <w:rPr>
                <w:rFonts w:hint="default" w:ascii="Times New Roman" w:hAnsi="Times New Roman" w:eastAsia="宋体" w:cs="Times New Roman"/>
                <w:b/>
                <w:bCs/>
                <w:color w:val="auto"/>
                <w:sz w:val="21"/>
                <w:szCs w:val="21"/>
                <w:highlight w:val="none"/>
                <w:lang w:val="en-US" w:eastAsia="zh-CN"/>
              </w:rPr>
              <w:t>用水、排水情况一览表（以天计</w:t>
            </w:r>
            <w:r>
              <w:rPr>
                <w:rFonts w:hint="default"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sz w:val="21"/>
                <w:szCs w:val="21"/>
                <w:highlight w:val="none"/>
                <w:lang w:val="en-US" w:eastAsia="zh-CN"/>
              </w:rPr>
              <w:t>单位</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/d</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bidi="ar"/>
              </w:rPr>
              <w:t>生产期间下雨天数约50天</w:t>
            </w:r>
            <w:r>
              <w:rPr>
                <w:rFonts w:hint="default" w:ascii="Times New Roman" w:hAnsi="Times New Roman" w:eastAsia="宋体" w:cs="Times New Roman"/>
                <w:b/>
                <w:bCs/>
                <w:color w:val="auto"/>
                <w:sz w:val="21"/>
                <w:szCs w:val="21"/>
                <w:highlight w:val="none"/>
                <w:lang w:val="en-US" w:eastAsia="zh-CN"/>
              </w:rPr>
              <w:t>）</w:t>
            </w:r>
          </w:p>
          <w:tbl>
            <w:tblPr>
              <w:tblStyle w:val="19"/>
              <w:tblW w:w="0" w:type="auto"/>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6"/>
              <w:gridCol w:w="744"/>
              <w:gridCol w:w="1476"/>
              <w:gridCol w:w="689"/>
              <w:gridCol w:w="585"/>
              <w:gridCol w:w="25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项目给排水一览图</w:t>
                  </w:r>
                </w:p>
              </w:tc>
              <w:tc>
                <w:tcPr>
                  <w:tcW w:w="0" w:type="auto"/>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全厂用水量</w:t>
                  </w:r>
                </w:p>
              </w:tc>
              <w:tc>
                <w:tcPr>
                  <w:tcW w:w="0" w:type="auto"/>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产污系数</w:t>
                  </w:r>
                </w:p>
              </w:tc>
              <w:tc>
                <w:tcPr>
                  <w:tcW w:w="0" w:type="auto"/>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损耗量</w:t>
                  </w:r>
                </w:p>
              </w:tc>
              <w:tc>
                <w:tcPr>
                  <w:tcW w:w="0" w:type="auto"/>
                  <w:tcBorders>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废水量</w:t>
                  </w:r>
                </w:p>
              </w:tc>
              <w:tc>
                <w:tcPr>
                  <w:tcW w:w="0" w:type="auto"/>
                  <w:tcBorders>
                    <w:left w:val="single" w:color="000000" w:sz="8" w:space="0"/>
                    <w:bottom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处理方法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82" w:type="dxa"/>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生活用水</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0.45</w:t>
                  </w:r>
                </w:p>
              </w:tc>
              <w:tc>
                <w:tcPr>
                  <w:tcW w:w="8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0.8</w:t>
                  </w:r>
                </w:p>
              </w:tc>
              <w:tc>
                <w:tcPr>
                  <w:tcW w:w="5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0.09</w:t>
                  </w:r>
                </w:p>
              </w:tc>
              <w:tc>
                <w:tcPr>
                  <w:tcW w:w="5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0.36</w:t>
                  </w:r>
                </w:p>
              </w:tc>
              <w:tc>
                <w:tcPr>
                  <w:tcW w:w="0" w:type="auto"/>
                  <w:tcBorders>
                    <w:top w:val="single" w:color="000000" w:sz="8" w:space="0"/>
                    <w:left w:val="single" w:color="000000" w:sz="8" w:space="0"/>
                    <w:bottom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经化粪池处理后排入园区污水管网，进入衡阳西渡高新技术产业园污水处理厂进一步处理，处理达标后排放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96" w:type="dxa"/>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生产线抑尘用水</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32</w:t>
                  </w:r>
                </w:p>
              </w:tc>
              <w:tc>
                <w:tcPr>
                  <w:tcW w:w="14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585"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32</w:t>
                  </w:r>
                </w:p>
              </w:tc>
              <w:tc>
                <w:tcPr>
                  <w:tcW w:w="585"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0" w:type="auto"/>
                  <w:vMerge w:val="restart"/>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96" w:type="dxa"/>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洗车用水</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1476" w:type="dxa"/>
                  <w:tcBorders>
                    <w:top w:val="single" w:color="000000" w:sz="8"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0" w:type="auto"/>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96" w:type="dxa"/>
                  <w:tcBorders>
                    <w:top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堆场洒水抑尘用水</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14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全部蒸发损失</w:t>
                  </w:r>
                </w:p>
              </w:tc>
              <w:tc>
                <w:tcPr>
                  <w:tcW w:w="585" w:type="dxa"/>
                  <w:tcBorders>
                    <w:top w:val="single" w:color="auto" w:sz="4"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0" w:type="auto"/>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合计</w:t>
                  </w:r>
                </w:p>
              </w:tc>
              <w:tc>
                <w:tcPr>
                  <w:tcW w:w="0" w:type="auto"/>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34.45</w:t>
                  </w:r>
                </w:p>
              </w:tc>
              <w:tc>
                <w:tcPr>
                  <w:tcW w:w="0" w:type="auto"/>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w:t>
                  </w:r>
                </w:p>
              </w:tc>
              <w:tc>
                <w:tcPr>
                  <w:tcW w:w="0" w:type="auto"/>
                  <w:tcBorders>
                    <w:top w:val="single" w:color="000000" w:sz="8"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34.09</w:t>
                  </w:r>
                </w:p>
              </w:tc>
              <w:tc>
                <w:tcPr>
                  <w:tcW w:w="0" w:type="auto"/>
                  <w:tcBorders>
                    <w:top w:val="single" w:color="auto" w:sz="4" w:space="0"/>
                    <w:left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0.36</w:t>
                  </w:r>
                </w:p>
              </w:tc>
              <w:tc>
                <w:tcPr>
                  <w:tcW w:w="0" w:type="auto"/>
                  <w:vMerge w:val="continue"/>
                  <w:tcBorders>
                    <w:left w:val="single" w:color="000000" w:sz="8" w:space="0"/>
                  </w:tcBorders>
                  <w:shd w:val="clear" w:color="auto" w:fill="auto"/>
                  <w:vAlign w:val="center"/>
                </w:tcPr>
                <w:p>
                  <w:pPr>
                    <w:keepNext w:val="0"/>
                    <w:keepLines w:val="0"/>
                    <w:pageBreakBefore w:val="0"/>
                    <w:widowControl w:val="0"/>
                    <w:suppressLineNumbers w:val="0"/>
                    <w:kinsoku/>
                    <w:wordWrap w:val="0"/>
                    <w:overflowPunct/>
                    <w:topLinePunct w:val="0"/>
                    <w:autoSpaceDE/>
                    <w:autoSpaceDN/>
                    <w:bidi w:val="0"/>
                    <w:adjustRightInd/>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u w:val="none"/>
                      <w:lang w:val="en-US" w:eastAsia="zh-CN" w:bidi="ar-SA"/>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043170" cy="2436495"/>
                  <wp:effectExtent l="0" t="0" r="5080" b="190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1"/>
                          <a:stretch>
                            <a:fillRect/>
                          </a:stretch>
                        </pic:blipFill>
                        <pic:spPr>
                          <a:xfrm>
                            <a:off x="0" y="0"/>
                            <a:ext cx="5043170" cy="2436495"/>
                          </a:xfrm>
                          <a:prstGeom prst="rect">
                            <a:avLst/>
                          </a:prstGeom>
                        </pic:spPr>
                      </pic:pic>
                    </a:graphicData>
                  </a:graphic>
                </wp:inline>
              </w:drawing>
            </w:r>
          </w:p>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图2-1项目雨期水平衡图（单位：m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/d，多年平均降雨天数约50天）</w:t>
            </w:r>
          </w:p>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drawing>
                <wp:inline distT="0" distB="0" distL="114300" distR="114300">
                  <wp:extent cx="5039995" cy="2889885"/>
                  <wp:effectExtent l="0" t="0" r="0" b="0"/>
                  <wp:docPr id="40"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图片1"/>
                          <pic:cNvPicPr>
                            <a:picLocks noChangeAspect="1"/>
                          </pic:cNvPicPr>
                        </pic:nvPicPr>
                        <pic:blipFill>
                          <a:blip r:embed="rId12"/>
                          <a:stretch>
                            <a:fillRect/>
                          </a:stretch>
                        </pic:blipFill>
                        <pic:spPr>
                          <a:xfrm>
                            <a:off x="0" y="0"/>
                            <a:ext cx="5039995" cy="2889885"/>
                          </a:xfrm>
                          <a:prstGeom prst="rect">
                            <a:avLst/>
                          </a:prstGeom>
                          <a:noFill/>
                          <a:ln>
                            <a:noFill/>
                          </a:ln>
                        </pic:spPr>
                      </pic:pic>
                    </a:graphicData>
                  </a:graphic>
                </wp:inline>
              </w:drawing>
            </w:r>
          </w:p>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图2-2项目无雨期水平衡图（单位：m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/d，生产期间无雨天数约250天）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（3）供电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项目用电由乡镇供电所供给。</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8、劳动定员及工作制度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本项目劳动定员5人，均不在场内住宿，年生产300天，为1班制，一班工作8小时。</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9、原料加工规模可行性分析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①生产设备加工能力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本项目使用锤破机进行破碎，其中包括一台600*400的锤破机及一台600*600的锤破机，根据调查，一台600*400的锤破机的生产能力约为15-33t/h，</w:t>
            </w:r>
            <w:r>
              <w:rPr>
                <w:rFonts w:hint="default" w:ascii="Times New Roman" w:hAnsi="Times New Roman" w:eastAsia="宋体" w:cs="Times New Roman"/>
                <w:color w:val="auto"/>
                <w:kern w:val="0"/>
                <w:sz w:val="24"/>
                <w:szCs w:val="24"/>
                <w:highlight w:val="none"/>
                <w:lang w:val="en-US" w:eastAsia="zh-CN" w:bidi="ar"/>
              </w:rPr>
              <w:t>若以</w:t>
            </w:r>
            <w:r>
              <w:rPr>
                <w:rFonts w:hint="eastAsia" w:cs="Times New Roman"/>
                <w:color w:val="auto"/>
                <w:kern w:val="0"/>
                <w:sz w:val="24"/>
                <w:szCs w:val="24"/>
                <w:highlight w:val="none"/>
                <w:lang w:val="en-US" w:eastAsia="zh-CN" w:bidi="ar"/>
              </w:rPr>
              <w:t>最大</w:t>
            </w:r>
            <w:r>
              <w:rPr>
                <w:rFonts w:hint="default" w:ascii="Times New Roman" w:hAnsi="Times New Roman" w:eastAsia="宋体" w:cs="Times New Roman"/>
                <w:color w:val="auto"/>
                <w:kern w:val="0"/>
                <w:sz w:val="24"/>
                <w:szCs w:val="24"/>
                <w:highlight w:val="none"/>
                <w:lang w:val="en-US" w:eastAsia="zh-CN" w:bidi="ar"/>
              </w:rPr>
              <w:t>生产能力计算，取33t/h，按企业一年工作300天，一天8小时工作计算，年处理钢渣能力为79200t，可得600*400的锤破机可以满足年破碎6万吨钢渣的加工</w:t>
            </w:r>
            <w:r>
              <w:rPr>
                <w:rFonts w:hint="default" w:ascii="Times New Roman" w:hAnsi="Times New Roman" w:eastAsia="宋体" w:cs="Times New Roman"/>
                <w:color w:val="auto"/>
                <w:kern w:val="0"/>
                <w:sz w:val="24"/>
                <w:szCs w:val="24"/>
                <w:highlight w:val="none"/>
                <w:lang w:val="en-US" w:eastAsia="zh-CN" w:bidi="ar"/>
              </w:rPr>
              <w:t>；一台600*600的锤破机的生产能力约为9m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/h，钢渣密度大概3t/m³，则600*600的锤破机的生产能力约为27t/h，按企业一年工作300天，一天8小时工作计算，年生产能力为64800t，</w:t>
            </w:r>
            <w:r>
              <w:rPr>
                <w:rFonts w:hint="default" w:ascii="Times New Roman" w:hAnsi="Times New Roman" w:eastAsia="宋体" w:cs="Times New Roman"/>
                <w:color w:val="auto"/>
                <w:kern w:val="0"/>
                <w:sz w:val="24"/>
                <w:szCs w:val="24"/>
                <w:highlight w:val="none"/>
                <w:lang w:val="en-US" w:eastAsia="zh-CN" w:bidi="ar"/>
              </w:rPr>
              <w:t>可得600*600的锤破机可以满足年破碎6万吨钢渣的加工</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由上述说明可知，本项目生产设备可以达到加工年处理6万吨钢渣水平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②用地面积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加工线预设用地面积为600m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其中主要机器锤破机PCΦ600×600的大小大概为2245×1160×9700mm，锤破机PCΦ600×400的大小大概为1000×980×1120，磁选机大小为一般长6.2m，宽2.6m，高2.8m。使用运输皮带连接各个设备，加工线预设用地可以满足设备的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原料堆场预设面积为500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本项目原料和产品快进快出，只会短暂在加工区停留。若加工区无法满足原料堆积需要或无法做到原料快进快出，本项目还设有专门的原料堆场位于主体加工车间西部的已建厂房中。本项目以工作日（300天）每天都进行原料的进出为例，每日原料堆场的平均钢渣暂存量为200t，以钢渣密度3</w:t>
            </w:r>
            <w:r>
              <w:rPr>
                <w:rFonts w:hint="default" w:ascii="Times New Roman" w:hAnsi="Times New Roman" w:eastAsia="宋体" w:cs="Times New Roman"/>
                <w:color w:val="auto"/>
                <w:kern w:val="0"/>
                <w:sz w:val="24"/>
                <w:szCs w:val="24"/>
                <w:highlight w:val="none"/>
                <w:lang w:val="en-US" w:eastAsia="zh-CN" w:bidi="ar"/>
              </w:rPr>
              <w:t>t/m³计，原料堆场面积为500m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，设平均堆高为1.5m，则原料堆场可堆积的钢渣总量为2250t，即可以堆积10天的原料量，可以满足原料加工需求。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成品堆场预设面积为300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本项目原料和产品快进快出，只会短暂在加工区停留。若加工区无法满足成品堆积需要或无法做到产品快进快出，本项目还设有专门的成品堆场位于主体加工车间西部的已建厂房中，本项目以工作日（300天）每天都进行成品的进出为例，每日成品堆场的平均产品暂存量为200t，以成品密度2</w:t>
            </w:r>
            <w:r>
              <w:rPr>
                <w:rFonts w:hint="default" w:ascii="Times New Roman" w:hAnsi="Times New Roman" w:eastAsia="宋体" w:cs="Times New Roman"/>
                <w:color w:val="auto"/>
                <w:kern w:val="0"/>
                <w:sz w:val="24"/>
                <w:szCs w:val="24"/>
                <w:highlight w:val="none"/>
                <w:lang w:val="en-US" w:eastAsia="zh-CN" w:bidi="ar"/>
              </w:rPr>
              <w:t>t/m³，成品堆场面积为500m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，设平均堆高为1.5m，则成品堆场可堆积的产品总量为2250t，即可以堆积10天的产品量，可以满足成品堆积需求。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17"/>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161" w:type="dxa"/>
            <w:noWrap w:val="0"/>
            <w:vAlign w:val="top"/>
          </w:tcPr>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1.施工期工艺流程及产污环节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新建项目，项目租用租赁衡阳富华钢化玻璃有限公司现有已建的1栋标准厂房，项目入驻仅对现有厂房进行地面防渗层改造、设置分区及设备安装等，施工期较短且工程量很小。本项目施工期工艺流程与污染源图示如下图。</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drawing>
                <wp:anchor distT="0" distB="0" distL="114300" distR="114300" simplePos="0" relativeHeight="251661312" behindDoc="0" locked="0" layoutInCell="1" allowOverlap="1">
                  <wp:simplePos x="0" y="0"/>
                  <wp:positionH relativeFrom="column">
                    <wp:posOffset>-27305</wp:posOffset>
                  </wp:positionH>
                  <wp:positionV relativeFrom="paragraph">
                    <wp:posOffset>111760</wp:posOffset>
                  </wp:positionV>
                  <wp:extent cx="5039360" cy="2252345"/>
                  <wp:effectExtent l="0" t="0" r="0" b="0"/>
                  <wp:wrapTopAndBottom/>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3"/>
                          <a:stretch>
                            <a:fillRect/>
                          </a:stretch>
                        </pic:blipFill>
                        <pic:spPr>
                          <a:xfrm>
                            <a:off x="0" y="0"/>
                            <a:ext cx="5039360" cy="2252345"/>
                          </a:xfrm>
                          <a:prstGeom prst="rect">
                            <a:avLst/>
                          </a:prstGeom>
                          <a:noFill/>
                          <a:ln>
                            <a:noFill/>
                          </a:ln>
                        </pic:spPr>
                      </pic:pic>
                    </a:graphicData>
                  </a:graphic>
                </wp:anchor>
              </w:drawing>
            </w:r>
            <w:r>
              <w:rPr>
                <w:rFonts w:hint="default" w:ascii="Times New Roman" w:hAnsi="Times New Roman" w:eastAsia="宋体" w:cs="Times New Roman"/>
                <w:b/>
                <w:bCs/>
                <w:color w:val="auto"/>
                <w:kern w:val="0"/>
                <w:sz w:val="21"/>
                <w:szCs w:val="21"/>
                <w:highlight w:val="none"/>
                <w:lang w:val="en-US" w:eastAsia="zh-CN" w:bidi="ar"/>
              </w:rPr>
              <w:t>图2-3施工期工艺流程及产污环节图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本项目施工期主要为厂房维修、装修及生产设备的安装。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建设工程会对周围环境产生一些负面影响，主要表现在：施工期将产生施工废水、施工扬尘、汽车尾气、施工噪声及施工固废等污染物，由于施工期施工现场不设施工营地，施工人员不在项目内食宿，无生活污水产生。其主要污染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1）大气环境影响因素：施工扬尘、施工机械及施工车辆尾气等。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2）地表水影响因素：水污染物主要为施工废水。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3）声环境影响因素：施工机械及运输车辆噪声。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4）固废影响因素：建筑垃圾、生活垃圾等。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5）社会及交通影响：临时占地、交通堵塞。</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2.运营期工艺流程及产污环节</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（1）工艺流程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本项目设置1条生产线，主体生产工艺及产污环节图见下图</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drawing>
                <wp:inline distT="0" distB="0" distL="114300" distR="114300">
                  <wp:extent cx="3324860" cy="4462780"/>
                  <wp:effectExtent l="0" t="0" r="8890" b="13970"/>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14"/>
                          <a:stretch>
                            <a:fillRect/>
                          </a:stretch>
                        </pic:blipFill>
                        <pic:spPr>
                          <a:xfrm>
                            <a:off x="0" y="0"/>
                            <a:ext cx="3324860" cy="4462780"/>
                          </a:xfrm>
                          <a:prstGeom prst="rect">
                            <a:avLst/>
                          </a:prstGeom>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图2-4钢渣加工运营期工艺流程及产污节点图（G废气；N噪声）</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（2）工艺简要说明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①原料储存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项目所用原材料为外购钢渣，通过汽车采用苫布覆盖的方式将钢渣原料运输进厂，卸至原料堆场，物料运输、堆放、装卸过程会产生少量的无组织粉尘。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②投料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项目原料废钢渣通过铲车运至上料料斗内，上料后原料通过皮带输送进入锤破机内破碎，该过程采用皮带运输。上料工序将产生粉尘及噪声。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③一次破碎、筛分</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钢渣原料通过铲车铲运至进料口，进入锤破机（</w:t>
            </w:r>
            <w:r>
              <w:rPr>
                <w:rFonts w:hint="default" w:ascii="Times New Roman" w:hAnsi="Times New Roman" w:eastAsia="宋体" w:cs="Times New Roman"/>
                <w:color w:val="auto"/>
                <w:kern w:val="0"/>
                <w:sz w:val="24"/>
                <w:szCs w:val="24"/>
                <w:highlight w:val="none"/>
                <w:vertAlign w:val="baseline"/>
                <w:lang w:val="en-US" w:eastAsia="zh-CN" w:bidi="ar"/>
              </w:rPr>
              <w:t>Φ600×600</w:t>
            </w:r>
            <w:r>
              <w:rPr>
                <w:rFonts w:hint="default" w:ascii="Times New Roman" w:hAnsi="Times New Roman" w:eastAsia="宋体" w:cs="Times New Roman"/>
                <w:b w:val="0"/>
                <w:bCs w:val="0"/>
                <w:color w:val="auto"/>
                <w:kern w:val="0"/>
                <w:sz w:val="24"/>
                <w:szCs w:val="24"/>
                <w:highlight w:val="none"/>
                <w:lang w:val="en-US" w:eastAsia="zh-CN" w:bidi="ar"/>
              </w:rPr>
              <w:t>）破碎，破碎至钢渣粒径小于20mm，破碎后进入振动筛筛分，得到的＜20mm的钢渣进入磁选机中进行磁选，大于20mm的钢渣回到锤破机（</w:t>
            </w:r>
            <w:r>
              <w:rPr>
                <w:rFonts w:hint="default" w:ascii="Times New Roman" w:hAnsi="Times New Roman" w:eastAsia="宋体" w:cs="Times New Roman"/>
                <w:color w:val="auto"/>
                <w:kern w:val="0"/>
                <w:sz w:val="24"/>
                <w:szCs w:val="24"/>
                <w:highlight w:val="none"/>
                <w:vertAlign w:val="baseline"/>
                <w:lang w:val="en-US" w:eastAsia="zh-CN" w:bidi="ar"/>
              </w:rPr>
              <w:t>Φ600×600</w:t>
            </w:r>
            <w:r>
              <w:rPr>
                <w:rFonts w:hint="default" w:ascii="Times New Roman" w:hAnsi="Times New Roman" w:eastAsia="宋体" w:cs="Times New Roman"/>
                <w:b w:val="0"/>
                <w:bCs w:val="0"/>
                <w:color w:val="auto"/>
                <w:kern w:val="0"/>
                <w:sz w:val="24"/>
                <w:szCs w:val="24"/>
                <w:highlight w:val="none"/>
                <w:lang w:val="en-US" w:eastAsia="zh-CN" w:bidi="ar"/>
              </w:rPr>
              <w:t>）再次进行破碎直至破碎至20mm，该过程采用皮带运输。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项目的原料投放之前进行了洒水抑尘，在运行过程中进行水雾喷淋抑尘，降低了粉尘产生量。一次破碎、筛分运行过程会产生粉尘、噪声。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④一次磁选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经过一次</w:t>
            </w:r>
            <w:r>
              <w:rPr>
                <w:rFonts w:hint="default" w:ascii="Times New Roman" w:hAnsi="Times New Roman" w:eastAsia="宋体" w:cs="Times New Roman"/>
                <w:b w:val="0"/>
                <w:bCs w:val="0"/>
                <w:color w:val="auto"/>
                <w:kern w:val="0"/>
                <w:sz w:val="24"/>
                <w:szCs w:val="24"/>
                <w:highlight w:val="none"/>
                <w:lang w:val="en-US" w:eastAsia="zh-CN" w:bidi="ar"/>
              </w:rPr>
              <w:t>破碎、筛分</w:t>
            </w:r>
            <w:r>
              <w:rPr>
                <w:rFonts w:hint="default" w:ascii="Times New Roman" w:hAnsi="Times New Roman" w:eastAsia="宋体" w:cs="Times New Roman"/>
                <w:b w:val="0"/>
                <w:bCs w:val="0"/>
                <w:color w:val="auto"/>
                <w:kern w:val="0"/>
                <w:sz w:val="24"/>
                <w:szCs w:val="24"/>
                <w:highlight w:val="none"/>
                <w:lang w:val="en-US" w:eastAsia="zh-CN" w:bidi="ar"/>
              </w:rPr>
              <w:t>的钢渣，通过磁选系统，将钢渣中的废铁进行初步分离，该过程采用皮带运输。此过程产生一定的噪声和副产品废铁。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⑤二次破碎、筛分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进行一次磁选后的钢渣进行二次破碎、筛分，利用皮带运输至锤破机（</w:t>
            </w:r>
            <w:r>
              <w:rPr>
                <w:rFonts w:hint="default" w:ascii="Times New Roman" w:hAnsi="Times New Roman" w:eastAsia="宋体" w:cs="Times New Roman"/>
                <w:color w:val="auto"/>
                <w:kern w:val="0"/>
                <w:sz w:val="24"/>
                <w:szCs w:val="24"/>
                <w:highlight w:val="none"/>
                <w:vertAlign w:val="baseline"/>
                <w:lang w:val="en-US" w:eastAsia="zh-CN" w:bidi="ar"/>
              </w:rPr>
              <w:t>Φ600×400</w:t>
            </w:r>
            <w:r>
              <w:rPr>
                <w:rFonts w:hint="default" w:ascii="Times New Roman" w:hAnsi="Times New Roman" w:eastAsia="宋体" w:cs="Times New Roman"/>
                <w:b w:val="0"/>
                <w:bCs w:val="0"/>
                <w:color w:val="auto"/>
                <w:kern w:val="0"/>
                <w:sz w:val="24"/>
                <w:szCs w:val="24"/>
                <w:highlight w:val="none"/>
                <w:lang w:val="en-US" w:eastAsia="zh-CN" w:bidi="ar"/>
              </w:rPr>
              <w:t>）中进行二次破碎，</w:t>
            </w:r>
            <w:r>
              <w:rPr>
                <w:rFonts w:hint="default" w:ascii="Times New Roman" w:hAnsi="Times New Roman" w:eastAsia="宋体" w:cs="Times New Roman"/>
                <w:b w:val="0"/>
                <w:bCs w:val="0"/>
                <w:color w:val="auto"/>
                <w:kern w:val="0"/>
                <w:sz w:val="24"/>
                <w:szCs w:val="24"/>
                <w:highlight w:val="none"/>
                <w:lang w:val="en-US" w:eastAsia="zh-CN" w:bidi="ar"/>
              </w:rPr>
              <w:t>破碎至钢渣粒径小于5mm，破碎后进入振动筛筛分，得到的＜5mm的钢渣进入磁选机中进行二次磁选，大于5mm的钢渣回到锤破机（</w:t>
            </w:r>
            <w:r>
              <w:rPr>
                <w:rFonts w:hint="default" w:ascii="Times New Roman" w:hAnsi="Times New Roman" w:eastAsia="宋体" w:cs="Times New Roman"/>
                <w:color w:val="auto"/>
                <w:kern w:val="0"/>
                <w:sz w:val="24"/>
                <w:szCs w:val="24"/>
                <w:highlight w:val="none"/>
                <w:vertAlign w:val="baseline"/>
                <w:lang w:val="en-US" w:eastAsia="zh-CN" w:bidi="ar"/>
              </w:rPr>
              <w:t>Φ600×400</w:t>
            </w:r>
            <w:r>
              <w:rPr>
                <w:rFonts w:hint="default" w:ascii="Times New Roman" w:hAnsi="Times New Roman" w:eastAsia="宋体" w:cs="Times New Roman"/>
                <w:b w:val="0"/>
                <w:bCs w:val="0"/>
                <w:color w:val="auto"/>
                <w:kern w:val="0"/>
                <w:sz w:val="24"/>
                <w:szCs w:val="24"/>
                <w:highlight w:val="none"/>
                <w:lang w:val="en-US" w:eastAsia="zh-CN" w:bidi="ar"/>
              </w:rPr>
              <w:t>）再次进行破碎直至破碎至5mm，该过程采用皮带运输。</w:t>
            </w:r>
            <w:r>
              <w:rPr>
                <w:rFonts w:hint="default" w:ascii="Times New Roman" w:hAnsi="Times New Roman" w:eastAsia="宋体" w:cs="Times New Roman"/>
                <w:b w:val="0"/>
                <w:bCs w:val="0"/>
                <w:color w:val="auto"/>
                <w:kern w:val="0"/>
                <w:sz w:val="24"/>
                <w:szCs w:val="24"/>
                <w:highlight w:val="none"/>
                <w:lang w:val="en-US" w:eastAsia="zh-CN" w:bidi="ar"/>
              </w:rPr>
              <w:t>在运行过程中进行水雾喷淋抑尘，降低了粉尘产生量。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二次破碎、筛分运行过程会产生粉尘、噪声。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⑥二次磁选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经过二次</w:t>
            </w:r>
            <w:r>
              <w:rPr>
                <w:rFonts w:hint="default" w:ascii="Times New Roman" w:hAnsi="Times New Roman" w:eastAsia="宋体" w:cs="Times New Roman"/>
                <w:b w:val="0"/>
                <w:bCs w:val="0"/>
                <w:color w:val="auto"/>
                <w:kern w:val="0"/>
                <w:sz w:val="24"/>
                <w:szCs w:val="24"/>
                <w:highlight w:val="none"/>
                <w:lang w:val="en-US" w:eastAsia="zh-CN" w:bidi="ar"/>
              </w:rPr>
              <w:t>破碎、筛分</w:t>
            </w:r>
            <w:r>
              <w:rPr>
                <w:rFonts w:hint="default" w:ascii="Times New Roman" w:hAnsi="Times New Roman" w:eastAsia="宋体" w:cs="Times New Roman"/>
                <w:b w:val="0"/>
                <w:bCs w:val="0"/>
                <w:color w:val="auto"/>
                <w:kern w:val="0"/>
                <w:sz w:val="24"/>
                <w:szCs w:val="24"/>
                <w:highlight w:val="none"/>
                <w:lang w:val="en-US" w:eastAsia="zh-CN" w:bidi="ar"/>
              </w:rPr>
              <w:t>的钢渣，通过磁选系统，将钢渣中的废铁进行分离，该过程采用皮带运输。此过程产生一定的噪声和副产品废铁。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⑦外售</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尾渣作为产品出售给水泥厂和替代砂石进行铺路、回填，磁选出的废铁外售。</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⑧产品堆存及外运</w:t>
            </w:r>
          </w:p>
          <w:p>
            <w:pPr>
              <w:keepNext w:val="0"/>
              <w:keepLines w:val="0"/>
              <w:pageBreakBefore w:val="0"/>
              <w:widowControl/>
              <w:suppressLineNumbers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本项目产品堆放到成品堆场，通过运输车辆外运，该过程产生装料粉尘、堆场粉尘、汽车尾气及噪声。</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（3）产排污环节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本项目运营期产污环节汇总见表2-6。</w:t>
            </w:r>
          </w:p>
          <w:p>
            <w:pPr>
              <w:numPr>
                <w:ilvl w:val="0"/>
                <w:numId w:val="0"/>
              </w:numPr>
              <w:bidi w:val="0"/>
              <w:spacing w:line="240" w:lineRule="auto"/>
              <w:ind w:leftChars="0"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表2-6项目生产排污一览表</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949"/>
              <w:gridCol w:w="2130"/>
              <w:gridCol w:w="42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污染因素</w:t>
                  </w:r>
                </w:p>
              </w:tc>
              <w:tc>
                <w:tcPr>
                  <w:tcW w:w="0" w:type="auto"/>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0" w:type="auto"/>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污染因子</w:t>
                  </w:r>
                </w:p>
              </w:tc>
              <w:tc>
                <w:tcPr>
                  <w:tcW w:w="0" w:type="auto"/>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去向（拟采取的污染防治措施）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原料卸料</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厂房封闭、洒水抑尘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原料及成品堆场粉尘</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厂房封闭、洒水抑尘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原料破碎粉尘</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厂房封闭、水雾喷淋抑尘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u w:val="none"/>
                      <w:lang w:val="en-US" w:eastAsia="zh-CN"/>
                    </w:rPr>
                    <w:t>投料和输送粉尘</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厂房封闭、水雾喷淋抑尘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成品装车</w:t>
                  </w:r>
                </w:p>
              </w:tc>
              <w:tc>
                <w:tcPr>
                  <w:tcW w:w="225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厂房封闭、洒水抑尘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895"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u w:val="none"/>
                      <w:lang w:val="en-US" w:eastAsia="zh-CN"/>
                    </w:rPr>
                    <w:t>运输扬尘</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w:t>
                  </w:r>
                </w:p>
              </w:tc>
              <w:tc>
                <w:tcPr>
                  <w:tcW w:w="23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定期清扫、洒水抑尘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汽车尾气</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CO、NO</w:t>
                  </w:r>
                  <w:r>
                    <w:rPr>
                      <w:rFonts w:hint="default" w:ascii="Times New Roman" w:hAnsi="Times New Roman" w:eastAsia="宋体" w:cs="Times New Roman"/>
                      <w:color w:val="auto"/>
                      <w:kern w:val="0"/>
                      <w:sz w:val="21"/>
                      <w:szCs w:val="21"/>
                      <w:highlight w:val="none"/>
                      <w:vertAlign w:val="subscript"/>
                      <w:lang w:val="en-US" w:eastAsia="zh-CN" w:bidi="ar"/>
                    </w:rPr>
                    <w:t>x</w:t>
                  </w:r>
                  <w:r>
                    <w:rPr>
                      <w:rFonts w:hint="default" w:ascii="Times New Roman" w:hAnsi="Times New Roman" w:eastAsia="宋体" w:cs="Times New Roman"/>
                      <w:color w:val="auto"/>
                      <w:kern w:val="0"/>
                      <w:sz w:val="21"/>
                      <w:szCs w:val="21"/>
                      <w:highlight w:val="none"/>
                      <w:lang w:val="en-US" w:eastAsia="zh-CN" w:bidi="ar"/>
                    </w:rPr>
                    <w:t>、THC</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通风绿化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84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89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初期雨水</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SS</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初期雨水依托衡阳富华钢化玻璃有限公司厂区内雨水收集池收集后沉淀处理后排放至园区雨水管网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生活污水</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COD、SS、BOD</w:t>
                  </w:r>
                  <w:r>
                    <w:rPr>
                      <w:rFonts w:hint="default" w:ascii="Times New Roman" w:hAnsi="Times New Roman" w:eastAsia="宋体" w:cs="Times New Roman"/>
                      <w:color w:val="auto"/>
                      <w:sz w:val="21"/>
                      <w:szCs w:val="21"/>
                      <w:highlight w:val="none"/>
                      <w:u w:val="none"/>
                      <w:vertAlign w:val="subscript"/>
                      <w:lang w:val="en-US" w:eastAsia="zh-CN"/>
                    </w:rPr>
                    <w:t>5</w:t>
                  </w:r>
                  <w:r>
                    <w:rPr>
                      <w:rFonts w:hint="default" w:ascii="Times New Roman" w:hAnsi="Times New Roman" w:eastAsia="宋体" w:cs="Times New Roman"/>
                      <w:color w:val="auto"/>
                      <w:sz w:val="21"/>
                      <w:szCs w:val="21"/>
                      <w:highlight w:val="none"/>
                      <w:u w:val="none"/>
                      <w:lang w:val="en-US" w:eastAsia="zh-CN"/>
                    </w:rPr>
                    <w:t>、NH</w:t>
                  </w:r>
                  <w:r>
                    <w:rPr>
                      <w:rFonts w:hint="default" w:ascii="Times New Roman" w:hAnsi="Times New Roman" w:eastAsia="宋体" w:cs="Times New Roman"/>
                      <w:color w:val="auto"/>
                      <w:sz w:val="21"/>
                      <w:szCs w:val="21"/>
                      <w:highlight w:val="none"/>
                      <w:u w:val="none"/>
                      <w:vertAlign w:val="subscript"/>
                      <w:lang w:val="en-US" w:eastAsia="zh-CN"/>
                    </w:rPr>
                    <w:t>3</w:t>
                  </w:r>
                  <w:r>
                    <w:rPr>
                      <w:rFonts w:hint="default" w:ascii="Times New Roman" w:hAnsi="Times New Roman" w:eastAsia="宋体" w:cs="Times New Roman"/>
                      <w:color w:val="auto"/>
                      <w:sz w:val="21"/>
                      <w:szCs w:val="21"/>
                      <w:highlight w:val="none"/>
                      <w:u w:val="none"/>
                      <w:lang w:val="en-US" w:eastAsia="zh-CN"/>
                    </w:rPr>
                    <w:t>-N、p</w:t>
                  </w:r>
                  <w:r>
                    <w:rPr>
                      <w:rFonts w:hint="default" w:ascii="Times New Roman" w:hAnsi="Times New Roman" w:eastAsia="宋体" w:cs="Times New Roman"/>
                      <w:color w:val="auto"/>
                      <w:sz w:val="21"/>
                      <w:szCs w:val="21"/>
                      <w:highlight w:val="none"/>
                      <w:lang w:val="en-US" w:eastAsia="zh-CN"/>
                    </w:rPr>
                    <w:t>H、动植物油</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生活污水经化粪池处理后排入园区污水管网，进入衡阳西渡高新技术产业园污水处理厂进一步处理，处理达标后排放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生产设备</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噪声</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厂房隔声、设备减震、距离衰减、设备维修保养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0" w:type="auto"/>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生活垃圾</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生活垃圾</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环卫部门清运处理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生产车间散落粉尘</w:t>
                  </w:r>
                </w:p>
              </w:tc>
              <w:tc>
                <w:tcPr>
                  <w:tcW w:w="0" w:type="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一般工业固废</w:t>
                  </w:r>
                </w:p>
              </w:tc>
              <w:tc>
                <w:tcPr>
                  <w:tcW w:w="0" w:type="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经收集后回收利用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沉淀污泥</w:t>
                  </w:r>
                </w:p>
              </w:tc>
              <w:tc>
                <w:tcPr>
                  <w:tcW w:w="2130"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一般工业固废</w:t>
                  </w:r>
                </w:p>
              </w:tc>
              <w:tc>
                <w:tcPr>
                  <w:tcW w:w="429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经收集后回收利用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189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废润滑油及润滑油桶</w:t>
                  </w:r>
                </w:p>
              </w:tc>
              <w:tc>
                <w:tcPr>
                  <w:tcW w:w="2252"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废矿物油</w:t>
                  </w:r>
                </w:p>
              </w:tc>
              <w:tc>
                <w:tcPr>
                  <w:tcW w:w="2953"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存放危废暂存库定期交由有相关处理资质公司处置</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7"/>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与项目有关的原有环境污染问题</w:t>
            </w:r>
          </w:p>
        </w:tc>
        <w:tc>
          <w:tcPr>
            <w:tcW w:w="8161" w:type="dxa"/>
            <w:noWrap w:val="0"/>
            <w:vAlign w:val="center"/>
          </w:tcPr>
          <w:p>
            <w:pPr>
              <w:keepNext w:val="0"/>
              <w:keepLines w:val="0"/>
              <w:widowControl/>
              <w:suppressLineNumbers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kern w:val="0"/>
                <w:sz w:val="24"/>
                <w:szCs w:val="24"/>
                <w:highlight w:val="none"/>
                <w:lang w:val="en-US" w:eastAsia="zh-CN" w:bidi="ar"/>
              </w:rPr>
              <w:t>本项目为新建项目，位于衡阳市衡阳县樟树乡樟树村</w:t>
            </w:r>
            <w:r>
              <w:rPr>
                <w:rFonts w:hint="default" w:ascii="Times New Roman" w:hAnsi="Times New Roman" w:eastAsia="宋体" w:cs="Times New Roman"/>
                <w:b w:val="0"/>
                <w:bCs w:val="0"/>
                <w:color w:val="auto"/>
                <w:kern w:val="0"/>
                <w:sz w:val="24"/>
                <w:szCs w:val="24"/>
                <w:highlight w:val="none"/>
                <w:lang w:val="en-US" w:eastAsia="zh-CN" w:bidi="ar"/>
              </w:rPr>
              <w:t>富华钢化玻璃厂内</w:t>
            </w:r>
            <w:r>
              <w:rPr>
                <w:rFonts w:hint="default" w:ascii="Times New Roman" w:hAnsi="Times New Roman" w:eastAsia="宋体" w:cs="Times New Roman"/>
                <w:color w:val="auto"/>
                <w:kern w:val="0"/>
                <w:sz w:val="24"/>
                <w:szCs w:val="24"/>
                <w:highlight w:val="none"/>
                <w:lang w:val="en-US" w:eastAsia="zh-CN" w:bidi="ar"/>
              </w:rPr>
              <w:t>，本项目属于新建项目，租用衡阳富华钢化玻璃厂进行生产，厂房内无生产设施，不存在与本项目有关的原有污染情况及历史遗留环境问题。经现场勘查，不存在与该项目有关的原有污染情况。</w:t>
            </w:r>
          </w:p>
        </w:tc>
      </w:tr>
    </w:tbl>
    <w:p>
      <w:pPr>
        <w:pStyle w:val="17"/>
        <w:jc w:val="both"/>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NumType w:fmt="decimal"/>
          <w:cols w:space="720" w:num="1"/>
          <w:docGrid w:linePitch="312" w:charSpace="0"/>
        </w:sectPr>
      </w:pPr>
    </w:p>
    <w:p>
      <w:pPr>
        <w:pStyle w:val="17"/>
        <w:jc w:val="both"/>
        <w:outlineLvl w:val="0"/>
        <w:rPr>
          <w:rFonts w:hint="default" w:ascii="Times New Roman" w:hAnsi="Times New Roman" w:eastAsia="宋体" w:cs="Times New Roman"/>
          <w:snapToGrid w:val="0"/>
          <w:color w:val="auto"/>
          <w:sz w:val="30"/>
          <w:szCs w:val="30"/>
          <w:highlight w:val="none"/>
        </w:rPr>
      </w:pPr>
      <w:bookmarkStart w:id="165" w:name="_Toc29929"/>
      <w:bookmarkStart w:id="166" w:name="_Toc5922"/>
      <w:bookmarkStart w:id="167" w:name="_Toc1986"/>
      <w:r>
        <w:rPr>
          <w:rFonts w:hint="default" w:ascii="Times New Roman" w:hAnsi="Times New Roman" w:eastAsia="宋体" w:cs="Times New Roman"/>
          <w:snapToGrid w:val="0"/>
          <w:color w:val="auto"/>
          <w:sz w:val="30"/>
          <w:szCs w:val="30"/>
          <w:highlight w:val="none"/>
        </w:rPr>
        <w:t>三、区域环境质量现状、环境保护目标及评价标准</w:t>
      </w:r>
      <w:bookmarkEnd w:id="165"/>
      <w:bookmarkEnd w:id="166"/>
      <w:bookmarkEnd w:id="167"/>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7" w:hRule="atLeast"/>
          <w:jc w:val="center"/>
        </w:trPr>
        <w:tc>
          <w:tcPr>
            <w:tcW w:w="800" w:type="dxa"/>
            <w:noWrap w:val="0"/>
            <w:vAlign w:val="center"/>
          </w:tcPr>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区域</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环境</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lang w:val="en-US" w:eastAsia="zh-CN" w:bidi="ar-SA"/>
              </w:rPr>
              <w:t>现状</w:t>
            </w:r>
          </w:p>
        </w:tc>
        <w:tc>
          <w:tcPr>
            <w:tcW w:w="8190" w:type="dxa"/>
            <w:noWrap w:val="0"/>
            <w:vAlign w:val="top"/>
          </w:tcPr>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1、环境空气质量现状和评价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（1）区域环境空气质量达标判定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根据《环境影响评价技术导则-大气环境》（HJ2.2-2018）中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6.2.1.1项目所在区域达标判定，优先采用国家或生态环境主管部门发布的平均基准年环境质量公告或环境质量报告中的数据或结论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二类环境空气功能区，执行《环境空气质量标准》（GB3095-2012及2018修改单）中的二级标准。为了解建设项目所在地的大气环境状况，本项目引用衡阳市生态环境局发布的《关于2022年12月及1~12月全市环境质量状况的通报》中附表2相关数据。具体分析情况详见表3-</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SEQ 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w:t>
            </w:r>
          </w:p>
          <w:p>
            <w:pPr>
              <w:numPr>
                <w:ilvl w:val="0"/>
                <w:numId w:val="0"/>
              </w:numPr>
              <w:bidi w:val="0"/>
              <w:spacing w:line="240" w:lineRule="auto"/>
              <w:ind w:leftChars="0"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表3-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2022年衡阳县环境空气污染物浓度情况一览表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drawing>
                <wp:inline distT="0" distB="0" distL="114300" distR="114300">
                  <wp:extent cx="4979670" cy="2169795"/>
                  <wp:effectExtent l="0" t="0" r="0" b="0"/>
                  <wp:docPr id="3" name="图片 4" descr="大气常用污染物质量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大气常用污染物质量现状"/>
                          <pic:cNvPicPr>
                            <a:picLocks noChangeAspect="1"/>
                          </pic:cNvPicPr>
                        </pic:nvPicPr>
                        <pic:blipFill>
                          <a:blip r:embed="rId15"/>
                          <a:stretch>
                            <a:fillRect/>
                          </a:stretch>
                        </pic:blipFill>
                        <pic:spPr>
                          <a:xfrm>
                            <a:off x="0" y="0"/>
                            <a:ext cx="4979670" cy="216979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由上表可知，衡阳县二氧化硫和二氧化氮年平均质量浓度、一氧化碳年</w:t>
            </w:r>
            <w:r>
              <w:rPr>
                <w:rFonts w:hint="eastAsia" w:cs="Times New Roman"/>
                <w:color w:val="auto"/>
                <w:kern w:val="0"/>
                <w:sz w:val="24"/>
                <w:szCs w:val="24"/>
                <w:highlight w:val="none"/>
                <w:lang w:val="en-US" w:eastAsia="zh-CN" w:bidi="ar"/>
              </w:rPr>
              <w:t>平均</w:t>
            </w:r>
            <w:r>
              <w:rPr>
                <w:rFonts w:hint="default" w:ascii="Times New Roman" w:hAnsi="Times New Roman" w:eastAsia="宋体" w:cs="Times New Roman"/>
                <w:color w:val="auto"/>
                <w:kern w:val="0"/>
                <w:sz w:val="24"/>
                <w:szCs w:val="24"/>
                <w:highlight w:val="none"/>
                <w:lang w:val="en-US" w:eastAsia="zh-CN" w:bidi="ar"/>
              </w:rPr>
              <w:t>浓度（第95百分位数）、臭氧年</w:t>
            </w:r>
            <w:r>
              <w:rPr>
                <w:rFonts w:hint="eastAsia" w:cs="Times New Roman"/>
                <w:color w:val="auto"/>
                <w:kern w:val="0"/>
                <w:sz w:val="24"/>
                <w:szCs w:val="24"/>
                <w:highlight w:val="none"/>
                <w:lang w:val="en-US" w:eastAsia="zh-CN" w:bidi="ar"/>
              </w:rPr>
              <w:t>平均</w:t>
            </w:r>
            <w:r>
              <w:rPr>
                <w:rFonts w:hint="default" w:ascii="Times New Roman" w:hAnsi="Times New Roman" w:eastAsia="宋体" w:cs="Times New Roman"/>
                <w:color w:val="auto"/>
                <w:kern w:val="0"/>
                <w:sz w:val="24"/>
                <w:szCs w:val="24"/>
                <w:highlight w:val="none"/>
                <w:lang w:val="en-US" w:eastAsia="zh-CN" w:bidi="ar"/>
              </w:rPr>
              <w:t>浓度（第90百分位数）、细颗粒物（PM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kern w:val="0"/>
                <w:sz w:val="24"/>
                <w:szCs w:val="24"/>
                <w:highlight w:val="none"/>
                <w:lang w:val="en-US" w:eastAsia="zh-CN" w:bidi="ar"/>
              </w:rPr>
              <w:t>）和可吸入颗粒物（PM</w:t>
            </w:r>
            <w:r>
              <w:rPr>
                <w:rFonts w:hint="default" w:ascii="Times New Roman" w:hAnsi="Times New Roman" w:eastAsia="宋体" w:cs="Times New Roman"/>
                <w:color w:val="auto"/>
                <w:kern w:val="0"/>
                <w:sz w:val="24"/>
                <w:szCs w:val="24"/>
                <w:highlight w:val="none"/>
                <w:vertAlign w:val="sub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）均达到《环境空气质量标准》（GB3095-2012及2018修改单）中的二级标准，本项目所在区域为达标区。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（2）特征因子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影响报告表编制技术指南（污染影响类）》（试行）对区域环境质量现状数据引用规定：排放国家、地方环境空气质量标准中有标准限值要求的特征污染物时，引用建设项目周边5千米范围内近3年的现有监测数据，无相关数据的选择当季主导风向下风向1个点位补充不少于3天的监测数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主要污染因子为TSP，本次评价采用《耒阳新五丰生物饲料科技有限公司衡阳蒸湘分公司年产15万吨饲料改扩建项目》2023年4月22～25日的TSP24小时均值监测数据，其监测点位为G1：鸡市新村居民点，该监测点距离衡阳瑞源新材料有限公司东南侧2700m，本项目环境空气补充监测监测点位见表3-</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SEQ 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w:t>
            </w:r>
          </w:p>
          <w:p>
            <w:pPr>
              <w:pStyle w:val="31"/>
              <w:bidi w:val="0"/>
              <w:spacing w:line="24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SEQ 表3-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环境空气补充监测布点表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4308"/>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序号</w:t>
                  </w:r>
                </w:p>
              </w:tc>
              <w:tc>
                <w:tcPr>
                  <w:tcW w:w="4094"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监测点位</w:t>
                  </w:r>
                </w:p>
              </w:tc>
              <w:tc>
                <w:tcPr>
                  <w:tcW w:w="3133"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经纬度坐标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G1</w:t>
                  </w:r>
                </w:p>
              </w:tc>
              <w:tc>
                <w:tcPr>
                  <w:tcW w:w="4094"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项目西南侧约2700m鸡市新村监测点</w:t>
                  </w:r>
                </w:p>
              </w:tc>
              <w:tc>
                <w:tcPr>
                  <w:tcW w:w="3133"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E112.500393148°</w:t>
                  </w:r>
                </w:p>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N26.90762089°</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drawing>
                <wp:inline distT="0" distB="0" distL="114300" distR="114300">
                  <wp:extent cx="4798060" cy="3211195"/>
                  <wp:effectExtent l="0" t="0" r="2540" b="8255"/>
                  <wp:docPr id="8" name="图片 8" descr="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监测点位"/>
                          <pic:cNvPicPr>
                            <a:picLocks noChangeAspect="1"/>
                          </pic:cNvPicPr>
                        </pic:nvPicPr>
                        <pic:blipFill>
                          <a:blip r:embed="rId16"/>
                          <a:stretch>
                            <a:fillRect/>
                          </a:stretch>
                        </pic:blipFill>
                        <pic:spPr>
                          <a:xfrm>
                            <a:off x="0" y="0"/>
                            <a:ext cx="4798060" cy="321119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2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监测因子：TSP。</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3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监测时间与频次：2023年4月22日～4月25日，连续监测3天。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4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④</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评价标准：《环境空气质量标准》（GB3095-2012）中的二级标准及其2018年修改单中的相关标准。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5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⑤</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监测结果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监测结果见表3-</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SEQ 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w:t>
            </w:r>
          </w:p>
          <w:p>
            <w:pPr>
              <w:numPr>
                <w:ilvl w:val="0"/>
                <w:numId w:val="0"/>
              </w:numPr>
              <w:bidi w:val="0"/>
              <w:spacing w:line="240" w:lineRule="auto"/>
              <w:ind w:leftChars="0"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 SEQ 表3-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fldChar w:fldCharType="end"/>
            </w:r>
            <w:r>
              <w:rPr>
                <w:rFonts w:hint="default" w:ascii="Times New Roman" w:hAnsi="Times New Roman" w:eastAsia="宋体" w:cs="Times New Roman"/>
                <w:b/>
                <w:bCs/>
                <w:color w:val="auto"/>
                <w:sz w:val="24"/>
                <w:szCs w:val="24"/>
                <w:highlight w:val="none"/>
                <w:lang w:val="en-US" w:eastAsia="zh-CN"/>
              </w:rPr>
              <w:t>环境空气现状监测结果一览表（单位：mg/m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800"/>
              <w:gridCol w:w="1573"/>
              <w:gridCol w:w="1573"/>
              <w:gridCol w:w="1574"/>
              <w:gridCol w:w="761"/>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7"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检测地点</w:t>
                  </w:r>
                </w:p>
              </w:tc>
              <w:tc>
                <w:tcPr>
                  <w:tcW w:w="477"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监测因子</w:t>
                  </w:r>
                </w:p>
              </w:tc>
              <w:tc>
                <w:tcPr>
                  <w:tcW w:w="2815" w:type="pct"/>
                  <w:gridSpan w:val="3"/>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监测结果</w:t>
                  </w:r>
                </w:p>
              </w:tc>
              <w:tc>
                <w:tcPr>
                  <w:tcW w:w="454"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标准值</w:t>
                  </w:r>
                </w:p>
              </w:tc>
              <w:tc>
                <w:tcPr>
                  <w:tcW w:w="454"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p>
              </w:tc>
              <w:tc>
                <w:tcPr>
                  <w:tcW w:w="47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p>
              </w:tc>
              <w:tc>
                <w:tcPr>
                  <w:tcW w:w="93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2023年4月22日—23日</w:t>
                  </w:r>
                </w:p>
              </w:tc>
              <w:tc>
                <w:tcPr>
                  <w:tcW w:w="93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2023年4月23日—24日</w:t>
                  </w:r>
                </w:p>
              </w:tc>
              <w:tc>
                <w:tcPr>
                  <w:tcW w:w="939"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2023年4月24日—25日</w:t>
                  </w:r>
                </w:p>
              </w:tc>
              <w:tc>
                <w:tcPr>
                  <w:tcW w:w="45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p>
              </w:tc>
              <w:tc>
                <w:tcPr>
                  <w:tcW w:w="454"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G1鸡市新村监测点</w:t>
                  </w:r>
                </w:p>
              </w:tc>
              <w:tc>
                <w:tcPr>
                  <w:tcW w:w="477"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TSP</w:t>
                  </w:r>
                </w:p>
              </w:tc>
              <w:tc>
                <w:tcPr>
                  <w:tcW w:w="93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0.055</w:t>
                  </w:r>
                </w:p>
              </w:tc>
              <w:tc>
                <w:tcPr>
                  <w:tcW w:w="93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0.058</w:t>
                  </w:r>
                </w:p>
              </w:tc>
              <w:tc>
                <w:tcPr>
                  <w:tcW w:w="939"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0.057</w:t>
                  </w:r>
                </w:p>
              </w:tc>
              <w:tc>
                <w:tcPr>
                  <w:tcW w:w="454"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0.3</w:t>
                  </w:r>
                </w:p>
              </w:tc>
              <w:tc>
                <w:tcPr>
                  <w:tcW w:w="454"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达标</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根据上表监测结果可知，监测期间，项目所在区域大气评价范围内监测点位TSP监测结果能满足《环境空气质量标准》（GB3095-2012及2018修改单）中的二级标准。因此，本项目建设前，项目所在区域空气质量良好。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2、地表水环境质量状况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衡阳市生态环境局发布的《关于2021年12月及1~12月全市环境质量状况的通报》可知，2021年1-12月，我市纳入考核、评价、排名的44个断面中，Ⅱ类水质断面36个，Ⅲ类7个，Ⅴ类1个（梅桥村，超Ⅲ类指标为氨氮）。其中13个交界断面中Ⅱ类水质10个，Ⅲ类2个；Ⅴ类1个（梅桥村）；13个国考断面中Ⅱ类11个，Ⅲ类2个。</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本项目周边最近的地表水体为蒸水，距离本项目最近的地表水监测断面为西渡水厂，其水质监测情况如下表所示。</w:t>
            </w:r>
          </w:p>
          <w:p>
            <w:pPr>
              <w:numPr>
                <w:ilvl w:val="0"/>
                <w:numId w:val="0"/>
              </w:numPr>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表3-4 2021年1-12月衡阳市地表水水质情况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2773045</wp:posOffset>
                      </wp:positionV>
                      <wp:extent cx="5387340" cy="222885"/>
                      <wp:effectExtent l="0" t="0" r="0" b="0"/>
                      <wp:wrapNone/>
                      <wp:docPr id="2" name="自选图形 3"/>
                      <wp:cNvGraphicFramePr/>
                      <a:graphic xmlns:a="http://schemas.openxmlformats.org/drawingml/2006/main">
                        <a:graphicData uri="http://schemas.microsoft.com/office/word/2010/wordprocessingShape">
                          <wps:wsp>
                            <wps:cNvSpPr/>
                            <wps:spPr>
                              <a:xfrm>
                                <a:off x="0" y="0"/>
                                <a:ext cx="5387340" cy="222885"/>
                              </a:xfrm>
                              <a:prstGeom prst="flowChartProcess">
                                <a:avLst/>
                              </a:prstGeom>
                              <a:noFill/>
                              <a:ln w="19050" cap="flat" cmpd="sng">
                                <a:solidFill>
                                  <a:srgbClr val="FF0000"/>
                                </a:solidFill>
                                <a:prstDash val="solid"/>
                                <a:miter/>
                                <a:headEnd type="none" w="med" len="med"/>
                                <a:tailEnd type="none" w="med" len="med"/>
                              </a:ln>
                              <a:effectLst/>
                            </wps:spPr>
                            <wps:bodyPr wrap="square" upright="1"/>
                          </wps:wsp>
                        </a:graphicData>
                      </a:graphic>
                    </wp:anchor>
                  </w:drawing>
                </mc:Choice>
                <mc:Fallback>
                  <w:pict>
                    <v:shape id="自选图形 3" o:spid="_x0000_s1026" o:spt="109" type="#_x0000_t109" style="position:absolute;left:0pt;margin-left:3.4pt;margin-top:218.35pt;height:17.55pt;width:424.2pt;z-index:251659264;mso-width-relative:page;mso-height-relative:page;" filled="f" stroked="t" coordsize="21600,21600" o:gfxdata="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JkgvNgAAAAJAQAA&#10;DwAAAAAAAAABACAAAAAiAAAAZHJzL2Rvd25yZXYueG1sUEsBAhQAFAAAAAgAh07iQE3JeXIZAgAA&#10;JAQAAA4AAAAAAAAAAQAgAAAAJwEAAGRycy9lMm9Eb2MueG1sUEsFBgAAAAAGAAYAWQEAALIFAAAA&#10;AA==&#10;">
                      <v:fill on="f" focussize="0,0"/>
                      <v:stroke weight="1.5pt" color="#FF0000" joinstyle="miter"/>
                      <v:imagedata o:title=""/>
                      <o:lock v:ext="edit" aspectratio="f"/>
                    </v:shape>
                  </w:pict>
                </mc:Fallback>
              </mc:AlternateContent>
            </w:r>
            <w:r>
              <w:rPr>
                <w:rFonts w:hint="default" w:ascii="Times New Roman" w:hAnsi="Times New Roman" w:eastAsia="宋体" w:cs="Times New Roman"/>
                <w:color w:val="auto"/>
                <w:kern w:val="0"/>
                <w:sz w:val="21"/>
                <w:szCs w:val="21"/>
                <w:highlight w:val="none"/>
                <w:lang w:val="en-US" w:eastAsia="zh-CN" w:bidi="ar"/>
              </w:rPr>
              <w:drawing>
                <wp:inline distT="0" distB="0" distL="114300" distR="114300">
                  <wp:extent cx="5381625" cy="3396615"/>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381625" cy="339661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根据上述文字可知，本项目所在区域西渡水厂断面地表水环境质量为达标断面，水质较好为II类水。</w:t>
            </w:r>
          </w:p>
          <w:p>
            <w:pPr>
              <w:keepNext w:val="0"/>
              <w:keepLines w:val="0"/>
              <w:widowControl/>
              <w:suppressLineNumbers w:val="0"/>
              <w:spacing w:line="360" w:lineRule="auto"/>
              <w:jc w:val="both"/>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bidi="ar"/>
              </w:rPr>
              <w:t>3、声环境质量现状和评价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本项目位于湖南省衡阳市衡阳县樟树乡樟树村，根据《建设项目环境影响报告表编制技术指南（污染影响类）（试行）》，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厂界外周边50米范围内存在声环境保护目标的建设项目，应监测保护目标声环境质量现状并评价达标情况</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，经现场踏勘，本项目50m范围内有声环境保护目标，为距</w:t>
            </w:r>
            <w:r>
              <w:rPr>
                <w:rFonts w:hint="eastAsia" w:cs="Times New Roman"/>
                <w:color w:val="auto"/>
                <w:kern w:val="0"/>
                <w:sz w:val="24"/>
                <w:szCs w:val="24"/>
                <w:highlight w:val="none"/>
                <w:lang w:val="en-US" w:eastAsia="zh-CN" w:bidi="ar"/>
              </w:rPr>
              <w:t>东</w:t>
            </w:r>
            <w:r>
              <w:rPr>
                <w:rFonts w:hint="default" w:ascii="Times New Roman" w:hAnsi="Times New Roman" w:eastAsia="宋体" w:cs="Times New Roman"/>
                <w:color w:val="auto"/>
                <w:kern w:val="0"/>
                <w:sz w:val="24"/>
                <w:szCs w:val="24"/>
                <w:highlight w:val="none"/>
                <w:lang w:val="en-US" w:eastAsia="zh-CN" w:bidi="ar"/>
              </w:rPr>
              <w:t>南厂界约4</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m处的散户居民点，环境噪声执行《声环境质量标准》（GB3096-2008）中的3类标准。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Cs/>
                <w:color w:val="auto"/>
                <w:sz w:val="24"/>
                <w:highlight w:val="none"/>
                <w:lang w:val="en-US" w:eastAsia="zh-CN"/>
              </w:rPr>
              <w:t>为</w:t>
            </w:r>
            <w:r>
              <w:rPr>
                <w:rFonts w:hint="default" w:ascii="Times New Roman" w:hAnsi="Times New Roman" w:eastAsia="宋体" w:cs="Times New Roman"/>
                <w:bCs/>
                <w:color w:val="auto"/>
                <w:sz w:val="24"/>
                <w:highlight w:val="none"/>
              </w:rPr>
              <w:t>了解</w:t>
            </w:r>
            <w:r>
              <w:rPr>
                <w:rFonts w:hint="default" w:ascii="Times New Roman" w:hAnsi="Times New Roman" w:eastAsia="宋体" w:cs="Times New Roman"/>
                <w:color w:val="auto"/>
                <w:sz w:val="24"/>
                <w:highlight w:val="none"/>
              </w:rPr>
              <w:t>建设项目所在地的声环境背景情况，</w:t>
            </w:r>
            <w:r>
              <w:rPr>
                <w:rFonts w:hint="default" w:ascii="Times New Roman" w:hAnsi="Times New Roman" w:eastAsia="宋体" w:cs="Times New Roman"/>
                <w:color w:val="auto"/>
                <w:sz w:val="24"/>
                <w:highlight w:val="none"/>
                <w:lang w:val="en-US" w:eastAsia="zh-CN"/>
              </w:rPr>
              <w:t>本项目委托衡阳职安环保科技有限责任公司于2023年8月30日到9月1日对项目声环境保护目标进行噪声现状监测，监测点位信息与监测结果如下。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highlight w:val="none"/>
              </w:rPr>
              <w:t>监测位置：</w:t>
            </w:r>
            <w:r>
              <w:rPr>
                <w:rFonts w:hint="default" w:ascii="Times New Roman" w:hAnsi="Times New Roman" w:eastAsia="宋体" w:cs="Times New Roman"/>
                <w:bCs/>
                <w:color w:val="auto"/>
                <w:sz w:val="24"/>
                <w:highlight w:val="none"/>
                <w:lang w:val="en-US" w:eastAsia="zh-CN"/>
              </w:rPr>
              <w:t>樟树村居民点</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监测时间：202</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年</w:t>
            </w:r>
            <w:r>
              <w:rPr>
                <w:rFonts w:hint="default"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月</w:t>
            </w:r>
            <w:r>
              <w:rPr>
                <w:rFonts w:hint="default" w:ascii="Times New Roman" w:hAnsi="Times New Roman" w:eastAsia="宋体" w:cs="Times New Roman"/>
                <w:bCs/>
                <w:color w:val="auto"/>
                <w:sz w:val="24"/>
                <w:highlight w:val="none"/>
                <w:lang w:val="en-US" w:eastAsia="zh-CN"/>
              </w:rPr>
              <w:t>30</w:t>
            </w:r>
            <w:r>
              <w:rPr>
                <w:rFonts w:hint="default" w:ascii="Times New Roman" w:hAnsi="Times New Roman" w:eastAsia="宋体" w:cs="Times New Roman"/>
                <w:bCs/>
                <w:color w:val="auto"/>
                <w:sz w:val="24"/>
                <w:highlight w:val="none"/>
              </w:rPr>
              <w:t>日</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2023年9月1日</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监测频次：每天昼间监测一次</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连续监测三天</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执行标准：根据现场踏勘，项目所在地厂</w:t>
            </w:r>
            <w:r>
              <w:rPr>
                <w:rFonts w:hint="default" w:ascii="Times New Roman" w:hAnsi="Times New Roman" w:eastAsia="宋体" w:cs="Times New Roman"/>
                <w:color w:val="auto"/>
                <w:sz w:val="24"/>
                <w:highlight w:val="none"/>
              </w:rPr>
              <w:t>界执行《声环境质量标准》（GB3096-2008）3类标准。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监测方法：执行《声环境质量标准》（GB3096-2008）中的有关规定进行。</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项目声环境监测点和监测结果见表3-5。</w:t>
            </w:r>
          </w:p>
          <w:p>
            <w:pPr>
              <w:pStyle w:val="31"/>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表3-5 声环境现状监测结果单位：dB（A）</w:t>
            </w:r>
          </w:p>
          <w:tbl>
            <w:tblPr>
              <w:tblStyle w:val="20"/>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542"/>
              <w:gridCol w:w="1403"/>
              <w:gridCol w:w="1403"/>
              <w:gridCol w:w="140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pacing w:val="11"/>
                      <w:kern w:val="2"/>
                      <w:sz w:val="21"/>
                      <w:szCs w:val="21"/>
                      <w:highlight w:val="none"/>
                      <w:vertAlign w:val="baseline"/>
                      <w:lang w:val="en-US" w:eastAsia="zh-CN" w:bidi="ar-SA"/>
                    </w:rPr>
                  </w:pPr>
                  <w:r>
                    <w:rPr>
                      <w:rFonts w:hint="default" w:ascii="Times New Roman" w:hAnsi="Times New Roman" w:eastAsia="宋体" w:cs="Times New Roman"/>
                      <w:b/>
                      <w:bCs/>
                      <w:color w:val="auto"/>
                      <w:spacing w:val="11"/>
                      <w:sz w:val="21"/>
                      <w:szCs w:val="21"/>
                      <w:highlight w:val="none"/>
                      <w:lang w:val="en-US" w:eastAsia="zh-CN"/>
                    </w:rPr>
                    <w:t>测点编号</w:t>
                  </w:r>
                </w:p>
              </w:tc>
              <w:tc>
                <w:tcPr>
                  <w:tcW w:w="15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pacing w:val="11"/>
                      <w:kern w:val="2"/>
                      <w:sz w:val="21"/>
                      <w:szCs w:val="21"/>
                      <w:highlight w:val="none"/>
                      <w:vertAlign w:val="baseline"/>
                      <w:lang w:val="en-US" w:eastAsia="zh-CN" w:bidi="ar-SA"/>
                    </w:rPr>
                  </w:pPr>
                  <w:r>
                    <w:rPr>
                      <w:rFonts w:hint="default" w:ascii="Times New Roman" w:hAnsi="Times New Roman" w:eastAsia="宋体" w:cs="Times New Roman"/>
                      <w:b/>
                      <w:bCs/>
                      <w:color w:val="auto"/>
                      <w:spacing w:val="11"/>
                      <w:sz w:val="21"/>
                      <w:szCs w:val="21"/>
                      <w:highlight w:val="none"/>
                      <w:lang w:eastAsia="zh-CN"/>
                    </w:rPr>
                    <w:t>检测地点</w:t>
                  </w:r>
                </w:p>
              </w:tc>
              <w:tc>
                <w:tcPr>
                  <w:tcW w:w="140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pacing w:val="11"/>
                      <w:kern w:val="2"/>
                      <w:sz w:val="21"/>
                      <w:szCs w:val="21"/>
                      <w:highlight w:val="none"/>
                      <w:lang w:val="en-US" w:eastAsia="zh-CN" w:bidi="ar-SA"/>
                    </w:rPr>
                  </w:pPr>
                  <w:r>
                    <w:rPr>
                      <w:rFonts w:hint="default" w:ascii="Times New Roman" w:hAnsi="Times New Roman" w:eastAsia="宋体" w:cs="Times New Roman"/>
                      <w:b/>
                      <w:bCs/>
                      <w:color w:val="auto"/>
                      <w:spacing w:val="11"/>
                      <w:sz w:val="21"/>
                      <w:szCs w:val="21"/>
                      <w:highlight w:val="none"/>
                      <w:lang w:eastAsia="zh-CN"/>
                    </w:rPr>
                    <w:t>检测时间</w:t>
                  </w:r>
                </w:p>
              </w:tc>
              <w:tc>
                <w:tcPr>
                  <w:tcW w:w="14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11"/>
                      <w:kern w:val="2"/>
                      <w:sz w:val="21"/>
                      <w:szCs w:val="21"/>
                      <w:highlight w:val="none"/>
                      <w:vertAlign w:val="baseline"/>
                      <w:lang w:val="en-US" w:eastAsia="zh-CN" w:bidi="ar-SA"/>
                    </w:rPr>
                  </w:pPr>
                  <w:r>
                    <w:rPr>
                      <w:rFonts w:hint="default" w:ascii="Times New Roman" w:hAnsi="Times New Roman" w:eastAsia="宋体" w:cs="Times New Roman"/>
                      <w:b/>
                      <w:bCs/>
                      <w:color w:val="auto"/>
                      <w:spacing w:val="11"/>
                      <w:sz w:val="21"/>
                      <w:szCs w:val="21"/>
                      <w:highlight w:val="none"/>
                    </w:rPr>
                    <w:t>测量值</w:t>
                  </w:r>
                  <w:r>
                    <w:rPr>
                      <w:rFonts w:hint="default" w:ascii="Times New Roman" w:hAnsi="Times New Roman" w:eastAsia="宋体" w:cs="Times New Roman"/>
                      <w:color w:val="auto"/>
                      <w:spacing w:val="11"/>
                      <w:sz w:val="21"/>
                      <w:szCs w:val="21"/>
                      <w:highlight w:val="none"/>
                    </w:rPr>
                    <w:t>L</w:t>
                  </w:r>
                  <w:r>
                    <w:rPr>
                      <w:rFonts w:hint="default" w:ascii="Times New Roman" w:hAnsi="Times New Roman" w:eastAsia="宋体" w:cs="Times New Roman"/>
                      <w:color w:val="auto"/>
                      <w:spacing w:val="11"/>
                      <w:sz w:val="21"/>
                      <w:szCs w:val="21"/>
                      <w:highlight w:val="none"/>
                      <w:vertAlign w:val="subscript"/>
                    </w:rPr>
                    <w:t>eq</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11"/>
                      <w:kern w:val="2"/>
                      <w:sz w:val="21"/>
                      <w:szCs w:val="21"/>
                      <w:highlight w:val="none"/>
                      <w:vertAlign w:val="baseline"/>
                      <w:lang w:val="en-US" w:eastAsia="zh-CN" w:bidi="ar-SA"/>
                    </w:rPr>
                  </w:pPr>
                  <w:r>
                    <w:rPr>
                      <w:rFonts w:hint="default" w:ascii="Times New Roman" w:hAnsi="Times New Roman" w:eastAsia="宋体" w:cs="Times New Roman"/>
                      <w:b/>
                      <w:bCs/>
                      <w:color w:val="auto"/>
                      <w:spacing w:val="11"/>
                      <w:sz w:val="21"/>
                      <w:szCs w:val="21"/>
                      <w:highlight w:val="none"/>
                      <w:lang w:eastAsia="zh-CN"/>
                    </w:rPr>
                    <w:t>标准限值</w:t>
                  </w:r>
                </w:p>
              </w:tc>
              <w:tc>
                <w:tcPr>
                  <w:tcW w:w="14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11"/>
                      <w:kern w:val="2"/>
                      <w:sz w:val="21"/>
                      <w:szCs w:val="21"/>
                      <w:highlight w:val="none"/>
                      <w:lang w:val="en-US" w:eastAsia="zh-CN" w:bidi="ar-SA"/>
                    </w:rPr>
                  </w:pPr>
                  <w:r>
                    <w:rPr>
                      <w:rFonts w:hint="default" w:ascii="Times New Roman" w:hAnsi="Times New Roman" w:eastAsia="宋体" w:cs="Times New Roman"/>
                      <w:b/>
                      <w:bCs/>
                      <w:color w:val="auto"/>
                      <w:spacing w:val="11"/>
                      <w:sz w:val="21"/>
                      <w:szCs w:val="21"/>
                      <w:highlight w:val="no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542"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403"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4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昼间</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昼间</w:t>
                  </w:r>
                </w:p>
              </w:tc>
              <w:tc>
                <w:tcPr>
                  <w:tcW w:w="1404"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64"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N1</w:t>
                  </w:r>
                </w:p>
              </w:tc>
              <w:tc>
                <w:tcPr>
                  <w:tcW w:w="154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樟树村居民点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E: 112度29分9.32秒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N: 26度55分32.12秒</w:t>
                  </w: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08月30日</w:t>
                  </w: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54</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65</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rPr>
                    <w:t>dB</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A</w:t>
                  </w:r>
                  <w:r>
                    <w:rPr>
                      <w:rFonts w:hint="default" w:ascii="Times New Roman" w:hAnsi="Times New Roman" w:eastAsia="宋体" w:cs="Times New Roman"/>
                      <w:color w:val="auto"/>
                      <w:spacing w:val="11"/>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64"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542"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08月31日</w:t>
                  </w: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53</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65</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rPr>
                    <w:t>dB</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A</w:t>
                  </w:r>
                  <w:r>
                    <w:rPr>
                      <w:rFonts w:hint="default" w:ascii="Times New Roman" w:hAnsi="Times New Roman" w:eastAsia="宋体" w:cs="Times New Roman"/>
                      <w:color w:val="auto"/>
                      <w:spacing w:val="11"/>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64"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542" w:type="dxa"/>
                  <w:vMerge w:val="continue"/>
                </w:tcPr>
                <w:p>
                  <w:pPr>
                    <w:pStyle w:val="2"/>
                    <w:spacing w:line="240" w:lineRule="auto"/>
                    <w:rPr>
                      <w:rFonts w:hint="default" w:ascii="Times New Roman" w:hAnsi="Times New Roman" w:eastAsia="宋体" w:cs="Times New Roman"/>
                      <w:color w:val="auto"/>
                      <w:sz w:val="21"/>
                      <w:szCs w:val="21"/>
                      <w:highlight w:val="none"/>
                      <w:vertAlign w:val="baseline"/>
                    </w:rPr>
                  </w:pP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09月01日</w:t>
                  </w:r>
                </w:p>
              </w:tc>
              <w:tc>
                <w:tcPr>
                  <w:tcW w:w="14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58</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65</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1"/>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dB</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A</w:t>
                  </w:r>
                  <w:r>
                    <w:rPr>
                      <w:rFonts w:hint="default" w:ascii="Times New Roman" w:hAnsi="Times New Roman" w:eastAsia="宋体" w:cs="Times New Roman"/>
                      <w:color w:val="auto"/>
                      <w:spacing w:val="11"/>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8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备注</w:t>
                  </w:r>
                </w:p>
              </w:tc>
              <w:tc>
                <w:tcPr>
                  <w:tcW w:w="5614"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限值按《声环境质量标准》GB 3096-2008表1中3类标准。</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根据监测结果可知，樟树村居民点监测点噪声值满足《声环境质量标准》（GB3096-2008）3类标准。项目区域声环境质量较好。</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4、土壤和地下水环境现状调查与评价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Cs/>
                <w:color w:val="auto"/>
                <w:kern w:val="2"/>
                <w:sz w:val="24"/>
                <w:szCs w:val="24"/>
                <w:highlight w:val="none"/>
                <w:lang w:val="en-US" w:eastAsia="zh-CN" w:bidi="ar-SA"/>
              </w:rPr>
              <w:t>根据生态环境部办公厅2020年12月24日印发的《建设项目环境影响报告表编制技术指南（污染影响类）（试行）》中的要求：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地下水、土壤环境。原则上不开展环境质量现状调查。建设项目存在土壤、地下水环境污染途径的，应结合污染源、保护目标分布情况开展现状调查以留作背景值。</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结合本项目工程分析，项目不存在土壤、地下水环境污染途径，因此，可不开展土壤、地下水环境质量现状调查。</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5、生态环境现状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根据《建设项目环境影响报告表编制技术指南（污染影响类）》，产业园区外建设项目新增用地且用地范围内含有生态环境保护目标时，应进行生态现状调查。本项目位于</w:t>
            </w:r>
            <w:r>
              <w:rPr>
                <w:rFonts w:hint="default" w:ascii="Times New Roman" w:hAnsi="Times New Roman" w:eastAsia="宋体" w:cs="Times New Roman"/>
                <w:b w:val="0"/>
                <w:bCs w:val="0"/>
                <w:color w:val="auto"/>
                <w:kern w:val="0"/>
                <w:sz w:val="24"/>
                <w:szCs w:val="24"/>
                <w:highlight w:val="none"/>
                <w:lang w:val="en-US" w:eastAsia="zh-CN" w:bidi="ar"/>
              </w:rPr>
              <w:t>湖南省衡阳市衡阳县樟树乡樟树村</w:t>
            </w:r>
            <w:r>
              <w:rPr>
                <w:rFonts w:hint="default" w:ascii="Times New Roman" w:hAnsi="Times New Roman" w:eastAsia="宋体" w:cs="Times New Roman"/>
                <w:color w:val="auto"/>
                <w:kern w:val="0"/>
                <w:sz w:val="24"/>
                <w:szCs w:val="24"/>
                <w:highlight w:val="none"/>
                <w:lang w:val="en-US" w:eastAsia="zh-CN" w:bidi="ar"/>
              </w:rPr>
              <w:t>，租赁已有厂房用于生产，未新增用地且用地范围内不含有生态环境保护目标，因此本项目不对生态环境质量现状进行评价分析。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0" w:hRule="atLeast"/>
          <w:jc w:val="center"/>
        </w:trPr>
        <w:tc>
          <w:tcPr>
            <w:tcW w:w="800" w:type="dxa"/>
            <w:noWrap w:val="0"/>
            <w:vAlign w:val="center"/>
          </w:tcPr>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环境</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保护</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目标</w:t>
            </w:r>
          </w:p>
        </w:tc>
        <w:tc>
          <w:tcPr>
            <w:tcW w:w="8190" w:type="dxa"/>
            <w:noWrap w:val="0"/>
            <w:vAlign w:val="top"/>
          </w:tcPr>
          <w:p>
            <w:pPr>
              <w:pStyle w:val="34"/>
              <w:keepNext w:val="0"/>
              <w:keepLines w:val="0"/>
              <w:suppressLineNumbers w:val="0"/>
              <w:spacing w:beforeAutospacing="0" w:afterAutospacing="0" w:line="360" w:lineRule="auto"/>
              <w:ind w:left="0" w:firstLine="42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项目所在地周边环境保护目标见下表3-</w:t>
            </w:r>
            <w:r>
              <w:rPr>
                <w:rFonts w:hint="default"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及附图5。</w:t>
            </w:r>
          </w:p>
          <w:p>
            <w:pPr>
              <w:pStyle w:val="31"/>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表3-6主要环境保护目标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188"/>
              <w:gridCol w:w="1023"/>
              <w:gridCol w:w="596"/>
              <w:gridCol w:w="917"/>
              <w:gridCol w:w="2272"/>
              <w:gridCol w:w="713"/>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敏感要素</w:t>
                  </w:r>
                </w:p>
              </w:tc>
              <w:tc>
                <w:tcPr>
                  <w:tcW w:w="0" w:type="auto"/>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距厂界最近点坐标/m</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保护对象</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保护内容</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环境功能区</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相对厂址方位</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相对项目厂界位置/m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经度</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纬度</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大</w:t>
                  </w:r>
                </w:p>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气</w:t>
                  </w:r>
                </w:p>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w:t>
                  </w:r>
                </w:p>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境</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112.487</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26.926</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石禾塘</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居住，34户，约102人</w:t>
                  </w:r>
                </w:p>
              </w:tc>
              <w:tc>
                <w:tcPr>
                  <w:tcW w:w="0" w:type="auto"/>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二类区</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E</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80-400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112.483</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26.928</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樟树垇</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居住，51户，约153人</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NW</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250-500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112.486</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26.929</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白马冲</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居住，35户，105人</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N</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180-500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112.485</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26.922</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樟树中学</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学校，约800人</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S</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112.4902</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26.924</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小冲</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居住，5户，约12人</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E</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450-500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112.489</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26.928</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杨陂桥</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居住，11户，约23人</w:t>
                  </w:r>
                </w:p>
              </w:tc>
              <w:tc>
                <w:tcPr>
                  <w:tcW w:w="0" w:type="auto"/>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NE</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350-450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声环境</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E:112度29分9.32秒</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N:26度55分32.12秒</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樟树村居民点</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居民、约5人</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《声环境质量标准》（GB3096-2008）3类标准</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NE</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u w:val="none"/>
                      <w:lang w:val="en-US" w:eastAsia="zh-CN"/>
                    </w:rPr>
                    <w:t>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地下水环境</w:t>
                  </w:r>
                </w:p>
              </w:tc>
              <w:tc>
                <w:tcPr>
                  <w:tcW w:w="0" w:type="auto"/>
                  <w:gridSpan w:val="7"/>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本项目厂界外500m范围内无地下水集中式饮用水水源和热水、矿泉水、温泉等特殊地下水资源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生态环境</w:t>
                  </w:r>
                </w:p>
              </w:tc>
              <w:tc>
                <w:tcPr>
                  <w:tcW w:w="0" w:type="auto"/>
                  <w:gridSpan w:val="7"/>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不受本项目施工影响</w:t>
                  </w:r>
                </w:p>
              </w:tc>
            </w:tr>
          </w:tbl>
          <w:p>
            <w:pPr>
              <w:adjustRightInd w:val="0"/>
              <w:snapToGrid w:val="0"/>
              <w:jc w:val="both"/>
              <w:rPr>
                <w:rFonts w:hint="default" w:ascii="Times New Roman" w:hAnsi="Times New Roman" w:eastAsia="宋体" w:cs="Times New Roman"/>
                <w:color w:val="auto"/>
                <w:kern w:val="0"/>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8"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污染</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物排</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放控</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制标</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lang w:val="en-US" w:eastAsia="zh-CN" w:bidi="ar-SA"/>
              </w:rPr>
              <w:t>准</w:t>
            </w:r>
          </w:p>
        </w:tc>
        <w:tc>
          <w:tcPr>
            <w:tcW w:w="8190" w:type="dxa"/>
            <w:noWrap w:val="0"/>
            <w:vAlign w:val="top"/>
          </w:tcPr>
          <w:p>
            <w:pPr>
              <w:keepNext w:val="0"/>
              <w:keepLines w:val="0"/>
              <w:pageBreakBefore w:val="0"/>
              <w:widowControl/>
              <w:suppressLineNumbers w:val="0"/>
              <w:kinsoku/>
              <w:wordWrap/>
              <w:topLinePunct w:val="0"/>
              <w:bidi w:val="0"/>
              <w:adjustRightInd/>
              <w:snapToGrid/>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大气污染物排放标准：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项目生产过程中产生的废气，主要污染因子均为颗粒物，废气排放运营期执行《大气污染物综合排放标准》（GB16297-1996）</w:t>
            </w:r>
            <w:r>
              <w:rPr>
                <w:rFonts w:hint="default" w:ascii="Times New Roman" w:hAnsi="Times New Roman" w:eastAsia="宋体" w:cs="Times New Roman"/>
                <w:color w:val="auto"/>
                <w:kern w:val="0"/>
                <w:sz w:val="24"/>
                <w:szCs w:val="24"/>
                <w:highlight w:val="none"/>
                <w:lang w:val="en-US" w:eastAsia="zh-CN" w:bidi="ar"/>
              </w:rPr>
              <w:t>表2的无组织排放监控浓度限值具体详见表3-7。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表3-7项目废气排放标准</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3729"/>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污染物名称</w:t>
                  </w:r>
                </w:p>
              </w:tc>
              <w:tc>
                <w:tcPr>
                  <w:tcW w:w="2225"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执行标准</w:t>
                  </w:r>
                </w:p>
              </w:tc>
              <w:tc>
                <w:tcPr>
                  <w:tcW w:w="1463"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无组织监控浓度限值（mg/m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2225"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《大气污染物综合排放标准》（GB16297-1996）</w:t>
                  </w:r>
                </w:p>
              </w:tc>
              <w:tc>
                <w:tcPr>
                  <w:tcW w:w="1463" w:type="pct"/>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r>
          </w:tbl>
          <w:p>
            <w:pPr>
              <w:keepNext w:val="0"/>
              <w:keepLines w:val="0"/>
              <w:pageBreakBefore w:val="0"/>
              <w:widowControl/>
              <w:suppressLineNumbers w:val="0"/>
              <w:kinsoku/>
              <w:wordWrap/>
              <w:topLinePunct w:val="0"/>
              <w:bidi w:val="0"/>
              <w:adjustRightInd/>
              <w:snapToGrid/>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2、废水：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废水项目生产废水，不外排；生活污水经化粪池收集预处理达到《污水综合排放标准》（GB8978-1996）表4中的三级标准后暂排西渡高新技术产业园区工业污水处理厂达标处理外排蒸水，最终排入湘江</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初期雨水依托衡阳富华钢化玻璃有限公司厂区内雨水收集池收集后沉淀处理后排放至园区雨水管网。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（1）施工期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施工期场界噪声执行《建筑施工场界环境噪声排放标准》（GB12523-2011）：昼间≤70dB（A）、夜间≤55dB（A）。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（2）营运期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营运期执行《工业企业厂界环境噪声排放标准》（GB12348-2008）3类标准。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表3-8环境噪声排放标准（单位：dB（A））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3"/>
              <w:gridCol w:w="2794"/>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4"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厂界外声环境区类别</w:t>
                  </w:r>
                </w:p>
              </w:tc>
              <w:tc>
                <w:tcPr>
                  <w:tcW w:w="2655"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昼间</w:t>
                  </w:r>
                </w:p>
              </w:tc>
              <w:tc>
                <w:tcPr>
                  <w:tcW w:w="2655"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4"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3类</w:t>
                  </w:r>
                </w:p>
              </w:tc>
              <w:tc>
                <w:tcPr>
                  <w:tcW w:w="2655"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65dB（A）</w:t>
                  </w:r>
                </w:p>
              </w:tc>
              <w:tc>
                <w:tcPr>
                  <w:tcW w:w="2655" w:type="dxa"/>
                  <w:noWrap w:val="0"/>
                  <w:vAlign w:val="center"/>
                </w:tcPr>
                <w:p>
                  <w:pPr>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55dB（A）</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4、固废：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生活垃圾执行《生活垃圾填埋场污染控制标准》（GB16889-2008）；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一般工业固废处置执行《一般工业固体废物贮存和填埋污染控制标准》（GB18599-2020）；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危险废物执行《危险废物贮存污染控制标准》（GB18597-2023）中的相关规定。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总量</w:t>
            </w:r>
          </w:p>
          <w:p>
            <w:pPr>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控制</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lang w:val="en-US" w:eastAsia="zh-CN" w:bidi="ar-SA"/>
              </w:rPr>
              <w:t>指标</w:t>
            </w:r>
          </w:p>
        </w:tc>
        <w:tc>
          <w:tcPr>
            <w:tcW w:w="8190"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主要污染物总量控制规划》，大气污染物总量控制指标为SO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、NOx，水污染物控制指标为COD、NH3-N。</w:t>
            </w:r>
            <w:r>
              <w:rPr>
                <w:rFonts w:hint="default" w:ascii="Times New Roman" w:hAnsi="Times New Roman" w:eastAsia="宋体" w:cs="Times New Roman"/>
                <w:color w:val="auto"/>
                <w:kern w:val="0"/>
                <w:sz w:val="24"/>
                <w:szCs w:val="24"/>
                <w:highlight w:val="none"/>
                <w:lang w:val="en-US" w:eastAsia="zh-CN" w:bidi="ar"/>
              </w:rPr>
              <w:t>按国家对污染物排放总量控制指标的要求，在核算污染物排放量的基础上提出工程污染物总量控制建议指标，是建设项目环境影响评价的任务之一，污染物总量控制建议指标应包括国家规定的指标和项目的特征污染物，结合本项目工程特征，确定本项目的总量控制因子为：CODCr、氨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活污水经化粪池处理后经市政污水管网排入衡阳西渡高新区污水处理厂，处理达到《城镇污水处理厂污染物排放标准》（GB18918-2002）及其修改单中一级A标准后排入湘江。本项目产生的废水主要是生活污水，已纳入西渡高新技术产业园区工业污水处理厂的总量中，</w:t>
            </w:r>
            <w:r>
              <w:rPr>
                <w:rFonts w:hint="eastAsia" w:ascii="Times New Roman" w:hAnsi="Times New Roman" w:eastAsia="宋体" w:cs="Times New Roman"/>
                <w:color w:val="auto"/>
                <w:kern w:val="0"/>
                <w:sz w:val="24"/>
                <w:szCs w:val="24"/>
                <w:highlight w:val="none"/>
                <w:lang w:val="en-US" w:eastAsia="zh-CN" w:bidi="ar"/>
              </w:rPr>
              <w:t>各污染物排放浓度为COD50mg/L，氨氮5mg/L，项目废水排放总量为</w:t>
            </w:r>
            <w:r>
              <w:rPr>
                <w:rFonts w:hint="eastAsia" w:cs="Times New Roman"/>
                <w:color w:val="auto"/>
                <w:kern w:val="0"/>
                <w:sz w:val="24"/>
                <w:szCs w:val="24"/>
                <w:highlight w:val="none"/>
                <w:lang w:val="en-US" w:eastAsia="zh-CN" w:bidi="ar"/>
              </w:rPr>
              <w:t>108</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/a。因此，本项目经</w:t>
            </w:r>
            <w:r>
              <w:rPr>
                <w:rFonts w:hint="default" w:ascii="Times New Roman" w:hAnsi="Times New Roman" w:eastAsia="宋体" w:cs="Times New Roman"/>
                <w:color w:val="auto"/>
                <w:kern w:val="0"/>
                <w:sz w:val="24"/>
                <w:szCs w:val="24"/>
                <w:highlight w:val="none"/>
                <w:lang w:val="en-US" w:eastAsia="zh-CN" w:bidi="ar"/>
              </w:rPr>
              <w:t>西渡高新技术产业园区工业污水处理厂</w:t>
            </w:r>
            <w:r>
              <w:rPr>
                <w:rFonts w:hint="eastAsia" w:ascii="Times New Roman" w:hAnsi="Times New Roman" w:eastAsia="宋体" w:cs="Times New Roman"/>
                <w:color w:val="auto"/>
                <w:kern w:val="0"/>
                <w:sz w:val="24"/>
                <w:szCs w:val="24"/>
                <w:highlight w:val="none"/>
                <w:lang w:val="en-US" w:eastAsia="zh-CN" w:bidi="ar"/>
              </w:rPr>
              <w:t>处理后，排入外环境的水污染物总量为：COD</w:t>
            </w:r>
            <w:r>
              <w:rPr>
                <w:rFonts w:hint="eastAsia" w:cs="Times New Roman"/>
                <w:color w:val="auto"/>
                <w:kern w:val="0"/>
                <w:sz w:val="24"/>
                <w:szCs w:val="24"/>
                <w:highlight w:val="none"/>
                <w:lang w:val="en-US" w:eastAsia="zh-CN" w:bidi="ar"/>
              </w:rPr>
              <w:t>0.0054</w:t>
            </w:r>
            <w:r>
              <w:rPr>
                <w:rFonts w:hint="eastAsia" w:ascii="Times New Roman" w:hAnsi="Times New Roman" w:eastAsia="宋体" w:cs="Times New Roman"/>
                <w:color w:val="auto"/>
                <w:kern w:val="0"/>
                <w:sz w:val="24"/>
                <w:szCs w:val="24"/>
                <w:highlight w:val="none"/>
                <w:lang w:val="en-US" w:eastAsia="zh-CN" w:bidi="ar"/>
              </w:rPr>
              <w:t>t/a，氨氮</w:t>
            </w:r>
            <w:r>
              <w:rPr>
                <w:rFonts w:hint="eastAsia" w:cs="Times New Roman"/>
                <w:color w:val="auto"/>
                <w:kern w:val="0"/>
                <w:sz w:val="24"/>
                <w:szCs w:val="24"/>
                <w:highlight w:val="none"/>
                <w:lang w:val="en-US" w:eastAsia="zh-CN" w:bidi="ar"/>
              </w:rPr>
              <w:t>0.00054</w:t>
            </w:r>
            <w:r>
              <w:rPr>
                <w:rFonts w:hint="eastAsia"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highlight w:val="none"/>
                <w:lang w:val="en-US" w:eastAsia="zh-CN" w:bidi="ar"/>
              </w:rPr>
              <w:t>故不申请废水总量控制指标。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项目生产过程中无SO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、NOx的产生，产生的粉尘均不在总量控制因子范围内，故本项目无大气污染物总量控制指标。</w:t>
            </w:r>
          </w:p>
        </w:tc>
      </w:tr>
    </w:tbl>
    <w:p>
      <w:pPr>
        <w:pStyle w:val="17"/>
        <w:jc w:val="both"/>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68" w:name="_Toc7755"/>
      <w:bookmarkStart w:id="169" w:name="_Toc5693"/>
      <w:bookmarkStart w:id="170" w:name="_Toc23998"/>
      <w:r>
        <w:rPr>
          <w:rFonts w:hint="default" w:ascii="Times New Roman" w:hAnsi="Times New Roman" w:eastAsia="宋体" w:cs="Times New Roman"/>
          <w:snapToGrid w:val="0"/>
          <w:color w:val="auto"/>
          <w:sz w:val="30"/>
          <w:szCs w:val="30"/>
          <w:highlight w:val="none"/>
        </w:rPr>
        <w:t>四、主要环境影响和保护措施</w:t>
      </w:r>
      <w:bookmarkEnd w:id="168"/>
      <w:bookmarkEnd w:id="169"/>
      <w:bookmarkEnd w:id="170"/>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0"/>
        <w:gridCol w:w="86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trPr>
        <w:tc>
          <w:tcPr>
            <w:tcW w:w="746" w:type="dxa"/>
            <w:noWrap w:val="0"/>
            <w:tcMar>
              <w:left w:w="28" w:type="dxa"/>
              <w:right w:w="28" w:type="dxa"/>
            </w:tcMar>
            <w:vAlign w:val="center"/>
          </w:tcPr>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期环</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境保</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护措</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sz w:val="24"/>
                <w:szCs w:val="24"/>
                <w:highlight w:val="none"/>
              </w:rPr>
              <w:t>施</w:t>
            </w:r>
          </w:p>
        </w:tc>
        <w:tc>
          <w:tcPr>
            <w:tcW w:w="8162"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1.废气污染控制措施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汽车尾气及燃油机械废气控制措施施工单位应采用尾气排放符合国家规定标准的车辆和施工机械，确保其在运行时尾气达标排放，减少对环境空气的污染。禁止尾气排放不达标的车辆和施工机械运行作业。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（1）车辆行驶扬尘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车辆行驶扬尘对周边居民可能产生一定影响，环评建议施工过程中采取以下措施：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①实施标准化施工，运输易遗撒的物质时进行遮盖。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项目施工过程中所需的砂石灰料等材料由新建水泥硬化道路运输到施工场地。为防止二次扬尘污染，在材料运输时应加盖篷布；特别要控制汽车的行驶速度，并对汽车行驶路面勤洒水。施工现场出入口设置洗车台，防止汽车轮胎将泥土带至其它路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（2）堆场扬尘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有关资料显示，施工扬尘的影响范围可达周围50m左右，在进行洒水作业对路面保持一定湿润度后，扬尘的影响范围可控制在30m范围内。为了降低本项目堆场扬尘对外环境的影响，环评建议建设、施工单位做到以下几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①分段施工、合理安排施工工期，尽量减少同一时间内的挖土量。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②露天堆存的物料和土方开挖中挖掘出的土石方，暂时堆存时要及时覆盖。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③风速较大时要避免露天施工作业。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④项目施工区域四周设立施工围挡，减少扬尘影响。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总体而言，施工期废气随着建设期的结束而自然消失，虽然建设期会对周围环境有一定的影响，但可以采取相应的控制措施，将影响控制在较低的范围内，而且其影响也是相对短暂的。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2.水污染控制措施</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施工期废水主要是来自施工废水，本项目不设施工营地，施工人员不在项目内食宿，无生活污水产生。施工废水包括机械设备洗涤水。主要污染物包括SS、pH和油类等，不含有毒物质。机械冲洗废水经</w:t>
            </w:r>
            <w:r>
              <w:rPr>
                <w:rFonts w:hint="default" w:ascii="Times New Roman" w:hAnsi="Times New Roman" w:eastAsia="宋体" w:cs="Times New Roman"/>
                <w:color w:val="auto"/>
                <w:kern w:val="0"/>
                <w:sz w:val="24"/>
                <w:szCs w:val="24"/>
                <w:highlight w:val="none"/>
                <w:lang w:val="en-US" w:eastAsia="zh-CN" w:bidi="ar"/>
              </w:rPr>
              <w:t>隔油沉淀池</w:t>
            </w:r>
            <w:r>
              <w:rPr>
                <w:rFonts w:hint="default" w:ascii="Times New Roman" w:hAnsi="Times New Roman" w:eastAsia="宋体" w:cs="Times New Roman"/>
                <w:color w:val="auto"/>
                <w:kern w:val="0"/>
                <w:sz w:val="24"/>
                <w:szCs w:val="24"/>
                <w:highlight w:val="none"/>
                <w:lang w:val="en-US" w:eastAsia="zh-CN" w:bidi="ar"/>
              </w:rPr>
              <w:t>处理后回用于机械冲洗或砂浆搅拌，不外排。</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筑施工废水主要是施工期间产生的洗车废水及水泥搅拌等泥浆水。洗车废水循环使用不外排，水泥搅拌等泥浆水具有污水量小，泥沙含量高（泥沙含量与施工机械、工程性质及工程进度等有关）的特点，且废水含有少量的废机油等污染物。根据工程分析，项目施工期间建筑施工废水主要污染物为SS。考虑建筑施工要求，该部分废水收集经沉淀后可回用于施工过程。考虑到项目施工期的长期行为，要求对施工场地所产生的废水应加强管理、控制。</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①严禁施工废水乱排、乱流污染道路和周围环境。</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②场地内根据建设施工过程及地势开挖沉淀池，施工废水经沉淀池沉淀后全部回用于施工过程，不外排。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3.噪声污染控制措施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由于建筑施工各阶段机械设备组合情况不同，所以噪声辐射影响的程度也不尽相同。实际施工过程中，往往是多种机械同时工作，各种噪声源辐射的相互叠加，噪声级将更高，影响范围亦更大。因此，在使用高噪声机械设备时，必须对噪声采取治理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①严格遵守《建筑施工场界环境噪声排放标准》（GB12523-2011）中的有关要求，禁止中、高考及前半个月内施工。合理安排施工时间和加强对一线操作人员的环境意识教育来控制。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②对产生高噪声的设备，建议在其外加盖简易棚。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③合理设计施工总平面布置图，将高噪声设备尽量布置在远离周围敏感点的位置。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④对钢管、模板等构件装卸、搬运应该轻拿轻放，严禁抛掷，并辅以一定的减缓措施，如铺设草包等。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⑤建设单位在施工现场四周应设置临时的屏障设施，既能起到安全防护的作用，还能阻挡噪声的传播。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⑥对动力机械设备定期进行维修和养护，避免因松动部件振动或消声器损坏而加大设备工作时的声级。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⑦尽量减少运输车辆夜间的运输量，运输车辆在进入施工区附近区域后，要适当降低车速，禁止鸣笛。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⑧合理安排施工时间、施工进度，夜间严格禁止施工，如夜间确实需要施工需和当地居民协调解决，减少噪声对附近居民的影响，同时对不同施工阶段，按《建筑施工场界环境噪声排放标准》（GB12523-2011）对施工场界进行噪声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⑨在装修阶段，建设方应对建筑物的外部采用围挡，对金属窗加工等发出高频噪声的生产过程尽量不安排在现场施工，采用成品窗；大型建筑构件，应在施工现场外预制，然后运到施工现场再行安装。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在采取上述措施后，本项目施工期的噪声污染可以控制在可控范围内。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（1）本项目设备安装噪声压级在60-70dB（A）之间，且在昼间进行，厂界噪声可达到《建筑施工场界环境噪声排放标准》（GB12523-2011）要求，对周边声环境影响不大；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（2）合理安排施工作业，尽量避免多台强噪声施工机械在同一地点同时施工。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（3）尽量采用各种隔声降噪措施，在用地范围四周设置施工围墙以减轻施工噪声对附近居民区（项目南侧与西侧集中居民区）以及其他敏感点的影响等。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（4）减少交通噪声，大型载重车辆在进出施工场地时应限速20km/h，并禁止鸣笛。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4.固体废物污染防治措施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施工期生活垃圾主要为有机废物，包括剩饭菜、粪便等。根据本建设项目实际情况，施工人员生活垃圾依托站区已有的垃圾收集桶收集后再由当地乡镇环卫部门定期清运。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项目区内挖方部分用于厂区回填，部分用于绿化用途。项目区内无富余土方且不需要在场外取土。项目建设过程产生的废弃砖、水泥块等建筑垃圾由渣土部门调配。施工期生活垃圾若不及时处理，在气温适宜的条件下会滋生蚊虫、产生恶臭和传播疾病等。生活垃圾交由当地环卫单位清运和统一集中处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 w:val="0"/>
                <w:bCs w:val="0"/>
                <w:color w:val="auto"/>
                <w:kern w:val="0"/>
                <w:sz w:val="24"/>
                <w:szCs w:val="24"/>
                <w:highlight w:val="none"/>
                <w:lang w:val="en-US" w:eastAsia="zh-CN" w:bidi="ar"/>
              </w:rPr>
              <w:t>一般情况下，项目建设施工过程会对施工场地及周围地区的环境质量产生一定的影响，必须引起建设单位及施工单位的高度重视，切实做好防护措施，使其对环境的影响减至最低限度。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0" w:hRule="atLeast"/>
        </w:trPr>
        <w:tc>
          <w:tcPr>
            <w:tcW w:w="746" w:type="dxa"/>
            <w:noWrap w:val="0"/>
            <w:tcMar>
              <w:left w:w="28" w:type="dxa"/>
              <w:right w:w="28" w:type="dxa"/>
            </w:tcMar>
            <w:vAlign w:val="center"/>
          </w:tcPr>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期环</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境影</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响和</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保护</w:t>
            </w:r>
          </w:p>
          <w:p>
            <w:pPr>
              <w:pStyle w:val="17"/>
              <w:adjustRightInd w:val="0"/>
              <w:snapToGrid w:val="0"/>
              <w:spacing w:before="0" w:beforeAutospacing="0" w:after="0" w:afterAutospacing="0"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 w:val="24"/>
                <w:szCs w:val="24"/>
                <w:highlight w:val="none"/>
              </w:rPr>
              <w:t>措施</w:t>
            </w:r>
          </w:p>
        </w:tc>
        <w:tc>
          <w:tcPr>
            <w:tcW w:w="8162" w:type="dxa"/>
            <w:noWrap w:val="0"/>
            <w:vAlign w:val="top"/>
          </w:tcPr>
          <w:p>
            <w:pPr>
              <w:keepNext w:val="0"/>
              <w:keepLines w:val="0"/>
              <w:widowControl/>
              <w:numPr>
                <w:ilvl w:val="0"/>
                <w:numId w:val="3"/>
              </w:numPr>
              <w:suppressLineNumbers w:val="0"/>
              <w:spacing w:line="360" w:lineRule="auto"/>
              <w:ind w:leftChars="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废气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①废气污染物排放源</w:t>
            </w:r>
          </w:p>
          <w:p>
            <w:pPr>
              <w:pStyle w:val="44"/>
              <w:keepNext w:val="0"/>
              <w:keepLines w:val="0"/>
              <w:pageBreakBefore w:val="0"/>
              <w:kinsoku/>
              <w:wordWrap/>
              <w:overflowPunct/>
              <w:topLinePunct w:val="0"/>
              <w:autoSpaceDE/>
              <w:autoSpaceDN/>
              <w:bidi w:val="0"/>
              <w:adjustRightInd/>
              <w:snapToGrid/>
              <w:spacing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本项目生产过程产生的废气主要为装卸料粉尘、原料及成品堆场粉尘、运输粉尘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破碎、筛分过程中产生的扬尘</w:t>
            </w:r>
            <w:r>
              <w:rPr>
                <w:rFonts w:hint="default" w:ascii="Times New Roman" w:hAnsi="Times New Roman" w:eastAsia="宋体" w:cs="Times New Roman"/>
                <w:color w:val="auto"/>
                <w:sz w:val="24"/>
                <w:szCs w:val="24"/>
                <w:highlight w:val="none"/>
                <w:lang w:val="en-US" w:eastAsia="zh-CN"/>
              </w:rPr>
              <w:t>。具体废气产排污源强详见下表。</w:t>
            </w:r>
          </w:p>
          <w:p>
            <w:pPr>
              <w:pStyle w:val="7"/>
              <w:keepNext w:val="0"/>
              <w:keepLines w:val="0"/>
              <w:pageBreakBefore w:val="0"/>
              <w:kinsoku/>
              <w:wordWrap/>
              <w:overflowPunct/>
              <w:topLinePunct w:val="0"/>
              <w:autoSpaceDE/>
              <w:autoSpaceDN/>
              <w:bidi w:val="0"/>
              <w:adjustRightInd/>
              <w:snapToGrid/>
              <w:spacing w:line="240" w:lineRule="auto"/>
              <w:ind w:left="0" w:right="0" w:firstLine="0" w:firstLineChars="0"/>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表4-1项目运营期废气产排污节点及污染治理设施汇总一览表</w:t>
            </w:r>
          </w:p>
          <w:tbl>
            <w:tblPr>
              <w:tblStyle w:val="20"/>
              <w:tblW w:w="494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427"/>
              <w:gridCol w:w="427"/>
              <w:gridCol w:w="427"/>
              <w:gridCol w:w="1355"/>
              <w:gridCol w:w="812"/>
              <w:gridCol w:w="636"/>
              <w:gridCol w:w="635"/>
              <w:gridCol w:w="427"/>
              <w:gridCol w:w="1359"/>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42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工艺</w:t>
                  </w:r>
                </w:p>
              </w:tc>
              <w:tc>
                <w:tcPr>
                  <w:tcW w:w="63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产排污环节</w:t>
                  </w:r>
                </w:p>
              </w:tc>
              <w:tc>
                <w:tcPr>
                  <w:tcW w:w="427"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污染物种类</w:t>
                  </w:r>
                </w:p>
              </w:tc>
              <w:tc>
                <w:tcPr>
                  <w:tcW w:w="427"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排放形式</w:t>
                  </w:r>
                </w:p>
              </w:tc>
              <w:tc>
                <w:tcPr>
                  <w:tcW w:w="427"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排放口编号</w:t>
                  </w:r>
                </w:p>
              </w:tc>
              <w:tc>
                <w:tcPr>
                  <w:tcW w:w="2168" w:type="dxa"/>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污染物产生情况</w:t>
                  </w:r>
                </w:p>
              </w:tc>
              <w:tc>
                <w:tcPr>
                  <w:tcW w:w="1698" w:type="dxa"/>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治理措施</w:t>
                  </w:r>
                </w:p>
              </w:tc>
              <w:tc>
                <w:tcPr>
                  <w:tcW w:w="2171" w:type="dxa"/>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63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427"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427"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427"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产生量t/a</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产生浓度mg/m3</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措施工艺名称</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治理效率</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是否为可行技术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排放量t/a</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排放浓度mg/m3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机制砂加工</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原料卸料粉尘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1.2</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厂房封闭、洒水抑尘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0.7</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0.36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原料及成品堆场粉尘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0.0973</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厂房封闭、水雾喷淋抑尘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0.8</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0.01946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原料破碎、筛分粉尘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无组织</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60</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厂房封闭、水雾喷淋抑尘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0.94</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3.6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投料粉尘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无组织</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3</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厂房封闭、洒水抑尘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0.8</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26" w:type="dxa"/>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成品装车粉尘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无组织</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厂房封闭、洒水抑尘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0.24</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2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车辆运输</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运输扬尘</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颗粒物</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无组织</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0.5976</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定期清扫、洒水抑尘</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0.8</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是</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0.11952</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2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合计</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6"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63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42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c>
                <w:tcPr>
                  <w:tcW w:w="135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4.93898</w:t>
                  </w:r>
                </w:p>
              </w:tc>
              <w:tc>
                <w:tcPr>
                  <w:tcW w:w="812"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w:t>
                  </w:r>
                </w:p>
              </w:tc>
            </w:tr>
          </w:tbl>
          <w:p>
            <w:pPr>
              <w:keepNext w:val="0"/>
              <w:keepLines w:val="0"/>
              <w:pageBreakBefore w:val="0"/>
              <w:tabs>
                <w:tab w:val="left" w:pos="425"/>
              </w:tabs>
              <w:kinsoku/>
              <w:wordWrap/>
              <w:overflowPunct/>
              <w:topLinePunct w:val="0"/>
              <w:autoSpaceDE/>
              <w:autoSpaceDN/>
              <w:bidi w:val="0"/>
              <w:adjustRightInd/>
              <w:snapToGrid w:val="0"/>
              <w:spacing w:line="360" w:lineRule="auto"/>
              <w:ind w:left="0" w:right="0" w:firstLine="474" w:firstLineChars="200"/>
              <w:jc w:val="left"/>
              <w:textAlignment w:val="auto"/>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bCs w:val="0"/>
                <w:color w:val="auto"/>
                <w:spacing w:val="-2"/>
                <w:sz w:val="24"/>
                <w:szCs w:val="24"/>
                <w:highlight w:val="none"/>
                <w:lang w:val="en-US" w:eastAsia="zh-CN"/>
              </w:rPr>
              <w:t>①原料卸料粉尘</w:t>
            </w:r>
          </w:p>
          <w:p>
            <w:pPr>
              <w:pStyle w:val="28"/>
              <w:keepNext w:val="0"/>
              <w:keepLines w:val="0"/>
              <w:pageBreakBefore w:val="0"/>
              <w:kinsoku/>
              <w:wordWrap/>
              <w:overflowPunct/>
              <w:topLinePunct w:val="0"/>
              <w:bidi w:val="0"/>
              <w:adjustRightInd/>
              <w:snapToGrid w:val="0"/>
              <w:spacing w:line="360" w:lineRule="auto"/>
              <w:ind w:firstLine="480" w:firstLineChars="200"/>
              <w:jc w:val="left"/>
              <w:textAlignment w:val="auto"/>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bidi="ar"/>
              </w:rPr>
              <w:t>项目原料在物料卸料过程中会有少量无组织粉尘产生。参考《逸散性工业粉尘控制技术》（中国环境科学出版社，1989.12，J.A.奥里蒙等编著，张良璧等编译）中的粒料</w:t>
            </w:r>
            <w:r>
              <w:rPr>
                <w:rFonts w:hint="eastAsia"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eastAsia="宋体" w:cs="Times New Roman"/>
                <w:b w:val="0"/>
                <w:bCs/>
                <w:color w:val="auto"/>
                <w:kern w:val="0"/>
                <w:sz w:val="24"/>
                <w:szCs w:val="24"/>
                <w:highlight w:val="none"/>
                <w:lang w:val="en-US" w:eastAsia="zh-CN" w:bidi="ar"/>
              </w:rPr>
              <w:t>逸散尘排放因子中卸料</w:t>
            </w:r>
            <w:r>
              <w:rPr>
                <w:rFonts w:hint="eastAsia"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eastAsia="宋体" w:cs="Times New Roman"/>
                <w:b w:val="0"/>
                <w:bCs/>
                <w:color w:val="auto"/>
                <w:kern w:val="0"/>
                <w:sz w:val="24"/>
                <w:szCs w:val="24"/>
                <w:highlight w:val="none"/>
                <w:lang w:val="en-US" w:eastAsia="zh-CN" w:bidi="ar"/>
              </w:rPr>
              <w:t>，起尘量为0.02kg/t，本项目原料使用量为60000t/a，则粉尘产生量为1.2t/a，项目原料堆场设置在封闭式生产车间内，厂区设置喷淋降尘装置，粉尘去除率可达70%，则本项目装卸无组织粉尘排放量约0.36t/a。</w:t>
            </w:r>
          </w:p>
          <w:p>
            <w:pPr>
              <w:keepNext w:val="0"/>
              <w:keepLines w:val="0"/>
              <w:pageBreakBefore w:val="0"/>
              <w:tabs>
                <w:tab w:val="left" w:pos="425"/>
              </w:tabs>
              <w:kinsoku/>
              <w:wordWrap/>
              <w:overflowPunct/>
              <w:topLinePunct w:val="0"/>
              <w:autoSpaceDE/>
              <w:autoSpaceDN/>
              <w:bidi w:val="0"/>
              <w:adjustRightInd/>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②给料扬尘</w:t>
            </w:r>
          </w:p>
          <w:p>
            <w:pPr>
              <w:pStyle w:val="28"/>
              <w:keepNext w:val="0"/>
              <w:keepLines w:val="0"/>
              <w:pageBreakBefore w:val="0"/>
              <w:kinsoku/>
              <w:wordWrap/>
              <w:overflowPunct/>
              <w:topLinePunct w:val="0"/>
              <w:bidi w:val="0"/>
              <w:adjustRightInd/>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本项目废钢渣给料过程中由于高程落差会产生大量的扬尘，根据《逸散性工业粉尘控制技术》中粒料加工厂逸散尘的排放因子，给料的排放因子0.05kg/t，本项目年进料量为60000t/a，则粉尘产生量3t/a。</w:t>
            </w:r>
          </w:p>
          <w:p>
            <w:pPr>
              <w:pStyle w:val="28"/>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项目破碎机均设置于封闭生产车间内，破碎机上料口采用遮挡板三面遮挡，同时在破碎机上方设置水雾喷淋装置进行抑尘。经采取上述措施后，降尘可达80%，则给料过程中无组织粉尘排放量为0.6t/a。</w:t>
            </w:r>
          </w:p>
          <w:p>
            <w:pPr>
              <w:keepNext w:val="0"/>
              <w:keepLines w:val="0"/>
              <w:pageBreakBefore w:val="0"/>
              <w:tabs>
                <w:tab w:val="left" w:pos="425"/>
              </w:tabs>
              <w:kinsoku/>
              <w:wordWrap/>
              <w:overflowPunct/>
              <w:topLinePunct w:val="0"/>
              <w:autoSpaceDE/>
              <w:autoSpaceDN/>
              <w:bidi w:val="0"/>
              <w:adjustRightInd/>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③原料及成品堆场粉尘</w:t>
            </w:r>
          </w:p>
          <w:p>
            <w:pPr>
              <w:pStyle w:val="28"/>
              <w:keepNext w:val="0"/>
              <w:keepLines w:val="0"/>
              <w:pageBreakBefore w:val="0"/>
              <w:kinsoku/>
              <w:wordWrap/>
              <w:overflowPunct/>
              <w:topLinePunct w:val="0"/>
              <w:bidi w:val="0"/>
              <w:adjustRightInd/>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项目原料堆场物料在气候干燥又有风的情况下，会产生扬尘。本次评价采用西安冶金建筑学院的干堆扬尘计算模式，计算模式如下：</w:t>
            </w:r>
          </w:p>
          <w:p>
            <w:pPr>
              <w:pStyle w:val="18"/>
              <w:keepNext w:val="0"/>
              <w:keepLines w:val="0"/>
              <w:pageBreakBefore w:val="0"/>
              <w:kinsoku/>
              <w:wordWrap/>
              <w:overflowPunct/>
              <w:topLinePunct w:val="0"/>
              <w:bidi w:val="0"/>
              <w:adjustRightInd/>
              <w:snapToGrid w:val="0"/>
              <w:spacing w:after="0" w:line="360" w:lineRule="auto"/>
              <w:ind w:left="0" w:leftChars="0" w:firstLine="480" w:firstLineChars="200"/>
              <w:jc w:val="left"/>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Q=4.23×10</w:t>
            </w:r>
            <w:r>
              <w:rPr>
                <w:rFonts w:hint="default" w:ascii="Times New Roman" w:hAnsi="Times New Roman" w:eastAsia="宋体" w:cs="Times New Roman"/>
                <w:b w:val="0"/>
                <w:bCs/>
                <w:color w:val="auto"/>
                <w:sz w:val="24"/>
                <w:highlight w:val="none"/>
                <w:vertAlign w:val="superscript"/>
              </w:rPr>
              <w:t>-4</w:t>
            </w:r>
            <w:r>
              <w:rPr>
                <w:rFonts w:hint="default" w:ascii="Times New Roman" w:hAnsi="Times New Roman" w:eastAsia="宋体" w:cs="Times New Roman"/>
                <w:b w:val="0"/>
                <w:bCs/>
                <w:color w:val="auto"/>
                <w:sz w:val="24"/>
                <w:highlight w:val="none"/>
              </w:rPr>
              <w:t>×U</w:t>
            </w:r>
            <w:r>
              <w:rPr>
                <w:rFonts w:hint="default" w:ascii="Times New Roman" w:hAnsi="Times New Roman" w:eastAsia="宋体" w:cs="Times New Roman"/>
                <w:b w:val="0"/>
                <w:bCs/>
                <w:color w:val="auto"/>
                <w:sz w:val="24"/>
                <w:highlight w:val="none"/>
                <w:vertAlign w:val="superscript"/>
              </w:rPr>
              <w:t>4.9</w:t>
            </w:r>
            <w:r>
              <w:rPr>
                <w:rFonts w:hint="default" w:ascii="Times New Roman" w:hAnsi="Times New Roman" w:eastAsia="宋体" w:cs="Times New Roman"/>
                <w:b w:val="0"/>
                <w:bCs/>
                <w:color w:val="auto"/>
                <w:sz w:val="24"/>
                <w:highlight w:val="none"/>
              </w:rPr>
              <w:t>×S</w:t>
            </w:r>
          </w:p>
          <w:p>
            <w:pPr>
              <w:keepNext w:val="0"/>
              <w:keepLines w:val="0"/>
              <w:pageBreakBefore w:val="0"/>
              <w:kinsoku/>
              <w:wordWrap/>
              <w:overflowPunct/>
              <w:topLinePunct w:val="0"/>
              <w:bidi w:val="0"/>
              <w:adjustRightInd/>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式中：Q—堆场起尘强度，mg/s；</w:t>
            </w:r>
          </w:p>
          <w:p>
            <w:pPr>
              <w:keepNext w:val="0"/>
              <w:keepLines w:val="0"/>
              <w:pageBreakBefore w:val="0"/>
              <w:kinsoku/>
              <w:wordWrap/>
              <w:overflowPunct/>
              <w:topLinePunct w:val="0"/>
              <w:bidi w:val="0"/>
              <w:adjustRightInd/>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U—风速，m/s；因顶棚遮挡，三面封闭，物料低于围挡高度，风速平均值为1.5m/s；</w:t>
            </w:r>
          </w:p>
          <w:p>
            <w:pPr>
              <w:keepNext w:val="0"/>
              <w:keepLines w:val="0"/>
              <w:pageBreakBefore w:val="0"/>
              <w:kinsoku/>
              <w:wordWrap/>
              <w:overflowPunct/>
              <w:topLinePunct w:val="0"/>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S—堆场表面积，m</w:t>
            </w:r>
            <w:r>
              <w:rPr>
                <w:rFonts w:hint="default" w:ascii="Times New Roman" w:hAnsi="Times New Roman" w:eastAsia="宋体" w:cs="Times New Roman"/>
                <w:b w:val="0"/>
                <w:bCs/>
                <w:color w:val="auto"/>
                <w:kern w:val="0"/>
                <w:sz w:val="24"/>
                <w:szCs w:val="24"/>
                <w:highlight w:val="none"/>
                <w:u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u w:val="none"/>
                <w:lang w:val="en-US" w:eastAsia="zh-CN" w:bidi="ar"/>
              </w:rPr>
              <w:t>。</w:t>
            </w:r>
          </w:p>
          <w:p>
            <w:pPr>
              <w:pStyle w:val="17"/>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在不采取任何防尘措施的情况下</w:t>
            </w:r>
            <w:r>
              <w:rPr>
                <w:rFonts w:hint="eastAsia" w:ascii="Times New Roman" w:hAnsi="Times New Roman" w:eastAsia="宋体" w:cs="Times New Roman"/>
                <w:b w:val="0"/>
                <w:bCs/>
                <w:color w:val="auto"/>
                <w:kern w:val="0"/>
                <w:sz w:val="24"/>
                <w:szCs w:val="24"/>
                <w:highlight w:val="none"/>
                <w:u w:val="none"/>
                <w:lang w:val="en-US" w:eastAsia="zh-CN" w:bidi="ar"/>
              </w:rPr>
              <w:t>，</w:t>
            </w:r>
            <w:r>
              <w:rPr>
                <w:rFonts w:hint="default" w:ascii="Times New Roman" w:hAnsi="Times New Roman" w:eastAsia="宋体" w:cs="Times New Roman"/>
                <w:b w:val="0"/>
                <w:bCs/>
                <w:color w:val="auto"/>
                <w:kern w:val="0"/>
                <w:sz w:val="24"/>
                <w:szCs w:val="24"/>
                <w:highlight w:val="none"/>
                <w:u w:val="none"/>
                <w:lang w:val="en-US" w:eastAsia="zh-CN" w:bidi="ar"/>
              </w:rPr>
              <w:t>成品堆场满足使用的情况下，堆场总面积为1000m</w:t>
            </w:r>
            <w:r>
              <w:rPr>
                <w:rFonts w:hint="default" w:ascii="Times New Roman" w:hAnsi="Times New Roman" w:eastAsia="宋体" w:cs="Times New Roman"/>
                <w:b w:val="0"/>
                <w:bCs/>
                <w:color w:val="auto"/>
                <w:kern w:val="0"/>
                <w:sz w:val="24"/>
                <w:szCs w:val="24"/>
                <w:highlight w:val="none"/>
                <w:u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u w:val="none"/>
                <w:lang w:val="en-US" w:eastAsia="zh-CN" w:bidi="ar"/>
              </w:rPr>
              <w:t>，</w:t>
            </w:r>
          </w:p>
          <w:p>
            <w:pPr>
              <w:pStyle w:val="17"/>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0"/>
                <w:sz w:val="24"/>
                <w:szCs w:val="24"/>
                <w:highlight w:val="none"/>
                <w:u w:val="none"/>
                <w:lang w:val="en-US" w:eastAsia="zh-CN" w:bidi="ar"/>
              </w:rPr>
            </w:pPr>
            <w:r>
              <w:rPr>
                <w:rFonts w:hint="default" w:ascii="Times New Roman" w:hAnsi="Times New Roman" w:eastAsia="宋体" w:cs="Times New Roman"/>
                <w:b w:val="0"/>
                <w:bCs/>
                <w:color w:val="auto"/>
                <w:kern w:val="0"/>
                <w:sz w:val="24"/>
                <w:szCs w:val="24"/>
                <w:highlight w:val="none"/>
                <w:u w:val="none"/>
                <w:lang w:val="en-US" w:eastAsia="zh-CN" w:bidi="ar"/>
              </w:rPr>
              <w:t>本项目的堆场表面积取1000m</w:t>
            </w:r>
            <w:r>
              <w:rPr>
                <w:rFonts w:hint="default" w:ascii="Times New Roman" w:hAnsi="Times New Roman" w:eastAsia="宋体" w:cs="Times New Roman"/>
                <w:b w:val="0"/>
                <w:bCs/>
                <w:color w:val="auto"/>
                <w:kern w:val="0"/>
                <w:sz w:val="24"/>
                <w:szCs w:val="24"/>
                <w:highlight w:val="none"/>
                <w:u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u w:val="none"/>
                <w:lang w:val="en-US" w:eastAsia="zh-CN" w:bidi="ar"/>
              </w:rPr>
              <w:t>，则项目堆场平均起尘量为</w:t>
            </w:r>
            <w:r>
              <w:rPr>
                <w:rFonts w:hint="default" w:ascii="Times New Roman" w:hAnsi="Times New Roman" w:eastAsia="宋体" w:cs="Times New Roman"/>
                <w:b w:val="0"/>
                <w:bCs/>
                <w:color w:val="auto"/>
                <w:kern w:val="0"/>
                <w:sz w:val="24"/>
                <w:szCs w:val="24"/>
                <w:highlight w:val="none"/>
                <w:u w:val="none"/>
                <w:lang w:val="en-US" w:eastAsia="zh-CN" w:bidi="ar"/>
              </w:rPr>
              <w:t>3.085mg/s，0.0973t/a</w:t>
            </w:r>
            <w:r>
              <w:rPr>
                <w:rFonts w:hint="default" w:ascii="Times New Roman" w:hAnsi="Times New Roman" w:eastAsia="宋体" w:cs="Times New Roman"/>
                <w:b w:val="0"/>
                <w:bCs/>
                <w:color w:val="auto"/>
                <w:kern w:val="0"/>
                <w:sz w:val="24"/>
                <w:szCs w:val="24"/>
                <w:highlight w:val="none"/>
                <w:u w:val="none"/>
                <w:lang w:val="en-US" w:eastAsia="zh-CN" w:bidi="ar"/>
              </w:rPr>
              <w:t>。建设单位拟对堆场定期洒水抑尘、地面硬化、钢化顶棚及围挡等措施后，粉尘无组织排放量可减少80%，则原料堆场粉尘排放量</w:t>
            </w:r>
            <w:r>
              <w:rPr>
                <w:rFonts w:hint="default" w:ascii="Times New Roman" w:hAnsi="Times New Roman" w:eastAsia="宋体" w:cs="Times New Roman"/>
                <w:b w:val="0"/>
                <w:bCs/>
                <w:color w:val="auto"/>
                <w:kern w:val="0"/>
                <w:sz w:val="24"/>
                <w:szCs w:val="24"/>
                <w:highlight w:val="none"/>
                <w:u w:val="none"/>
                <w:lang w:val="en-US" w:eastAsia="zh-CN" w:bidi="ar"/>
              </w:rPr>
              <w:t>为0.01946t/a</w:t>
            </w:r>
            <w:r>
              <w:rPr>
                <w:rFonts w:hint="default" w:ascii="Times New Roman" w:hAnsi="Times New Roman" w:eastAsia="宋体" w:cs="Times New Roman"/>
                <w:b w:val="0"/>
                <w:bCs/>
                <w:color w:val="auto"/>
                <w:kern w:val="0"/>
                <w:sz w:val="24"/>
                <w:szCs w:val="24"/>
                <w:highlight w:val="none"/>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④运输粉尘</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原料、产品均采用陆运，运输量共约12万t/a，按平均每车次装载40t估算，则每年需运输3000辆次。运输粉尘污染以10~100μm颗粒居多，运输扬尘污染浓度与车流量及道路路面状况汽车行驶速度、气候等有关。在同样路面清洁程度条件下，车速越快，扬尘量越大，而在同样车速情况下，路面清洁程度越差，则扬尘量越大。</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汽车运输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20" w:firstLineChars="200"/>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drawing>
                <wp:inline distT="0" distB="0" distL="114300" distR="114300">
                  <wp:extent cx="2432050" cy="59817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2432050" cy="59817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式中：Q—汽车行驶扬尘量，kg/km·辆。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V—汽车速度，km/h；</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W—汽车载重量，t；</w:t>
            </w:r>
            <w:r>
              <w:rPr>
                <w:rFonts w:hint="default" w:ascii="Times New Roman" w:hAnsi="Times New Roman" w:eastAsia="宋体" w:cs="Times New Roman"/>
                <w:b w:val="0"/>
                <w:bCs/>
                <w:color w:val="auto"/>
                <w:kern w:val="0"/>
                <w:sz w:val="24"/>
                <w:szCs w:val="24"/>
                <w:highlight w:val="none"/>
                <w:lang w:val="en-US" w:eastAsia="zh-CN" w:bidi="ar"/>
              </w:rPr>
              <w:t>装料时汽车重量取50t，空车时车重取10t，</w:t>
            </w:r>
            <w:r>
              <w:rPr>
                <w:rFonts w:hint="default" w:ascii="Times New Roman" w:hAnsi="Times New Roman" w:eastAsia="宋体" w:cs="Times New Roman"/>
                <w:b w:val="0"/>
                <w:bCs/>
                <w:color w:val="auto"/>
                <w:sz w:val="24"/>
                <w:szCs w:val="24"/>
                <w:highlight w:val="none"/>
                <w:u w:val="none"/>
                <w:lang w:val="en-US" w:eastAsia="zh-CN"/>
              </w:rPr>
              <w:t>汽车平均质量取30t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P—道路表面粉尘量，kg/m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，取0.60。</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计算结果见下表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表4-2不同车辆行驶速度情况下汽车扬尘产生量预测</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114"/>
              <w:gridCol w:w="2116"/>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汽车平均速度（km/h）</w:t>
                  </w:r>
                </w:p>
              </w:tc>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汽车平均质量（t）</w:t>
                  </w:r>
                </w:p>
              </w:tc>
              <w:tc>
                <w:tcPr>
                  <w:tcW w:w="125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道路表面粉尘（kg/m</w:t>
                  </w:r>
                  <w:r>
                    <w:rPr>
                      <w:rFonts w:hint="default" w:ascii="Times New Roman" w:hAnsi="Times New Roman" w:eastAsia="宋体" w:cs="Times New Roman"/>
                      <w:b w:val="0"/>
                      <w:bCs/>
                      <w:color w:val="auto"/>
                      <w:sz w:val="21"/>
                      <w:szCs w:val="21"/>
                      <w:highlight w:val="none"/>
                      <w:u w:val="none"/>
                      <w:vertAlign w:val="superscript"/>
                      <w:lang w:val="en-US" w:eastAsia="zh-CN"/>
                    </w:rPr>
                    <w:t>3</w:t>
                  </w:r>
                  <w:r>
                    <w:rPr>
                      <w:rFonts w:hint="default" w:ascii="Times New Roman" w:hAnsi="Times New Roman" w:eastAsia="宋体" w:cs="Times New Roman"/>
                      <w:b w:val="0"/>
                      <w:bCs/>
                      <w:color w:val="auto"/>
                      <w:sz w:val="21"/>
                      <w:szCs w:val="21"/>
                      <w:highlight w:val="none"/>
                      <w:u w:val="none"/>
                      <w:lang w:val="en-US" w:eastAsia="zh-CN"/>
                    </w:rPr>
                    <w:t>）</w:t>
                  </w:r>
                </w:p>
              </w:tc>
              <w:tc>
                <w:tcPr>
                  <w:tcW w:w="125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汽车扬尘量预测值（kg/km·量）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5</w:t>
                  </w:r>
                </w:p>
              </w:tc>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30</w:t>
                  </w:r>
                </w:p>
              </w:tc>
              <w:tc>
                <w:tcPr>
                  <w:tcW w:w="125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125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10</w:t>
                  </w:r>
                </w:p>
              </w:tc>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30</w:t>
                  </w:r>
                </w:p>
              </w:tc>
              <w:tc>
                <w:tcPr>
                  <w:tcW w:w="125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125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15</w:t>
                  </w:r>
                </w:p>
              </w:tc>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30</w:t>
                  </w:r>
                </w:p>
              </w:tc>
              <w:tc>
                <w:tcPr>
                  <w:tcW w:w="125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0.6</w:t>
                  </w:r>
                </w:p>
              </w:tc>
              <w:tc>
                <w:tcPr>
                  <w:tcW w:w="125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u w:val="none"/>
                      <w:lang w:val="en-US" w:eastAsia="zh-CN"/>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20</w:t>
                  </w:r>
                </w:p>
              </w:tc>
              <w:tc>
                <w:tcPr>
                  <w:tcW w:w="12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30</w:t>
                  </w:r>
                </w:p>
              </w:tc>
              <w:tc>
                <w:tcPr>
                  <w:tcW w:w="125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0.6</w:t>
                  </w:r>
                </w:p>
              </w:tc>
              <w:tc>
                <w:tcPr>
                  <w:tcW w:w="125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default" w:ascii="Times New Roman" w:hAnsi="Times New Roman" w:eastAsia="宋体" w:cs="Times New Roman"/>
                      <w:b w:val="0"/>
                      <w:bCs/>
                      <w:color w:val="auto"/>
                      <w:sz w:val="21"/>
                      <w:szCs w:val="21"/>
                      <w:highlight w:val="none"/>
                      <w:u w:val="none"/>
                      <w:lang w:val="en-US" w:eastAsia="zh-CN"/>
                    </w:rPr>
                    <w:t>1.992</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车流量：原料及产品运输量为12万t（原料6万t，产品约6万t），单车每次运输量按40t计算，每年运输车辆3000车次。汽车扬尘量以0.996kg/km·辆计，装料时汽车重量取50t，空车时车重取10t，汽车平均质量取30t，在厂区内行驶距离以</w:t>
            </w:r>
            <w:r>
              <w:rPr>
                <w:rFonts w:hint="default" w:ascii="Times New Roman" w:hAnsi="Times New Roman" w:eastAsia="宋体" w:cs="Times New Roman"/>
                <w:b w:val="0"/>
                <w:bCs/>
                <w:color w:val="auto"/>
                <w:sz w:val="24"/>
                <w:szCs w:val="24"/>
                <w:highlight w:val="none"/>
                <w:lang w:val="en-US" w:eastAsia="zh-CN"/>
              </w:rPr>
              <w:t>200m</w:t>
            </w:r>
            <w:r>
              <w:rPr>
                <w:rFonts w:hint="default" w:ascii="Times New Roman" w:hAnsi="Times New Roman" w:eastAsia="宋体" w:cs="Times New Roman"/>
                <w:b w:val="0"/>
                <w:bCs/>
                <w:color w:val="auto"/>
                <w:sz w:val="24"/>
                <w:szCs w:val="24"/>
                <w:highlight w:val="none"/>
                <w:lang w:val="en-US" w:eastAsia="zh-CN"/>
              </w:rPr>
              <w:t>计，则汽车在厂区内行驶过程中的扬尘量为</w:t>
            </w:r>
            <w:r>
              <w:rPr>
                <w:rFonts w:hint="default" w:ascii="Times New Roman" w:hAnsi="Times New Roman" w:eastAsia="宋体" w:cs="Times New Roman"/>
                <w:b w:val="0"/>
                <w:bCs/>
                <w:color w:val="auto"/>
                <w:sz w:val="24"/>
                <w:szCs w:val="24"/>
                <w:highlight w:val="none"/>
                <w:lang w:val="en-US" w:eastAsia="zh-CN"/>
              </w:rPr>
              <w:t>0.5976t/a</w:t>
            </w:r>
            <w:r>
              <w:rPr>
                <w:rFonts w:hint="default" w:ascii="Times New Roman" w:hAnsi="Times New Roman" w:eastAsia="宋体" w:cs="Times New Roman"/>
                <w:b w:val="0"/>
                <w:bCs/>
                <w:color w:val="auto"/>
                <w:sz w:val="24"/>
                <w:szCs w:val="24"/>
                <w:highlight w:val="none"/>
                <w:lang w:val="en-US" w:eastAsia="zh-CN"/>
              </w:rPr>
              <w:t>。为了最大限度减少原材料及成品运输对外环境带来的不利影响，评价要求采取以下措施：企业每日对厂区进行洒水抑尘、地面冲洗、运输车辆要封闭遮盖、粉料采用密封罐车运输，可有效减少输送过程中的粉尘产生量，且尾渣运输过程产生的粉尘粒径较大，易于沉降，采取以上措施后，可使粉尘降低80%左右，即汽车运输扬尘排放量约为</w:t>
            </w:r>
            <w:r>
              <w:rPr>
                <w:rFonts w:hint="default" w:ascii="Times New Roman" w:hAnsi="Times New Roman" w:eastAsia="宋体" w:cs="Times New Roman"/>
                <w:b w:val="0"/>
                <w:bCs/>
                <w:color w:val="auto"/>
                <w:sz w:val="24"/>
                <w:szCs w:val="24"/>
                <w:highlight w:val="none"/>
                <w:lang w:val="en-US" w:eastAsia="zh-CN"/>
              </w:rPr>
              <w:t>0.11952t/a</w:t>
            </w:r>
            <w:r>
              <w:rPr>
                <w:rFonts w:hint="default" w:ascii="Times New Roman" w:hAnsi="Times New Roman" w:eastAsia="宋体" w:cs="Times New Roman"/>
                <w:b w:val="0"/>
                <w:bCs/>
                <w:color w:val="auto"/>
                <w:sz w:val="24"/>
                <w:szCs w:val="24"/>
                <w:highlight w:val="none"/>
                <w:lang w:val="en-US" w:eastAsia="zh-CN"/>
              </w:rPr>
              <w:t>，大大降低了运输粉尘对外环境的影响。</w:t>
            </w:r>
          </w:p>
          <w:p>
            <w:pPr>
              <w:keepNext w:val="0"/>
              <w:keepLines w:val="0"/>
              <w:pageBreakBefore w:val="0"/>
              <w:tabs>
                <w:tab w:val="left" w:pos="425"/>
              </w:tabs>
              <w:kinsoku/>
              <w:wordWrap/>
              <w:overflowPunct/>
              <w:topLinePunct w:val="0"/>
              <w:autoSpaceDE/>
              <w:autoSpaceDN/>
              <w:bidi w:val="0"/>
              <w:adjustRightInd/>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⑤破碎、筛分过程粉尘</w:t>
            </w:r>
          </w:p>
          <w:p>
            <w:pPr>
              <w:keepNext w:val="0"/>
              <w:keepLines w:val="0"/>
              <w:pageBreakBefore w:val="0"/>
              <w:widowControl/>
              <w:suppressLineNumbers w:val="0"/>
              <w:kinsoku/>
              <w:wordWrap/>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本项目两次破碎生产工艺大致相同，</w:t>
            </w:r>
            <w:r>
              <w:rPr>
                <w:rFonts w:hint="default" w:ascii="Times New Roman" w:hAnsi="Times New Roman" w:eastAsia="宋体" w:cs="Times New Roman"/>
                <w:b w:val="0"/>
                <w:bCs/>
                <w:color w:val="auto"/>
                <w:kern w:val="0"/>
                <w:sz w:val="24"/>
                <w:szCs w:val="24"/>
                <w:highlight w:val="none"/>
                <w:lang w:val="en-US" w:eastAsia="zh-CN" w:bidi="ar"/>
              </w:rPr>
              <w:t>粉尘产生点主要为上料机、破碎机、筛分机、皮带运输机头落料点。</w:t>
            </w:r>
            <w:r>
              <w:rPr>
                <w:rFonts w:hint="default" w:ascii="Times New Roman" w:hAnsi="Times New Roman" w:eastAsia="宋体" w:cs="Times New Roman"/>
                <w:b w:val="0"/>
                <w:bCs/>
                <w:color w:val="auto"/>
                <w:sz w:val="24"/>
                <w:szCs w:val="24"/>
                <w:highlight w:val="none"/>
                <w:lang w:val="en-US" w:eastAsia="zh-CN"/>
              </w:rPr>
              <w:t>生产废气主要为破碎、筛分过程中产生的粉尘。根据《破碎机粉尘治理实践》（1998年2月，重庆环境科学第20卷第1期）破碎机产尘源分析，其浓度在500～2000mg/m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，产尘源主要包括破碎粉尘、制砂粉尘、加料口、卸料口产尘。由于破碎粉尘产生量源强存在较大的差异，粉尘产污系数主要受到石料成分、水分含量的影响。</w:t>
            </w:r>
          </w:p>
          <w:p>
            <w:pPr>
              <w:keepNext w:val="0"/>
              <w:keepLines w:val="0"/>
              <w:pageBreakBefore w:val="0"/>
              <w:widowControl/>
              <w:suppressLineNumbers w:val="0"/>
              <w:kinsoku/>
              <w:wordWrap/>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项目参考《逸散性工业粉尘控制技术》、《工业污染核算》等资料，本项目的废钢处理过程中颗粒物排放量如下，</w:t>
            </w:r>
            <w:r>
              <w:rPr>
                <w:rFonts w:hint="default" w:ascii="Times New Roman" w:hAnsi="Times New Roman" w:eastAsia="宋体" w:cs="Times New Roman"/>
                <w:b w:val="0"/>
                <w:bCs/>
                <w:color w:val="auto"/>
                <w:sz w:val="24"/>
                <w:szCs w:val="24"/>
                <w:highlight w:val="none"/>
                <w:lang w:val="en-US" w:eastAsia="zh-CN"/>
              </w:rPr>
              <w:t>一级破碎和过筛参考《逸散性工业粉尘控制技术》（中国环境科学出版社）与《工业污染源核算（2007）》中逸散尘排放因子中一级破碎和筛选中的矿渣的系数，为0.25</w:t>
            </w:r>
            <w:r>
              <w:rPr>
                <w:rFonts w:hint="default" w:ascii="Times New Roman" w:hAnsi="Times New Roman" w:eastAsia="宋体" w:cs="Times New Roman"/>
                <w:b w:val="0"/>
                <w:bCs/>
                <w:color w:val="auto"/>
                <w:kern w:val="0"/>
                <w:sz w:val="21"/>
                <w:szCs w:val="21"/>
                <w:highlight w:val="none"/>
                <w:lang w:val="en-US" w:eastAsia="zh-CN" w:bidi="ar"/>
              </w:rPr>
              <w:t>（kg/t）</w:t>
            </w:r>
            <w:r>
              <w:rPr>
                <w:rFonts w:hint="default" w:ascii="Times New Roman" w:hAnsi="Times New Roman" w:eastAsia="宋体" w:cs="Times New Roman"/>
                <w:b w:val="0"/>
                <w:bCs/>
                <w:color w:val="auto"/>
                <w:sz w:val="24"/>
                <w:szCs w:val="24"/>
                <w:highlight w:val="none"/>
                <w:lang w:val="en-US" w:eastAsia="zh-CN"/>
              </w:rPr>
              <w:t>，二级破碎和过筛参考《逸散性工业粉尘控制技术》（中国环境科学出版社）与《工业污染源核算（2007）》中逸散尘排放因子中二级破碎和筛选中的矿渣的系数，为0.75</w:t>
            </w:r>
            <w:r>
              <w:rPr>
                <w:rFonts w:hint="default" w:ascii="Times New Roman" w:hAnsi="Times New Roman" w:eastAsia="宋体" w:cs="Times New Roman"/>
                <w:b w:val="0"/>
                <w:bCs/>
                <w:color w:val="auto"/>
                <w:kern w:val="0"/>
                <w:sz w:val="21"/>
                <w:szCs w:val="21"/>
                <w:highlight w:val="none"/>
                <w:lang w:val="en-US" w:eastAsia="zh-CN" w:bidi="ar"/>
              </w:rPr>
              <w:t>（kg/t）；</w:t>
            </w:r>
          </w:p>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表4-3矿石处理过程中颗粒物排放量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5"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加工工序</w:t>
                  </w:r>
                </w:p>
              </w:tc>
              <w:tc>
                <w:tcPr>
                  <w:tcW w:w="4267"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颗粒物产生量系数（kg/t</w:t>
                  </w:r>
                  <w:r>
                    <w:rPr>
                      <w:rFonts w:hint="eastAsia" w:eastAsia="宋体" w:cs="Times New Roman"/>
                      <w:b w:val="0"/>
                      <w:bCs/>
                      <w:color w:val="auto"/>
                      <w:kern w:val="0"/>
                      <w:sz w:val="21"/>
                      <w:szCs w:val="21"/>
                      <w:highlight w:val="none"/>
                      <w:lang w:val="en-US" w:eastAsia="zh-CN" w:bidi="ar"/>
                    </w:rPr>
                    <w:t xml:space="preserve"> </w:t>
                  </w:r>
                  <w:r>
                    <w:rPr>
                      <w:rFonts w:hint="eastAsia" w:eastAsia="宋体" w:cs="Times New Roman"/>
                      <w:b w:val="0"/>
                      <w:bCs/>
                      <w:color w:val="auto"/>
                      <w:kern w:val="0"/>
                      <w:sz w:val="21"/>
                      <w:szCs w:val="21"/>
                      <w:highlight w:val="none"/>
                      <w:lang w:val="en-US" w:eastAsia="zh-CN" w:bidi="ar"/>
                    </w:rPr>
                    <w:t>破碎料</w:t>
                  </w:r>
                  <w:r>
                    <w:rPr>
                      <w:rFonts w:hint="default" w:ascii="Times New Roman" w:hAnsi="Times New Roman" w:eastAsia="宋体" w:cs="Times New Roman"/>
                      <w:b w:val="0"/>
                      <w:bCs/>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一级破碎和过筛</w:t>
                  </w:r>
                </w:p>
              </w:tc>
              <w:tc>
                <w:tcPr>
                  <w:tcW w:w="4267"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二级破碎和过筛</w:t>
                  </w:r>
                </w:p>
              </w:tc>
              <w:tc>
                <w:tcPr>
                  <w:tcW w:w="4267"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0.75</w:t>
                  </w:r>
                </w:p>
              </w:tc>
            </w:tr>
          </w:tbl>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表4-4各工序破碎量及产尘量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5"/>
              <w:gridCol w:w="2825"/>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default" w:ascii="Times New Roman" w:hAnsi="Times New Roman" w:eastAsia="宋体" w:cs="Times New Roman"/>
                      <w:b w:val="0"/>
                      <w:bCs/>
                      <w:color w:val="auto"/>
                      <w:kern w:val="0"/>
                      <w:sz w:val="21"/>
                      <w:szCs w:val="21"/>
                      <w:highlight w:val="none"/>
                      <w:vertAlign w:val="baseline"/>
                      <w:lang w:val="en-US" w:eastAsia="zh-CN" w:bidi="ar"/>
                    </w:rPr>
                    <w:t>加工工序</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eastAsia" w:eastAsia="宋体" w:cs="Times New Roman"/>
                      <w:b w:val="0"/>
                      <w:bCs/>
                      <w:color w:val="auto"/>
                      <w:kern w:val="0"/>
                      <w:sz w:val="21"/>
                      <w:szCs w:val="21"/>
                      <w:highlight w:val="none"/>
                      <w:lang w:val="en-US" w:eastAsia="zh-CN" w:bidi="ar"/>
                    </w:rPr>
                    <w:t>破碎料</w:t>
                  </w:r>
                  <w:r>
                    <w:rPr>
                      <w:rFonts w:hint="default" w:ascii="Times New Roman" w:hAnsi="Times New Roman" w:eastAsia="宋体" w:cs="Times New Roman"/>
                      <w:b w:val="0"/>
                      <w:bCs/>
                      <w:color w:val="auto"/>
                      <w:kern w:val="0"/>
                      <w:sz w:val="21"/>
                      <w:szCs w:val="21"/>
                      <w:highlight w:val="none"/>
                      <w:vertAlign w:val="baseline"/>
                      <w:lang w:val="en-US" w:eastAsia="zh-CN" w:bidi="ar"/>
                    </w:rPr>
                    <w:t>数量（万吨/年）</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default" w:ascii="Times New Roman" w:hAnsi="Times New Roman" w:eastAsia="宋体" w:cs="Times New Roman"/>
                      <w:b w:val="0"/>
                      <w:bCs/>
                      <w:color w:val="auto"/>
                      <w:kern w:val="0"/>
                      <w:sz w:val="21"/>
                      <w:szCs w:val="21"/>
                      <w:highlight w:val="none"/>
                      <w:vertAlign w:val="baseline"/>
                      <w:lang w:val="en-US" w:eastAsia="zh-CN" w:bidi="ar"/>
                    </w:rPr>
                    <w:t>产尘量（吨/年）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836"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一次锤破和过筛</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eastAsia" w:eastAsia="宋体" w:cs="Times New Roman"/>
                      <w:b w:val="0"/>
                      <w:bCs/>
                      <w:color w:val="auto"/>
                      <w:kern w:val="0"/>
                      <w:sz w:val="21"/>
                      <w:szCs w:val="21"/>
                      <w:highlight w:val="none"/>
                      <w:vertAlign w:val="baseline"/>
                      <w:lang w:val="en-US" w:eastAsia="zh-CN" w:bidi="ar"/>
                    </w:rPr>
                    <w:t>6</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eastAsia" w:eastAsia="宋体" w:cs="Times New Roman"/>
                      <w:b w:val="0"/>
                      <w:bCs/>
                      <w:color w:val="auto"/>
                      <w:kern w:val="0"/>
                      <w:sz w:val="21"/>
                      <w:szCs w:val="21"/>
                      <w:highlight w:val="none"/>
                      <w:vertAlign w:val="baseli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836"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二次锤破和过筛</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eastAsia" w:eastAsia="宋体" w:cs="Times New Roman"/>
                      <w:b w:val="0"/>
                      <w:bCs/>
                      <w:color w:val="auto"/>
                      <w:kern w:val="0"/>
                      <w:sz w:val="21"/>
                      <w:szCs w:val="21"/>
                      <w:highlight w:val="none"/>
                      <w:vertAlign w:val="baseline"/>
                      <w:lang w:val="en-US" w:eastAsia="zh-CN" w:bidi="ar"/>
                    </w:rPr>
                    <w:t>6</w:t>
                  </w:r>
                </w:p>
              </w:tc>
              <w:tc>
                <w:tcPr>
                  <w:tcW w:w="2843" w:type="dxa"/>
                </w:tcPr>
                <w:p>
                  <w:pPr>
                    <w:pStyle w:val="2"/>
                    <w:keepNext w:val="0"/>
                    <w:keepLines w:val="0"/>
                    <w:pageBreakBefore w:val="0"/>
                    <w:widowControl w:val="0"/>
                    <w:kinsoku/>
                    <w:wordWrap/>
                    <w:overflowPunct/>
                    <w:topLinePunct w:val="0"/>
                    <w:autoSpaceDE/>
                    <w:autoSpaceDN/>
                    <w:bidi w:val="0"/>
                    <w:adjustRightInd/>
                    <w:snapToGrid/>
                    <w:spacing w:beforeLines="0"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
                    </w:rPr>
                  </w:pPr>
                  <w:r>
                    <w:rPr>
                      <w:rFonts w:hint="eastAsia" w:eastAsia="宋体" w:cs="Times New Roman"/>
                      <w:b w:val="0"/>
                      <w:bCs/>
                      <w:color w:val="auto"/>
                      <w:kern w:val="0"/>
                      <w:sz w:val="21"/>
                      <w:szCs w:val="21"/>
                      <w:highlight w:val="none"/>
                      <w:vertAlign w:val="baseline"/>
                      <w:lang w:val="en-US" w:eastAsia="zh-CN" w:bidi="ar"/>
                    </w:rPr>
                    <w:t>45</w:t>
                  </w:r>
                </w:p>
              </w:tc>
            </w:tr>
          </w:tbl>
          <w:p>
            <w:pPr>
              <w:keepNext w:val="0"/>
              <w:keepLines w:val="0"/>
              <w:pageBreakBefore w:val="0"/>
              <w:widowControl/>
              <w:suppressLineNumbers w:val="0"/>
              <w:kinsoku/>
              <w:wordWrap/>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根据核算，本项目生产区将产生粉尘</w:t>
            </w:r>
            <w:r>
              <w:rPr>
                <w:rFonts w:hint="eastAsia" w:cs="Times New Roman"/>
                <w:b w:val="0"/>
                <w:bCs/>
                <w:color w:val="auto"/>
                <w:kern w:val="0"/>
                <w:sz w:val="24"/>
                <w:szCs w:val="24"/>
                <w:highlight w:val="none"/>
                <w:lang w:val="en-US" w:eastAsia="zh-CN" w:bidi="ar"/>
              </w:rPr>
              <w:t>6</w:t>
            </w:r>
            <w:r>
              <w:rPr>
                <w:rFonts w:hint="default" w:ascii="Times New Roman" w:hAnsi="Times New Roman" w:eastAsia="宋体" w:cs="Times New Roman"/>
                <w:b w:val="0"/>
                <w:bCs/>
                <w:color w:val="auto"/>
                <w:kern w:val="0"/>
                <w:sz w:val="24"/>
                <w:szCs w:val="24"/>
                <w:highlight w:val="none"/>
                <w:lang w:val="en-US" w:eastAsia="zh-CN" w:bidi="ar"/>
              </w:rPr>
              <w:t>0</w:t>
            </w:r>
            <w:r>
              <w:rPr>
                <w:rFonts w:hint="default" w:ascii="Times New Roman" w:hAnsi="Times New Roman" w:eastAsia="宋体" w:cs="Times New Roman"/>
                <w:b w:val="0"/>
                <w:bCs/>
                <w:color w:val="auto"/>
                <w:kern w:val="0"/>
                <w:sz w:val="24"/>
                <w:szCs w:val="24"/>
                <w:highlight w:val="none"/>
                <w:lang w:val="en-US" w:eastAsia="zh-CN" w:bidi="ar"/>
              </w:rPr>
              <w:t>t/a</w:t>
            </w:r>
            <w:r>
              <w:rPr>
                <w:rFonts w:hint="default" w:ascii="Times New Roman" w:hAnsi="Times New Roman" w:eastAsia="宋体" w:cs="Times New Roman"/>
                <w:b w:val="0"/>
                <w:bCs/>
                <w:color w:val="auto"/>
                <w:kern w:val="0"/>
                <w:sz w:val="24"/>
                <w:szCs w:val="24"/>
                <w:highlight w:val="none"/>
                <w:lang w:val="en-US" w:eastAsia="zh-CN" w:bidi="ar"/>
              </w:rPr>
              <w:t>。项目拟采取以下方法对原料破碎工序进行除尘，即：项目整条生产线采取密封车间，其中一级破碎（锤破）、二级破碎（锤破）全过程配备水雾喷淋装置对生产线进行水雾喷淋降尘，使向上运动的颗粒物（粉尘）与水珠相结合，增加粉尘体重，使之在水压及重力作用下沉降，减少粉尘逸散量；在加工之前，往原料中进行洒水，增加原料中的含水量，破碎过程中原料中含水量较高，可有效抑尘；在密封车间下，项目生产加工区采用全封闭建设，其中皮带输送，投、卸料口设置水雾喷淋抑制扬尘的产生，破碎筛分处则加装水雾喷淋抑尘设施进行除尘，经过类比调查，通过水雾喷淋抑尘后，</w:t>
            </w:r>
            <w:r>
              <w:rPr>
                <w:rFonts w:hint="default" w:ascii="Times New Roman" w:hAnsi="Times New Roman" w:eastAsia="宋体" w:cs="Times New Roman"/>
                <w:b w:val="0"/>
                <w:bCs/>
                <w:color w:val="auto"/>
                <w:kern w:val="0"/>
                <w:sz w:val="24"/>
                <w:szCs w:val="24"/>
                <w:highlight w:val="none"/>
                <w:lang w:val="en-US" w:eastAsia="zh-CN" w:bidi="ar"/>
              </w:rPr>
              <w:t>粉尘的产生量减少约80%，封闭式厂房对无组织粉尘的阻隔率在70%左右，则整个破碎筛分粉尘无组织排放量为</w:t>
            </w:r>
            <w:r>
              <w:rPr>
                <w:rFonts w:hint="eastAsia" w:cs="Times New Roman"/>
                <w:b w:val="0"/>
                <w:bCs/>
                <w:color w:val="auto"/>
                <w:kern w:val="0"/>
                <w:sz w:val="24"/>
                <w:szCs w:val="24"/>
                <w:highlight w:val="none"/>
                <w:lang w:val="en-US" w:eastAsia="zh-CN" w:bidi="ar"/>
              </w:rPr>
              <w:t>3.6</w:t>
            </w:r>
            <w:r>
              <w:rPr>
                <w:rFonts w:hint="default" w:ascii="Times New Roman" w:hAnsi="Times New Roman" w:eastAsia="宋体" w:cs="Times New Roman"/>
                <w:b w:val="0"/>
                <w:bCs/>
                <w:color w:val="auto"/>
                <w:kern w:val="0"/>
                <w:sz w:val="24"/>
                <w:szCs w:val="24"/>
                <w:highlight w:val="none"/>
                <w:lang w:val="en-US" w:eastAsia="zh-CN" w:bidi="ar"/>
              </w:rPr>
              <w:t>t/a，排放速率为</w:t>
            </w:r>
            <w:r>
              <w:rPr>
                <w:rFonts w:hint="eastAsia" w:cs="Times New Roman"/>
                <w:b w:val="0"/>
                <w:bCs/>
                <w:color w:val="auto"/>
                <w:kern w:val="0"/>
                <w:sz w:val="24"/>
                <w:szCs w:val="24"/>
                <w:highlight w:val="none"/>
                <w:lang w:val="en-US" w:eastAsia="zh-CN" w:bidi="ar"/>
              </w:rPr>
              <w:t>1.5</w:t>
            </w:r>
            <w:r>
              <w:rPr>
                <w:rFonts w:hint="default" w:ascii="Times New Roman" w:hAnsi="Times New Roman" w:eastAsia="宋体" w:cs="Times New Roman"/>
                <w:b w:val="0"/>
                <w:bCs/>
                <w:color w:val="auto"/>
                <w:kern w:val="0"/>
                <w:sz w:val="24"/>
                <w:szCs w:val="24"/>
                <w:highlight w:val="none"/>
                <w:lang w:val="en-US" w:eastAsia="zh-CN" w:bidi="ar"/>
              </w:rPr>
              <w:t>kg/h。项目破碎筛分工序产尘节点污染物情况详见下表。</w:t>
            </w:r>
          </w:p>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表4-5本项目破碎与筛分粉尘产排污情况一览表</w:t>
            </w:r>
          </w:p>
          <w:tbl>
            <w:tblPr>
              <w:tblStyle w:val="46"/>
              <w:tblW w:w="4982" w:type="pct"/>
              <w:tblInd w:w="-5"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578"/>
              <w:gridCol w:w="608"/>
              <w:gridCol w:w="1781"/>
              <w:gridCol w:w="1318"/>
              <w:gridCol w:w="515"/>
              <w:gridCol w:w="621"/>
              <w:gridCol w:w="885"/>
              <w:gridCol w:w="1889"/>
              <w:gridCol w:w="240"/>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343" w:type="pct"/>
                  <w:vMerge w:val="restart"/>
                  <w:tcBorders>
                    <w:bottom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污染物名称</w:t>
                  </w:r>
                </w:p>
              </w:tc>
              <w:tc>
                <w:tcPr>
                  <w:tcW w:w="1415" w:type="pct"/>
                  <w:gridSpan w:val="2"/>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产生情况</w:t>
                  </w:r>
                </w:p>
              </w:tc>
              <w:tc>
                <w:tcPr>
                  <w:tcW w:w="781" w:type="pct"/>
                  <w:vMerge w:val="restar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治理措施</w:t>
                  </w:r>
                </w:p>
              </w:tc>
              <w:tc>
                <w:tcPr>
                  <w:tcW w:w="673" w:type="pct"/>
                  <w:gridSpan w:val="2"/>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治理效率</w:t>
                  </w:r>
                </w:p>
              </w:tc>
              <w:tc>
                <w:tcPr>
                  <w:tcW w:w="1643" w:type="pct"/>
                  <w:gridSpan w:val="2"/>
                  <w:tcBorders>
                    <w:right w:val="single" w:color="000000" w:sz="6" w:space="0"/>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排放情况</w:t>
                  </w:r>
                </w:p>
              </w:tc>
              <w:tc>
                <w:tcPr>
                  <w:tcW w:w="142" w:type="pct"/>
                  <w:vMerge w:val="restar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343" w:type="pct"/>
                  <w:vMerge w:val="continue"/>
                  <w:tcBorders>
                    <w:top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p>
              </w:tc>
              <w:tc>
                <w:tcPr>
                  <w:tcW w:w="360"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产生量t/a</w:t>
                  </w:r>
                </w:p>
              </w:tc>
              <w:tc>
                <w:tcPr>
                  <w:tcW w:w="1054"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产生速率kg/h</w:t>
                  </w:r>
                </w:p>
              </w:tc>
              <w:tc>
                <w:tcPr>
                  <w:tcW w:w="781" w:type="pct"/>
                  <w:vMerge w:val="continue"/>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p>
              </w:tc>
              <w:tc>
                <w:tcPr>
                  <w:tcW w:w="305"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喷水抑尘</w:t>
                  </w:r>
                </w:p>
              </w:tc>
              <w:tc>
                <w:tcPr>
                  <w:tcW w:w="368"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封闭式厂房阻隔</w:t>
                  </w:r>
                </w:p>
              </w:tc>
              <w:tc>
                <w:tcPr>
                  <w:tcW w:w="524"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排放量t/a</w:t>
                  </w:r>
                </w:p>
              </w:tc>
              <w:tc>
                <w:tcPr>
                  <w:tcW w:w="1119" w:type="pct"/>
                  <w:tcBorders>
                    <w:right w:val="single" w:color="000000" w:sz="6" w:space="0"/>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排放速率kg/h</w:t>
                  </w:r>
                </w:p>
              </w:tc>
              <w:tc>
                <w:tcPr>
                  <w:tcW w:w="142" w:type="pct"/>
                  <w:vMerge w:val="continue"/>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343"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颗粒物</w:t>
                  </w:r>
                </w:p>
              </w:tc>
              <w:tc>
                <w:tcPr>
                  <w:tcW w:w="360"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w:t>
                  </w:r>
                </w:p>
              </w:tc>
              <w:tc>
                <w:tcPr>
                  <w:tcW w:w="1054"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w:t>
                  </w:r>
                </w:p>
              </w:tc>
              <w:tc>
                <w:tcPr>
                  <w:tcW w:w="781"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厂房封闭、水雾喷淋除尘</w:t>
                  </w:r>
                </w:p>
              </w:tc>
              <w:tc>
                <w:tcPr>
                  <w:tcW w:w="305"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80%</w:t>
                  </w:r>
                </w:p>
              </w:tc>
              <w:tc>
                <w:tcPr>
                  <w:tcW w:w="368"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70%</w:t>
                  </w:r>
                </w:p>
              </w:tc>
              <w:tc>
                <w:tcPr>
                  <w:tcW w:w="524"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3.6</w:t>
                  </w:r>
                </w:p>
              </w:tc>
              <w:tc>
                <w:tcPr>
                  <w:tcW w:w="1119" w:type="pct"/>
                  <w:tcBorders>
                    <w:right w:val="single" w:color="000000" w:sz="6" w:space="0"/>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142"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无组织</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⑥尾渣及废铁卸料粉尘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钢渣通过破碎、筛分产生的尾渣（成品）及磁选得出的废铁，尾渣外售给本地水泥厂或替代砂石进行铺路、回填、废铁外售，均直接通过车辆运输进行外售，车辆运输前的装载产生一定量的粉尘，根据《逸散型工业粉尘控制技术》粒料加工中，按矿渣装货参考排放因子，颗粒物产生量约为10g/t产品，尾渣及废铁量约</w:t>
            </w:r>
            <w:r>
              <w:rPr>
                <w:rFonts w:hint="default" w:ascii="Times New Roman" w:hAnsi="Times New Roman" w:eastAsia="宋体" w:cs="Times New Roman"/>
                <w:color w:val="auto"/>
                <w:sz w:val="24"/>
                <w:szCs w:val="24"/>
                <w:highlight w:val="none"/>
                <w:lang w:val="en-US" w:eastAsia="zh-CN"/>
              </w:rPr>
              <w:t>为60000t/a，经计算颗粒物产生量约为0.6t/a。由于本</w:t>
            </w:r>
            <w:r>
              <w:rPr>
                <w:rFonts w:hint="default" w:ascii="Times New Roman" w:hAnsi="Times New Roman" w:eastAsia="宋体" w:cs="Times New Roman"/>
                <w:b w:val="0"/>
                <w:bCs/>
                <w:color w:val="auto"/>
                <w:kern w:val="0"/>
                <w:sz w:val="24"/>
                <w:szCs w:val="24"/>
                <w:highlight w:val="none"/>
                <w:lang w:val="en-US" w:eastAsia="zh-CN" w:bidi="ar"/>
              </w:rPr>
              <w:t>项目成品装车在全封闭的厂房进行，且本项目对成品堆场定期洒水抑尘，一般粉尘产生量可减少70%以上，则无组织排放量为0.18t/a。</w:t>
            </w:r>
          </w:p>
          <w:p>
            <w:pPr>
              <w:keepNext w:val="0"/>
              <w:keepLines w:val="0"/>
              <w:pageBreakBefore w:val="0"/>
              <w:tabs>
                <w:tab w:val="left" w:pos="425"/>
              </w:tabs>
              <w:kinsoku/>
              <w:wordWrap/>
              <w:overflowPunct/>
              <w:topLinePunct w:val="0"/>
              <w:autoSpaceDE/>
              <w:autoSpaceDN/>
              <w:bidi w:val="0"/>
              <w:adjustRightInd/>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⑦汽车尾气</w:t>
            </w:r>
          </w:p>
          <w:p>
            <w:pPr>
              <w:keepNext w:val="0"/>
              <w:keepLines w:val="0"/>
              <w:pageBreakBefore w:val="0"/>
              <w:widowControl/>
              <w:suppressLineNumbers w:val="0"/>
              <w:kinsoku/>
              <w:wordWrap/>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b w:val="0"/>
                <w:bCs/>
                <w:color w:val="auto"/>
                <w:sz w:val="24"/>
                <w:szCs w:val="24"/>
                <w:highlight w:val="none"/>
                <w:lang w:val="zh-CN" w:eastAsia="zh-CN"/>
              </w:rPr>
            </w:pPr>
            <w:r>
              <w:rPr>
                <w:rFonts w:hint="default" w:ascii="Times New Roman" w:hAnsi="Times New Roman" w:eastAsia="宋体" w:cs="Times New Roman"/>
                <w:b w:val="0"/>
                <w:bCs/>
                <w:color w:val="auto"/>
                <w:sz w:val="24"/>
                <w:szCs w:val="24"/>
                <w:highlight w:val="none"/>
                <w:lang w:val="en-US" w:eastAsia="zh-CN"/>
              </w:rPr>
              <w:t>汽车尾气主要来源于原料和产品运输过程中车辆排放的尾气，</w:t>
            </w:r>
            <w:r>
              <w:rPr>
                <w:rFonts w:hint="default" w:ascii="Times New Roman" w:hAnsi="Times New Roman" w:eastAsia="宋体" w:cs="Times New Roman"/>
                <w:b w:val="0"/>
                <w:bCs/>
                <w:color w:val="auto"/>
                <w:sz w:val="24"/>
                <w:szCs w:val="24"/>
                <w:highlight w:val="none"/>
                <w:lang w:val="zh-CN" w:eastAsia="zh-CN"/>
              </w:rPr>
              <w:t>其主要污染物</w:t>
            </w:r>
            <w:r>
              <w:rPr>
                <w:rFonts w:hint="default" w:ascii="Times New Roman" w:hAnsi="Times New Roman" w:eastAsia="宋体" w:cs="Times New Roman"/>
                <w:b w:val="0"/>
                <w:bCs/>
                <w:color w:val="auto"/>
                <w:sz w:val="24"/>
                <w:szCs w:val="24"/>
                <w:highlight w:val="none"/>
                <w:lang w:val="en-US" w:eastAsia="zh-CN"/>
              </w:rPr>
              <w:t>为</w:t>
            </w:r>
            <w:r>
              <w:rPr>
                <w:rFonts w:hint="default" w:ascii="Times New Roman" w:hAnsi="Times New Roman" w:eastAsia="宋体" w:cs="Times New Roman"/>
                <w:b w:val="0"/>
                <w:bCs/>
                <w:color w:val="auto"/>
                <w:sz w:val="24"/>
                <w:szCs w:val="24"/>
                <w:highlight w:val="none"/>
                <w:lang w:val="zh-CN" w:eastAsia="zh-CN"/>
              </w:rPr>
              <w:t>CO、NOx和THC；由于厂区内运输距离短且项目周围无高大建筑，有利于尾气的稀释和扩散，对周围环境影响较小。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right="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
              </w:rPr>
              <w:t>③</w:t>
            </w:r>
            <w:r>
              <w:rPr>
                <w:rFonts w:hint="default" w:ascii="Times New Roman" w:hAnsi="Times New Roman" w:eastAsia="宋体" w:cs="Times New Roman"/>
                <w:b/>
                <w:bCs/>
                <w:color w:val="auto"/>
                <w:kern w:val="2"/>
                <w:sz w:val="24"/>
                <w:szCs w:val="24"/>
                <w:highlight w:val="none"/>
                <w:lang w:val="en-US" w:eastAsia="zh-CN" w:bidi="ar-SA"/>
              </w:rPr>
              <w:t>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为减少废气无组织排放，确保厂界达标，需采取以下措施：厂区设置水雾喷淋降尘装置；实施全厂封闭式作业，破碎机、筛分机等设施设在封闭式车间内，破碎、筛分工序配置</w:t>
            </w:r>
            <w:r>
              <w:rPr>
                <w:rFonts w:hint="eastAsia" w:cs="Times New Roman"/>
                <w:color w:val="auto"/>
                <w:sz w:val="24"/>
                <w:szCs w:val="24"/>
                <w:highlight w:val="none"/>
                <w:lang w:val="en-US" w:eastAsia="zh-CN"/>
              </w:rPr>
              <w:t>水雾喷淋</w:t>
            </w:r>
            <w:r>
              <w:rPr>
                <w:rFonts w:hint="default" w:ascii="Times New Roman" w:hAnsi="Times New Roman" w:eastAsia="宋体" w:cs="Times New Roman"/>
                <w:color w:val="auto"/>
                <w:sz w:val="24"/>
                <w:szCs w:val="24"/>
                <w:highlight w:val="none"/>
                <w:lang w:val="en-US" w:eastAsia="zh-CN"/>
              </w:rPr>
              <w:t>除尘设施，生产物料入库入棚，分区堆放在封闭式车间内，车间出入口设置防尘抑尘门帘。输送皮带密闭；厂区道路及生产作业区地面硬化，并保持完好清洁；厂区出入口设置冲洗平台，</w:t>
            </w:r>
            <w:r>
              <w:rPr>
                <w:rFonts w:hint="eastAsia" w:cs="Times New Roman"/>
                <w:color w:val="auto"/>
                <w:sz w:val="24"/>
                <w:szCs w:val="24"/>
                <w:highlight w:val="none"/>
                <w:lang w:val="en-US" w:eastAsia="zh-CN"/>
              </w:rPr>
              <w:t>进行车辆清洗</w:t>
            </w:r>
            <w:r>
              <w:rPr>
                <w:rFonts w:hint="default" w:ascii="Times New Roman" w:hAnsi="Times New Roman" w:eastAsia="宋体" w:cs="Times New Roman"/>
                <w:color w:val="auto"/>
                <w:sz w:val="24"/>
                <w:szCs w:val="24"/>
                <w:highlight w:val="none"/>
                <w:lang w:val="en-US" w:eastAsia="zh-CN"/>
              </w:rPr>
              <w:t>，运输车辆车轮车身必须经冲洗清洁后方可驶出，严禁车辆带泥带尘上路或沿路撒漏。厂区出口周边实行门前环境卫生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，厂区附近200m运输路段采用洒水抑尘和清扫保洁，保持厂区出口外道路干净清洁，无可见扬尘。运输车辆必须保持车轮车身干净整洁；必须采取密闭运输方式，严禁超载、冒尖运输和敞开式运输撒漏。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采取以上措施后颗粒物厂界浓度可满足《大气污染物综合排放标准》（GB16297-1996）周界外浓度最高点限值1.0mg/m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的要求。</w:t>
            </w:r>
          </w:p>
          <w:p>
            <w:pPr>
              <w:keepNext w:val="0"/>
              <w:keepLines w:val="0"/>
              <w:pageBreakBefore w:val="0"/>
              <w:widowControl/>
              <w:numPr>
                <w:ilvl w:val="0"/>
                <w:numId w:val="0"/>
              </w:numPr>
              <w:suppressLineNumbers w:val="0"/>
              <w:kinsoku/>
              <w:wordWrap/>
              <w:topLinePunct w:val="0"/>
              <w:bidi w:val="0"/>
              <w:adjustRightInd/>
              <w:snapToGrid/>
              <w:spacing w:line="360" w:lineRule="auto"/>
              <w:ind w:left="0" w:right="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④达标可行性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无组织废气达标排放情况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本项目无组织排放废气情况如下表：</w:t>
            </w:r>
          </w:p>
          <w:p>
            <w:pPr>
              <w:pStyle w:val="7"/>
              <w:keepNext w:val="0"/>
              <w:keepLines w:val="0"/>
              <w:pageBreakBefore w:val="0"/>
              <w:kinsoku/>
              <w:wordWrap/>
              <w:topLinePunct w:val="0"/>
              <w:bidi w:val="0"/>
              <w:adjustRightInd/>
              <w:snapToGrid/>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4-6废气污染物无组织产排污情况表</w:t>
            </w:r>
          </w:p>
          <w:tbl>
            <w:tblPr>
              <w:tblStyle w:val="19"/>
              <w:tblW w:w="8690" w:type="dxa"/>
              <w:tblInd w:w="0" w:type="dxa"/>
              <w:tblBorders>
                <w:top w:val="none" w:color="auto" w:sz="4" w:space="0"/>
                <w:left w:val="none" w:color="auto" w:sz="0" w:space="0"/>
                <w:bottom w:val="none" w:color="auto" w:sz="4" w:space="0"/>
                <w:right w:val="none" w:color="auto" w:sz="4" w:space="0"/>
                <w:insideH w:val="none" w:color="auto" w:sz="4" w:space="0"/>
                <w:insideV w:val="none" w:color="auto" w:sz="4" w:space="0"/>
              </w:tblBorders>
              <w:tblLayout w:type="autofit"/>
              <w:tblCellMar>
                <w:top w:w="0" w:type="dxa"/>
                <w:left w:w="0" w:type="dxa"/>
                <w:bottom w:w="0" w:type="dxa"/>
                <w:right w:w="0" w:type="dxa"/>
              </w:tblCellMar>
            </w:tblPr>
            <w:tblGrid>
              <w:gridCol w:w="1952"/>
              <w:gridCol w:w="1433"/>
              <w:gridCol w:w="3515"/>
              <w:gridCol w:w="1790"/>
            </w:tblGrid>
            <w:tr>
              <w:tblPrEx>
                <w:tblBorders>
                  <w:top w:val="none" w:color="auto" w:sz="4" w:space="0"/>
                  <w:left w:val="none" w:color="auto" w:sz="0"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23" w:hRule="atLeast"/>
              </w:trPr>
              <w:tc>
                <w:tcPr>
                  <w:tcW w:w="1123" w:type="pct"/>
                  <w:tcBorders>
                    <w:top w:val="single" w:color="auto" w:sz="4" w:space="0"/>
                    <w:left w:val="single" w:color="auto" w:sz="0" w:space="0"/>
                    <w:bottom w:val="single" w:color="000000" w:sz="4" w:space="0"/>
                    <w:right w:val="single" w:color="000000"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污染物种类</w:t>
                  </w:r>
                </w:p>
              </w:tc>
              <w:tc>
                <w:tcPr>
                  <w:tcW w:w="824"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排放形式</w:t>
                  </w:r>
                </w:p>
              </w:tc>
              <w:tc>
                <w:tcPr>
                  <w:tcW w:w="2022"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排放速率（kg/h）</w:t>
                  </w:r>
                </w:p>
              </w:tc>
              <w:tc>
                <w:tcPr>
                  <w:tcW w:w="1029" w:type="pct"/>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排放量（t/a）</w:t>
                  </w:r>
                </w:p>
              </w:tc>
            </w:tr>
            <w:tr>
              <w:tblPrEx>
                <w:tblBorders>
                  <w:top w:val="none" w:color="auto" w:sz="4" w:space="0"/>
                  <w:left w:val="none" w:color="auto" w:sz="0"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294" w:hRule="atLeast"/>
              </w:trPr>
              <w:tc>
                <w:tcPr>
                  <w:tcW w:w="1123" w:type="pct"/>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824"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w:t>
                  </w:r>
                </w:p>
              </w:tc>
              <w:tc>
                <w:tcPr>
                  <w:tcW w:w="2022"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2.058</w:t>
                  </w:r>
                </w:p>
              </w:tc>
              <w:tc>
                <w:tcPr>
                  <w:tcW w:w="1029" w:type="pct"/>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pStyle w:val="27"/>
                    <w:keepNext w:val="0"/>
                    <w:keepLines w:val="0"/>
                    <w:pageBreakBefore w:val="0"/>
                    <w:widowControl w:val="0"/>
                    <w:kinsoku/>
                    <w:wordWrap/>
                    <w:overflowPunct/>
                    <w:topLinePunct w:val="0"/>
                    <w:autoSpaceDE/>
                    <w:autoSpaceDN/>
                    <w:bidi w:val="0"/>
                    <w:adjustRightInd/>
                    <w:snapToGrid/>
                    <w:spacing w:after="0" w:afterLines="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4.93898</w:t>
                  </w:r>
                </w:p>
              </w:tc>
            </w:tr>
          </w:tbl>
          <w:p>
            <w:pPr>
              <w:pStyle w:val="44"/>
              <w:keepNext w:val="0"/>
              <w:keepLines w:val="0"/>
              <w:pageBreakBefore w:val="0"/>
              <w:kinsoku/>
              <w:wordWrap/>
              <w:topLinePunct w:val="0"/>
              <w:bidi w:val="0"/>
              <w:adjustRightInd/>
              <w:snapToGrid/>
              <w:spacing w:line="360" w:lineRule="auto"/>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本项目营运期厂界排放的无组织颗粒物可满足《大气污染物综合排放标准》（GB16297-1996）周界外浓度最高点限值1.0mg/m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⑤废气影响分析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lang w:val="en-US" w:eastAsia="zh-CN"/>
              </w:rPr>
              <w:t>《衡阳市生态环境局&lt;关于2022年12月及1-12月全市环境质量状况的通报&gt;》</w:t>
            </w:r>
            <w:r>
              <w:rPr>
                <w:rFonts w:hint="default" w:ascii="Times New Roman" w:hAnsi="Times New Roman" w:eastAsia="宋体" w:cs="Times New Roman"/>
                <w:color w:val="auto"/>
                <w:sz w:val="24"/>
                <w:szCs w:val="24"/>
                <w:highlight w:val="none"/>
                <w:lang w:val="en-US" w:eastAsia="zh-CN"/>
              </w:rPr>
              <w:t>，2022年常宁市环境空气质量PM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（年均值）、CO（日均值95%位数）、O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日最大8小时平均值分之90位数）浓度值均能达到《环境空气质量标准》（GB3095-2012）及修改单二级标准浓度限值要求，项目所在地属于达标区，本项目排放的颗粒物的量较少，经过处理后能达标排放，对外环境及周围环境敏感目标影响较小。综上所述，本项目运营期产生的废气经本环评采取的措施后外排对周边大气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lang w:val="en-US" w:eastAsia="zh-CN"/>
              </w:rPr>
              <w:t>根据环境质量现状评价，本项目所在区域为达标区，环境空气质量现状良好。</w:t>
            </w:r>
            <w:r>
              <w:rPr>
                <w:rFonts w:hint="default" w:ascii="Times New Roman" w:hAnsi="Times New Roman" w:eastAsia="宋体" w:cs="Times New Roman"/>
                <w:color w:val="auto"/>
                <w:sz w:val="24"/>
                <w:szCs w:val="24"/>
                <w:highlight w:val="none"/>
                <w:u w:val="none" w:color="auto"/>
              </w:rPr>
              <w:t>根据有关资料及生产经验，采取洒水或喷雾的方式</w:t>
            </w:r>
            <w:r>
              <w:rPr>
                <w:rFonts w:hint="default" w:ascii="Times New Roman" w:hAnsi="Times New Roman" w:eastAsia="宋体" w:cs="Times New Roman"/>
                <w:color w:val="auto"/>
                <w:sz w:val="24"/>
                <w:szCs w:val="24"/>
                <w:highlight w:val="none"/>
                <w:u w:val="none" w:color="auto"/>
                <w:lang w:val="en-US" w:eastAsia="zh-CN"/>
              </w:rPr>
              <w:t>减低</w:t>
            </w:r>
            <w:r>
              <w:rPr>
                <w:rFonts w:hint="default" w:ascii="Times New Roman" w:hAnsi="Times New Roman" w:eastAsia="宋体" w:cs="Times New Roman"/>
                <w:color w:val="auto"/>
                <w:sz w:val="24"/>
                <w:szCs w:val="24"/>
                <w:highlight w:val="none"/>
                <w:u w:val="none" w:color="auto"/>
              </w:rPr>
              <w:t>企业的扬尘产排是很有效果的。洒水喷雾防尘的作用主要在于湿润颗粒细小的干燥粉尘，增加粉尘含湿量，从而使其密度增大，并</w:t>
            </w:r>
            <w:r>
              <w:rPr>
                <w:rFonts w:hint="default" w:ascii="Times New Roman" w:hAnsi="Times New Roman" w:eastAsia="宋体" w:cs="Times New Roman"/>
                <w:color w:val="auto"/>
                <w:sz w:val="24"/>
                <w:szCs w:val="24"/>
                <w:highlight w:val="none"/>
                <w:u w:val="none" w:color="auto"/>
                <w:lang w:eastAsia="zh-CN"/>
              </w:rPr>
              <w:t>黏结</w:t>
            </w:r>
            <w:r>
              <w:rPr>
                <w:rFonts w:hint="default" w:ascii="Times New Roman" w:hAnsi="Times New Roman" w:eastAsia="宋体" w:cs="Times New Roman"/>
                <w:color w:val="auto"/>
                <w:sz w:val="24"/>
                <w:szCs w:val="24"/>
                <w:highlight w:val="none"/>
                <w:u w:val="none" w:color="auto"/>
              </w:rPr>
              <w:t>成较大的颗粒，使之在外力作用下不能飞扬。项目在原料、成品堆场定期进行洒水喷雾，增加原料和成品的含水率，并</w:t>
            </w:r>
            <w:r>
              <w:rPr>
                <w:rFonts w:hint="default" w:ascii="Times New Roman" w:hAnsi="Times New Roman" w:eastAsia="宋体" w:cs="Times New Roman"/>
                <w:color w:val="auto"/>
                <w:sz w:val="24"/>
                <w:szCs w:val="24"/>
                <w:highlight w:val="none"/>
                <w:u w:val="none" w:color="auto"/>
                <w:lang w:eastAsia="zh-CN"/>
              </w:rPr>
              <w:t>遮盖挡雨布</w:t>
            </w:r>
            <w:r>
              <w:rPr>
                <w:rFonts w:hint="default" w:ascii="Times New Roman" w:hAnsi="Times New Roman" w:eastAsia="宋体" w:cs="Times New Roman"/>
                <w:color w:val="auto"/>
                <w:sz w:val="24"/>
                <w:szCs w:val="24"/>
                <w:highlight w:val="none"/>
                <w:u w:val="none" w:color="auto"/>
              </w:rPr>
              <w:t>处理，可以极大程度的降低扬尘产排。项目</w:t>
            </w:r>
            <w:r>
              <w:rPr>
                <w:rFonts w:hint="default" w:ascii="Times New Roman" w:hAnsi="Times New Roman" w:eastAsia="宋体" w:cs="Times New Roman"/>
                <w:color w:val="auto"/>
                <w:sz w:val="24"/>
                <w:szCs w:val="24"/>
                <w:highlight w:val="none"/>
                <w:u w:val="none" w:color="auto"/>
                <w:lang w:val="en-US" w:eastAsia="zh-CN"/>
              </w:rPr>
              <w:t>原料</w:t>
            </w:r>
            <w:r>
              <w:rPr>
                <w:rFonts w:hint="default" w:ascii="Times New Roman" w:hAnsi="Times New Roman" w:eastAsia="宋体" w:cs="Times New Roman"/>
                <w:color w:val="auto"/>
                <w:sz w:val="24"/>
                <w:szCs w:val="24"/>
                <w:highlight w:val="none"/>
                <w:u w:val="none" w:color="auto"/>
              </w:rPr>
              <w:t>在投料、破碎、制砂、筛分等生产过程中，采用</w:t>
            </w:r>
            <w:r>
              <w:rPr>
                <w:rFonts w:hint="eastAsia" w:cs="Times New Roman"/>
                <w:color w:val="auto"/>
                <w:sz w:val="24"/>
                <w:szCs w:val="24"/>
                <w:highlight w:val="none"/>
                <w:u w:val="none" w:color="auto"/>
                <w:lang w:val="en-US" w:eastAsia="zh-CN"/>
              </w:rPr>
              <w:t>水</w:t>
            </w:r>
            <w:r>
              <w:rPr>
                <w:rFonts w:hint="default" w:ascii="Times New Roman" w:hAnsi="Times New Roman" w:eastAsia="宋体" w:cs="Times New Roman"/>
                <w:color w:val="auto"/>
                <w:sz w:val="24"/>
                <w:szCs w:val="24"/>
                <w:highlight w:val="none"/>
                <w:u w:val="none" w:color="auto"/>
                <w:lang w:val="en-US" w:eastAsia="zh-CN"/>
              </w:rPr>
              <w:t>雾喷淋设备</w:t>
            </w:r>
            <w:r>
              <w:rPr>
                <w:rFonts w:hint="default" w:ascii="Times New Roman" w:hAnsi="Times New Roman" w:eastAsia="宋体" w:cs="Times New Roman"/>
                <w:color w:val="auto"/>
                <w:sz w:val="24"/>
                <w:szCs w:val="24"/>
                <w:highlight w:val="none"/>
                <w:u w:val="none" w:color="auto"/>
              </w:rPr>
              <w:t>去除</w:t>
            </w:r>
            <w:r>
              <w:rPr>
                <w:rFonts w:hint="default" w:ascii="Times New Roman" w:hAnsi="Times New Roman" w:eastAsia="宋体" w:cs="Times New Roman"/>
                <w:color w:val="auto"/>
                <w:sz w:val="24"/>
                <w:szCs w:val="24"/>
                <w:highlight w:val="none"/>
                <w:u w:val="none" w:color="auto"/>
                <w:lang w:val="en-US" w:eastAsia="zh-CN"/>
              </w:rPr>
              <w:t>颗粒物</w:t>
            </w:r>
            <w:r>
              <w:rPr>
                <w:rFonts w:hint="default" w:ascii="Times New Roman" w:hAnsi="Times New Roman" w:eastAsia="宋体" w:cs="Times New Roman"/>
                <w:color w:val="auto"/>
                <w:sz w:val="24"/>
                <w:szCs w:val="24"/>
                <w:highlight w:val="none"/>
                <w:u w:val="none" w:color="auto"/>
              </w:rPr>
              <w:t>，且生产区封闭，非露天开放空间，对</w:t>
            </w:r>
            <w:r>
              <w:rPr>
                <w:rFonts w:hint="default" w:ascii="Times New Roman" w:hAnsi="Times New Roman" w:eastAsia="宋体" w:cs="Times New Roman"/>
                <w:color w:val="auto"/>
                <w:sz w:val="24"/>
                <w:szCs w:val="24"/>
                <w:highlight w:val="none"/>
                <w:u w:val="none" w:color="auto"/>
                <w:lang w:eastAsia="zh-CN"/>
              </w:rPr>
              <w:t>砂石破碎筛分区</w:t>
            </w:r>
            <w:r>
              <w:rPr>
                <w:rFonts w:hint="default" w:ascii="Times New Roman" w:hAnsi="Times New Roman" w:eastAsia="宋体" w:cs="Times New Roman"/>
                <w:color w:val="auto"/>
                <w:sz w:val="24"/>
                <w:szCs w:val="24"/>
                <w:highlight w:val="none"/>
                <w:u w:val="none" w:color="auto"/>
              </w:rPr>
              <w:t>、皮带输送区、</w:t>
            </w:r>
            <w:r>
              <w:rPr>
                <w:rFonts w:hint="default" w:ascii="Times New Roman" w:hAnsi="Times New Roman" w:eastAsia="宋体" w:cs="Times New Roman"/>
                <w:color w:val="auto"/>
                <w:sz w:val="24"/>
                <w:szCs w:val="24"/>
                <w:highlight w:val="none"/>
                <w:u w:val="none" w:color="auto"/>
                <w:lang w:eastAsia="zh-CN"/>
              </w:rPr>
              <w:t>原料堆场</w:t>
            </w:r>
            <w:r>
              <w:rPr>
                <w:rFonts w:hint="default" w:ascii="Times New Roman" w:hAnsi="Times New Roman" w:eastAsia="宋体" w:cs="Times New Roman"/>
                <w:color w:val="auto"/>
                <w:sz w:val="24"/>
                <w:szCs w:val="24"/>
                <w:highlight w:val="none"/>
                <w:u w:val="none" w:color="auto"/>
              </w:rPr>
              <w:t>及时用喷淋装置</w:t>
            </w:r>
            <w:r>
              <w:rPr>
                <w:rFonts w:hint="default" w:ascii="Times New Roman" w:hAnsi="Times New Roman" w:eastAsia="宋体" w:cs="Times New Roman"/>
                <w:color w:val="auto"/>
                <w:sz w:val="24"/>
                <w:szCs w:val="24"/>
                <w:highlight w:val="none"/>
                <w:u w:val="none" w:color="auto"/>
                <w:lang w:eastAsia="zh-CN"/>
              </w:rPr>
              <w:t>、炮雾机</w:t>
            </w:r>
            <w:r>
              <w:rPr>
                <w:rFonts w:hint="default" w:ascii="Times New Roman" w:hAnsi="Times New Roman" w:eastAsia="宋体" w:cs="Times New Roman"/>
                <w:color w:val="auto"/>
                <w:sz w:val="24"/>
                <w:szCs w:val="24"/>
                <w:highlight w:val="none"/>
                <w:u w:val="none" w:color="auto"/>
              </w:rPr>
              <w:t>喷水，抑制厂区无组织粉尘，降尘效率可达到</w:t>
            </w:r>
            <w:r>
              <w:rPr>
                <w:rFonts w:hint="default" w:ascii="Times New Roman" w:hAnsi="Times New Roman" w:eastAsia="宋体" w:cs="Times New Roman"/>
                <w:color w:val="auto"/>
                <w:sz w:val="24"/>
                <w:szCs w:val="24"/>
                <w:highlight w:val="none"/>
                <w:u w:val="none" w:color="auto"/>
                <w:lang w:val="en-US" w:eastAsia="zh-CN"/>
              </w:rPr>
              <w:t>80-</w:t>
            </w:r>
            <w:r>
              <w:rPr>
                <w:rFonts w:hint="default" w:ascii="Times New Roman" w:hAnsi="Times New Roman" w:eastAsia="宋体" w:cs="Times New Roman"/>
                <w:color w:val="auto"/>
                <w:sz w:val="24"/>
                <w:szCs w:val="24"/>
                <w:highlight w:val="none"/>
                <w:u w:val="none" w:color="auto"/>
              </w:rPr>
              <w:t>9</w:t>
            </w:r>
            <w:r>
              <w:rPr>
                <w:rFonts w:hint="default" w:ascii="Times New Roman" w:hAnsi="Times New Roman" w:eastAsia="宋体"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扬尘的产排量也将得到强有力的控制。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本项目建成投产后，颗粒物比重大，能够在室内自然沉降而且厂区密闭，粉尘不会飘逸至车间外，影响范围限于车间范围内，对于周边环境空气和周边环境保护目标的影响不大，本项目大气污染物评价结果可接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⑥非正常排放源强分析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当项目废气处理设备主要为水雾喷淋设备除尘，在设备正常运行情况下，废气污染物能达标排放，若水雾喷淋除尘处理设施失效（喷淋设备）的情况下，项目颗粒物排放情况将如下表：</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表4-7</w:t>
            </w:r>
            <w:r>
              <w:rPr>
                <w:rFonts w:hint="default" w:ascii="Times New Roman" w:hAnsi="Times New Roman" w:eastAsia="宋体" w:cs="Times New Roman"/>
                <w:b/>
                <w:bCs/>
                <w:color w:val="auto"/>
                <w:kern w:val="0"/>
                <w:sz w:val="21"/>
                <w:szCs w:val="21"/>
                <w:highlight w:val="none"/>
                <w:lang w:val="en-US" w:eastAsia="zh-CN" w:bidi="ar"/>
              </w:rPr>
              <w:t>非正常排放源强</w:t>
            </w:r>
            <w:r>
              <w:rPr>
                <w:rFonts w:hint="default" w:ascii="Times New Roman" w:hAnsi="Times New Roman" w:eastAsia="宋体" w:cs="Times New Roman"/>
                <w:b/>
                <w:color w:val="auto"/>
                <w:kern w:val="2"/>
                <w:sz w:val="21"/>
                <w:szCs w:val="21"/>
                <w:highlight w:val="none"/>
                <w:lang w:val="en-US" w:eastAsia="zh-CN" w:bidi="ar-SA"/>
              </w:rPr>
              <w:t>表</w:t>
            </w:r>
          </w:p>
          <w:tbl>
            <w:tblPr>
              <w:tblStyle w:val="2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129"/>
              <w:gridCol w:w="1041"/>
              <w:gridCol w:w="1090"/>
              <w:gridCol w:w="1177"/>
              <w:gridCol w:w="804"/>
              <w:gridCol w:w="916"/>
              <w:gridCol w:w="8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5"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256"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61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非正常排放原因</w:t>
                  </w:r>
                </w:p>
              </w:tc>
              <w:tc>
                <w:tcPr>
                  <w:tcW w:w="643"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69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非正常排放量（kg/h）</w:t>
                  </w:r>
                </w:p>
              </w:tc>
              <w:tc>
                <w:tcPr>
                  <w:tcW w:w="47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单次持续时间/h</w:t>
                  </w:r>
                </w:p>
              </w:tc>
              <w:tc>
                <w:tcPr>
                  <w:tcW w:w="540"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年发生频率/次</w:t>
                  </w:r>
                </w:p>
              </w:tc>
              <w:tc>
                <w:tcPr>
                  <w:tcW w:w="491"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5"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256"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给料扬尘</w:t>
                  </w:r>
                </w:p>
              </w:tc>
              <w:tc>
                <w:tcPr>
                  <w:tcW w:w="61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水雾喷淋设备故障</w:t>
                  </w:r>
                </w:p>
              </w:tc>
              <w:tc>
                <w:tcPr>
                  <w:tcW w:w="643"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69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1.25</w:t>
                  </w:r>
                </w:p>
              </w:tc>
              <w:tc>
                <w:tcPr>
                  <w:tcW w:w="47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540"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91" w:type="pct"/>
                  <w:vMerge w:val="restar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停止生产，维修设备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5"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56"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破碎、筛分过程粉尘</w:t>
                  </w:r>
                </w:p>
              </w:tc>
              <w:tc>
                <w:tcPr>
                  <w:tcW w:w="61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水雾喷淋设备故障</w:t>
                  </w:r>
                </w:p>
              </w:tc>
              <w:tc>
                <w:tcPr>
                  <w:tcW w:w="643"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69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25</w:t>
                  </w:r>
                </w:p>
              </w:tc>
              <w:tc>
                <w:tcPr>
                  <w:tcW w:w="474"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540" w:type="pct"/>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91" w:type="pct"/>
                  <w:vMerge w:val="continue"/>
                  <w:noWrap w:val="0"/>
                  <w:vAlign w:val="center"/>
                </w:tcPr>
                <w:p>
                  <w:pPr>
                    <w:pStyle w:val="30"/>
                    <w:keepNext w:val="0"/>
                    <w:keepLines w:val="0"/>
                    <w:pageBreakBefore w:val="0"/>
                    <w:widowControl w:val="0"/>
                    <w:kinsoku/>
                    <w:wordWrap/>
                    <w:topLinePunct w:val="0"/>
                    <w:bidi w:val="0"/>
                    <w:adjustRightInd/>
                    <w:snapToGrid/>
                    <w:spacing w:beforeLines="0" w:afterLines="0" w:line="240" w:lineRule="auto"/>
                    <w:ind w:left="0" w:right="0"/>
                    <w:rPr>
                      <w:rFonts w:hint="default" w:ascii="Times New Roman" w:hAnsi="Times New Roman" w:eastAsia="宋体" w:cs="Times New Roman"/>
                      <w:b w:val="0"/>
                      <w:bCs w:val="0"/>
                      <w:color w:val="auto"/>
                      <w:sz w:val="21"/>
                      <w:szCs w:val="21"/>
                      <w:highlight w:val="none"/>
                      <w:lang w:val="en-US" w:eastAsia="zh-CN"/>
                    </w:rPr>
                  </w:pPr>
                </w:p>
              </w:tc>
            </w:tr>
          </w:tbl>
          <w:p>
            <w:pPr>
              <w:keepNext w:val="0"/>
              <w:keepLines w:val="0"/>
              <w:pageBreakBefore w:val="0"/>
              <w:widowControl/>
              <w:kinsoku/>
              <w:wordWrap/>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rPr>
              <w:t>由上表得知，</w:t>
            </w:r>
            <w:r>
              <w:rPr>
                <w:rFonts w:hint="default" w:ascii="Times New Roman" w:hAnsi="Times New Roman" w:eastAsia="宋体" w:cs="Times New Roman"/>
                <w:color w:val="auto"/>
                <w:kern w:val="2"/>
                <w:sz w:val="24"/>
                <w:szCs w:val="24"/>
                <w:highlight w:val="none"/>
                <w:lang w:val="en-US"/>
              </w:rPr>
              <w:t>若</w:t>
            </w:r>
            <w:r>
              <w:rPr>
                <w:rFonts w:hint="default" w:ascii="Times New Roman" w:hAnsi="Times New Roman" w:eastAsia="宋体" w:cs="Times New Roman"/>
                <w:color w:val="auto"/>
                <w:sz w:val="24"/>
                <w:szCs w:val="24"/>
                <w:highlight w:val="none"/>
                <w:lang w:val="en-US" w:eastAsia="zh-CN"/>
              </w:rPr>
              <w:t>喷淋设备</w:t>
            </w:r>
            <w:r>
              <w:rPr>
                <w:rFonts w:hint="default" w:ascii="Times New Roman" w:hAnsi="Times New Roman" w:eastAsia="宋体" w:cs="Times New Roman"/>
                <w:color w:val="auto"/>
                <w:kern w:val="2"/>
                <w:sz w:val="24"/>
                <w:szCs w:val="24"/>
                <w:highlight w:val="none"/>
                <w:lang w:val="en-US"/>
              </w:rPr>
              <w:t>失效的情况下</w:t>
            </w:r>
            <w:r>
              <w:rPr>
                <w:rFonts w:hint="default" w:ascii="Times New Roman" w:hAnsi="Times New Roman" w:eastAsia="宋体" w:cs="Times New Roman"/>
                <w:color w:val="auto"/>
                <w:kern w:val="2"/>
                <w:sz w:val="24"/>
                <w:szCs w:val="24"/>
                <w:highlight w:val="none"/>
                <w:lang w:val="en-US" w:eastAsia="zh-CN"/>
              </w:rPr>
              <w:t>，颗粒物浓度将超标排放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rPr>
              <w:t>将对项目周边区域大气环境产生较大不利环境影响，</w:t>
            </w:r>
            <w:r>
              <w:rPr>
                <w:rFonts w:hint="default" w:ascii="Times New Roman" w:hAnsi="Times New Roman" w:eastAsia="宋体" w:cs="Times New Roman"/>
                <w:color w:val="auto"/>
                <w:kern w:val="2"/>
                <w:sz w:val="24"/>
                <w:szCs w:val="24"/>
                <w:highlight w:val="none"/>
                <w:lang w:val="en-US" w:eastAsia="zh-CN"/>
              </w:rPr>
              <w:t>因此</w:t>
            </w:r>
            <w:r>
              <w:rPr>
                <w:rFonts w:hint="default" w:ascii="Times New Roman" w:hAnsi="Times New Roman" w:eastAsia="宋体" w:cs="Times New Roman"/>
                <w:color w:val="auto"/>
                <w:kern w:val="2"/>
                <w:sz w:val="24"/>
                <w:szCs w:val="24"/>
                <w:highlight w:val="none"/>
                <w:lang w:val="en-US"/>
              </w:rPr>
              <w:t>建设单位日常应定期对废气处理装置进行检查和维护，当废气处理装置故障时应全厂停产，待设备维修完成后方能继续生产。</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（7）监测要求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根据《排污单位自行监测技术指南总则》（HJ819-2017）、《排污许可证申请与核发技术规范废弃资源加工业》（HJ1034-2019），本项目污染源监测计划见下表。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表4-7废气监测要求一览表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5"/>
              <w:gridCol w:w="1961"/>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24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监测点位</w:t>
                  </w:r>
                </w:p>
              </w:tc>
              <w:tc>
                <w:tcPr>
                  <w:tcW w:w="1249"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监测因子</w:t>
                  </w:r>
                </w:p>
              </w:tc>
              <w:tc>
                <w:tcPr>
                  <w:tcW w:w="115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监测频次</w:t>
                  </w:r>
                </w:p>
              </w:tc>
              <w:tc>
                <w:tcPr>
                  <w:tcW w:w="1342"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厂界处20m处上风向参照点，下风向设监控点</w:t>
                  </w:r>
                </w:p>
              </w:tc>
              <w:tc>
                <w:tcPr>
                  <w:tcW w:w="1249"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颗粒物</w:t>
                  </w:r>
                </w:p>
              </w:tc>
              <w:tc>
                <w:tcPr>
                  <w:tcW w:w="1158"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每年一次</w:t>
                  </w:r>
                </w:p>
              </w:tc>
              <w:tc>
                <w:tcPr>
                  <w:tcW w:w="1342" w:type="pct"/>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《大气污染物综合排放标准》（GB16297-1996）无组织排放浓度限值</w:t>
                  </w:r>
                </w:p>
              </w:tc>
            </w:tr>
          </w:tbl>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2、废水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本项目实施雨污分流，初期雨水经排水沟收集入初期雨水池，废水主要为生活污水。</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（1）运营期废水源强核算</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①初期雨水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u w:val="none"/>
                <w:lang w:val="en-US" w:eastAsia="zh-CN" w:bidi="ar-SA"/>
              </w:rPr>
              <w:t>大气降水会使厂区产生一定量的初期雨水，主要污染物为SS，与项目洗砂废水性质类似，厂区部分道路可能由于粉尘的洒落、成品的泄漏等原因，初期雨水中含有较高的SS。初期雨水由厂区排水沟收集后，排入现有初期雨水池后排入园区管网。为了预计暴雨情况时场地的初期雨水产生量，</w:t>
            </w:r>
            <w:r>
              <w:rPr>
                <w:rFonts w:hint="default" w:ascii="Times New Roman" w:hAnsi="Times New Roman" w:eastAsia="宋体" w:cs="Times New Roman"/>
                <w:color w:val="auto"/>
                <w:sz w:val="24"/>
                <w:szCs w:val="24"/>
                <w:highlight w:val="none"/>
                <w:lang w:val="en-US" w:eastAsia="zh-CN"/>
              </w:rPr>
              <w:t>降雨初期地面水与气象条件密切相关，具有间歇性、时间间隔的变化大等特点。本环评根据衡阳市地区暴雨强度公式计算初期雨水量。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q=892（1+0.67lgP）/t</w:t>
            </w:r>
            <w:r>
              <w:rPr>
                <w:rFonts w:hint="default" w:ascii="Times New Roman" w:hAnsi="Times New Roman" w:eastAsia="宋体" w:cs="Times New Roman"/>
                <w:color w:val="auto"/>
                <w:sz w:val="24"/>
                <w:szCs w:val="24"/>
                <w:highlight w:val="none"/>
                <w:vertAlign w:val="superscript"/>
                <w:lang w:val="en-US" w:eastAsia="zh-CN"/>
              </w:rPr>
              <w:t>0.57</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其中：q：暴雨强度（L/s·万m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P：重现期，本项目取3年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t：降雨历时（min），本项目按15min计算。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根据计算，本项目的暴雨强度为251.454L/（s·万·m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Q=q×ψ×F</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其中：Q：雨量（L/s）；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ψ：综合径流系数，本环评取0.6；</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F：汇水面积，项目总面积约2783m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根据计算，厂区的初期雨水量约为37.78901m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/次，主要污染物为SS，初始浓度约为600mg/L。本项目需在厂区内设置截排水沟，根据厂区15min初期雨水汇集量需1个38m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的初期雨水收集池。</w:t>
            </w:r>
            <w:r>
              <w:rPr>
                <w:rFonts w:hint="default" w:ascii="Times New Roman" w:hAnsi="Times New Roman" w:eastAsia="宋体" w:cs="Times New Roman"/>
                <w:color w:val="auto"/>
                <w:sz w:val="24"/>
                <w:szCs w:val="24"/>
                <w:highlight w:val="none"/>
                <w:lang w:val="en-US" w:eastAsia="zh-CN"/>
              </w:rPr>
              <w:t>本项目初期雨水依托衡阳富华钢化玻璃有限公司现有</w:t>
            </w:r>
            <w:r>
              <w:rPr>
                <w:rFonts w:hint="default" w:ascii="Times New Roman" w:hAnsi="Times New Roman" w:eastAsia="宋体" w:cs="Times New Roman"/>
                <w:color w:val="auto"/>
                <w:sz w:val="24"/>
                <w:szCs w:val="24"/>
                <w:highlight w:val="none"/>
                <w:vertAlign w:val="baseline"/>
                <w:lang w:val="en-US" w:eastAsia="zh-CN"/>
              </w:rPr>
              <w:t>初期雨水收集池（约40m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）收集后沿园区管网外排</w:t>
            </w:r>
            <w:r>
              <w:rPr>
                <w:rFonts w:hint="default" w:ascii="Times New Roman" w:hAnsi="Times New Roman" w:eastAsia="宋体" w:cs="Times New Roman"/>
                <w:color w:val="auto"/>
                <w:sz w:val="24"/>
                <w:szCs w:val="24"/>
                <w:highlight w:val="none"/>
                <w:lang w:val="en-US" w:eastAsia="zh-CN"/>
              </w:rPr>
              <w:t>，衡阳富华钢化玻璃有限公司现有</w:t>
            </w:r>
            <w:r>
              <w:rPr>
                <w:rFonts w:hint="default" w:ascii="Times New Roman" w:hAnsi="Times New Roman" w:eastAsia="宋体" w:cs="Times New Roman"/>
                <w:color w:val="auto"/>
                <w:sz w:val="24"/>
                <w:szCs w:val="24"/>
                <w:highlight w:val="none"/>
                <w:vertAlign w:val="baseline"/>
                <w:lang w:val="en-US" w:eastAsia="zh-CN"/>
              </w:rPr>
              <w:t>初期雨水收集池面积可以满足</w:t>
            </w:r>
            <w:r>
              <w:rPr>
                <w:rFonts w:hint="default" w:ascii="Times New Roman" w:hAnsi="Times New Roman" w:eastAsia="宋体" w:cs="Times New Roman"/>
                <w:color w:val="auto"/>
                <w:sz w:val="24"/>
                <w:szCs w:val="24"/>
                <w:highlight w:val="none"/>
                <w:lang w:val="en-US" w:eastAsia="zh-CN"/>
              </w:rPr>
              <w:t>初期雨水量需求，因此在暴雨季节，初期雨水可全部接纳到初期雨水池内，因此营运期初期雨水对周围环境的影响较小。</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②生活污水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本项目劳动定员5人，均不在厂内食宿，年工作300天，参照《湖南省用水定额》（DB43/T 388-2014），农村居民用水量为90L/人·d，则用水量为0.45m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/d、135m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/a。废水排放量约为用水量的80%，即营运期生活污水排放量约0.36m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/d、108m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/a。本项目营运期生活污水产生量为108m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/a，产量较小，水质较简单。参考《给排水设计手册》（第五册城镇排水）典型生活污水水质示例，生活污水水质约为CODCr：250mg/L、BOD5：200mg/L、SS：200mg/L、氨氮：25mg/L、动植物油：20mg/L。</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sz w:val="24"/>
                <w:szCs w:val="24"/>
                <w:highlight w:val="none"/>
                <w:lang w:val="en-US" w:eastAsia="zh-CN"/>
              </w:rPr>
              <w:t>本项目运营期生活污水经现有化粪池处理后达到《污水综合排放标准》（GB8978-1996）表4中的三级标准，预处理后的污水经厂房污水管网排入西渡高新技术产业园区工业污水处理厂进一步处理后达标</w:t>
            </w:r>
            <w:r>
              <w:rPr>
                <w:rFonts w:hint="default" w:ascii="Times New Roman" w:hAnsi="Times New Roman" w:eastAsia="宋体" w:cs="Times New Roman"/>
                <w:color w:val="auto"/>
                <w:kern w:val="0"/>
                <w:sz w:val="24"/>
                <w:szCs w:val="24"/>
                <w:highlight w:val="none"/>
                <w:lang w:val="en-US" w:eastAsia="zh-CN" w:bidi="ar"/>
              </w:rPr>
              <w:t>外排蒸水</w:t>
            </w:r>
            <w:r>
              <w:rPr>
                <w:rFonts w:hint="default" w:ascii="Times New Roman" w:hAnsi="Times New Roman" w:eastAsia="宋体" w:cs="Times New Roman"/>
                <w:color w:val="auto"/>
                <w:sz w:val="24"/>
                <w:szCs w:val="24"/>
                <w:highlight w:val="none"/>
                <w:lang w:val="en-US" w:eastAsia="zh-CN"/>
              </w:rPr>
              <w:t>，最终排入湘江。结合现有项目生活实际排放情况，本项目生活污水经预处理后浓度有所减少，排放水污染物浓度远低于限值要求。</w:t>
            </w:r>
          </w:p>
          <w:p>
            <w:pPr>
              <w:pStyle w:val="43"/>
              <w:keepNext w:val="0"/>
              <w:keepLines w:val="0"/>
              <w:pageBreakBefore w:val="0"/>
              <w:kinsoku/>
              <w:wordWrap/>
              <w:topLinePunct w:val="0"/>
              <w:bidi w:val="0"/>
              <w:adjustRightInd/>
              <w:snapToGrid/>
              <w:spacing w:beforeLines="0" w:after="0" w:afterAutospacing="0" w:line="36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本项目废水量及污染物浓度见下表：</w:t>
            </w:r>
          </w:p>
          <w:p>
            <w:pPr>
              <w:keepNext w:val="0"/>
              <w:keepLines w:val="0"/>
              <w:pageBreakBefore w:val="0"/>
              <w:kinsoku/>
              <w:wordWrap/>
              <w:topLinePunct w:val="0"/>
              <w:bidi w:val="0"/>
              <w:adjustRightInd/>
              <w:snapToGrid/>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4-9</w:t>
            </w:r>
            <w:r>
              <w:rPr>
                <w:rFonts w:hint="default" w:ascii="Times New Roman" w:hAnsi="Times New Roman" w:eastAsia="宋体" w:cs="Times New Roman"/>
                <w:b/>
                <w:bCs/>
                <w:color w:val="auto"/>
                <w:highlight w:val="none"/>
              </w:rPr>
              <w:t>本项目生活污水量及污染物浓度一览表</w:t>
            </w:r>
          </w:p>
          <w:tbl>
            <w:tblPr>
              <w:tblStyle w:val="19"/>
              <w:tblW w:w="84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809"/>
              <w:gridCol w:w="1091"/>
              <w:gridCol w:w="903"/>
              <w:gridCol w:w="884"/>
              <w:gridCol w:w="1091"/>
              <w:gridCol w:w="943"/>
              <w:gridCol w:w="90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废水总量</w:t>
                  </w: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污染物种类</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产生浓度（mg/L）</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产生量（t/a）</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去除率</w:t>
                  </w:r>
                </w:p>
              </w:tc>
              <w:tc>
                <w:tcPr>
                  <w:tcW w:w="1091" w:type="dxa"/>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排放</w:t>
                  </w:r>
                  <w:r>
                    <w:rPr>
                      <w:rFonts w:hint="default" w:ascii="Times New Roman" w:hAnsi="Times New Roman" w:eastAsia="宋体" w:cs="Times New Roman"/>
                      <w:color w:val="auto"/>
                      <w:highlight w:val="none"/>
                    </w:rPr>
                    <w:t>浓度（mg/L）</w:t>
                  </w:r>
                </w:p>
              </w:tc>
              <w:tc>
                <w:tcPr>
                  <w:tcW w:w="943" w:type="dxa"/>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排放</w:t>
                  </w:r>
                  <w:r>
                    <w:rPr>
                      <w:rFonts w:hint="default" w:ascii="Times New Roman" w:hAnsi="Times New Roman" w:eastAsia="宋体" w:cs="Times New Roman"/>
                      <w:color w:val="auto"/>
                      <w:highlight w:val="none"/>
                    </w:rPr>
                    <w:t>量（t/a）</w:t>
                  </w:r>
                </w:p>
              </w:tc>
              <w:tc>
                <w:tcPr>
                  <w:tcW w:w="900" w:type="dxa"/>
                  <w:noWrap w:val="0"/>
                  <w:vAlign w:val="center"/>
                </w:tcPr>
                <w:p>
                  <w:pPr>
                    <w:pStyle w:val="30"/>
                    <w:widowControl w:val="0"/>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标准限值</w:t>
                  </w:r>
                  <w:r>
                    <w:rPr>
                      <w:rFonts w:hint="default" w:ascii="Times New Roman" w:hAnsi="Times New Roman" w:eastAsia="宋体" w:cs="Times New Roman"/>
                      <w:color w:val="auto"/>
                      <w:highlight w:val="none"/>
                      <w:lang w:val="en-GB" w:eastAsia="zh-CN"/>
                    </w:rPr>
                    <w:t>mg/L</w:t>
                  </w:r>
                </w:p>
              </w:tc>
              <w:tc>
                <w:tcPr>
                  <w:tcW w:w="885" w:type="dxa"/>
                  <w:noWrap w:val="0"/>
                  <w:vAlign w:val="center"/>
                </w:tcPr>
                <w:p>
                  <w:pPr>
                    <w:pStyle w:val="30"/>
                    <w:widowControl w:val="0"/>
                    <w:bidi w:val="0"/>
                    <w:ind w:firstLine="0" w:firstLine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restart"/>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108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2"/>
                      <w:highlight w:val="none"/>
                    </w:rPr>
                    <w:t>COD</w:t>
                  </w:r>
                  <w:r>
                    <w:rPr>
                      <w:rFonts w:hint="default" w:ascii="Times New Roman" w:hAnsi="Times New Roman" w:eastAsia="宋体" w:cs="Times New Roman"/>
                      <w:color w:val="auto"/>
                      <w:spacing w:val="-2"/>
                      <w:highlight w:val="none"/>
                      <w:vertAlign w:val="subscript"/>
                    </w:rPr>
                    <w:t>Cr</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0.027</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GB" w:eastAsia="zh-CN"/>
                    </w:rPr>
                    <w:t>15</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212.5</w:t>
                  </w:r>
                </w:p>
              </w:tc>
              <w:tc>
                <w:tcPr>
                  <w:tcW w:w="94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0.02295</w:t>
                  </w:r>
                </w:p>
              </w:tc>
              <w:tc>
                <w:tcPr>
                  <w:tcW w:w="900"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GB" w:eastAsia="zh-CN"/>
                    </w:rPr>
                    <w:t>00</w:t>
                  </w:r>
                </w:p>
              </w:tc>
              <w:tc>
                <w:tcPr>
                  <w:tcW w:w="885"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u w:val="none"/>
                      <w:lang w:val="en-GB"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0.0216</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180</w:t>
                  </w:r>
                </w:p>
              </w:tc>
              <w:tc>
                <w:tcPr>
                  <w:tcW w:w="94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0.01944</w:t>
                  </w:r>
                </w:p>
              </w:tc>
              <w:tc>
                <w:tcPr>
                  <w:tcW w:w="900"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GB" w:eastAsia="zh-CN"/>
                    </w:rPr>
                    <w:t>00</w:t>
                  </w:r>
                </w:p>
              </w:tc>
              <w:tc>
                <w:tcPr>
                  <w:tcW w:w="885"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0.0027</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GB" w:eastAsia="zh-CN"/>
                    </w:rPr>
                    <w:t>30</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17.5</w:t>
                  </w:r>
                </w:p>
              </w:tc>
              <w:tc>
                <w:tcPr>
                  <w:tcW w:w="94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0.00189</w:t>
                  </w:r>
                </w:p>
              </w:tc>
              <w:tc>
                <w:tcPr>
                  <w:tcW w:w="900"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GB" w:eastAsia="zh-CN"/>
                    </w:rPr>
                    <w:t>00</w:t>
                  </w:r>
                </w:p>
              </w:tc>
              <w:tc>
                <w:tcPr>
                  <w:tcW w:w="885"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SS</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0.0216</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190</w:t>
                  </w:r>
                </w:p>
              </w:tc>
              <w:tc>
                <w:tcPr>
                  <w:tcW w:w="94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0.02052</w:t>
                  </w:r>
                </w:p>
              </w:tc>
              <w:tc>
                <w:tcPr>
                  <w:tcW w:w="900"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GB" w:eastAsia="zh-CN"/>
                    </w:rPr>
                    <w:t>/</w:t>
                  </w:r>
                </w:p>
              </w:tc>
              <w:tc>
                <w:tcPr>
                  <w:tcW w:w="885"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c>
                <w:tcPr>
                  <w:tcW w:w="809"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动植物油</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w:t>
                  </w:r>
                </w:p>
              </w:tc>
              <w:tc>
                <w:tcPr>
                  <w:tcW w:w="90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0.00216</w:t>
                  </w:r>
                </w:p>
              </w:tc>
              <w:tc>
                <w:tcPr>
                  <w:tcW w:w="884"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091"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w:t>
                  </w:r>
                </w:p>
              </w:tc>
              <w:tc>
                <w:tcPr>
                  <w:tcW w:w="943"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0.00216</w:t>
                  </w:r>
                </w:p>
              </w:tc>
              <w:tc>
                <w:tcPr>
                  <w:tcW w:w="900" w:type="dxa"/>
                  <w:noWrap w:val="0"/>
                  <w:vAlign w:val="center"/>
                </w:tcPr>
                <w:p>
                  <w:pPr>
                    <w:keepNext w:val="0"/>
                    <w:keepLines w:val="0"/>
                    <w:pageBreakBefore w:val="0"/>
                    <w:widowControl/>
                    <w:kinsoku/>
                    <w:wordWrap/>
                    <w:topLinePunct w:val="0"/>
                    <w:bidi w:val="0"/>
                    <w:adjustRightInd/>
                    <w:snapToGrid/>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100</w:t>
                  </w:r>
                </w:p>
              </w:tc>
              <w:tc>
                <w:tcPr>
                  <w:tcW w:w="885" w:type="dxa"/>
                  <w:vMerge w:val="continue"/>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0" w:type="dxa"/>
                  <w:gridSpan w:val="9"/>
                  <w:noWrap w:val="0"/>
                  <w:vAlign w:val="center"/>
                </w:tcPr>
                <w:p>
                  <w:pPr>
                    <w:keepNext w:val="0"/>
                    <w:keepLines w:val="0"/>
                    <w:pageBreakBefore w:val="0"/>
                    <w:widowControl/>
                    <w:kinsoku/>
                    <w:wordWrap/>
                    <w:topLinePunct w:val="0"/>
                    <w:bidi w:val="0"/>
                    <w:adjustRightInd/>
                    <w:snapToGrid/>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u w:val="none"/>
                      <w:lang w:val="en-US" w:eastAsia="zh-CN"/>
                    </w:rPr>
                    <w:t>注：</w:t>
                  </w:r>
                  <w:r>
                    <w:rPr>
                      <w:rFonts w:hint="default" w:ascii="Times New Roman" w:hAnsi="Times New Roman" w:eastAsia="宋体" w:cs="Times New Roman"/>
                      <w:color w:val="auto"/>
                      <w:highlight w:val="none"/>
                      <w:u w:val="none"/>
                      <w:lang w:val="en-GB" w:eastAsia="zh-CN"/>
                    </w:rPr>
                    <w:t>生活污水依托</w:t>
                  </w:r>
                  <w:r>
                    <w:rPr>
                      <w:rFonts w:hint="default" w:ascii="Times New Roman" w:hAnsi="Times New Roman" w:eastAsia="宋体" w:cs="Times New Roman"/>
                      <w:color w:val="auto"/>
                      <w:highlight w:val="none"/>
                      <w:u w:val="none"/>
                      <w:lang w:val="en-US" w:eastAsia="zh-CN"/>
                    </w:rPr>
                    <w:t>现有</w:t>
                  </w:r>
                  <w:r>
                    <w:rPr>
                      <w:rFonts w:hint="default" w:ascii="Times New Roman" w:hAnsi="Times New Roman" w:eastAsia="宋体" w:cs="Times New Roman"/>
                      <w:color w:val="auto"/>
                      <w:highlight w:val="none"/>
                      <w:u w:val="none"/>
                      <w:lang w:val="en-GB" w:eastAsia="zh-CN"/>
                    </w:rPr>
                    <w:t>化粪池处理，污染物去除效率参考化粪池污水预处理治理效率经验。</w:t>
                  </w:r>
                </w:p>
              </w:tc>
            </w:tr>
          </w:tbl>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③生产废水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1、道路降尘用水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项目道路面积约</w:t>
            </w:r>
            <w:r>
              <w:rPr>
                <w:rFonts w:hint="default" w:ascii="Times New Roman" w:hAnsi="Times New Roman" w:eastAsia="宋体" w:cs="Times New Roman"/>
                <w:color w:val="auto"/>
                <w:kern w:val="0"/>
                <w:sz w:val="24"/>
                <w:szCs w:val="24"/>
                <w:highlight w:val="none"/>
                <w:u w:val="none"/>
                <w:lang w:val="en-US" w:eastAsia="zh-CN" w:bidi="ar-SA"/>
              </w:rPr>
              <w:t>600m</w:t>
            </w:r>
            <w:r>
              <w:rPr>
                <w:rFonts w:hint="default" w:ascii="Times New Roman" w:hAnsi="Times New Roman" w:eastAsia="宋体" w:cs="Times New Roman"/>
                <w:color w:val="auto"/>
                <w:kern w:val="0"/>
                <w:sz w:val="24"/>
                <w:szCs w:val="24"/>
                <w:highlight w:val="none"/>
                <w:u w:val="none"/>
                <w:vertAlign w:val="superscript"/>
                <w:lang w:val="en-US" w:eastAsia="zh-CN" w:bidi="ar-SA"/>
              </w:rPr>
              <w:t>2</w:t>
            </w:r>
            <w:r>
              <w:rPr>
                <w:rFonts w:hint="default" w:ascii="Times New Roman" w:hAnsi="Times New Roman" w:eastAsia="宋体" w:cs="Times New Roman"/>
                <w:color w:val="auto"/>
                <w:kern w:val="0"/>
                <w:sz w:val="24"/>
                <w:szCs w:val="24"/>
                <w:highlight w:val="none"/>
                <w:u w:val="none"/>
                <w:lang w:val="en-US" w:eastAsia="zh-CN" w:bidi="ar-SA"/>
              </w:rPr>
              <w:t>，按平均2L/m</w:t>
            </w:r>
            <w:r>
              <w:rPr>
                <w:rFonts w:hint="default" w:ascii="Times New Roman" w:hAnsi="Times New Roman" w:eastAsia="宋体" w:cs="Times New Roman"/>
                <w:color w:val="auto"/>
                <w:kern w:val="0"/>
                <w:sz w:val="24"/>
                <w:szCs w:val="24"/>
                <w:highlight w:val="none"/>
                <w:u w:val="none"/>
                <w:vertAlign w:val="superscript"/>
                <w:lang w:val="en-US" w:eastAsia="zh-CN" w:bidi="ar-SA"/>
              </w:rPr>
              <w:t>2</w:t>
            </w:r>
            <w:r>
              <w:rPr>
                <w:rFonts w:hint="default" w:ascii="Times New Roman" w:hAnsi="Times New Roman" w:eastAsia="宋体" w:cs="Times New Roman"/>
                <w:color w:val="auto"/>
                <w:kern w:val="0"/>
                <w:sz w:val="24"/>
                <w:szCs w:val="24"/>
                <w:highlight w:val="none"/>
                <w:u w:val="none"/>
                <w:lang w:val="en-US" w:eastAsia="zh-CN" w:bidi="ar-SA"/>
              </w:rPr>
              <w:t>·次，每天洒水3次（雨天不进行喷洒）。本项目工作日为300天，非雨天按250天计算，则道路洒水抑尘用水量为</w:t>
            </w:r>
            <w:r>
              <w:rPr>
                <w:rFonts w:hint="default" w:ascii="Times New Roman" w:hAnsi="Times New Roman" w:eastAsia="宋体" w:cs="Times New Roman"/>
                <w:color w:val="auto"/>
                <w:kern w:val="0"/>
                <w:sz w:val="24"/>
                <w:szCs w:val="24"/>
                <w:highlight w:val="none"/>
                <w:u w:val="none"/>
                <w:lang w:val="en-US" w:eastAsia="zh-CN" w:bidi="ar-SA"/>
              </w:rPr>
              <w:t>3.6m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/d、900m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default" w:ascii="Times New Roman" w:hAnsi="Times New Roman" w:eastAsia="宋体" w:cs="Times New Roman"/>
                <w:color w:val="auto"/>
                <w:kern w:val="0"/>
                <w:sz w:val="24"/>
                <w:szCs w:val="24"/>
                <w:highlight w:val="none"/>
                <w:u w:val="none"/>
                <w:lang w:val="en-US" w:eastAsia="zh-CN" w:bidi="ar-SA"/>
              </w:rPr>
              <w:t>。这部分水全部蒸发或渗漏损失。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2、生产线抑尘用水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项目制砂生产线破碎机、筛分机倒料口均设置有喷淋设施，每个倒料口喷淋用水量以1m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/h；本项目有2台破碎机、2台筛分机，则制砂生产线喷淋用水量约</w:t>
            </w:r>
            <w:r>
              <w:rPr>
                <w:rFonts w:hint="default" w:ascii="Times New Roman" w:hAnsi="Times New Roman" w:eastAsia="宋体" w:cs="Times New Roman"/>
                <w:color w:val="auto"/>
                <w:kern w:val="0"/>
                <w:sz w:val="24"/>
                <w:szCs w:val="24"/>
                <w:highlight w:val="none"/>
                <w:u w:val="none"/>
                <w:lang w:val="en-US" w:eastAsia="zh-CN" w:bidi="ar-SA"/>
              </w:rPr>
              <w:t>4m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/h</w:t>
            </w:r>
            <w:r>
              <w:rPr>
                <w:rFonts w:hint="default" w:ascii="Times New Roman" w:hAnsi="Times New Roman" w:eastAsia="宋体" w:cs="Times New Roman"/>
                <w:color w:val="auto"/>
                <w:kern w:val="0"/>
                <w:sz w:val="24"/>
                <w:szCs w:val="24"/>
                <w:highlight w:val="none"/>
                <w:u w:val="none"/>
                <w:lang w:val="en-US" w:eastAsia="zh-CN" w:bidi="ar-SA"/>
              </w:rPr>
              <w:t>。本项目年工作日为300天，日加工时间为8小时，则项目制砂生产线抑尘用水量约为</w:t>
            </w:r>
            <w:r>
              <w:rPr>
                <w:rFonts w:hint="default" w:ascii="Times New Roman" w:hAnsi="Times New Roman" w:eastAsia="宋体" w:cs="Times New Roman"/>
                <w:color w:val="auto"/>
                <w:kern w:val="0"/>
                <w:sz w:val="24"/>
                <w:szCs w:val="24"/>
                <w:highlight w:val="none"/>
                <w:u w:val="none"/>
                <w:lang w:val="en-US" w:eastAsia="zh-CN" w:bidi="ar-SA"/>
              </w:rPr>
              <w:t>32m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/d、9600m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default" w:ascii="Times New Roman" w:hAnsi="Times New Roman" w:eastAsia="宋体" w:cs="Times New Roman"/>
                <w:color w:val="auto"/>
                <w:kern w:val="0"/>
                <w:sz w:val="24"/>
                <w:szCs w:val="24"/>
                <w:highlight w:val="none"/>
                <w:u w:val="none"/>
                <w:lang w:val="en-US" w:eastAsia="zh-CN" w:bidi="ar-SA"/>
              </w:rPr>
              <w:t>。这部分水全部蒸发损失。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3、洗车用水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本项目年运输物料量按照12万（原料6万吨＋成品约6万吨）吨计算，按40t每车计，每年约为3000辆次，洗车用水量为0.1m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/辆•次，用水量为300m</w:t>
            </w:r>
            <w:r>
              <w:rPr>
                <w:rFonts w:hint="default"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/a，这部分水全部蒸发损失。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u w:val="none"/>
                <w:lang w:val="en-US" w:eastAsia="zh-CN" w:bidi="ar-SA"/>
              </w:rPr>
              <w:t>堆场洒水抑尘用水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本项目原料堆场、成品堆场需要定期洒水抑尘，根据《建筑给水排水设计规范》（GB50015-2009），项目洒水抑尘用水定额按0.5L/m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次计。原料堆场洒水抑尘平均一天2次，堆场总面积约1000m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则本项目原料堆场洒水抑尘用水总量为</w:t>
            </w:r>
            <w:r>
              <w:rPr>
                <w:rFonts w:hint="default" w:ascii="Times New Roman" w:hAnsi="Times New Roman" w:eastAsia="宋体" w:cs="Times New Roman"/>
                <w:b w:val="0"/>
                <w:bCs w:val="0"/>
                <w:color w:val="auto"/>
                <w:sz w:val="24"/>
                <w:szCs w:val="24"/>
                <w:highlight w:val="none"/>
                <w:lang w:val="en-US" w:eastAsia="zh-CN"/>
              </w:rPr>
              <w:t>1m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/d（300m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u w:val="none"/>
                <w:lang w:val="en-US" w:eastAsia="zh-CN" w:bidi="ar-SA"/>
              </w:rPr>
              <w:t>这部分水全部蒸发或渗漏损失。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由上可知，本项目无生产废水外排。</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废水处理措施可行性分析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本项目厂区初期雨水由排水沟引流进行引流，引入现有的衡阳市富华钢化玻璃有限公司初期雨水池，该雨水池连接雨水管网，初期雨水依托衡阳富华钢化玻璃有限公司厂区内雨水收集池收集后沉淀处理后排放至园区雨水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（2）生活污水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①污水预处理措施可行性分析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化粪池作为生活污水预处理工艺已经成熟运用多年，生活污水主要含有可生化的有机污染物，该方法是在厌氧的条件下，利用厌氧菌将生活污水中的部分有机污染物分解，从而起到降低污染物浓度的目的。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本项目污水水质较为简单，生活污水经化粪池预处理后，水质可以达到《污水综合排放标准》（GB8978-1996）表4中的三级标准。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因此，项目采取的废水预处理措施可行。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②项目生活污水进入衡阳西渡高新区污水处理厂深度处理的可行性分析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衡阳西渡高新区污水处理厂位于西渡镇江山村S315线以南，豆陂村与八一村交界处，服务范围为湖南衡阳西渡高新技术产业园区全部区域和樟树乡S315沿线区域（面积6.35km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）。衡阳县城污水处理厂的建设规模远期为：4.0万m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/d，近期为：2.0万m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拟采用改良式A2/O二级生化处理工艺，深度处理采用高效沉淀、深床滤池处理工艺方案，污泥处理采用重力浓缩脱水工艺方案。污水经过滤后消毒，出水水质达《城镇污水处理厂污染物排放标准》（GB18918-2002）一级A标后排入蒸水。目前，衡阳西渡高新区污水处理厂管网已铺设完成，并正式运营。本项目产生的废水量为108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olor w:val="auto"/>
                <w:highlight w:val="none"/>
                <w:lang w:val="en-US" w:eastAsia="zh-CN"/>
              </w:rPr>
              <w:t>，</w:t>
            </w:r>
            <w:r>
              <w:rPr>
                <w:rFonts w:hint="eastAsia" w:ascii="Times New Roman" w:hAnsi="Times New Roman" w:eastAsia="宋体" w:cs="Times New Roman"/>
                <w:color w:val="auto"/>
                <w:sz w:val="24"/>
                <w:szCs w:val="24"/>
                <w:highlight w:val="none"/>
                <w:lang w:val="en-US" w:eastAsia="zh-CN"/>
              </w:rPr>
              <w:t>排放的废水量仅占</w:t>
            </w:r>
            <w:r>
              <w:rPr>
                <w:rFonts w:hint="default" w:ascii="Times New Roman" w:hAnsi="Times New Roman" w:eastAsia="宋体" w:cs="Times New Roman"/>
                <w:color w:val="auto"/>
                <w:sz w:val="24"/>
                <w:szCs w:val="24"/>
                <w:highlight w:val="none"/>
                <w:lang w:val="en-US" w:eastAsia="zh-CN"/>
              </w:rPr>
              <w:t>衡阳西渡高新区污水处理厂</w:t>
            </w:r>
            <w:r>
              <w:rPr>
                <w:rFonts w:hint="eastAsia" w:ascii="Times New Roman" w:hAnsi="Times New Roman" w:eastAsia="宋体" w:cs="Times New Roman"/>
                <w:color w:val="auto"/>
                <w:sz w:val="24"/>
                <w:szCs w:val="24"/>
                <w:highlight w:val="none"/>
                <w:lang w:val="en-US" w:eastAsia="zh-CN"/>
              </w:rPr>
              <w:t>日处理量的0.54%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废水接入污水处理厂后不会对其造成负荷冲击，投产运营后外排废水经预处理后可以满足衡阳西渡高新区污水处理厂的进水水质要求和纳污能力，本项目位于衡阳西渡高新技术产业园区内，目前园区污水管网已经建设完成，项目建成后由站区北面S336园区污水管网可接入衡阳西渡高新区污水处理厂处理，所以项目运营时废水可顺利接入送往衡阳西渡高新区污水处理厂处理，措施可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分析，本项目在衡阳西渡高新区污水处理厂的纳污范围内，项目废水排放量占衡阳西渡高新区污水处理厂的比重较小，污水水质较简单，可达到污水处理厂的接管标准要求。从处理能力、废水量和处理效果方面考虑，项目废水进入污水处理厂处理是可行的，对污水处理厂影响较小。</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生产废水成分主要为降尘用水，全部蒸发流失。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本项目建成投产后项目生产废水不外排，生活污水经化粪池处理后排入园区污水管网，进入衡阳西渡高新技术产业园污水处理厂进一步处理，处理达标后排放；初期雨水依托衡阳富华钢化玻璃有限公司厂区内雨水收集池收集后沉淀处理后排放至园区雨水管网。对于周边水环境影响不大，本项目水污染物评价结果可接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因此，项目采取的废水预处理措施可行。</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（3）废水环境影响分析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本项目生活污水主要污染物为CODCr和氨氮，经化粪池处理后水质较好，根据运营期废水源强核算，项目经化粪池预处理后的</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val="en-US" w:eastAsia="zh-CN"/>
              </w:rPr>
              <w:t>水质可以达到《污水综合排放标准》（GB8978-1996）表4中的三级标准，满足衡阳西渡高新区污水处理厂的进水水质要求和纳污能力，可通过园区污水管网顺利接入送往衡阳西渡高新区污水处理厂深度处理达标后排入湘江。因此本项目建成投产后，对于周边水环境影响不大，本项目水污染物评价结果可接受。</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（4）自行监测要求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本项目生产废水不外排，外排废水主要为生活污水，生活污水经现有化粪池预处理后，预处理后的污水经厂房污水管网排入西渡高新技术产业园区工业污水处理厂进一步处理后达标后排入</w:t>
            </w:r>
            <w:r>
              <w:rPr>
                <w:rFonts w:hint="default"/>
                <w:color w:val="auto"/>
                <w:sz w:val="24"/>
                <w:highlight w:val="none"/>
              </w:rPr>
              <w:t>蒸水</w:t>
            </w:r>
            <w:r>
              <w:rPr>
                <w:rFonts w:hint="default" w:ascii="Times New Roman" w:hAnsi="Times New Roman" w:eastAsia="宋体" w:cs="Times New Roman"/>
                <w:color w:val="auto"/>
                <w:sz w:val="24"/>
                <w:szCs w:val="24"/>
                <w:highlight w:val="none"/>
                <w:lang w:val="en-US" w:eastAsia="zh-CN"/>
              </w:rPr>
              <w:t>，因此无需进行日常监测。</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3、噪声</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（1）预测模型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建设内容及《环境影响评价技术导则—声环境》（HJ2.4-2021）的要求，项目环评采用的模型为《环境影响评价技术导则声环境》（HJ2.4.2021）附录A（规范性附录）户外声传播的衰减和附录B（规范性附录）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B.1工业噪声预测计算模型</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（2）预测参数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本项目噪声主要来源于破碎机、磁选机、皮带输送机及筛分机等设备生产过程中产生的噪声，各生产设备均安置在生产车间内，类比同类项目，各噪声源的源强、排放特征及拟采取的降噪措施见表4-9。</w:t>
            </w:r>
          </w:p>
          <w:p>
            <w:pPr>
              <w:pStyle w:val="31"/>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表4-9项目全厂噪声源强调查清单（室内声源）</w:t>
            </w:r>
          </w:p>
          <w:tbl>
            <w:tblPr>
              <w:tblStyle w:val="20"/>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38"/>
              <w:gridCol w:w="788"/>
              <w:gridCol w:w="636"/>
              <w:gridCol w:w="654"/>
              <w:gridCol w:w="584"/>
              <w:gridCol w:w="479"/>
              <w:gridCol w:w="584"/>
              <w:gridCol w:w="788"/>
              <w:gridCol w:w="426"/>
              <w:gridCol w:w="788"/>
              <w:gridCol w:w="788"/>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序号</w:t>
                  </w:r>
                </w:p>
              </w:tc>
              <w:tc>
                <w:tcPr>
                  <w:tcW w:w="426"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建筑物名称</w:t>
                  </w:r>
                </w:p>
              </w:tc>
              <w:tc>
                <w:tcPr>
                  <w:tcW w:w="439"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声源名称</w:t>
                  </w:r>
                </w:p>
              </w:tc>
              <w:tc>
                <w:tcPr>
                  <w:tcW w:w="788"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声源源强</w:t>
                  </w:r>
                </w:p>
              </w:tc>
              <w:tc>
                <w:tcPr>
                  <w:tcW w:w="636"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声源控制措施</w:t>
                  </w:r>
                </w:p>
              </w:tc>
              <w:tc>
                <w:tcPr>
                  <w:tcW w:w="1717" w:type="dxa"/>
                  <w:gridSpan w:val="3"/>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空间相对位置/m</w:t>
                  </w:r>
                </w:p>
              </w:tc>
              <w:tc>
                <w:tcPr>
                  <w:tcW w:w="584"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距室内边界距离/m</w:t>
                  </w:r>
                </w:p>
              </w:tc>
              <w:tc>
                <w:tcPr>
                  <w:tcW w:w="788"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室内边界声级/dB（A）</w:t>
                  </w:r>
                </w:p>
              </w:tc>
              <w:tc>
                <w:tcPr>
                  <w:tcW w:w="426"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运行时段</w:t>
                  </w:r>
                </w:p>
              </w:tc>
              <w:tc>
                <w:tcPr>
                  <w:tcW w:w="788"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建筑物插入损失/dB（A）</w:t>
                  </w:r>
                </w:p>
              </w:tc>
              <w:tc>
                <w:tcPr>
                  <w:tcW w:w="1214"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426"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439"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（声压级/距声源距离）/（dB（A）/m）</w:t>
                  </w:r>
                </w:p>
              </w:tc>
              <w:tc>
                <w:tcPr>
                  <w:tcW w:w="636"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X</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Y</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Z</w:t>
                  </w:r>
                </w:p>
              </w:tc>
              <w:tc>
                <w:tcPr>
                  <w:tcW w:w="584"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788"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426"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788" w:type="dxa"/>
                  <w:vMerge w:val="continue"/>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声压级/dB（A）</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皮带运输机</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80/1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-6.4</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8.3</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东12.0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南11.9</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西14.6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北12.4</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东75.6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南75.6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西75.6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北75.6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南54.6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北54.6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铲车</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85/1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-12.5</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5.3</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东5.1</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南38.1</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北10.0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东78.5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南78.4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西78.5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北78.5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东57.5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南57.4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西57.5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北57.5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锤破机2#</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95/1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-9.6</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1.6</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东5.7</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南32.6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西6.2</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北14.1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东83.5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南83.4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西83.5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北83.5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东62.5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南62.4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西62.5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北62.5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4</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锤破机1#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95/1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-14.4</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9.6</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东17.8</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南6.5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西7.4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北7.1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西85.6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北85.6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东64.6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南64.6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西64.6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北64.6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磁选机2#</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85/1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-13.6</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7.4</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东18.1</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南8.8</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西6.9</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北9.4</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东80.6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南80.6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西80.6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北80.6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东59.6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南59.6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西59.6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北59.6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磁选机1#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85/1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-11.1</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东5.1</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南34.9</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北12.4</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东78.5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南78.4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西78.5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北78.5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东57.5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南57.4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西57.5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北57.5</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0"/>
                      <w:highlight w:val="none"/>
                      <w:lang w:val="en-US" w:eastAsia="zh-CN"/>
                    </w:rPr>
                    <w:t>7</w:t>
                  </w:r>
                </w:p>
              </w:tc>
              <w:tc>
                <w:tcPr>
                  <w:tcW w:w="426" w:type="dxa"/>
                  <w:vAlign w:val="center"/>
                </w:tcPr>
                <w:p>
                  <w:pPr>
                    <w:adjustRightInd w:val="0"/>
                    <w:snapToGrid w:val="0"/>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0"/>
                      <w:highlight w:val="none"/>
                    </w:rPr>
                    <w:t>筛分机</w:t>
                  </w:r>
                  <w:r>
                    <w:rPr>
                      <w:rFonts w:hint="default" w:ascii="Times New Roman" w:hAnsi="Times New Roman" w:eastAsia="宋体" w:cs="Times New Roman"/>
                      <w:color w:val="auto"/>
                      <w:sz w:val="20"/>
                      <w:highlight w:val="none"/>
                      <w:lang w:val="en-US" w:eastAsia="zh-CN"/>
                    </w:rPr>
                    <w:t>1#</w:t>
                  </w:r>
                </w:p>
              </w:tc>
              <w:tc>
                <w:tcPr>
                  <w:tcW w:w="788" w:type="dxa"/>
                  <w:vAlign w:val="center"/>
                </w:tcPr>
                <w:p>
                  <w:pP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0"/>
                      <w:highlight w:val="none"/>
                    </w:rPr>
                    <w:t>95</w:t>
                  </w:r>
                  <w:r>
                    <w:rPr>
                      <w:rFonts w:hint="default" w:ascii="Times New Roman" w:hAnsi="Times New Roman" w:eastAsia="宋体" w:cs="Times New Roman"/>
                      <w:color w:val="auto"/>
                      <w:sz w:val="20"/>
                      <w:highlight w:val="none"/>
                      <w:lang w:val="en-US" w:eastAsia="zh-CN"/>
                    </w:rPr>
                    <w:t>/1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-10.6</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3.6</w:t>
                  </w:r>
                </w:p>
              </w:tc>
              <w:tc>
                <w:tcPr>
                  <w:tcW w:w="479"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东8.7</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南17.6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西1.2</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北10.1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北82.6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北61.6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6" w:type="dxa"/>
                  <w:vAlign w:val="center"/>
                </w:tcPr>
                <w:p>
                  <w:pPr>
                    <w:rPr>
                      <w:rFonts w:hint="default" w:ascii="Times New Roman" w:hAnsi="Times New Roman" w:eastAsia="宋体" w:cs="Times New Roman"/>
                      <w:color w:val="auto"/>
                      <w:sz w:val="20"/>
                      <w:highlight w:val="none"/>
                      <w:lang w:val="en-US" w:eastAsia="zh-CN"/>
                    </w:rPr>
                  </w:pPr>
                  <w:r>
                    <w:rPr>
                      <w:rFonts w:hint="default" w:ascii="Times New Roman" w:hAnsi="Times New Roman" w:eastAsia="宋体" w:cs="Times New Roman"/>
                      <w:color w:val="auto"/>
                      <w:sz w:val="20"/>
                      <w:highlight w:val="none"/>
                      <w:lang w:val="en-US" w:eastAsia="zh-CN"/>
                    </w:rPr>
                    <w:t>8</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439" w:type="dxa"/>
                  <w:vAlign w:val="center"/>
                </w:tcPr>
                <w:p>
                  <w:pPr>
                    <w:rPr>
                      <w:rFonts w:hint="default" w:ascii="Times New Roman" w:hAnsi="Times New Roman" w:eastAsia="宋体" w:cs="Times New Roman"/>
                      <w:color w:val="auto"/>
                      <w:sz w:val="20"/>
                      <w:highlight w:val="none"/>
                      <w:lang w:val="en-US" w:eastAsia="zh-CN"/>
                    </w:rPr>
                  </w:pPr>
                  <w:r>
                    <w:rPr>
                      <w:rFonts w:hint="default" w:ascii="Times New Roman" w:hAnsi="Times New Roman" w:eastAsia="宋体" w:cs="Times New Roman"/>
                      <w:color w:val="auto"/>
                      <w:sz w:val="20"/>
                      <w:highlight w:val="none"/>
                    </w:rPr>
                    <w:t>筛分机</w:t>
                  </w:r>
                  <w:r>
                    <w:rPr>
                      <w:rFonts w:hint="default" w:ascii="Times New Roman" w:hAnsi="Times New Roman" w:eastAsia="宋体" w:cs="Times New Roman"/>
                      <w:color w:val="auto"/>
                      <w:sz w:val="20"/>
                      <w:highlight w:val="none"/>
                      <w:lang w:val="en-US" w:eastAsia="zh-CN"/>
                    </w:rPr>
                    <w:t>2#</w:t>
                  </w:r>
                </w:p>
              </w:tc>
              <w:tc>
                <w:tcPr>
                  <w:tcW w:w="788" w:type="dxa"/>
                  <w:vAlign w:val="center"/>
                </w:tcPr>
                <w:p>
                  <w:pPr>
                    <w:rPr>
                      <w:rFonts w:hint="default" w:ascii="Times New Roman" w:hAnsi="Times New Roman" w:eastAsia="宋体" w:cs="Times New Roman"/>
                      <w:color w:val="auto"/>
                      <w:sz w:val="20"/>
                      <w:highlight w:val="none"/>
                    </w:rPr>
                  </w:pPr>
                  <w:r>
                    <w:rPr>
                      <w:rFonts w:hint="default" w:ascii="Times New Roman" w:hAnsi="Times New Roman" w:eastAsia="宋体" w:cs="Times New Roman"/>
                      <w:color w:val="auto"/>
                      <w:sz w:val="20"/>
                      <w:highlight w:val="none"/>
                    </w:rPr>
                    <w:t>95</w:t>
                  </w:r>
                  <w:r>
                    <w:rPr>
                      <w:rFonts w:hint="default" w:ascii="Times New Roman" w:hAnsi="Times New Roman" w:eastAsia="宋体" w:cs="Times New Roman"/>
                      <w:color w:val="auto"/>
                      <w:sz w:val="20"/>
                      <w:highlight w:val="none"/>
                      <w:lang w:val="en-US" w:eastAsia="zh-CN"/>
                    </w:rPr>
                    <w:t>/1</w:t>
                  </w:r>
                </w:p>
              </w:tc>
              <w:tc>
                <w:tcPr>
                  <w:tcW w:w="63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减震、隔声</w:t>
                  </w:r>
                </w:p>
              </w:tc>
              <w:tc>
                <w:tcPr>
                  <w:tcW w:w="654" w:type="dxa"/>
                  <w:vAlign w:val="center"/>
                </w:tcPr>
                <w:p>
                  <w:pPr>
                    <w:adjustRightInd w:val="0"/>
                    <w:snapToGrid w:val="0"/>
                    <w:jc w:val="center"/>
                    <w:rPr>
                      <w:rFonts w:hint="default" w:ascii="Times New Roman" w:hAnsi="Times New Roman" w:eastAsia="宋体" w:cs="Times New Roman"/>
                      <w:color w:val="auto"/>
                      <w:sz w:val="20"/>
                      <w:highlight w:val="none"/>
                    </w:rPr>
                  </w:pPr>
                  <w:r>
                    <w:rPr>
                      <w:rFonts w:hint="default" w:ascii="Times New Roman" w:hAnsi="Times New Roman" w:eastAsia="宋体" w:cs="Times New Roman"/>
                      <w:color w:val="auto"/>
                      <w:highlight w:val="none"/>
                      <w:u w:val="none"/>
                      <w:lang w:val="en-US" w:eastAsia="zh-CN"/>
                    </w:rPr>
                    <w:t>-15.4</w:t>
                  </w:r>
                </w:p>
              </w:tc>
              <w:tc>
                <w:tcPr>
                  <w:tcW w:w="584" w:type="dxa"/>
                  <w:vAlign w:val="center"/>
                </w:tcPr>
                <w:p>
                  <w:pPr>
                    <w:adjustRightInd w:val="0"/>
                    <w:snapToGrid w:val="0"/>
                    <w:jc w:val="center"/>
                    <w:rPr>
                      <w:rFonts w:hint="default" w:ascii="Times New Roman" w:hAnsi="Times New Roman" w:eastAsia="宋体" w:cs="Times New Roman"/>
                      <w:color w:val="auto"/>
                      <w:sz w:val="20"/>
                      <w:highlight w:val="none"/>
                    </w:rPr>
                  </w:pPr>
                  <w:r>
                    <w:rPr>
                      <w:rFonts w:hint="default" w:ascii="Times New Roman" w:hAnsi="Times New Roman" w:eastAsia="宋体" w:cs="Times New Roman"/>
                      <w:color w:val="auto"/>
                      <w:highlight w:val="none"/>
                      <w:u w:val="none"/>
                      <w:lang w:val="en-US" w:eastAsia="zh-CN"/>
                    </w:rPr>
                    <w:t>12.6</w:t>
                  </w:r>
                </w:p>
              </w:tc>
              <w:tc>
                <w:tcPr>
                  <w:tcW w:w="479" w:type="dxa"/>
                  <w:vAlign w:val="center"/>
                </w:tcPr>
                <w:p>
                  <w:pPr>
                    <w:adjustRightInd w:val="0"/>
                    <w:snapToGrid w:val="0"/>
                    <w:jc w:val="center"/>
                    <w:rPr>
                      <w:rFonts w:hint="default" w:ascii="Times New Roman" w:hAnsi="Times New Roman" w:eastAsia="宋体" w:cs="Times New Roman"/>
                      <w:color w:val="auto"/>
                      <w:sz w:val="20"/>
                      <w:highlight w:val="none"/>
                    </w:rPr>
                  </w:pPr>
                  <w:r>
                    <w:rPr>
                      <w:rFonts w:hint="default" w:ascii="Times New Roman" w:hAnsi="Times New Roman" w:eastAsia="宋体" w:cs="Times New Roman"/>
                      <w:color w:val="auto"/>
                      <w:highlight w:val="none"/>
                      <w:u w:val="none"/>
                      <w:lang w:val="en-US" w:eastAsia="zh-CN"/>
                    </w:rPr>
                    <w:t>1.2</w:t>
                  </w:r>
                </w:p>
              </w:tc>
              <w:tc>
                <w:tcPr>
                  <w:tcW w:w="584"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东15.8</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南9.5</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西9.4</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北12.1</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西82.6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北82.6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8h</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西21.0</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北21.0</w:t>
                  </w:r>
                </w:p>
              </w:tc>
              <w:tc>
                <w:tcPr>
                  <w:tcW w:w="788"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东61.6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南61.6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西61.6</w:t>
                  </w:r>
                </w:p>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北61.6</w:t>
                  </w:r>
                </w:p>
              </w:tc>
              <w:tc>
                <w:tcPr>
                  <w:tcW w:w="426" w:type="dxa"/>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r>
          </w:tbl>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（3）噪声达标分析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根据《环境影响评价技术导则声环境》（HJ2.4-2021），应以机械噪声的边界噪声值叠加后的预测值作为评价量。本次预测通过预测模型计算，厂界噪声预测结果与达标分析见表4-10。</w:t>
            </w:r>
          </w:p>
          <w:p>
            <w:pPr>
              <w:pStyle w:val="31"/>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表4-10厂界噪声预测结果与达标分析表单位：dB（A）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795"/>
              <w:gridCol w:w="795"/>
              <w:gridCol w:w="795"/>
              <w:gridCol w:w="1127"/>
              <w:gridCol w:w="1200"/>
              <w:gridCol w:w="1401"/>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04" w:type="dxa"/>
                  <w:vMerge w:val="restart"/>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预测方位</w:t>
                  </w:r>
                </w:p>
              </w:tc>
              <w:tc>
                <w:tcPr>
                  <w:tcW w:w="2235" w:type="dxa"/>
                  <w:gridSpan w:val="3"/>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1057" w:type="dxa"/>
                  <w:vMerge w:val="restart"/>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时段</w:t>
                  </w:r>
                </w:p>
              </w:tc>
              <w:tc>
                <w:tcPr>
                  <w:tcW w:w="1125" w:type="dxa"/>
                  <w:vMerge w:val="restart"/>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预测值（dB（A））</w:t>
                  </w:r>
                </w:p>
              </w:tc>
              <w:tc>
                <w:tcPr>
                  <w:tcW w:w="1313" w:type="dxa"/>
                  <w:vMerge w:val="restart"/>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标准限值（dB（A））</w:t>
                  </w:r>
                </w:p>
              </w:tc>
              <w:tc>
                <w:tcPr>
                  <w:tcW w:w="1102" w:type="dxa"/>
                  <w:vMerge w:val="restart"/>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104" w:type="dxa"/>
                  <w:vMerge w:val="continue"/>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rPr>
                  </w:pPr>
                </w:p>
              </w:tc>
              <w:tc>
                <w:tcPr>
                  <w:tcW w:w="745" w:type="dxa"/>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745" w:type="dxa"/>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745" w:type="dxa"/>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1057" w:type="dxa"/>
                  <w:vMerge w:val="continue"/>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25" w:type="dxa"/>
                  <w:vMerge w:val="continue"/>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313" w:type="dxa"/>
                  <w:vMerge w:val="continue"/>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02" w:type="dxa"/>
                  <w:vMerge w:val="continue"/>
                  <w:vAlign w:val="center"/>
                </w:tcPr>
                <w:p>
                  <w:pPr>
                    <w:pStyle w:val="30"/>
                    <w:widowControl w:val="0"/>
                    <w:bidi w:val="0"/>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东侧</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7.2</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7.2</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7.2</w:t>
                  </w:r>
                </w:p>
              </w:tc>
              <w:tc>
                <w:tcPr>
                  <w:tcW w:w="10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昼间</w:t>
                  </w:r>
                </w:p>
              </w:tc>
              <w:tc>
                <w:tcPr>
                  <w:tcW w:w="112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.3</w:t>
                  </w:r>
                </w:p>
              </w:tc>
              <w:tc>
                <w:tcPr>
                  <w:tcW w:w="1313"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65</w:t>
                  </w:r>
                </w:p>
              </w:tc>
              <w:tc>
                <w:tcPr>
                  <w:tcW w:w="110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南侧</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14.5</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14.5</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14.5</w:t>
                  </w:r>
                </w:p>
              </w:tc>
              <w:tc>
                <w:tcPr>
                  <w:tcW w:w="10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昼间</w:t>
                  </w:r>
                </w:p>
              </w:tc>
              <w:tc>
                <w:tcPr>
                  <w:tcW w:w="112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4.1</w:t>
                  </w:r>
                </w:p>
              </w:tc>
              <w:tc>
                <w:tcPr>
                  <w:tcW w:w="1313"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65</w:t>
                  </w:r>
                </w:p>
              </w:tc>
              <w:tc>
                <w:tcPr>
                  <w:tcW w:w="110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西侧</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1.2</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1.2</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1.2</w:t>
                  </w:r>
                </w:p>
              </w:tc>
              <w:tc>
                <w:tcPr>
                  <w:tcW w:w="10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昼间</w:t>
                  </w:r>
                </w:p>
              </w:tc>
              <w:tc>
                <w:tcPr>
                  <w:tcW w:w="112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1.5</w:t>
                  </w:r>
                </w:p>
              </w:tc>
              <w:tc>
                <w:tcPr>
                  <w:tcW w:w="1313"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65</w:t>
                  </w:r>
                </w:p>
              </w:tc>
              <w:tc>
                <w:tcPr>
                  <w:tcW w:w="110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北侧</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2.8</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2.8</w:t>
                  </w:r>
                </w:p>
              </w:tc>
              <w:tc>
                <w:tcPr>
                  <w:tcW w:w="74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2.8</w:t>
                  </w:r>
                </w:p>
              </w:tc>
              <w:tc>
                <w:tcPr>
                  <w:tcW w:w="1057"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昼间</w:t>
                  </w:r>
                </w:p>
              </w:tc>
              <w:tc>
                <w:tcPr>
                  <w:tcW w:w="1125"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9.6</w:t>
                  </w:r>
                </w:p>
              </w:tc>
              <w:tc>
                <w:tcPr>
                  <w:tcW w:w="1313"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65</w:t>
                  </w:r>
                </w:p>
              </w:tc>
              <w:tc>
                <w:tcPr>
                  <w:tcW w:w="1102" w:type="dxa"/>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由预测结果可知，本项目建成完成后全厂昼夜间厂界噪声贡献值均能达到《工业企业厂界环境噪声排放标准》（GB12348-2008）中的3类标准。</w:t>
            </w:r>
          </w:p>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（4）厂界和环境保护目标达标情况分析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由于本项目仅昼间生产，夜间不生产，由上表可知，项目厂界四周昼间噪声排放值均能满足《工业企业</w:t>
            </w:r>
            <w:r>
              <w:rPr>
                <w:rFonts w:hint="eastAsia" w:ascii="Times New Roman" w:hAnsi="Times New Roman" w:eastAsia="宋体" w:cs="Times New Roman"/>
                <w:color w:val="auto"/>
                <w:kern w:val="0"/>
                <w:sz w:val="24"/>
                <w:szCs w:val="24"/>
                <w:highlight w:val="none"/>
                <w:lang w:val="en-US" w:eastAsia="zh-CN" w:bidi="ar"/>
              </w:rPr>
              <w:t>厂</w:t>
            </w:r>
            <w:r>
              <w:rPr>
                <w:rFonts w:hint="default" w:ascii="Times New Roman" w:hAnsi="Times New Roman" w:eastAsia="宋体" w:cs="Times New Roman"/>
                <w:color w:val="auto"/>
                <w:kern w:val="0"/>
                <w:sz w:val="24"/>
                <w:szCs w:val="24"/>
                <w:highlight w:val="none"/>
                <w:lang w:val="en-US" w:eastAsia="zh-CN" w:bidi="ar"/>
              </w:rPr>
              <w:t>界环境噪声排放标准》（GB12348-2008）3类标准[昼间：65dB（A）]。且本项目评价范围内居民点较少，无居民集中区，仅有散户居民，声环境保护目标为项目东北侧45m处的樟树村居民点，其预测结果如下。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表4-11工业企业声环境保护目标噪声预测结果与达标分析表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322"/>
              <w:gridCol w:w="1404"/>
              <w:gridCol w:w="1292"/>
              <w:gridCol w:w="1516"/>
              <w:gridCol w:w="1293"/>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序号</w:t>
                  </w:r>
                </w:p>
              </w:tc>
              <w:tc>
                <w:tcPr>
                  <w:tcW w:w="0" w:type="auto"/>
                  <w:vMerge w:val="restart"/>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声环境保护目标名称</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噪声标准/dB（A）</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背景值/dB（A）</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噪声贡献值/dB（A）</w:t>
                  </w:r>
                </w:p>
              </w:tc>
              <w:tc>
                <w:tcPr>
                  <w:tcW w:w="0" w:type="auto"/>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预测值/dB（A）</w:t>
                  </w:r>
                </w:p>
              </w:tc>
              <w:tc>
                <w:tcPr>
                  <w:tcW w:w="0" w:type="auto"/>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0" w:type="auto"/>
                  <w:vMerge w:val="continue"/>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昼间</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昼间</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昼间</w:t>
                  </w:r>
                </w:p>
              </w:tc>
              <w:tc>
                <w:tcPr>
                  <w:tcW w:w="0" w:type="auto"/>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昼间</w:t>
                  </w:r>
                </w:p>
              </w:tc>
              <w:tc>
                <w:tcPr>
                  <w:tcW w:w="0" w:type="auto"/>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0" w:type="auto"/>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樟树村居民点</w:t>
                  </w:r>
                </w:p>
              </w:tc>
              <w:tc>
                <w:tcPr>
                  <w:tcW w:w="0" w:type="auto"/>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0" w:type="auto"/>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c>
                <w:tcPr>
                  <w:tcW w:w="0" w:type="auto"/>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35.8</w:t>
                  </w:r>
                </w:p>
              </w:tc>
              <w:tc>
                <w:tcPr>
                  <w:tcW w:w="0" w:type="auto"/>
                  <w:tcBorders>
                    <w:right w:val="nil"/>
                  </w:tcBorders>
                  <w:vAlign w:val="center"/>
                </w:tcPr>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58.03</w:t>
                  </w:r>
                </w:p>
              </w:tc>
              <w:tc>
                <w:tcPr>
                  <w:tcW w:w="0" w:type="auto"/>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由上表可知正常工况下，项目声环境保护目标噪声满足《声环境质量标准》（GB3096-2008）3类标准。</w:t>
            </w:r>
          </w:p>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本项目全厂运营期噪声主要为各种生产设备噪声，噪声值约在50~70dB（A），为降低噪声对周边环境的影响，项目拟采取以下治理措施：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①合理布局，重视总平面布置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托现有项目平面布置情况，不改变项目布局，高噪声设备集中布置车间厂房内或设备房内，远离了厂界；生产车间在生产作业时关闭门窗；在管道布置、设计及支吊架选择上注意防震、防冲击，以减少噪声对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②技术防治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1 \* ROMAN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I</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.在设备选型方面，在满足工艺生产的前提下，选用精度高、装配质量好、噪声低的设备；对于某些设备运行时由振动产生的噪声，应对设备基础进行减振，能降低噪声级10-15分贝。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2 \* ROMAN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II</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重视厂房的使用状况，尽量采用密闭形式，不设门窗或设隔声玻璃门窗，能降低噪声级10-15分贝；在厂房内可使用隔声材料进行降噪，并在其表面，主要有多孔材料如（玻璃棉、矿棉、丝棉、聚氨脂泡沫塑料、珍珠岩吸声砖），穿孔板吸声结构和薄板共振吸声结构，能降低噪声级10-20分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驶，最大限度减少流动噪声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④加强生产机械的日常维护并对老化和性能降低的旧设备进行及时更换，以此降低摩擦，减小噪声强度。</w:t>
            </w:r>
          </w:p>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（6）监测要求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固定污染源排污许可分类管理名录（2019年版）》（生态环境部第11号）可知，本项目实行排污许可简化管理，本评价根据《排污许可证申请与核发技术规范废弃资源加工工业》（HJ1034-2019），提出项目建成完成后全厂运营期噪声自行监测计划见表4-12。本项目噪声监测要求详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表4-12噪声监测要求一览表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6"/>
              <w:gridCol w:w="2116"/>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监测因子</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监测点位</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监测频次</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Lep（A）</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厂区边界外1m处</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每个季度一次</w:t>
                  </w:r>
                </w:p>
              </w:tc>
              <w:tc>
                <w:tcPr>
                  <w:tcW w:w="1250"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《工业企业厂界环境噪声排放标准》（GB12348-2008）中3类标准</w:t>
                  </w:r>
                </w:p>
              </w:tc>
            </w:tr>
          </w:tbl>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4、固体废物</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（1）固废类型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本项目固体废物主要为职工生活垃圾生产</w:t>
            </w:r>
            <w:r>
              <w:rPr>
                <w:rFonts w:hint="default" w:ascii="Times New Roman" w:hAnsi="Times New Roman" w:eastAsia="宋体" w:cs="Times New Roman"/>
                <w:color w:val="auto"/>
                <w:kern w:val="0"/>
                <w:sz w:val="24"/>
                <w:szCs w:val="24"/>
                <w:highlight w:val="none"/>
                <w:lang w:val="en-US" w:eastAsia="zh-CN" w:bidi="ar"/>
              </w:rPr>
              <w:t>车间散落粉尘</w:t>
            </w:r>
            <w:r>
              <w:rPr>
                <w:rFonts w:hint="eastAsia" w:ascii="Times New Roman" w:hAnsi="Times New Roman" w:eastAsia="宋体" w:cs="Times New Roman"/>
                <w:color w:val="auto"/>
                <w:kern w:val="0"/>
                <w:sz w:val="24"/>
                <w:szCs w:val="24"/>
                <w:highlight w:val="none"/>
                <w:lang w:val="en-US" w:eastAsia="zh-CN" w:bidi="ar"/>
              </w:rPr>
              <w:t>、沉淀污泥</w:t>
            </w:r>
            <w:r>
              <w:rPr>
                <w:rFonts w:hint="default" w:ascii="Times New Roman" w:hAnsi="Times New Roman" w:eastAsia="宋体" w:cs="Times New Roman"/>
                <w:color w:val="auto"/>
                <w:kern w:val="0"/>
                <w:sz w:val="24"/>
                <w:szCs w:val="24"/>
                <w:highlight w:val="none"/>
                <w:lang w:val="en-US" w:eastAsia="zh-CN" w:bidi="ar"/>
              </w:rPr>
              <w:t>、废润滑油与油桶。</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①生活垃圾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本项目员工5人，人均生活垃圾按0.5kg/人·d计，则人员生活垃圾产生量约为0.75t/a。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生活垃圾集中收集后交由环卫部门统一收集集中处理。</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②一般固废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生产车间散落粉尘：项目</w:t>
            </w:r>
            <w:r>
              <w:rPr>
                <w:rFonts w:hint="eastAsia" w:cs="Times New Roman"/>
                <w:color w:val="auto"/>
                <w:kern w:val="0"/>
                <w:sz w:val="24"/>
                <w:szCs w:val="24"/>
                <w:highlight w:val="none"/>
                <w:lang w:val="en-US" w:eastAsia="zh-CN" w:bidi="ar"/>
              </w:rPr>
              <w:t>生产车间密闭，在破碎过程中产生的颗粒物因生产车间密闭被</w:t>
            </w:r>
            <w:r>
              <w:rPr>
                <w:rFonts w:hint="eastAsia" w:ascii="Times New Roman" w:hAnsi="Times New Roman" w:eastAsia="宋体" w:cs="Times New Roman"/>
                <w:b w:val="0"/>
                <w:bCs/>
                <w:color w:val="auto"/>
                <w:kern w:val="0"/>
                <w:sz w:val="24"/>
                <w:szCs w:val="24"/>
                <w:highlight w:val="none"/>
                <w:lang w:val="en-US" w:eastAsia="zh-CN" w:bidi="ar"/>
              </w:rPr>
              <w:t>阻隔</w:t>
            </w:r>
            <w:r>
              <w:rPr>
                <w:rFonts w:hint="default" w:ascii="Times New Roman" w:hAnsi="Times New Roman" w:eastAsia="宋体" w:cs="Times New Roman"/>
                <w:color w:val="auto"/>
                <w:kern w:val="0"/>
                <w:sz w:val="24"/>
                <w:szCs w:val="24"/>
                <w:highlight w:val="none"/>
                <w:lang w:val="en-US" w:eastAsia="zh-CN" w:bidi="ar"/>
              </w:rPr>
              <w:t>，该过程中产生车间散落粉尘，根据废气产生计算的平衡，项目共有</w:t>
            </w:r>
            <w:r>
              <w:rPr>
                <w:rFonts w:hint="eastAsia" w:cs="Times New Roman"/>
                <w:color w:val="auto"/>
                <w:kern w:val="0"/>
                <w:sz w:val="24"/>
                <w:szCs w:val="24"/>
                <w:highlight w:val="none"/>
                <w:lang w:val="en-US" w:eastAsia="zh-CN" w:bidi="ar"/>
              </w:rPr>
              <w:t>8.4</w:t>
            </w:r>
            <w:r>
              <w:rPr>
                <w:rFonts w:hint="default" w:ascii="Times New Roman" w:hAnsi="Times New Roman" w:eastAsia="宋体" w:cs="Times New Roman"/>
                <w:color w:val="auto"/>
                <w:kern w:val="0"/>
                <w:sz w:val="24"/>
                <w:szCs w:val="24"/>
                <w:highlight w:val="none"/>
                <w:lang w:val="en-US" w:eastAsia="zh-CN" w:bidi="ar"/>
              </w:rPr>
              <w:t>t/a的颗粒物</w:t>
            </w:r>
            <w:r>
              <w:rPr>
                <w:rFonts w:hint="eastAsia" w:cs="Times New Roman"/>
                <w:color w:val="auto"/>
                <w:kern w:val="0"/>
                <w:sz w:val="24"/>
                <w:szCs w:val="24"/>
                <w:highlight w:val="none"/>
                <w:lang w:val="en-US" w:eastAsia="zh-CN" w:bidi="ar"/>
              </w:rPr>
              <w:t>因厂房密闭而</w:t>
            </w:r>
            <w:r>
              <w:rPr>
                <w:rFonts w:hint="default" w:ascii="Times New Roman" w:hAnsi="Times New Roman" w:eastAsia="宋体" w:cs="Times New Roman"/>
                <w:color w:val="auto"/>
                <w:kern w:val="0"/>
                <w:sz w:val="24"/>
                <w:szCs w:val="24"/>
                <w:highlight w:val="none"/>
                <w:lang w:val="en-US" w:eastAsia="zh-CN" w:bidi="ar"/>
              </w:rPr>
              <w:t>降尘</w:t>
            </w:r>
            <w:r>
              <w:rPr>
                <w:rFonts w:hint="eastAsia" w:cs="Times New Roman"/>
                <w:color w:val="auto"/>
                <w:kern w:val="0"/>
                <w:sz w:val="24"/>
                <w:szCs w:val="24"/>
                <w:highlight w:val="none"/>
                <w:lang w:val="en-US" w:eastAsia="zh-CN" w:bidi="ar"/>
              </w:rPr>
              <w:t>，形成</w:t>
            </w:r>
            <w:r>
              <w:rPr>
                <w:rFonts w:hint="default" w:ascii="Times New Roman" w:hAnsi="Times New Roman" w:eastAsia="宋体" w:cs="Times New Roman"/>
                <w:color w:val="auto"/>
                <w:kern w:val="0"/>
                <w:sz w:val="24"/>
                <w:szCs w:val="24"/>
                <w:highlight w:val="none"/>
                <w:lang w:val="en-US" w:eastAsia="zh-CN" w:bidi="ar"/>
              </w:rPr>
              <w:t>生产车间散落粉尘，理论上的生产车间散落粉尘的总量为</w:t>
            </w:r>
            <w:r>
              <w:rPr>
                <w:rFonts w:hint="eastAsia" w:cs="Times New Roman"/>
                <w:color w:val="auto"/>
                <w:kern w:val="0"/>
                <w:sz w:val="24"/>
                <w:szCs w:val="24"/>
                <w:highlight w:val="none"/>
                <w:lang w:val="en-US" w:eastAsia="zh-CN" w:bidi="ar"/>
              </w:rPr>
              <w:t>8.4</w:t>
            </w:r>
            <w:r>
              <w:rPr>
                <w:rFonts w:hint="default" w:ascii="Times New Roman" w:hAnsi="Times New Roman" w:eastAsia="宋体" w:cs="Times New Roman"/>
                <w:color w:val="auto"/>
                <w:kern w:val="0"/>
                <w:sz w:val="24"/>
                <w:szCs w:val="24"/>
                <w:highlight w:val="none"/>
                <w:lang w:val="en-US" w:eastAsia="zh-CN" w:bidi="ar"/>
              </w:rPr>
              <w:t>t/a，其主要成分为钢渣，经收集后回收利用。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（2）沉淀污泥：</w:t>
            </w:r>
            <w:r>
              <w:rPr>
                <w:rFonts w:hint="default" w:cs="Times New Roman"/>
                <w:color w:val="auto"/>
                <w:kern w:val="0"/>
                <w:sz w:val="24"/>
                <w:szCs w:val="24"/>
                <w:highlight w:val="none"/>
                <w:lang w:val="en-US" w:eastAsia="zh-CN" w:bidi="ar"/>
              </w:rPr>
              <w:t>项目采用水雾喷淋</w:t>
            </w:r>
            <w:r>
              <w:rPr>
                <w:rFonts w:hint="eastAsia" w:cs="Times New Roman"/>
                <w:color w:val="auto"/>
                <w:kern w:val="0"/>
                <w:sz w:val="24"/>
                <w:szCs w:val="24"/>
                <w:highlight w:val="none"/>
                <w:lang w:val="en-US" w:eastAsia="zh-CN" w:bidi="ar"/>
              </w:rPr>
              <w:t>和定期洒水</w:t>
            </w:r>
            <w:r>
              <w:rPr>
                <w:rFonts w:hint="default" w:cs="Times New Roman"/>
                <w:color w:val="auto"/>
                <w:kern w:val="0"/>
                <w:sz w:val="24"/>
                <w:szCs w:val="24"/>
                <w:highlight w:val="none"/>
                <w:lang w:val="en-US" w:eastAsia="zh-CN" w:bidi="ar"/>
              </w:rPr>
              <w:t>进行降尘处理，该过程中产生</w:t>
            </w:r>
            <w:r>
              <w:rPr>
                <w:rFonts w:hint="eastAsia" w:cs="Times New Roman"/>
                <w:color w:val="auto"/>
                <w:kern w:val="0"/>
                <w:sz w:val="24"/>
                <w:szCs w:val="24"/>
                <w:highlight w:val="none"/>
                <w:lang w:val="en-US" w:eastAsia="zh-CN" w:bidi="ar"/>
              </w:rPr>
              <w:t>的</w:t>
            </w:r>
            <w:r>
              <w:rPr>
                <w:rFonts w:hint="default" w:cs="Times New Roman"/>
                <w:color w:val="auto"/>
                <w:kern w:val="0"/>
                <w:sz w:val="24"/>
                <w:szCs w:val="24"/>
                <w:highlight w:val="none"/>
                <w:lang w:val="en-US" w:eastAsia="zh-CN" w:bidi="ar"/>
              </w:rPr>
              <w:t>散落粉尘</w:t>
            </w:r>
            <w:r>
              <w:rPr>
                <w:rFonts w:hint="eastAsia" w:cs="Times New Roman"/>
                <w:color w:val="auto"/>
                <w:kern w:val="0"/>
                <w:sz w:val="24"/>
                <w:szCs w:val="24"/>
                <w:highlight w:val="none"/>
                <w:lang w:val="en-US" w:eastAsia="zh-CN" w:bidi="ar"/>
              </w:rPr>
              <w:t>在下雨时下随雨水进入初期雨水池中，经沉淀形成沉淀污泥</w:t>
            </w:r>
            <w:r>
              <w:rPr>
                <w:rFonts w:hint="default" w:cs="Times New Roman"/>
                <w:color w:val="auto"/>
                <w:kern w:val="0"/>
                <w:sz w:val="24"/>
                <w:szCs w:val="24"/>
                <w:highlight w:val="none"/>
                <w:lang w:val="en-US" w:eastAsia="zh-CN" w:bidi="ar"/>
              </w:rPr>
              <w:t>，根据废气产生计算的平衡</w:t>
            </w:r>
            <w:r>
              <w:rPr>
                <w:rFonts w:hint="eastAsia" w:cs="Times New Roman"/>
                <w:color w:val="auto"/>
                <w:kern w:val="0"/>
                <w:sz w:val="24"/>
                <w:szCs w:val="24"/>
                <w:highlight w:val="none"/>
                <w:lang w:val="en-US" w:eastAsia="zh-CN" w:bidi="ar"/>
              </w:rPr>
              <w:t>得，沉淀污泥的总量约为52.15592t/a，</w:t>
            </w:r>
            <w:r>
              <w:rPr>
                <w:rFonts w:hint="default" w:ascii="Times New Roman" w:hAnsi="Times New Roman" w:eastAsia="宋体" w:cs="Times New Roman"/>
                <w:color w:val="auto"/>
                <w:kern w:val="0"/>
                <w:sz w:val="24"/>
                <w:szCs w:val="24"/>
                <w:highlight w:val="none"/>
                <w:lang w:val="en-US" w:eastAsia="zh-CN" w:bidi="ar"/>
              </w:rPr>
              <w:t>其主要成分为钢渣，经收集后回收利用。</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③危险废物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项目运营期危险废物主要为设备维护检修后产生的废润滑油、废润滑油桶等。厂内产生的危险废物约0.02t/a，经收集至危废暂存间后交由有资质单位处置。</w:t>
            </w:r>
          </w:p>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具体产排污情况、储存场所管理</w:t>
            </w:r>
            <w:r>
              <w:rPr>
                <w:rFonts w:hint="default" w:ascii="Times New Roman" w:hAnsi="Times New Roman" w:eastAsia="宋体" w:cs="Times New Roman"/>
                <w:b w:val="0"/>
                <w:bCs w:val="0"/>
                <w:color w:val="auto"/>
                <w:kern w:val="0"/>
                <w:sz w:val="24"/>
                <w:szCs w:val="24"/>
                <w:highlight w:val="none"/>
                <w:lang w:val="en-US" w:eastAsia="zh-CN" w:bidi="ar"/>
              </w:rPr>
              <w:t>要求详见下表4-13。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表4-13本项目固体废物产排污情况汇总表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31"/>
              <w:gridCol w:w="1654"/>
              <w:gridCol w:w="764"/>
              <w:gridCol w:w="572"/>
              <w:gridCol w:w="682"/>
              <w:gridCol w:w="1004"/>
              <w:gridCol w:w="587"/>
              <w:gridCol w:w="796"/>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产生环节</w:t>
                  </w:r>
                </w:p>
              </w:tc>
              <w:tc>
                <w:tcPr>
                  <w:tcW w:w="43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名称</w:t>
                  </w:r>
                </w:p>
              </w:tc>
              <w:tc>
                <w:tcPr>
                  <w:tcW w:w="97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属性</w:t>
                  </w:r>
                </w:p>
              </w:tc>
              <w:tc>
                <w:tcPr>
                  <w:tcW w:w="4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主要有毒有害物质名称</w:t>
                  </w:r>
                </w:p>
              </w:tc>
              <w:tc>
                <w:tcPr>
                  <w:tcW w:w="33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物理性状</w:t>
                  </w:r>
                </w:p>
              </w:tc>
              <w:tc>
                <w:tcPr>
                  <w:tcW w:w="4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环境危险特性</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年度生产量t/a</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贮存方式</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利用处置方式和去向</w:t>
                  </w:r>
                </w:p>
              </w:tc>
              <w:tc>
                <w:tcPr>
                  <w:tcW w:w="59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员工生活</w:t>
                  </w:r>
                </w:p>
              </w:tc>
              <w:tc>
                <w:tcPr>
                  <w:tcW w:w="43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员工生活垃圾</w:t>
                  </w:r>
                </w:p>
              </w:tc>
              <w:tc>
                <w:tcPr>
                  <w:tcW w:w="97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生活垃圾</w:t>
                  </w:r>
                </w:p>
              </w:tc>
              <w:tc>
                <w:tcPr>
                  <w:tcW w:w="4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33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固体</w:t>
                  </w:r>
                </w:p>
              </w:tc>
              <w:tc>
                <w:tcPr>
                  <w:tcW w:w="4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0.75</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垃圾桶</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环卫部门统一清运至垃圾填埋场</w:t>
                  </w:r>
                </w:p>
              </w:tc>
              <w:tc>
                <w:tcPr>
                  <w:tcW w:w="59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39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破碎环节</w:t>
                  </w:r>
                </w:p>
              </w:tc>
              <w:tc>
                <w:tcPr>
                  <w:tcW w:w="43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生产车间散落粉尘</w:t>
                  </w:r>
                </w:p>
              </w:tc>
              <w:tc>
                <w:tcPr>
                  <w:tcW w:w="977" w:type="pct"/>
                  <w:noWrap w:val="0"/>
                  <w:vAlign w:val="center"/>
                </w:tcPr>
                <w:p>
                  <w:pPr>
                    <w:pStyle w:val="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一般工业固废</w:t>
                  </w:r>
                </w:p>
              </w:tc>
              <w:tc>
                <w:tcPr>
                  <w:tcW w:w="4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33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固体</w:t>
                  </w:r>
                </w:p>
              </w:tc>
              <w:tc>
                <w:tcPr>
                  <w:tcW w:w="4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8.4</w:t>
                  </w:r>
                </w:p>
              </w:tc>
              <w:tc>
                <w:tcPr>
                  <w:tcW w:w="34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库存</w:t>
                  </w:r>
                </w:p>
              </w:tc>
              <w:tc>
                <w:tcPr>
                  <w:tcW w:w="47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回收利用</w:t>
                  </w:r>
                </w:p>
              </w:tc>
              <w:tc>
                <w:tcPr>
                  <w:tcW w:w="59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39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43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沉淀污泥</w:t>
                  </w:r>
                </w:p>
              </w:tc>
              <w:tc>
                <w:tcPr>
                  <w:tcW w:w="977" w:type="pct"/>
                  <w:noWrap w:val="0"/>
                  <w:vAlign w:val="center"/>
                </w:tcPr>
                <w:p>
                  <w:pPr>
                    <w:pStyle w:val="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一般工业固废</w:t>
                  </w:r>
                </w:p>
              </w:tc>
              <w:tc>
                <w:tcPr>
                  <w:tcW w:w="4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33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固体</w:t>
                  </w:r>
                </w:p>
              </w:tc>
              <w:tc>
                <w:tcPr>
                  <w:tcW w:w="4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52.15592</w:t>
                  </w:r>
                </w:p>
              </w:tc>
              <w:tc>
                <w:tcPr>
                  <w:tcW w:w="34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库存</w:t>
                  </w:r>
                </w:p>
              </w:tc>
              <w:tc>
                <w:tcPr>
                  <w:tcW w:w="47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回收利用</w:t>
                  </w:r>
                </w:p>
              </w:tc>
              <w:tc>
                <w:tcPr>
                  <w:tcW w:w="59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52.15592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39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设备维修</w:t>
                  </w:r>
                </w:p>
              </w:tc>
              <w:tc>
                <w:tcPr>
                  <w:tcW w:w="432"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u w:val="none"/>
                      <w:lang w:val="en-US" w:eastAsia="zh-CN"/>
                    </w:rPr>
                    <w:t>废润滑油与油桶</w:t>
                  </w:r>
                </w:p>
              </w:tc>
              <w:tc>
                <w:tcPr>
                  <w:tcW w:w="977" w:type="pct"/>
                  <w:noWrap w:val="0"/>
                  <w:vAlign w:val="center"/>
                </w:tcPr>
                <w:p>
                  <w:pPr>
                    <w:pStyle w:val="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危险废物危废代码</w:t>
                  </w:r>
                  <w:r>
                    <w:rPr>
                      <w:rFonts w:hint="default" w:ascii="Times New Roman" w:hAnsi="Times New Roman" w:eastAsia="宋体" w:cs="Times New Roman"/>
                      <w:color w:val="auto"/>
                      <w:sz w:val="21"/>
                      <w:szCs w:val="21"/>
                      <w:highlight w:val="none"/>
                      <w:lang w:val="en-US" w:eastAsia="zh-CN"/>
                    </w:rPr>
                    <w:t xml:space="preserve">HW08 </w:t>
                  </w:r>
                  <w:r>
                    <w:rPr>
                      <w:rFonts w:hint="default" w:ascii="Times New Roman" w:hAnsi="Times New Roman" w:eastAsia="宋体" w:cs="Times New Roman"/>
                      <w:color w:val="auto"/>
                      <w:sz w:val="21"/>
                      <w:szCs w:val="21"/>
                      <w:highlight w:val="none"/>
                    </w:rPr>
                    <w:t>900-214-08</w:t>
                  </w:r>
                </w:p>
              </w:tc>
              <w:tc>
                <w:tcPr>
                  <w:tcW w:w="45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烷烃、多环芳烃、烯烃、苯系物、酚类</w:t>
                  </w:r>
                </w:p>
              </w:tc>
              <w:tc>
                <w:tcPr>
                  <w:tcW w:w="33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液体</w:t>
                  </w:r>
                </w:p>
              </w:tc>
              <w:tc>
                <w:tcPr>
                  <w:tcW w:w="4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毒性、易燃</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0.02</w:t>
                  </w:r>
                </w:p>
              </w:tc>
              <w:tc>
                <w:tcPr>
                  <w:tcW w:w="347"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桶装/库存</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交由有资质单位处置</w:t>
                  </w:r>
                </w:p>
              </w:tc>
              <w:tc>
                <w:tcPr>
                  <w:tcW w:w="59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0.02</w:t>
                  </w:r>
                </w:p>
              </w:tc>
            </w:tr>
          </w:tbl>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（2）固体废物环境影响分析和保护措施</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本项目一般固体废物处置率100%，对周围环境无直接影响。根据《湖南省实施＜中华人民共和国固体废物污染环境防治法＞办法》，产生工业固体废物的单位应当对其产生的工业固体废物进行资源化利用；对暂时不利用或者不能利用的，应当按照国家相关标准建设贮存设施、场所，分类存放或者及时进行无害化处置。</w:t>
            </w:r>
          </w:p>
          <w:p>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rPr>
              <w:t>固体废物处理处置方案项目固体废物分类收集、分类存放、分类处置，按照资源化、无害化原则处理处置。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一般工业固体废弃物为水雾喷淋后降落后收集的废钢渣，放置于一般固废暂存间存放，定期出售处理。本项目拟在生产车间西南侧设置1个10m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的一般固废暂存间，满足消防要求。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危险固废包括生产设备产生的废润滑油及油桶，危废委托有资质单位进行处置。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办公场所设置垃圾篓，厂区设置生活垃圾收集点，采用密闭式垃圾桶，生产垃圾统一收集后委托环卫部门清运处理，做到日产日清。</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1）危险废物</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本项目废润滑油与油桶属于危险废物，应按照相关要求收集贮存。本项目拟在生产车间西南侧设置一个约10m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的危废暂存间，暂存废润滑油与油桶，定期委托有资质单位清运处理。危废暂存间将严格按照《危险废物储存污染控制标准》的要求做好地面防渗处理。危废暂存间做好防风、防雨、防晒、防渗漏</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四防</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措施，防止二次污染。地面采用坚固、防渗、耐腐蚀的材料建造，库内废物定期由有资质单位的专用运输车辆运输。</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I.危废贮存设施的运行及管理：</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①每个危废堆间应留有搬运通道，不得将不相容的废物混合或合并存放。</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②须做好危险废物情况的记录，记录上须注明危险废物的名称、来源、数量、特性、入库日期、存放库位、废物出库日期及接收单位名称。危险废物的记录和货单在危险废物回取后应继续保留三年。</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③必须定期对所贮存的危险废物贮存设施进行检查，发现破损，应及时采取措施清理更换。</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II.危险废物贮存设施的安全防护与监测：</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①危险废物贮存设施应配备通讯设备、照明设施、安全防护服装及工具，并设有应急防护设施。</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②危险废物贮存设施内清理出来的泄漏物，一律按危险废物处理。</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③按国家污染源管理要求对危险废物贮存设施进行监测。</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2）生活垃圾</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w:t>
            </w:r>
            <w:r>
              <w:rPr>
                <w:rFonts w:hint="default" w:ascii="Times New Roman" w:hAnsi="Times New Roman" w:eastAsia="宋体" w:cs="Times New Roman"/>
                <w:color w:val="auto"/>
                <w:sz w:val="24"/>
                <w:szCs w:val="24"/>
                <w:highlight w:val="none"/>
                <w:lang w:val="en-US" w:eastAsia="zh-CN"/>
              </w:rPr>
              <w:t>期生活垃圾由垃圾桶分类收集后，由环卫部门统一清运处理，生活垃圾做到日产日清。</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综上所述，本项目产生的固体废物经采取相关的措施处理处置后，可以得到及时、妥善的处理和处置，对周围环境的影响不大。</w:t>
            </w:r>
          </w:p>
          <w:p>
            <w:pPr>
              <w:bidi w:val="0"/>
              <w:spacing w:line="36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5、地下水和土壤环境影响分析和保护措施</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本项目营运期可能造成地下水、土壤污染的途径主要为污水管网管理不</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善，有跑、冒、滴、漏现象而污染地下水、土壤；危险废物的渗漏污染地下水、土壤。根据工程所处区域的地质情况，项目可能对地下水、土壤造成污染的途径主要有：</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①防水措施不完善，而导致大气降水淋溶水渗入地下造成对地下水的污染；</w:t>
            </w:r>
          </w:p>
          <w:p>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②危险废物因防渗措施不足，而造成渗漏污染；为防止污染地下水、土壤，建设单位采取了以下措施：厂区单独设置危险废物暂存库，设计地面防渗需满足防渗系数1×10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cm/s，应按照《危险废物贮存污染控制标准》（GB 18597-2023）的相关要求，必须定期对贮存固体废物的包装容器及贮存设施进行检查，发现破损，应及时采取措施清理更换。按照工程设计要求，严格施工管理，确保工程施工质量。</w:t>
            </w:r>
            <w:r>
              <w:rPr>
                <w:rFonts w:hint="default" w:ascii="Times New Roman" w:hAnsi="Times New Roman" w:eastAsia="宋体" w:cs="Times New Roman"/>
                <w:color w:val="auto"/>
                <w:kern w:val="0"/>
                <w:sz w:val="24"/>
                <w:szCs w:val="24"/>
                <w:highlight w:val="none"/>
                <w:lang w:val="en-US" w:eastAsia="zh-CN" w:bidi="ar"/>
              </w:rPr>
              <w:t>项目分区保护措施如下表：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表4-14项目防渗分区保护措施一览表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62"/>
              <w:gridCol w:w="943"/>
              <w:gridCol w:w="1996"/>
              <w:gridCol w:w="3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序号</w:t>
                  </w:r>
                </w:p>
              </w:tc>
              <w:tc>
                <w:tcPr>
                  <w:tcW w:w="1066" w:type="pct"/>
                  <w:gridSpan w:val="2"/>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区域</w:t>
                  </w:r>
                </w:p>
              </w:tc>
              <w:tc>
                <w:tcPr>
                  <w:tcW w:w="117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潜在污染源</w:t>
                  </w:r>
                </w:p>
              </w:tc>
              <w:tc>
                <w:tcPr>
                  <w:tcW w:w="2334"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要求措施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c>
                <w:tcPr>
                  <w:tcW w:w="50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重点防渗区</w:t>
                  </w:r>
                </w:p>
              </w:tc>
              <w:tc>
                <w:tcPr>
                  <w:tcW w:w="557"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危废暂存间</w:t>
                  </w:r>
                </w:p>
              </w:tc>
              <w:tc>
                <w:tcPr>
                  <w:tcW w:w="117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危险废物</w:t>
                  </w:r>
                </w:p>
              </w:tc>
              <w:tc>
                <w:tcPr>
                  <w:tcW w:w="2334"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做好防腐、防渗措施，防渗层渗透系数≤10</w:t>
                  </w:r>
                  <w:r>
                    <w:rPr>
                      <w:rFonts w:hint="default" w:ascii="Times New Roman" w:hAnsi="Times New Roman" w:eastAsia="宋体" w:cs="Times New Roman"/>
                      <w:color w:val="auto"/>
                      <w:highlight w:val="none"/>
                      <w:u w:val="none"/>
                      <w:vertAlign w:val="superscript"/>
                      <w:lang w:val="en-US" w:eastAsia="zh-CN"/>
                    </w:rPr>
                    <w:t>-10</w:t>
                  </w:r>
                  <w:r>
                    <w:rPr>
                      <w:rFonts w:hint="default" w:ascii="Times New Roman" w:hAnsi="Times New Roman" w:eastAsia="宋体" w:cs="Times New Roman"/>
                      <w:color w:val="auto"/>
                      <w:highlight w:val="none"/>
                      <w:u w:val="none"/>
                      <w:lang w:val="en-US" w:eastAsia="zh-CN"/>
                    </w:rPr>
                    <w:t>cm/秒，储存区四周设置10cm高围堰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w:t>
                  </w:r>
                </w:p>
              </w:tc>
              <w:tc>
                <w:tcPr>
                  <w:tcW w:w="50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一般防渗区</w:t>
                  </w:r>
                </w:p>
              </w:tc>
              <w:tc>
                <w:tcPr>
                  <w:tcW w:w="557"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生产车间</w:t>
                  </w:r>
                </w:p>
              </w:tc>
              <w:tc>
                <w:tcPr>
                  <w:tcW w:w="1179"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一般固废</w:t>
                  </w:r>
                </w:p>
              </w:tc>
              <w:tc>
                <w:tcPr>
                  <w:tcW w:w="2334" w:type="pct"/>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按照《一般工业固体废物贮存及填埋污染控制标准》（GB18599-2020）的要求做好防渗措施</w:t>
                  </w:r>
                </w:p>
              </w:tc>
            </w:tr>
          </w:tbl>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在采取以上措施后，可有效防止污染物进入地下水体、土壤，从而减轻乃至杜绝对地下水、土壤环境的影响。</w:t>
            </w:r>
          </w:p>
          <w:p>
            <w:pPr>
              <w:spacing w:line="360" w:lineRule="auto"/>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6、生态环境影响分析和保护措施</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根据《建设项目环境影响报告表编制技术指南（污染影响类）》，</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产业园区外建设项目新增用地且用地范围内含有生态环境保护目标的，应明确保护措施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。本项目位于湖南省衡阳市衡阳县樟树乡九渡村肖家组，租赁已建厂房用于生产，未新增用地且用地范围内不含有生态环境保护目标，项目三废经治理后可以达标排放，不会对区域生态环境产生明显影响。</w:t>
            </w:r>
          </w:p>
          <w:p>
            <w:pPr>
              <w:spacing w:line="36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7、环境风险分析</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（1）环境风险识别</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本项目为生物质颗粒制造项目，根据《建设项目环境风险评价技术导则》（HJ169-2018）附录B，本项目涉及的危险物质主要为润滑油，平时不在厂内暂存，仅设备需要检修时暂存于生产车间。</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根据《建设项目环境风险评价技术导则》（HJ169-2018）附录C中危险物质数量与临界量比值（Q），计算所涉及的每种危险物质在厂界内的最大存在总量与其在附录B中对应临界量的比值Q。</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①当只涉及一种危险物质时，计算该物质的总量与其临界量比值，即为Q；</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②当存在多种危险物质时，则按下式计算。</w:t>
            </w:r>
          </w:p>
          <w:p>
            <w:pPr>
              <w:spacing w:line="360" w:lineRule="auto"/>
              <w:ind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为每种危险物质的最大存在总量，t；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为各种危险物质的临界量，t。</w:t>
            </w:r>
          </w:p>
          <w:p>
            <w:p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当Q＜1时，该项目环境风险潜势为Ⅰ。</w:t>
            </w:r>
          </w:p>
          <w:p>
            <w:p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当Q≥1时，将Q值划分为：（1）1≤Q＜10；（2）10≤Q＜100；（3）Q≥100。</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本项目危险物质数量与临界量比值（Q）计算结果如表4-</w:t>
            </w:r>
            <w:r>
              <w:rPr>
                <w:rFonts w:hint="default" w:ascii="Times New Roman" w:hAnsi="Times New Roman" w:eastAsia="宋体" w:cs="Times New Roman"/>
                <w:color w:val="auto"/>
                <w:sz w:val="24"/>
                <w:szCs w:val="24"/>
                <w:highlight w:val="none"/>
                <w:lang w:eastAsia="zh-CN"/>
              </w:rPr>
              <w:fldChar w:fldCharType="begin"/>
            </w:r>
            <w:r>
              <w:rPr>
                <w:rFonts w:hint="default" w:ascii="Times New Roman" w:hAnsi="Times New Roman" w:eastAsia="宋体" w:cs="Times New Roman"/>
                <w:color w:val="auto"/>
                <w:sz w:val="24"/>
                <w:szCs w:val="24"/>
                <w:highlight w:val="none"/>
                <w:lang w:eastAsia="zh-CN"/>
              </w:rPr>
              <w:instrText xml:space="preserve"> SEQ 4- </w:instrText>
            </w:r>
            <w:r>
              <w:rPr>
                <w:rFonts w:hint="default" w:ascii="Times New Roman" w:hAnsi="Times New Roman" w:eastAsia="宋体" w:cs="Times New Roman"/>
                <w:color w:val="auto"/>
                <w:sz w:val="24"/>
                <w:szCs w:val="24"/>
                <w:highlight w:val="none"/>
                <w:lang w:eastAsia="zh-CN"/>
              </w:rPr>
              <w:fldChar w:fldCharType="separate"/>
            </w:r>
            <w:r>
              <w:rPr>
                <w:rFonts w:hint="default" w:ascii="Times New Roman" w:hAnsi="Times New Roman" w:eastAsia="宋体" w:cs="Times New Roman"/>
                <w:color w:val="auto"/>
                <w:sz w:val="24"/>
                <w:szCs w:val="24"/>
                <w:highlight w:val="none"/>
                <w:lang w:eastAsia="zh-CN"/>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表4-15危险物质数量与临界量比值（Q）计算表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916"/>
              <w:gridCol w:w="1411"/>
              <w:gridCol w:w="1411"/>
              <w:gridCol w:w="141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序号</w:t>
                  </w:r>
                </w:p>
              </w:tc>
              <w:tc>
                <w:tcPr>
                  <w:tcW w:w="177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危险物质</w:t>
                  </w:r>
                </w:p>
              </w:tc>
              <w:tc>
                <w:tcPr>
                  <w:tcW w:w="130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储存位置</w:t>
                  </w:r>
                </w:p>
              </w:tc>
              <w:tc>
                <w:tcPr>
                  <w:tcW w:w="130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最大存在总量q（t）</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临界量Q（t）</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w:t>
                  </w:r>
                </w:p>
              </w:tc>
              <w:tc>
                <w:tcPr>
                  <w:tcW w:w="177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废润滑油</w:t>
                  </w:r>
                </w:p>
              </w:tc>
              <w:tc>
                <w:tcPr>
                  <w:tcW w:w="130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生产车间</w:t>
                  </w:r>
                </w:p>
              </w:tc>
              <w:tc>
                <w:tcPr>
                  <w:tcW w:w="130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0.02</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2500</w:t>
                  </w:r>
                </w:p>
              </w:tc>
              <w:tc>
                <w:tcPr>
                  <w:tcW w:w="130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5" w:type="dxa"/>
                  <w:gridSpan w:val="5"/>
                  <w:noWrap w:val="0"/>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合计</w:t>
                  </w:r>
                </w:p>
              </w:tc>
              <w:tc>
                <w:tcPr>
                  <w:tcW w:w="1308" w:type="dxa"/>
                  <w:noWrap w:val="0"/>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0.000008</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由上表可知，本项目危险物质数量与临界量比值Q为0.000008＜1，因此，本项目环境风险潜势为Ⅰ。根据《建设项目环境风险评价技术导则》（HJ169-2018）评价工作等级划分要求，本项目环境风险开展简单分析。</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（2）事故类型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本项目出现的环境风险问题，主要表现在以下两个方面：</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①润滑油泄漏突发环境风险事件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因人为存放不善、管理不规范、容器破裂等造成润滑油的泄漏，会对周围大气环境、水体环境和土壤环境造成影响。润滑油泄漏会挥发产生油气影响区域空气质量，若发生泄漏且未及时堵截，则泄漏物料可能漫流出厂界，污染周边土壤，通过雨水沟进入雨水管网或直接漫流进</w:t>
            </w:r>
            <w:r>
              <w:rPr>
                <w:rFonts w:hint="eastAsia" w:cs="Times New Roman"/>
                <w:color w:val="auto"/>
                <w:kern w:val="0"/>
                <w:sz w:val="24"/>
                <w:szCs w:val="24"/>
                <w:highlight w:val="none"/>
                <w:lang w:val="en-US" w:eastAsia="zh-CN" w:bidi="ar"/>
              </w:rPr>
              <w:t>附近农田中</w:t>
            </w:r>
            <w:r>
              <w:rPr>
                <w:rFonts w:hint="default" w:ascii="Times New Roman" w:hAnsi="Times New Roman" w:eastAsia="宋体" w:cs="Times New Roman"/>
                <w:color w:val="auto"/>
                <w:kern w:val="0"/>
                <w:sz w:val="24"/>
                <w:szCs w:val="24"/>
                <w:highlight w:val="none"/>
                <w:lang w:val="en-US" w:eastAsia="zh-CN" w:bidi="ar"/>
              </w:rPr>
              <w:t>。本项目润滑油平时不在厂内暂存，仅设备需要检修时暂存于生产车间，暂存量很少，即使发生泄漏，泄漏量也较小，泄漏润滑油挥发产生的油气很少，经大气扩散后对大气环境影响较小。润滑油泄漏量较小，一般不会流出生产车间，且生产车间地面进行了硬化，不会对周边水体环境和土壤环境产生明显影响。</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②火灾突发环境风险事件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w:t>
            </w:r>
            <w:r>
              <w:rPr>
                <w:rFonts w:hint="eastAsia" w:cs="Times New Roman"/>
                <w:color w:val="auto"/>
                <w:kern w:val="0"/>
                <w:sz w:val="24"/>
                <w:szCs w:val="24"/>
                <w:highlight w:val="none"/>
                <w:lang w:val="en-US" w:eastAsia="zh-CN" w:bidi="ar"/>
              </w:rPr>
              <w:t>维修使用的润滑油</w:t>
            </w:r>
            <w:r>
              <w:rPr>
                <w:rFonts w:hint="default" w:ascii="Times New Roman" w:hAnsi="Times New Roman" w:eastAsia="宋体" w:cs="Times New Roman"/>
                <w:color w:val="auto"/>
                <w:kern w:val="0"/>
                <w:sz w:val="24"/>
                <w:szCs w:val="24"/>
                <w:highlight w:val="none"/>
                <w:lang w:val="en-US" w:eastAsia="zh-CN" w:bidi="ar"/>
              </w:rPr>
              <w:t>均为可燃物质，若遇到明火、高热等可能有引起燃烧的危险，燃烧时产生的烟气、扑灭火灾产生的消防废水，若不能得到及时有效的处理，可能会对大气环境、水环境和人群健康产生影响。此外，当出现火灾事故后，消防灭火过程所产生的消防废水可能会进入雨水管道排入地表水，对地表水造成污染。</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（3）环境风险防范措施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为了防范可能出现的环境风险事故，建设单位应采取以下风险防范措施：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①严格执行国家及有关部门颁布的标准、规范和规定。严格执行生产必须安全、认真贯彻执行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安全第一，预防为主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②车间合理布置，各生产和辅助装置按功能分别布置，并充分考虑安全卫生距离、消防和疏散通道等问题，有利于安全生产；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③采用先进、成熟、可靠的工艺和设备以及行之有效的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三废</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治理及综合利用措施，以减少事故的发生；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④车间配备必要的事故急救设备和器材，如灭火器、防毒面具、急救箱等；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⑤本工程的所有操作人员均应经过培训和严格训练并取得合格证后，才能允许其上岗操作。操作人员不仅应熟悉掌握正常生产状况下本岗位和相关岗位的操作程序和要求，而且应熟练掌握非正常生产状况下的操作程序和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⑥设备、管道设计应留有较大的安全系统，关键设备均考虑备用，并对安全目的关键设备设保安电源，并局部设置机械通风设施，加强通风排毒；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⑦制定厂区内的应急计划、定期进行安全环保宣传教育以及紧急事故模拟演习，配备必要和适当的通讯工具和应急设施。</w:t>
            </w:r>
          </w:p>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（4）事故应急预案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建设项目应急预案主要内容见表4-16。</w:t>
            </w:r>
          </w:p>
          <w:p>
            <w:pPr>
              <w:pStyle w:val="28"/>
              <w:numPr>
                <w:ilvl w:val="0"/>
                <w:numId w:val="0"/>
              </w:numPr>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表4-16 事故应急预案</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531"/>
              <w:gridCol w:w="5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序号</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项目</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应急计划区</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危险目标：沉淀池、危险固废暂存间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应急组织机构、人员</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预案分级响应条件</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4</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应急救援保障</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5</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报警、通讯联络方式</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规定应急状态下的报警通信方式、通知方式和交通保障、管制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6</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应急环境监测、抢险、</w:t>
                  </w:r>
                </w:p>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救援及控制措施</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7</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应急检测、防护措施、清除泄漏措施和器材</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8</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人员紧急撤离、疏散，应急剂量控制、撤离组织计划</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9</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事故应急救援关闭程序与恢复措施</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规定应急状态终止事故现场善后处理程序，恢复措施邻近区域解除事故警戒及善后恢复措施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10</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应急培训计划</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11</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公众教育和信息</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对工厂邻近地区开展公众教育、培训和发布有关信息</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经分析，本项目的事故发生频率为极小概率事件，最大可信事故为危险废物泄漏引发的污染物排放。因此危废间必须经常进行维修和检查，购置应急处置物资，确保设备运行过程中能够正常运行，杜绝事故发生。</w:t>
            </w:r>
          </w:p>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（5）环境风险结论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周边主要为工业厂房，东北侧存在散户居民点，建设单位在加强职工的安全生产教育，增强风险意识，做好风险防范措施的情况下，可最大限度地降低环境风险。一旦发生突发事件，也能最大限度地减少环境污染危害和财产的损失。综上所述，本项目运行过程中存在泄漏、火灾爆炸风险，必须严格执行国家的技术规范和操作规程要求，落实各项安全规章制度，加强监控和管理，避免泄漏、火灾爆炸事故的发生。通过采取相应的风险控制措施和应急响应，本项目环境风险是可控的。</w:t>
            </w:r>
          </w:p>
        </w:tc>
      </w:tr>
    </w:tbl>
    <w:p>
      <w:pPr>
        <w:pStyle w:val="5"/>
        <w:outlineLvl w:val="9"/>
        <w:rPr>
          <w:rFonts w:hint="default" w:ascii="Times New Roman" w:hAnsi="Times New Roman" w:eastAsia="宋体" w:cs="Times New Roman"/>
          <w:color w:val="auto"/>
          <w:highlight w:val="none"/>
        </w:rPr>
        <w:sectPr>
          <w:pgSz w:w="11907" w:h="16840"/>
          <w:pgMar w:top="1701" w:right="1531" w:bottom="2127" w:left="1531" w:header="851" w:footer="851" w:gutter="0"/>
          <w:pgNumType w:fmt="decimal"/>
          <w:cols w:space="720" w:num="1"/>
          <w:docGrid w:linePitch="312" w:charSpace="0"/>
        </w:sectPr>
      </w:pPr>
    </w:p>
    <w:p>
      <w:pPr>
        <w:pStyle w:val="17"/>
        <w:jc w:val="both"/>
        <w:outlineLvl w:val="0"/>
        <w:rPr>
          <w:rFonts w:hint="default" w:ascii="Times New Roman" w:hAnsi="Times New Roman" w:eastAsia="宋体" w:cs="Times New Roman"/>
          <w:snapToGrid w:val="0"/>
          <w:color w:val="auto"/>
          <w:sz w:val="30"/>
          <w:szCs w:val="30"/>
          <w:highlight w:val="none"/>
        </w:rPr>
      </w:pPr>
      <w:bookmarkStart w:id="171" w:name="_Toc21094"/>
      <w:bookmarkStart w:id="172" w:name="_Toc18621"/>
      <w:bookmarkStart w:id="173" w:name="_Toc19430"/>
      <w:r>
        <w:rPr>
          <w:rFonts w:hint="default" w:ascii="Times New Roman" w:hAnsi="Times New Roman" w:eastAsia="宋体" w:cs="Times New Roman"/>
          <w:snapToGrid w:val="0"/>
          <w:color w:val="auto"/>
          <w:sz w:val="30"/>
          <w:szCs w:val="30"/>
          <w:highlight w:val="none"/>
        </w:rPr>
        <w:t>五、</w:t>
      </w:r>
      <w:bookmarkStart w:id="174" w:name="_Hlk54167917"/>
      <w:r>
        <w:rPr>
          <w:rFonts w:hint="default" w:ascii="Times New Roman" w:hAnsi="Times New Roman" w:eastAsia="宋体" w:cs="Times New Roman"/>
          <w:snapToGrid w:val="0"/>
          <w:color w:val="auto"/>
          <w:sz w:val="30"/>
          <w:szCs w:val="30"/>
          <w:highlight w:val="none"/>
        </w:rPr>
        <w:t>环境保护措施监督检查清单</w:t>
      </w:r>
      <w:bookmarkEnd w:id="171"/>
      <w:bookmarkEnd w:id="172"/>
      <w:bookmarkEnd w:id="173"/>
      <w:bookmarkEnd w:id="174"/>
    </w:p>
    <w:tbl>
      <w:tblPr>
        <w:tblStyle w:val="19"/>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内容</w:t>
            </w:r>
          </w:p>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要素</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排放口（编号、</w:t>
            </w:r>
          </w:p>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名称）/污染源</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污染物项目</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环境保护措施</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大气环境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原料装卸料</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三面封闭带顶棚的堆场，洒水抑尘</w:t>
            </w:r>
          </w:p>
        </w:tc>
        <w:tc>
          <w:tcPr>
            <w:tcW w:w="1757"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《大气污染物综合排放标准》（GB16297-1996）无组织排放浓度限值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pStyle w:val="8"/>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堆场粉尘</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堆场地面进行硬化处理，堆场为</w:t>
            </w:r>
            <w:r>
              <w:rPr>
                <w:rFonts w:hint="default" w:ascii="Times New Roman" w:hAnsi="Times New Roman" w:eastAsia="宋体" w:cs="Times New Roman"/>
                <w:color w:val="auto"/>
                <w:sz w:val="21"/>
                <w:szCs w:val="21"/>
                <w:highlight w:val="none"/>
                <w:u w:val="none"/>
                <w:lang w:val="en-US" w:eastAsia="zh-CN"/>
              </w:rPr>
              <w:t>三面封闭带顶棚的堆场</w:t>
            </w:r>
            <w:r>
              <w:rPr>
                <w:rFonts w:hint="default" w:ascii="Times New Roman" w:hAnsi="Times New Roman" w:eastAsia="宋体" w:cs="Times New Roman"/>
                <w:color w:val="auto"/>
                <w:sz w:val="21"/>
                <w:szCs w:val="21"/>
                <w:highlight w:val="none"/>
                <w:lang w:val="en-US" w:eastAsia="zh-CN"/>
              </w:rPr>
              <w:t>，并定期对堆场进行洒水抑尘</w:t>
            </w: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pStyle w:val="8"/>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投料和输送粉尘</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水雾喷淋降尘措施</w:t>
            </w:r>
            <w:r>
              <w:rPr>
                <w:rFonts w:hint="default" w:ascii="Times New Roman" w:hAnsi="Times New Roman" w:eastAsia="宋体" w:cs="Times New Roman"/>
                <w:color w:val="auto"/>
                <w:sz w:val="21"/>
                <w:szCs w:val="21"/>
                <w:highlight w:val="none"/>
                <w:u w:val="none"/>
                <w:lang w:val="en-US" w:eastAsia="zh-CN"/>
              </w:rPr>
              <w:t>；全封闭的生产加工区</w:t>
            </w: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破碎、筛分粉尘</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采用水雾喷淋抑尘；全封闭的生产加工区；皮带运输</w:t>
            </w: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pStyle w:val="8"/>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bidi="ar-SA"/>
              </w:rPr>
              <w:t>成品装车</w:t>
            </w:r>
            <w:r>
              <w:rPr>
                <w:rFonts w:hint="default" w:ascii="Times New Roman" w:hAnsi="Times New Roman" w:eastAsia="宋体" w:cs="Times New Roman"/>
                <w:color w:val="auto"/>
                <w:sz w:val="21"/>
                <w:szCs w:val="21"/>
                <w:highlight w:val="none"/>
                <w:u w:val="none"/>
                <w:lang w:val="en-US" w:eastAsia="zh-CN"/>
              </w:rPr>
              <w:t>粉尘</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三面封闭带顶棚的堆场，洒水抑尘</w:t>
            </w: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pStyle w:val="8"/>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道路扬尘</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车辆加盖篷布、洒水抑尘、清扫道路</w:t>
            </w: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地表水环境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生活污水</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COD、BOD5、SS、NH3-N、p</w:t>
            </w:r>
            <w:r>
              <w:rPr>
                <w:rFonts w:hint="default" w:ascii="Times New Roman" w:hAnsi="Times New Roman" w:eastAsia="宋体" w:cs="Times New Roman"/>
                <w:color w:val="auto"/>
                <w:sz w:val="21"/>
                <w:szCs w:val="21"/>
                <w:highlight w:val="none"/>
                <w:lang w:val="en-US" w:eastAsia="zh-CN"/>
              </w:rPr>
              <w:t>H、动植物油</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化粪池预处理后进入市政污水</w:t>
            </w:r>
          </w:p>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管网，经西渡高新技术产业园区工业污水处理厂处理后排入蒸水最终排入湘江</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《污水综合排放标准》（GB8978-1996）表4中的三级标准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初期雨水</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SS</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初期雨水收集池</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排入衡阳市高新技术产业园区雨水管网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声环境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生产设备</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噪声</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厂房隔声、设备减震、距离衰减、设备维修保养</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电磁辐射</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固体废物</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生活垃圾集中收集后交由环卫部门统一收集集中处理；</w:t>
            </w:r>
          </w:p>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生产车间散落粉尘</w:t>
            </w:r>
            <w:r>
              <w:rPr>
                <w:rFonts w:hint="eastAsia" w:cs="Times New Roman"/>
                <w:color w:val="auto"/>
                <w:sz w:val="21"/>
                <w:szCs w:val="21"/>
                <w:highlight w:val="none"/>
                <w:u w:val="none"/>
                <w:lang w:val="en-US" w:eastAsia="zh-CN"/>
              </w:rPr>
              <w:t>、</w:t>
            </w:r>
            <w:r>
              <w:rPr>
                <w:rFonts w:hint="default" w:ascii="Times New Roman" w:hAnsi="Times New Roman" w:eastAsia="宋体" w:cs="Times New Roman"/>
                <w:color w:val="auto"/>
                <w:kern w:val="0"/>
                <w:sz w:val="21"/>
                <w:szCs w:val="21"/>
                <w:highlight w:val="none"/>
                <w:lang w:val="en-US" w:eastAsia="zh-CN" w:bidi="ar"/>
              </w:rPr>
              <w:t>沉淀污泥</w:t>
            </w:r>
            <w:r>
              <w:rPr>
                <w:rFonts w:hint="default" w:ascii="Times New Roman" w:hAnsi="Times New Roman" w:eastAsia="宋体" w:cs="Times New Roman"/>
                <w:color w:val="auto"/>
                <w:sz w:val="21"/>
                <w:szCs w:val="21"/>
                <w:highlight w:val="none"/>
                <w:u w:val="none"/>
                <w:lang w:val="en-US" w:eastAsia="zh-CN"/>
              </w:rPr>
              <w:t>厂内收集后回收利用；</w:t>
            </w:r>
          </w:p>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废润滑油及润滑油桶存放危废暂存库定期交由有相关处理资质公司处置。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土壤及地下水污染防治措施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初期雨水池内壁采用混凝土整体浇筑，生产车间及原料、产品堆场，备用堆场地面硬化。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生态保护措施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加强厂区及周边绿化。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环境风险防范措施</w:t>
            </w:r>
          </w:p>
        </w:tc>
        <w:tc>
          <w:tcPr>
            <w:tcW w:w="7022" w:type="dxa"/>
            <w:gridSpan w:val="4"/>
            <w:noWrap w:val="0"/>
            <w:vAlign w:val="center"/>
          </w:tcPr>
          <w:p>
            <w:pPr>
              <w:adjustRightInd w:val="0"/>
              <w:snapToGrid w:val="0"/>
              <w:jc w:val="left"/>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1.火灾风险防范措施：消除和控制明火源、防止电气火花。</w:t>
            </w:r>
          </w:p>
          <w:p>
            <w:pPr>
              <w:adjustRightInd w:val="0"/>
              <w:snapToGrid w:val="0"/>
              <w:jc w:val="left"/>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环境风险应急措施：配备足量的灭火器及消防设施，企业在该项目生产和安全管理中要密切注意事故易发部位，做好运行监督检查与维护保养，防患于未然设置三级防控措施，确保灭火时产生的废水可完全被收集，不会通过地表径流污染地表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其他环境管理要求</w:t>
            </w:r>
          </w:p>
        </w:tc>
        <w:tc>
          <w:tcPr>
            <w:tcW w:w="7022" w:type="dxa"/>
            <w:gridSpan w:val="4"/>
            <w:noWrap w:val="0"/>
            <w:vAlign w:val="center"/>
          </w:tcPr>
          <w:p>
            <w:pPr>
              <w:adjustRightInd w:val="0"/>
              <w:snapToGrid w:val="0"/>
              <w:jc w:val="left"/>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1.项目应按生态环境部门的要求加强对企业的环境管理，要建立健全企业的环保监督、管理制度。</w:t>
            </w:r>
          </w:p>
          <w:p>
            <w:pPr>
              <w:adjustRightInd w:val="0"/>
              <w:snapToGrid w:val="0"/>
              <w:jc w:val="left"/>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2.环保管理制度：排污定期报告制度，要定期向当地环保部门报告污染治理设施运行情况、污染物排放情况以及污染事故、污染纠纷情况。</w:t>
            </w:r>
          </w:p>
          <w:p>
            <w:pPr>
              <w:adjustRightInd w:val="0"/>
              <w:snapToGrid w:val="0"/>
              <w:jc w:val="left"/>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环境管理措施：企业应有负责人分管厂内的环保工作，设立环保专门机构，配备专职人员负责具体工作，以保证各项污染防治设施的正常运行。经常对厂内劳动人员进行环境保护的教育和管理，使每一名员工都有环保意识及危害意识，自觉节约用水、用电。对固体废弃物能自觉纳入相应的收集系统内，不乱排、乱倒。</w:t>
            </w:r>
          </w:p>
          <w:p>
            <w:pPr>
              <w:pStyle w:val="8"/>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①需根据《排污许可管理条例》及有关规范的要求，</w:t>
            </w:r>
            <w:r>
              <w:rPr>
                <w:rFonts w:hint="default" w:ascii="Times New Roman" w:hAnsi="Times New Roman" w:eastAsia="宋体" w:cs="Times New Roman"/>
                <w:color w:val="auto"/>
                <w:sz w:val="21"/>
                <w:szCs w:val="21"/>
                <w:highlight w:val="none"/>
                <w:u w:val="none"/>
                <w:lang w:val="en-US" w:eastAsia="zh-CN"/>
              </w:rPr>
              <w:t>申请项目</w:t>
            </w:r>
            <w:r>
              <w:rPr>
                <w:rFonts w:hint="eastAsia"/>
                <w:color w:val="auto"/>
                <w:highlight w:val="none"/>
                <w:lang w:val="en-US" w:eastAsia="zh-CN"/>
              </w:rPr>
              <w:t>排污许可手续</w:t>
            </w:r>
            <w:r>
              <w:rPr>
                <w:rFonts w:hint="default" w:ascii="Times New Roman" w:hAnsi="Times New Roman" w:eastAsia="宋体" w:cs="Times New Roman"/>
                <w:color w:val="auto"/>
                <w:sz w:val="21"/>
                <w:szCs w:val="21"/>
                <w:highlight w:val="none"/>
                <w:u w:val="none"/>
                <w:lang w:val="en-US" w:eastAsia="zh-CN"/>
              </w:rPr>
              <w:t>；</w:t>
            </w:r>
          </w:p>
        </w:tc>
      </w:tr>
    </w:tbl>
    <w:p>
      <w:pPr>
        <w:pStyle w:val="17"/>
        <w:jc w:val="both"/>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175" w:name="_Toc14915"/>
      <w:bookmarkStart w:id="176" w:name="_Toc8985"/>
      <w:bookmarkStart w:id="177" w:name="_Toc29228"/>
      <w:r>
        <w:rPr>
          <w:rFonts w:hint="default" w:ascii="Times New Roman" w:hAnsi="Times New Roman" w:eastAsia="宋体" w:cs="Times New Roman"/>
          <w:snapToGrid w:val="0"/>
          <w:color w:val="auto"/>
          <w:sz w:val="30"/>
          <w:szCs w:val="30"/>
          <w:highlight w:val="none"/>
        </w:rPr>
        <w:t>六、结论</w:t>
      </w:r>
      <w:bookmarkEnd w:id="175"/>
      <w:bookmarkEnd w:id="176"/>
      <w:bookmarkEnd w:id="177"/>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szCs w:val="24"/>
                <w:highlight w:val="none"/>
                <w:lang w:val="en-US" w:eastAsia="zh-CN" w:bidi="ar"/>
              </w:rPr>
              <w:t>经综合分析，衡阳瑞源新材料有限公司年回收利用6万吨钢渣项目符合国家产业政策和土地利用规划要求，选址可行，总平面布置合理。在认真落实报告表提出的各项环保措施的前提下，污染物可做到达标排放，固废可得到妥善利用，噪声不会出现扰民现象，项目建设及运营对周边环境的影响可满足环境功能区划的要求，从环境保护角度而言，项目建设可行。</w:t>
            </w:r>
          </w:p>
        </w:tc>
      </w:tr>
    </w:tbl>
    <w:p>
      <w:pPr>
        <w:pStyle w:val="17"/>
        <w:adjustRightInd w:val="0"/>
        <w:snapToGrid w:val="0"/>
        <w:spacing w:before="0" w:beforeAutospacing="0" w:after="0" w:afterAutospacing="0" w:line="648" w:lineRule="auto"/>
        <w:jc w:val="both"/>
        <w:outlineLvl w:val="9"/>
        <w:rPr>
          <w:rFonts w:hint="default" w:ascii="Times New Roman" w:hAnsi="Times New Roman" w:eastAsia="宋体" w:cs="Times New Roman"/>
          <w:color w:val="auto"/>
          <w:highlight w:val="none"/>
        </w:rPr>
        <w:sectPr>
          <w:footerReference r:id="rId8" w:type="default"/>
          <w:pgSz w:w="11906" w:h="16838"/>
          <w:pgMar w:top="1417" w:right="1417" w:bottom="1417" w:left="1701" w:header="851" w:footer="851"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auto"/>
          <w:kern w:val="2"/>
          <w:sz w:val="32"/>
          <w:szCs w:val="32"/>
          <w:highlight w:val="none"/>
          <w:lang w:val="en-US" w:eastAsia="zh-CN" w:bidi="ar-SA"/>
        </w:rPr>
      </w:pPr>
      <w:bookmarkStart w:id="178" w:name="_Toc30545"/>
      <w:bookmarkStart w:id="179" w:name="_Toc18696"/>
      <w:bookmarkStart w:id="180" w:name="_Toc24933"/>
      <w:bookmarkStart w:id="181" w:name="_Toc23405"/>
      <w:r>
        <w:rPr>
          <w:rFonts w:hint="default" w:ascii="Times New Roman" w:hAnsi="Times New Roman" w:eastAsia="宋体" w:cs="Times New Roman"/>
          <w:snapToGrid w:val="0"/>
          <w:color w:val="auto"/>
          <w:kern w:val="2"/>
          <w:sz w:val="32"/>
          <w:szCs w:val="32"/>
          <w:highlight w:val="none"/>
          <w:lang w:val="en-US" w:eastAsia="zh-CN" w:bidi="ar-SA"/>
        </w:rPr>
        <w:t>附表</w:t>
      </w:r>
      <w:bookmarkEnd w:id="178"/>
      <w:bookmarkEnd w:id="179"/>
      <w:bookmarkEnd w:id="180"/>
      <w:bookmarkStart w:id="182" w:name="_Toc18716"/>
      <w:bookmarkStart w:id="183" w:name="_Toc7850"/>
      <w:r>
        <w:rPr>
          <w:rFonts w:hint="default" w:ascii="Times New Roman" w:hAnsi="Times New Roman" w:eastAsia="宋体" w:cs="Times New Roman"/>
          <w:snapToGrid w:val="0"/>
          <w:color w:val="auto"/>
          <w:kern w:val="2"/>
          <w:sz w:val="32"/>
          <w:szCs w:val="32"/>
          <w:highlight w:val="none"/>
          <w:lang w:val="en-US" w:eastAsia="zh-CN" w:bidi="ar-SA"/>
        </w:rPr>
        <w:t xml:space="preserve">   建设项目污染物排放量汇总表</w:t>
      </w:r>
      <w:bookmarkEnd w:id="181"/>
      <w:bookmarkEnd w:id="182"/>
      <w:bookmarkEnd w:id="183"/>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074"/>
        <w:gridCol w:w="1883"/>
        <w:gridCol w:w="780"/>
        <w:gridCol w:w="1884"/>
        <w:gridCol w:w="2076"/>
        <w:gridCol w:w="1249"/>
        <w:gridCol w:w="2153"/>
        <w:gridCol w:w="11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0" w:type="auto"/>
            <w:tcBorders>
              <w:tl2br w:val="single" w:color="auto" w:sz="4" w:space="0"/>
            </w:tcBorders>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2074" w:type="dxa"/>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883" w:type="dxa"/>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pPr>
              <w:pStyle w:val="30"/>
              <w:spacing w:beforeLines="0" w:afterLine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pPr>
              <w:pStyle w:val="30"/>
              <w:spacing w:beforeLines="0" w:afterLines="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pPr>
              <w:pStyle w:val="30"/>
              <w:spacing w:beforeLines="0" w:afterLines="0" w:line="240" w:lineRule="auto"/>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0" w:type="auto"/>
            <w:noWrap w:val="0"/>
            <w:tcMar>
              <w:left w:w="28" w:type="dxa"/>
              <w:right w:w="28" w:type="dxa"/>
            </w:tcMar>
            <w:vAlign w:val="center"/>
          </w:tcPr>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pPr>
              <w:pStyle w:val="30"/>
              <w:spacing w:beforeLines="0" w:afterLines="0" w:line="240" w:lineRule="auto"/>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noWrap w:val="0"/>
            <w:vAlign w:val="center"/>
          </w:tcPr>
          <w:p>
            <w:pPr>
              <w:pStyle w:val="3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20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颗粒物（t/a）</w:t>
            </w:r>
          </w:p>
        </w:tc>
        <w:tc>
          <w:tcPr>
            <w:tcW w:w="1883"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4.93898</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4.93898</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4.93898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0" w:type="auto"/>
            <w:vMerge w:val="restart"/>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b/>
                <w:bCs/>
                <w:snapToGrid w:val="0"/>
                <w:color w:val="auto"/>
                <w:kern w:val="21"/>
                <w:sz w:val="21"/>
                <w:szCs w:val="21"/>
                <w:highlight w:val="none"/>
                <w:lang w:val="en-US" w:eastAsia="zh-CN" w:bidi="ar-SA"/>
              </w:rPr>
              <w:t>废水</w:t>
            </w: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生活污水</w:t>
            </w:r>
            <w:r>
              <w:rPr>
                <w:rFonts w:hint="eastAsia" w:cs="Times New Roman"/>
                <w:color w:val="auto"/>
                <w:sz w:val="21"/>
                <w:szCs w:val="21"/>
                <w:highlight w:val="none"/>
                <w:u w:val="none"/>
                <w:lang w:val="en-US" w:eastAsia="zh-CN"/>
              </w:rPr>
              <w:t>（m³/a）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vMerge w:val="continue"/>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COD</w:t>
            </w:r>
            <w:r>
              <w:rPr>
                <w:rFonts w:hint="default" w:ascii="Times New Roman" w:hAnsi="Times New Roman" w:eastAsia="宋体" w:cs="Times New Roman"/>
                <w:color w:val="auto"/>
                <w:sz w:val="21"/>
                <w:szCs w:val="21"/>
                <w:highlight w:val="none"/>
                <w:u w:val="none"/>
                <w:vertAlign w:val="subscript"/>
                <w:lang w:val="en-US" w:eastAsia="zh-CN"/>
              </w:rPr>
              <w:t>Cr</w:t>
            </w:r>
            <w:r>
              <w:rPr>
                <w:rFonts w:hint="default" w:ascii="Times New Roman" w:hAnsi="Times New Roman" w:eastAsia="宋体" w:cs="Times New Roman"/>
                <w:color w:val="auto"/>
                <w:sz w:val="21"/>
                <w:szCs w:val="21"/>
                <w:highlight w:val="none"/>
                <w:u w:val="none"/>
                <w:lang w:val="en-US" w:eastAsia="zh-CN"/>
              </w:rPr>
              <w:t>（t/a）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0.02295</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0.02295</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0" w:type="auto"/>
            <w:vMerge w:val="continue"/>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BOD</w:t>
            </w:r>
            <w:r>
              <w:rPr>
                <w:rFonts w:hint="default" w:ascii="Times New Roman" w:hAnsi="Times New Roman" w:eastAsia="宋体" w:cs="Times New Roman"/>
                <w:color w:val="auto"/>
                <w:sz w:val="21"/>
                <w:szCs w:val="21"/>
                <w:highlight w:val="none"/>
                <w:u w:val="none"/>
                <w:vertAlign w:val="subscript"/>
                <w:lang w:val="en-US" w:eastAsia="zh-CN"/>
              </w:rPr>
              <w:t>5</w:t>
            </w:r>
            <w:r>
              <w:rPr>
                <w:rFonts w:hint="default" w:ascii="Times New Roman" w:hAnsi="Times New Roman" w:eastAsia="宋体" w:cs="Times New Roman"/>
                <w:color w:val="auto"/>
                <w:sz w:val="21"/>
                <w:szCs w:val="21"/>
                <w:highlight w:val="none"/>
                <w:u w:val="none"/>
                <w:lang w:val="en-US" w:eastAsia="zh-CN"/>
              </w:rPr>
              <w:t>（t/a）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0.01944</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0.01944</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Merge w:val="continue"/>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SS（t/a）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0.00189</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0.00189</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+0.00189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氨氮（t/a）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0.02052</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0.02052</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0" w:type="auto"/>
            <w:vMerge w:val="continue"/>
            <w:noWrap w:val="0"/>
            <w:vAlign w:val="center"/>
          </w:tcPr>
          <w:p>
            <w:pPr>
              <w:pStyle w:val="30"/>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p>
        </w:tc>
        <w:tc>
          <w:tcPr>
            <w:tcW w:w="207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动植物油（t/a）</w:t>
            </w:r>
          </w:p>
        </w:tc>
        <w:tc>
          <w:tcPr>
            <w:tcW w:w="188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0.00216</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0.00216</w:t>
            </w:r>
          </w:p>
        </w:tc>
        <w:tc>
          <w:tcPr>
            <w:tcW w:w="0" w:type="auto"/>
            <w:noWrap w:val="0"/>
            <w:vAlign w:val="center"/>
          </w:tcPr>
          <w:p>
            <w:pPr>
              <w:keepNext w:val="0"/>
              <w:keepLines w:val="0"/>
              <w:pageBreakBefore w:val="0"/>
              <w:widowControl/>
              <w:kinsoku/>
              <w:wordWrap/>
              <w:topLinePunct w:val="0"/>
              <w:bidi w:val="0"/>
              <w:adjustRightInd/>
              <w:snapToGrid/>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0" w:type="auto"/>
            <w:noWrap w:val="0"/>
            <w:vAlign w:val="center"/>
          </w:tcPr>
          <w:p>
            <w:pPr>
              <w:pStyle w:val="3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20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废润滑油及润滑油桶（t/a）</w:t>
            </w:r>
          </w:p>
        </w:tc>
        <w:tc>
          <w:tcPr>
            <w:tcW w:w="1883"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0.02</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0.02</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0" w:type="auto"/>
            <w:noWrap w:val="0"/>
            <w:vAlign w:val="center"/>
          </w:tcPr>
          <w:p>
            <w:pPr>
              <w:pStyle w:val="3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生活垃圾</w:t>
            </w:r>
          </w:p>
        </w:tc>
        <w:tc>
          <w:tcPr>
            <w:tcW w:w="20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生活垃圾（t/a）</w:t>
            </w:r>
          </w:p>
        </w:tc>
        <w:tc>
          <w:tcPr>
            <w:tcW w:w="1883"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0.75</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0.75</w:t>
            </w:r>
          </w:p>
        </w:tc>
        <w:tc>
          <w:tcPr>
            <w:tcW w:w="0" w:type="auto"/>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39" w:type="dxa"/>
            <w:vMerge w:val="restart"/>
            <w:noWrap w:val="0"/>
            <w:vAlign w:val="center"/>
          </w:tcPr>
          <w:p>
            <w:pPr>
              <w:pStyle w:val="3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一般固废</w:t>
            </w:r>
          </w:p>
        </w:tc>
        <w:tc>
          <w:tcPr>
            <w:tcW w:w="2074" w:type="dxa"/>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生产车间散落粉尘（t/a）</w:t>
            </w:r>
          </w:p>
        </w:tc>
        <w:tc>
          <w:tcPr>
            <w:tcW w:w="1883" w:type="dxa"/>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8.4</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8.4</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39" w:type="dxa"/>
            <w:vMerge w:val="continue"/>
            <w:noWrap w:val="0"/>
            <w:vAlign w:val="center"/>
          </w:tcPr>
          <w:p>
            <w:pPr>
              <w:pStyle w:val="3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2074" w:type="dxa"/>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沉淀污泥（t/a）</w:t>
            </w:r>
          </w:p>
        </w:tc>
        <w:tc>
          <w:tcPr>
            <w:tcW w:w="1883" w:type="dxa"/>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52.15592</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52.15592</w:t>
            </w:r>
          </w:p>
        </w:tc>
        <w:tc>
          <w:tcPr>
            <w:tcW w:w="0" w:type="auto"/>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+52.15592</w:t>
            </w:r>
          </w:p>
        </w:tc>
      </w:tr>
    </w:tbl>
    <w:p>
      <w:pPr>
        <w:pStyle w:val="30"/>
        <w:spacing w:before="192" w:beforeLines="80" w:after="24"/>
        <w:jc w:val="both"/>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jc w:val="both"/>
        <w:rPr>
          <w:rFonts w:hint="default" w:ascii="Times New Roman" w:hAnsi="Times New Roman" w:eastAsia="宋体" w:cs="Times New Roman"/>
          <w:color w:val="auto"/>
          <w:highlight w:val="none"/>
        </w:rPr>
        <w:sectPr>
          <w:pgSz w:w="16838" w:h="11906" w:orient="landscape"/>
          <w:pgMar w:top="1417" w:right="1417" w:bottom="1417" w:left="1417" w:header="851" w:footer="851" w:gutter="0"/>
          <w:pgNumType w:fmt="decimal"/>
          <w:cols w:space="720" w:num="1"/>
          <w:docGrid w:linePitch="312" w:charSpace="0"/>
        </w:sectPr>
      </w:pPr>
    </w:p>
    <w:p>
      <w:pPr>
        <w:rPr>
          <w:rFonts w:hint="default" w:ascii="Times New Roman" w:hAnsi="Times New Roman" w:eastAsia="宋体" w:cs="Times New Roman"/>
          <w:color w:val="auto"/>
          <w:highlight w:val="none"/>
          <w:lang w:val="en-US" w:eastAsia="zh-CN"/>
        </w:rPr>
      </w:pPr>
      <w:bookmarkStart w:id="184" w:name="_GoBack"/>
      <w:bookmarkEnd w:id="184"/>
    </w:p>
    <w:sectPr>
      <w:footerReference r:id="rId9" w:type="default"/>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3</w:t>
    </w:r>
    <w:r>
      <w:rPr>
        <w:rStyle w:val="23"/>
        <w:rFonts w:ascii="宋体" w:hAnsi="宋体"/>
        <w:sz w:val="26"/>
        <w:szCs w:val="26"/>
      </w:rPr>
      <w:fldChar w:fldCharType="end"/>
    </w:r>
    <w:r>
      <w:rPr>
        <w:rStyle w:val="23"/>
        <w:rFonts w:hint="eastAsia" w:ascii="宋体" w:hAnsi="宋体"/>
        <w:sz w:val="28"/>
        <w:szCs w:val="28"/>
      </w:rPr>
      <w:t>—</w:t>
    </w:r>
  </w:p>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5537" w:y="31"/>
      <w:rPr>
        <w:rStyle w:val="23"/>
        <w:rFonts w:ascii="宋体" w:hAnsi="宋体"/>
        <w:sz w:val="28"/>
        <w:szCs w:val="28"/>
      </w:rPr>
    </w:pP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rVqMoBAACa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vKXHc4sTPP76ff/4+//pG&#10;Xm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mrVqMoBAACa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3"/>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6dcoBAACaAwAADgAAAGRycy9lMm9Eb2MueG1srVPNjtMwEL4j8Q6W&#10;79TZs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Q6dcoBAACa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IbEqcoBAACaAwAADgAAAGRycy9lMm9Eb2MueG1srVPNjtMwEL4j8Q6W&#10;79TZC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IbEqcoBAACa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77</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3"/>
                              <w:rFonts w:ascii="宋体" w:hAnsi="宋体"/>
                              <w:sz w:val="28"/>
                              <w:szCs w:val="28"/>
                            </w:rPr>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k1As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fVlT4rjFiV++f7v8+HX5+ZXU&#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t5NQLIAQAAmgMAAA4AAAAAAAAAAQAgAAAAHgEAAGRycy9lMm9Eb2Mu&#10;eG1sUEsFBgAAAAAGAAYAWQEAAFgFAAAAAA==&#10;">
              <v:fill on="f" focussize="0,0"/>
              <v:stroke on="f"/>
              <v:imagedata o:title=""/>
              <o:lock v:ext="edit" aspectratio="f"/>
              <v:textbox inset="0mm,0mm,0mm,0mm" style="mso-fit-shape-to-text:t;">
                <w:txbxContent>
                  <w:p>
                    <w:pPr>
                      <w:pStyle w:val="14"/>
                      <w:rPr>
                        <w:rStyle w:val="23"/>
                        <w:rFonts w:ascii="宋体" w:hAnsi="宋体"/>
                        <w:sz w:val="28"/>
                        <w:szCs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98</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qe7x8oBAACaAwAADgAAAGRycy9lMm9Eb2MueG1srVPNjtMwEL4j8Q6W&#10;79TZCi1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vKXHc4sTPP76ff/4+//pG&#10;3mR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qe7x8oBAACa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8E5FF"/>
    <w:multiLevelType w:val="singleLevel"/>
    <w:tmpl w:val="9F18E5FF"/>
    <w:lvl w:ilvl="0" w:tentative="0">
      <w:start w:val="1"/>
      <w:numFmt w:val="decimal"/>
      <w:suff w:val="nothing"/>
      <w:lvlText w:val="%1、"/>
      <w:lvlJc w:val="left"/>
    </w:lvl>
  </w:abstractNum>
  <w:abstractNum w:abstractNumId="1">
    <w:nsid w:val="A91AD9C4"/>
    <w:multiLevelType w:val="singleLevel"/>
    <w:tmpl w:val="A91AD9C4"/>
    <w:lvl w:ilvl="0" w:tentative="0">
      <w:start w:val="1"/>
      <w:numFmt w:val="decimal"/>
      <w:suff w:val="nothing"/>
      <w:lvlText w:val="%1、"/>
      <w:lvlJc w:val="left"/>
    </w:lvl>
  </w:abstractNum>
  <w:abstractNum w:abstractNumId="2">
    <w:nsid w:val="DD3476A0"/>
    <w:multiLevelType w:val="singleLevel"/>
    <w:tmpl w:val="DD3476A0"/>
    <w:lvl w:ilvl="0" w:tentative="0">
      <w:start w:val="1"/>
      <w:numFmt w:val="decimal"/>
      <w:suff w:val="nothing"/>
      <w:lvlText w:val="%1、"/>
      <w:lvlJc w:val="left"/>
    </w:lvl>
  </w:abstractNum>
  <w:abstractNum w:abstractNumId="3">
    <w:nsid w:val="3EA6613C"/>
    <w:multiLevelType w:val="singleLevel"/>
    <w:tmpl w:val="3EA6613C"/>
    <w:lvl w:ilvl="0" w:tentative="0">
      <w:start w:val="3"/>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zOWY2Y2I5NDJjYWRlN2MzZWNlZmYyZWU2ZjE1NGIifQ=="/>
  </w:docVars>
  <w:rsids>
    <w:rsidRoot w:val="00172A27"/>
    <w:rsid w:val="00135135"/>
    <w:rsid w:val="001A2968"/>
    <w:rsid w:val="001D0E8F"/>
    <w:rsid w:val="00535E7A"/>
    <w:rsid w:val="005C088A"/>
    <w:rsid w:val="009A0D3C"/>
    <w:rsid w:val="00A33A57"/>
    <w:rsid w:val="0103164E"/>
    <w:rsid w:val="010A29DC"/>
    <w:rsid w:val="01113D6B"/>
    <w:rsid w:val="01486F4C"/>
    <w:rsid w:val="01C47A4C"/>
    <w:rsid w:val="01FB2325"/>
    <w:rsid w:val="02143EDB"/>
    <w:rsid w:val="02201D8C"/>
    <w:rsid w:val="023D0B8F"/>
    <w:rsid w:val="024535A0"/>
    <w:rsid w:val="0250441F"/>
    <w:rsid w:val="025263E9"/>
    <w:rsid w:val="025739FF"/>
    <w:rsid w:val="02B56978"/>
    <w:rsid w:val="031E62CB"/>
    <w:rsid w:val="032A1114"/>
    <w:rsid w:val="03AE3AF3"/>
    <w:rsid w:val="03CE5F43"/>
    <w:rsid w:val="03FF5036"/>
    <w:rsid w:val="041E44E8"/>
    <w:rsid w:val="042B76FA"/>
    <w:rsid w:val="043F1D3E"/>
    <w:rsid w:val="04483B5B"/>
    <w:rsid w:val="0458764A"/>
    <w:rsid w:val="046C750A"/>
    <w:rsid w:val="048115F1"/>
    <w:rsid w:val="04BF3ADE"/>
    <w:rsid w:val="04E715B9"/>
    <w:rsid w:val="04EB6EA8"/>
    <w:rsid w:val="04ED064B"/>
    <w:rsid w:val="04FB1CE6"/>
    <w:rsid w:val="05087233"/>
    <w:rsid w:val="05104339"/>
    <w:rsid w:val="05300538"/>
    <w:rsid w:val="053B7608"/>
    <w:rsid w:val="057A386D"/>
    <w:rsid w:val="059E2E82"/>
    <w:rsid w:val="05BB5E14"/>
    <w:rsid w:val="05C67156"/>
    <w:rsid w:val="05CA098C"/>
    <w:rsid w:val="05D15877"/>
    <w:rsid w:val="05DD246D"/>
    <w:rsid w:val="05E07F37"/>
    <w:rsid w:val="060F45F1"/>
    <w:rsid w:val="06367DD0"/>
    <w:rsid w:val="06470221"/>
    <w:rsid w:val="06540256"/>
    <w:rsid w:val="06585F98"/>
    <w:rsid w:val="065B3392"/>
    <w:rsid w:val="0696086E"/>
    <w:rsid w:val="06A116ED"/>
    <w:rsid w:val="06BA630B"/>
    <w:rsid w:val="070E6657"/>
    <w:rsid w:val="07481A90"/>
    <w:rsid w:val="07652863"/>
    <w:rsid w:val="0773747D"/>
    <w:rsid w:val="079871EB"/>
    <w:rsid w:val="08206641"/>
    <w:rsid w:val="086E7FA8"/>
    <w:rsid w:val="0878256E"/>
    <w:rsid w:val="08C2594B"/>
    <w:rsid w:val="08D062B9"/>
    <w:rsid w:val="08DF289E"/>
    <w:rsid w:val="08ED3CA5"/>
    <w:rsid w:val="08F875BE"/>
    <w:rsid w:val="094620D8"/>
    <w:rsid w:val="095A2027"/>
    <w:rsid w:val="095C7EAD"/>
    <w:rsid w:val="09864BCA"/>
    <w:rsid w:val="099A0675"/>
    <w:rsid w:val="09B039F5"/>
    <w:rsid w:val="09C3197A"/>
    <w:rsid w:val="09D21BBD"/>
    <w:rsid w:val="09D27E0F"/>
    <w:rsid w:val="09EF35AA"/>
    <w:rsid w:val="09F9539C"/>
    <w:rsid w:val="0A0B50CF"/>
    <w:rsid w:val="0A2A2657"/>
    <w:rsid w:val="0A5E78F5"/>
    <w:rsid w:val="0ADD081A"/>
    <w:rsid w:val="0ADE3D74"/>
    <w:rsid w:val="0AE222D4"/>
    <w:rsid w:val="0B41524D"/>
    <w:rsid w:val="0B4E1717"/>
    <w:rsid w:val="0B5D6980"/>
    <w:rsid w:val="0B5D7BAD"/>
    <w:rsid w:val="0B6158EF"/>
    <w:rsid w:val="0BB84DE3"/>
    <w:rsid w:val="0BC26C8E"/>
    <w:rsid w:val="0C232BA4"/>
    <w:rsid w:val="0C6F1517"/>
    <w:rsid w:val="0C755E78"/>
    <w:rsid w:val="0CD8299A"/>
    <w:rsid w:val="0CDE1A7D"/>
    <w:rsid w:val="0D3A3EBF"/>
    <w:rsid w:val="0D416904"/>
    <w:rsid w:val="0D4C1C87"/>
    <w:rsid w:val="0D63594E"/>
    <w:rsid w:val="0D7A2C98"/>
    <w:rsid w:val="0D86163D"/>
    <w:rsid w:val="0DB02216"/>
    <w:rsid w:val="0DCD726B"/>
    <w:rsid w:val="0DF30D4F"/>
    <w:rsid w:val="0DFA5B87"/>
    <w:rsid w:val="0E375C2E"/>
    <w:rsid w:val="0E640709"/>
    <w:rsid w:val="0E7871AD"/>
    <w:rsid w:val="0E872379"/>
    <w:rsid w:val="0E8C2C83"/>
    <w:rsid w:val="0EAA4EB7"/>
    <w:rsid w:val="0EB977F0"/>
    <w:rsid w:val="0EE26D46"/>
    <w:rsid w:val="0EE54141"/>
    <w:rsid w:val="0F022F45"/>
    <w:rsid w:val="0F2C60D9"/>
    <w:rsid w:val="0F384BB8"/>
    <w:rsid w:val="0F4C683F"/>
    <w:rsid w:val="0F587009"/>
    <w:rsid w:val="0F6E4136"/>
    <w:rsid w:val="0FB04AF3"/>
    <w:rsid w:val="0FD0446E"/>
    <w:rsid w:val="101F18D4"/>
    <w:rsid w:val="104B091B"/>
    <w:rsid w:val="105B5EA7"/>
    <w:rsid w:val="1069218E"/>
    <w:rsid w:val="108D2CE2"/>
    <w:rsid w:val="10A5627E"/>
    <w:rsid w:val="10AF0EAA"/>
    <w:rsid w:val="110765F0"/>
    <w:rsid w:val="11323CF5"/>
    <w:rsid w:val="114F7F97"/>
    <w:rsid w:val="116A164F"/>
    <w:rsid w:val="11A04F42"/>
    <w:rsid w:val="11AD363C"/>
    <w:rsid w:val="11BD13A5"/>
    <w:rsid w:val="11BD3675"/>
    <w:rsid w:val="11CE5360"/>
    <w:rsid w:val="11D4620A"/>
    <w:rsid w:val="11D72467"/>
    <w:rsid w:val="124B69B1"/>
    <w:rsid w:val="124F46F3"/>
    <w:rsid w:val="126857B5"/>
    <w:rsid w:val="12A105BE"/>
    <w:rsid w:val="12A97BD2"/>
    <w:rsid w:val="12C0739F"/>
    <w:rsid w:val="12FD58B7"/>
    <w:rsid w:val="13144CEB"/>
    <w:rsid w:val="132316DC"/>
    <w:rsid w:val="133A01C8"/>
    <w:rsid w:val="13631AD8"/>
    <w:rsid w:val="13961EAE"/>
    <w:rsid w:val="13BC6300"/>
    <w:rsid w:val="13C95DDF"/>
    <w:rsid w:val="13E42C19"/>
    <w:rsid w:val="14072DAB"/>
    <w:rsid w:val="144813FA"/>
    <w:rsid w:val="14535FF1"/>
    <w:rsid w:val="146401FE"/>
    <w:rsid w:val="1497412F"/>
    <w:rsid w:val="14A5684C"/>
    <w:rsid w:val="14D42C8D"/>
    <w:rsid w:val="14D927BA"/>
    <w:rsid w:val="150F3CC6"/>
    <w:rsid w:val="152F25BA"/>
    <w:rsid w:val="154A2F50"/>
    <w:rsid w:val="157224A6"/>
    <w:rsid w:val="15981F0D"/>
    <w:rsid w:val="16007AB2"/>
    <w:rsid w:val="16103191"/>
    <w:rsid w:val="16315EBE"/>
    <w:rsid w:val="164200CB"/>
    <w:rsid w:val="16500A3A"/>
    <w:rsid w:val="16524432"/>
    <w:rsid w:val="16551BAC"/>
    <w:rsid w:val="16730284"/>
    <w:rsid w:val="16AA639C"/>
    <w:rsid w:val="17163A31"/>
    <w:rsid w:val="17355139"/>
    <w:rsid w:val="17421DB0"/>
    <w:rsid w:val="17550AFC"/>
    <w:rsid w:val="1763479D"/>
    <w:rsid w:val="17933676"/>
    <w:rsid w:val="17D42FA4"/>
    <w:rsid w:val="17EA04AD"/>
    <w:rsid w:val="183028D1"/>
    <w:rsid w:val="185365BF"/>
    <w:rsid w:val="185949FE"/>
    <w:rsid w:val="186802BC"/>
    <w:rsid w:val="187F5606"/>
    <w:rsid w:val="18820C52"/>
    <w:rsid w:val="18A60DE5"/>
    <w:rsid w:val="18D80AAB"/>
    <w:rsid w:val="18E816E3"/>
    <w:rsid w:val="18EE62E8"/>
    <w:rsid w:val="19120228"/>
    <w:rsid w:val="192D5062"/>
    <w:rsid w:val="19362169"/>
    <w:rsid w:val="195264FF"/>
    <w:rsid w:val="19570331"/>
    <w:rsid w:val="19585D84"/>
    <w:rsid w:val="195E521C"/>
    <w:rsid w:val="198C1D89"/>
    <w:rsid w:val="19B72B7E"/>
    <w:rsid w:val="1A0A0B56"/>
    <w:rsid w:val="1A366198"/>
    <w:rsid w:val="1A51210D"/>
    <w:rsid w:val="1A5A028B"/>
    <w:rsid w:val="1A6B5E42"/>
    <w:rsid w:val="1A6C3968"/>
    <w:rsid w:val="1A930EF5"/>
    <w:rsid w:val="1AAC1FB7"/>
    <w:rsid w:val="1AF346EB"/>
    <w:rsid w:val="1AF5395E"/>
    <w:rsid w:val="1AFA5418"/>
    <w:rsid w:val="1B03607B"/>
    <w:rsid w:val="1B3C77DE"/>
    <w:rsid w:val="1B6603B7"/>
    <w:rsid w:val="1B6D1EF4"/>
    <w:rsid w:val="1B956D56"/>
    <w:rsid w:val="1BC27B93"/>
    <w:rsid w:val="1BC51582"/>
    <w:rsid w:val="1BFD62C4"/>
    <w:rsid w:val="1C19367C"/>
    <w:rsid w:val="1C352961"/>
    <w:rsid w:val="1C8361B0"/>
    <w:rsid w:val="1CB515F6"/>
    <w:rsid w:val="1CCD66E3"/>
    <w:rsid w:val="1CE43C8A"/>
    <w:rsid w:val="1D2624F4"/>
    <w:rsid w:val="1D4E37F9"/>
    <w:rsid w:val="1DAF24EA"/>
    <w:rsid w:val="1DB11BE9"/>
    <w:rsid w:val="1DC615E1"/>
    <w:rsid w:val="1DCC309C"/>
    <w:rsid w:val="1DCD471E"/>
    <w:rsid w:val="1DF041AC"/>
    <w:rsid w:val="1DF61EC7"/>
    <w:rsid w:val="1DF8723B"/>
    <w:rsid w:val="1E002D45"/>
    <w:rsid w:val="1E34479D"/>
    <w:rsid w:val="1E3765C1"/>
    <w:rsid w:val="1E393A3F"/>
    <w:rsid w:val="1E4A3FC0"/>
    <w:rsid w:val="1E66339C"/>
    <w:rsid w:val="1E7352C5"/>
    <w:rsid w:val="1E8079E2"/>
    <w:rsid w:val="1E8F7C25"/>
    <w:rsid w:val="1E9A6F10"/>
    <w:rsid w:val="1EA25BAA"/>
    <w:rsid w:val="1F34231D"/>
    <w:rsid w:val="1F415D87"/>
    <w:rsid w:val="1F4A694B"/>
    <w:rsid w:val="1F4F46A9"/>
    <w:rsid w:val="1F664E2A"/>
    <w:rsid w:val="1FE12702"/>
    <w:rsid w:val="1FF266BE"/>
    <w:rsid w:val="20125FC6"/>
    <w:rsid w:val="201B3E66"/>
    <w:rsid w:val="202F4EE9"/>
    <w:rsid w:val="20880DD0"/>
    <w:rsid w:val="208E288A"/>
    <w:rsid w:val="20977A61"/>
    <w:rsid w:val="2099122F"/>
    <w:rsid w:val="20A27E19"/>
    <w:rsid w:val="20AA343C"/>
    <w:rsid w:val="20D234E6"/>
    <w:rsid w:val="20D752E8"/>
    <w:rsid w:val="20EF2BFD"/>
    <w:rsid w:val="20FA3C49"/>
    <w:rsid w:val="21472A39"/>
    <w:rsid w:val="215F5FD5"/>
    <w:rsid w:val="21A8172A"/>
    <w:rsid w:val="21C1459A"/>
    <w:rsid w:val="21C5670A"/>
    <w:rsid w:val="21D70261"/>
    <w:rsid w:val="21EA1D42"/>
    <w:rsid w:val="220C16C2"/>
    <w:rsid w:val="22235254"/>
    <w:rsid w:val="22352A1E"/>
    <w:rsid w:val="223F09BD"/>
    <w:rsid w:val="22603DB2"/>
    <w:rsid w:val="22873A35"/>
    <w:rsid w:val="228D6B72"/>
    <w:rsid w:val="22D87B9F"/>
    <w:rsid w:val="22F8048F"/>
    <w:rsid w:val="22F80E0B"/>
    <w:rsid w:val="231C2077"/>
    <w:rsid w:val="2335058A"/>
    <w:rsid w:val="23502079"/>
    <w:rsid w:val="239F12B4"/>
    <w:rsid w:val="239F227D"/>
    <w:rsid w:val="23B03B77"/>
    <w:rsid w:val="23BC14BC"/>
    <w:rsid w:val="23E822B1"/>
    <w:rsid w:val="241430A6"/>
    <w:rsid w:val="24217571"/>
    <w:rsid w:val="242D23BA"/>
    <w:rsid w:val="24431BDE"/>
    <w:rsid w:val="2459703E"/>
    <w:rsid w:val="24BE532E"/>
    <w:rsid w:val="24E30CCB"/>
    <w:rsid w:val="24F609FE"/>
    <w:rsid w:val="250A26FB"/>
    <w:rsid w:val="250F386E"/>
    <w:rsid w:val="251B0465"/>
    <w:rsid w:val="251B2213"/>
    <w:rsid w:val="25331C52"/>
    <w:rsid w:val="25521343"/>
    <w:rsid w:val="25697422"/>
    <w:rsid w:val="25753FBF"/>
    <w:rsid w:val="257D2ECD"/>
    <w:rsid w:val="25891872"/>
    <w:rsid w:val="258B383C"/>
    <w:rsid w:val="25C12DBA"/>
    <w:rsid w:val="25D54AB7"/>
    <w:rsid w:val="25F3318F"/>
    <w:rsid w:val="25FA2D48"/>
    <w:rsid w:val="26062EC3"/>
    <w:rsid w:val="26263565"/>
    <w:rsid w:val="269404CF"/>
    <w:rsid w:val="26956E9E"/>
    <w:rsid w:val="269F4E45"/>
    <w:rsid w:val="26A80AF7"/>
    <w:rsid w:val="26DC6B56"/>
    <w:rsid w:val="26DD38BA"/>
    <w:rsid w:val="26E72CF4"/>
    <w:rsid w:val="270B6029"/>
    <w:rsid w:val="274E68CF"/>
    <w:rsid w:val="27541A0C"/>
    <w:rsid w:val="27664A2D"/>
    <w:rsid w:val="27775D6B"/>
    <w:rsid w:val="27787DF0"/>
    <w:rsid w:val="27814EF7"/>
    <w:rsid w:val="278E6BAD"/>
    <w:rsid w:val="279544FE"/>
    <w:rsid w:val="279F537D"/>
    <w:rsid w:val="27AA0A2C"/>
    <w:rsid w:val="27BF157B"/>
    <w:rsid w:val="27E2526A"/>
    <w:rsid w:val="280543B0"/>
    <w:rsid w:val="280D0539"/>
    <w:rsid w:val="285C6DCA"/>
    <w:rsid w:val="286C190C"/>
    <w:rsid w:val="287700A8"/>
    <w:rsid w:val="2879797C"/>
    <w:rsid w:val="28814A83"/>
    <w:rsid w:val="28A80261"/>
    <w:rsid w:val="28AA3FD9"/>
    <w:rsid w:val="28C037FD"/>
    <w:rsid w:val="28CF7EDD"/>
    <w:rsid w:val="28DB28A7"/>
    <w:rsid w:val="28E219C5"/>
    <w:rsid w:val="28F51C20"/>
    <w:rsid w:val="290027F2"/>
    <w:rsid w:val="29037B8D"/>
    <w:rsid w:val="292A336C"/>
    <w:rsid w:val="29324DF0"/>
    <w:rsid w:val="297E7214"/>
    <w:rsid w:val="2996630C"/>
    <w:rsid w:val="29BF1D06"/>
    <w:rsid w:val="29D532D8"/>
    <w:rsid w:val="29DB7569"/>
    <w:rsid w:val="2A027E45"/>
    <w:rsid w:val="2A2E0C3A"/>
    <w:rsid w:val="2A7657CA"/>
    <w:rsid w:val="2A783FBA"/>
    <w:rsid w:val="2A8645D2"/>
    <w:rsid w:val="2AF7102C"/>
    <w:rsid w:val="2AFB4FC0"/>
    <w:rsid w:val="2B035C23"/>
    <w:rsid w:val="2B0C0F7B"/>
    <w:rsid w:val="2B2D2CA0"/>
    <w:rsid w:val="2B3662FB"/>
    <w:rsid w:val="2B4A1857"/>
    <w:rsid w:val="2B754E38"/>
    <w:rsid w:val="2BA117CB"/>
    <w:rsid w:val="2BBE7D9C"/>
    <w:rsid w:val="2BC60659"/>
    <w:rsid w:val="2BE47802"/>
    <w:rsid w:val="2BF81500"/>
    <w:rsid w:val="2C0F23A5"/>
    <w:rsid w:val="2C2718A6"/>
    <w:rsid w:val="2C467CD4"/>
    <w:rsid w:val="2C6170A5"/>
    <w:rsid w:val="2C6941AB"/>
    <w:rsid w:val="2C986DD8"/>
    <w:rsid w:val="2C9B4CB9"/>
    <w:rsid w:val="2D012636"/>
    <w:rsid w:val="2D285DD1"/>
    <w:rsid w:val="2D287BC3"/>
    <w:rsid w:val="2D297C95"/>
    <w:rsid w:val="2D3C0E45"/>
    <w:rsid w:val="2D3E1194"/>
    <w:rsid w:val="2D735831"/>
    <w:rsid w:val="2D8C35B7"/>
    <w:rsid w:val="2DE0224B"/>
    <w:rsid w:val="2DF61C5A"/>
    <w:rsid w:val="2E103B1E"/>
    <w:rsid w:val="2E312AA7"/>
    <w:rsid w:val="2E552C39"/>
    <w:rsid w:val="2E673513"/>
    <w:rsid w:val="2E864BA1"/>
    <w:rsid w:val="2E8E7EF9"/>
    <w:rsid w:val="2E953036"/>
    <w:rsid w:val="2E9F3EB4"/>
    <w:rsid w:val="2EAB2859"/>
    <w:rsid w:val="2EAE40F8"/>
    <w:rsid w:val="2EDA6C9B"/>
    <w:rsid w:val="2F255D5A"/>
    <w:rsid w:val="2F440E1F"/>
    <w:rsid w:val="2F6F7D2B"/>
    <w:rsid w:val="2F723377"/>
    <w:rsid w:val="2FAA48BF"/>
    <w:rsid w:val="2FD50D81"/>
    <w:rsid w:val="2FF55A85"/>
    <w:rsid w:val="2FFE2E5D"/>
    <w:rsid w:val="302E6760"/>
    <w:rsid w:val="30395C43"/>
    <w:rsid w:val="304271ED"/>
    <w:rsid w:val="30446AC1"/>
    <w:rsid w:val="30570221"/>
    <w:rsid w:val="30B26121"/>
    <w:rsid w:val="30C714A1"/>
    <w:rsid w:val="30F524B2"/>
    <w:rsid w:val="312D39F9"/>
    <w:rsid w:val="31464ABB"/>
    <w:rsid w:val="314A42A6"/>
    <w:rsid w:val="32254574"/>
    <w:rsid w:val="32275A7A"/>
    <w:rsid w:val="32650F71"/>
    <w:rsid w:val="3282783E"/>
    <w:rsid w:val="328C0BF4"/>
    <w:rsid w:val="32990C1B"/>
    <w:rsid w:val="32BD3D6E"/>
    <w:rsid w:val="32D61E6F"/>
    <w:rsid w:val="32E60519"/>
    <w:rsid w:val="3330157F"/>
    <w:rsid w:val="333948D8"/>
    <w:rsid w:val="334A7763"/>
    <w:rsid w:val="33557238"/>
    <w:rsid w:val="33661445"/>
    <w:rsid w:val="339064C2"/>
    <w:rsid w:val="33A65CE5"/>
    <w:rsid w:val="33B913DF"/>
    <w:rsid w:val="33E10ACB"/>
    <w:rsid w:val="33FD04B2"/>
    <w:rsid w:val="341C1B03"/>
    <w:rsid w:val="344145E1"/>
    <w:rsid w:val="345E211C"/>
    <w:rsid w:val="348558FB"/>
    <w:rsid w:val="348C6C89"/>
    <w:rsid w:val="349F4C0E"/>
    <w:rsid w:val="34DB551B"/>
    <w:rsid w:val="35150A2C"/>
    <w:rsid w:val="354A2EB8"/>
    <w:rsid w:val="355667C9"/>
    <w:rsid w:val="356950B7"/>
    <w:rsid w:val="35887450"/>
    <w:rsid w:val="35AF28A1"/>
    <w:rsid w:val="35B71AE4"/>
    <w:rsid w:val="35D56AF7"/>
    <w:rsid w:val="36405F7D"/>
    <w:rsid w:val="3657157B"/>
    <w:rsid w:val="3676374D"/>
    <w:rsid w:val="367E0853"/>
    <w:rsid w:val="36AA5C1B"/>
    <w:rsid w:val="36D30B9F"/>
    <w:rsid w:val="36E44B5A"/>
    <w:rsid w:val="36E52680"/>
    <w:rsid w:val="36F469FB"/>
    <w:rsid w:val="37322D3D"/>
    <w:rsid w:val="37444489"/>
    <w:rsid w:val="375A05B2"/>
    <w:rsid w:val="375F68D7"/>
    <w:rsid w:val="376712E7"/>
    <w:rsid w:val="37A93BDF"/>
    <w:rsid w:val="37BA58BB"/>
    <w:rsid w:val="37D20E57"/>
    <w:rsid w:val="37E3033C"/>
    <w:rsid w:val="381B27FE"/>
    <w:rsid w:val="38211DDE"/>
    <w:rsid w:val="385176F1"/>
    <w:rsid w:val="386A5533"/>
    <w:rsid w:val="38810301"/>
    <w:rsid w:val="3885411B"/>
    <w:rsid w:val="38AA58B4"/>
    <w:rsid w:val="38AD71CE"/>
    <w:rsid w:val="38B54006"/>
    <w:rsid w:val="38C56C0D"/>
    <w:rsid w:val="38F01403"/>
    <w:rsid w:val="38F80D91"/>
    <w:rsid w:val="39113C01"/>
    <w:rsid w:val="391F5882"/>
    <w:rsid w:val="397B72CC"/>
    <w:rsid w:val="39916781"/>
    <w:rsid w:val="39962904"/>
    <w:rsid w:val="39D80A90"/>
    <w:rsid w:val="39E9692C"/>
    <w:rsid w:val="39EE0C49"/>
    <w:rsid w:val="3A0E6ABD"/>
    <w:rsid w:val="3A255BB6"/>
    <w:rsid w:val="3A3C4909"/>
    <w:rsid w:val="3A4045A0"/>
    <w:rsid w:val="3A5C534F"/>
    <w:rsid w:val="3A63048C"/>
    <w:rsid w:val="3A636C6D"/>
    <w:rsid w:val="3A7B57D6"/>
    <w:rsid w:val="3A8B1791"/>
    <w:rsid w:val="3A96260F"/>
    <w:rsid w:val="3A993D84"/>
    <w:rsid w:val="3AB331C1"/>
    <w:rsid w:val="3AC52EF5"/>
    <w:rsid w:val="3AE3337B"/>
    <w:rsid w:val="3B135A0E"/>
    <w:rsid w:val="3B3C308E"/>
    <w:rsid w:val="3B47390A"/>
    <w:rsid w:val="3B627E58"/>
    <w:rsid w:val="3B9B62D9"/>
    <w:rsid w:val="3BE03287"/>
    <w:rsid w:val="3BF17D28"/>
    <w:rsid w:val="3C3A521C"/>
    <w:rsid w:val="3C525069"/>
    <w:rsid w:val="3C5B3302"/>
    <w:rsid w:val="3C65673D"/>
    <w:rsid w:val="3CC35212"/>
    <w:rsid w:val="3D7604D6"/>
    <w:rsid w:val="3D9372DA"/>
    <w:rsid w:val="3DA05553"/>
    <w:rsid w:val="3DB66B25"/>
    <w:rsid w:val="3DC254CA"/>
    <w:rsid w:val="3DE25B6C"/>
    <w:rsid w:val="3E440017"/>
    <w:rsid w:val="3E636CAD"/>
    <w:rsid w:val="3E7964D0"/>
    <w:rsid w:val="3E807AED"/>
    <w:rsid w:val="3F3348D1"/>
    <w:rsid w:val="3F544847"/>
    <w:rsid w:val="3F632CDC"/>
    <w:rsid w:val="3F6A5E19"/>
    <w:rsid w:val="3F746C97"/>
    <w:rsid w:val="3F762A0F"/>
    <w:rsid w:val="3FAA5EE2"/>
    <w:rsid w:val="3FAC4683"/>
    <w:rsid w:val="3FD55988"/>
    <w:rsid w:val="40275AB8"/>
    <w:rsid w:val="402E0997"/>
    <w:rsid w:val="40694322"/>
    <w:rsid w:val="40AB66E9"/>
    <w:rsid w:val="40EF1326"/>
    <w:rsid w:val="411E3F78"/>
    <w:rsid w:val="411E6EBB"/>
    <w:rsid w:val="413E755D"/>
    <w:rsid w:val="415A0117"/>
    <w:rsid w:val="417F34CE"/>
    <w:rsid w:val="41E30128"/>
    <w:rsid w:val="422449A5"/>
    <w:rsid w:val="42462B6D"/>
    <w:rsid w:val="424F6880"/>
    <w:rsid w:val="427A2817"/>
    <w:rsid w:val="429F227D"/>
    <w:rsid w:val="42AF682B"/>
    <w:rsid w:val="42C427F4"/>
    <w:rsid w:val="42D068DB"/>
    <w:rsid w:val="42F55105"/>
    <w:rsid w:val="42F65248"/>
    <w:rsid w:val="43432C09"/>
    <w:rsid w:val="434C41B3"/>
    <w:rsid w:val="439379C1"/>
    <w:rsid w:val="43E75C8A"/>
    <w:rsid w:val="44472BCC"/>
    <w:rsid w:val="444A7FC7"/>
    <w:rsid w:val="444F55DD"/>
    <w:rsid w:val="44646C02"/>
    <w:rsid w:val="44D81A76"/>
    <w:rsid w:val="45246A6A"/>
    <w:rsid w:val="452D590C"/>
    <w:rsid w:val="456503F2"/>
    <w:rsid w:val="456F74DF"/>
    <w:rsid w:val="45837C34"/>
    <w:rsid w:val="45965BB9"/>
    <w:rsid w:val="45A7269B"/>
    <w:rsid w:val="460476A9"/>
    <w:rsid w:val="46054AED"/>
    <w:rsid w:val="46130816"/>
    <w:rsid w:val="461D5993"/>
    <w:rsid w:val="462907DC"/>
    <w:rsid w:val="46340F2E"/>
    <w:rsid w:val="463B7823"/>
    <w:rsid w:val="46A41C10"/>
    <w:rsid w:val="46C566BE"/>
    <w:rsid w:val="46C773BC"/>
    <w:rsid w:val="46D14D09"/>
    <w:rsid w:val="46D52711"/>
    <w:rsid w:val="46DB2F65"/>
    <w:rsid w:val="46E91D19"/>
    <w:rsid w:val="46EE37D3"/>
    <w:rsid w:val="46F96400"/>
    <w:rsid w:val="471C3E9C"/>
    <w:rsid w:val="47637D1D"/>
    <w:rsid w:val="476870E2"/>
    <w:rsid w:val="47B93D95"/>
    <w:rsid w:val="47D14C87"/>
    <w:rsid w:val="48050DD4"/>
    <w:rsid w:val="48111527"/>
    <w:rsid w:val="485E04E5"/>
    <w:rsid w:val="48657AC5"/>
    <w:rsid w:val="4887363D"/>
    <w:rsid w:val="488E4926"/>
    <w:rsid w:val="48FD5F50"/>
    <w:rsid w:val="490B1105"/>
    <w:rsid w:val="490C1CEF"/>
    <w:rsid w:val="49180694"/>
    <w:rsid w:val="491868E5"/>
    <w:rsid w:val="493D00FA"/>
    <w:rsid w:val="494C41EC"/>
    <w:rsid w:val="495913D8"/>
    <w:rsid w:val="4989333F"/>
    <w:rsid w:val="49C03205"/>
    <w:rsid w:val="49D722FD"/>
    <w:rsid w:val="49D93BA9"/>
    <w:rsid w:val="4A084BAC"/>
    <w:rsid w:val="4A0B01F8"/>
    <w:rsid w:val="4A486691"/>
    <w:rsid w:val="4A5A2273"/>
    <w:rsid w:val="4AA30431"/>
    <w:rsid w:val="4AD36F68"/>
    <w:rsid w:val="4AD63526"/>
    <w:rsid w:val="4AE50A49"/>
    <w:rsid w:val="4B1A6945"/>
    <w:rsid w:val="4B1D01E3"/>
    <w:rsid w:val="4B412124"/>
    <w:rsid w:val="4B423547"/>
    <w:rsid w:val="4B683B54"/>
    <w:rsid w:val="4B6F3FAD"/>
    <w:rsid w:val="4B726781"/>
    <w:rsid w:val="4B9506C1"/>
    <w:rsid w:val="4BD07517"/>
    <w:rsid w:val="4BEF7DD1"/>
    <w:rsid w:val="4BF27E99"/>
    <w:rsid w:val="4BFF3178"/>
    <w:rsid w:val="4C100497"/>
    <w:rsid w:val="4C2B6930"/>
    <w:rsid w:val="4C417F01"/>
    <w:rsid w:val="4C4A5008"/>
    <w:rsid w:val="4C567E51"/>
    <w:rsid w:val="4C742085"/>
    <w:rsid w:val="4C854292"/>
    <w:rsid w:val="4C8C3513"/>
    <w:rsid w:val="4CA30BBC"/>
    <w:rsid w:val="4CCA439B"/>
    <w:rsid w:val="4CFF2296"/>
    <w:rsid w:val="4D186EB4"/>
    <w:rsid w:val="4D673998"/>
    <w:rsid w:val="4D942930"/>
    <w:rsid w:val="4DCA6198"/>
    <w:rsid w:val="4DCD5EF0"/>
    <w:rsid w:val="4DFA2A5E"/>
    <w:rsid w:val="4E047438"/>
    <w:rsid w:val="4E0D2930"/>
    <w:rsid w:val="4E173610"/>
    <w:rsid w:val="4E183C83"/>
    <w:rsid w:val="4E1E674C"/>
    <w:rsid w:val="4E3A56DF"/>
    <w:rsid w:val="4E4F7045"/>
    <w:rsid w:val="4E720846"/>
    <w:rsid w:val="4ECC43FA"/>
    <w:rsid w:val="4EE220A4"/>
    <w:rsid w:val="4F2A7373"/>
    <w:rsid w:val="4F333E50"/>
    <w:rsid w:val="4F440434"/>
    <w:rsid w:val="4F5543EF"/>
    <w:rsid w:val="4FA33A43"/>
    <w:rsid w:val="50377F99"/>
    <w:rsid w:val="50451A3A"/>
    <w:rsid w:val="50616DC4"/>
    <w:rsid w:val="50681284"/>
    <w:rsid w:val="506C56BD"/>
    <w:rsid w:val="50B213CE"/>
    <w:rsid w:val="50EE3A89"/>
    <w:rsid w:val="511856D5"/>
    <w:rsid w:val="51271DBC"/>
    <w:rsid w:val="512C058A"/>
    <w:rsid w:val="512F0C70"/>
    <w:rsid w:val="512F2A1E"/>
    <w:rsid w:val="512F6EC2"/>
    <w:rsid w:val="513444D8"/>
    <w:rsid w:val="51404C2B"/>
    <w:rsid w:val="515D57DD"/>
    <w:rsid w:val="51A927D1"/>
    <w:rsid w:val="51D612A3"/>
    <w:rsid w:val="5237602E"/>
    <w:rsid w:val="523C3645"/>
    <w:rsid w:val="52C13B4A"/>
    <w:rsid w:val="52D95337"/>
    <w:rsid w:val="52F97788"/>
    <w:rsid w:val="5311687F"/>
    <w:rsid w:val="534A1729"/>
    <w:rsid w:val="5369498A"/>
    <w:rsid w:val="5370648C"/>
    <w:rsid w:val="53756B51"/>
    <w:rsid w:val="53764934"/>
    <w:rsid w:val="539908A6"/>
    <w:rsid w:val="53A92F5C"/>
    <w:rsid w:val="53C5766A"/>
    <w:rsid w:val="53CC27A6"/>
    <w:rsid w:val="53D53D51"/>
    <w:rsid w:val="54067506"/>
    <w:rsid w:val="542D76E9"/>
    <w:rsid w:val="546E7D01"/>
    <w:rsid w:val="548F2152"/>
    <w:rsid w:val="54B51D52"/>
    <w:rsid w:val="54F63F7F"/>
    <w:rsid w:val="55005333"/>
    <w:rsid w:val="5512068D"/>
    <w:rsid w:val="551A093C"/>
    <w:rsid w:val="5559450E"/>
    <w:rsid w:val="556A04C9"/>
    <w:rsid w:val="55761912"/>
    <w:rsid w:val="558F7F2F"/>
    <w:rsid w:val="55A439DB"/>
    <w:rsid w:val="55AC0AE1"/>
    <w:rsid w:val="55DE7067"/>
    <w:rsid w:val="560B1CAC"/>
    <w:rsid w:val="560C77D2"/>
    <w:rsid w:val="56191C53"/>
    <w:rsid w:val="56467E47"/>
    <w:rsid w:val="566E71DD"/>
    <w:rsid w:val="56BC786D"/>
    <w:rsid w:val="56C13637"/>
    <w:rsid w:val="56C8194B"/>
    <w:rsid w:val="56D431E8"/>
    <w:rsid w:val="56D627B6"/>
    <w:rsid w:val="56E524FD"/>
    <w:rsid w:val="573E1C0D"/>
    <w:rsid w:val="57566085"/>
    <w:rsid w:val="57AF48B9"/>
    <w:rsid w:val="57BC0665"/>
    <w:rsid w:val="57C33332"/>
    <w:rsid w:val="57C87729"/>
    <w:rsid w:val="57E83927"/>
    <w:rsid w:val="57E91B79"/>
    <w:rsid w:val="580469B3"/>
    <w:rsid w:val="583950B6"/>
    <w:rsid w:val="58411212"/>
    <w:rsid w:val="587358E6"/>
    <w:rsid w:val="5889510A"/>
    <w:rsid w:val="58A741ED"/>
    <w:rsid w:val="58AD704A"/>
    <w:rsid w:val="58DC16DE"/>
    <w:rsid w:val="59044790"/>
    <w:rsid w:val="59376914"/>
    <w:rsid w:val="59486D73"/>
    <w:rsid w:val="5954396A"/>
    <w:rsid w:val="59635B05"/>
    <w:rsid w:val="59D95C1D"/>
    <w:rsid w:val="59E3084A"/>
    <w:rsid w:val="5A0E6AB8"/>
    <w:rsid w:val="5A1153B7"/>
    <w:rsid w:val="5A13112F"/>
    <w:rsid w:val="5A430EFE"/>
    <w:rsid w:val="5A5A4FB0"/>
    <w:rsid w:val="5AA93841"/>
    <w:rsid w:val="5AC05880"/>
    <w:rsid w:val="5AD7795C"/>
    <w:rsid w:val="5AE12FDB"/>
    <w:rsid w:val="5AFA6F57"/>
    <w:rsid w:val="5B021145"/>
    <w:rsid w:val="5B074BDD"/>
    <w:rsid w:val="5B12588A"/>
    <w:rsid w:val="5B2B7465"/>
    <w:rsid w:val="5B417F1E"/>
    <w:rsid w:val="5B460A73"/>
    <w:rsid w:val="5B490B80"/>
    <w:rsid w:val="5B626558"/>
    <w:rsid w:val="5B767BC7"/>
    <w:rsid w:val="5B7D335E"/>
    <w:rsid w:val="5BA30291"/>
    <w:rsid w:val="5BB83C6A"/>
    <w:rsid w:val="5C073450"/>
    <w:rsid w:val="5C0F5719"/>
    <w:rsid w:val="5C1B251D"/>
    <w:rsid w:val="5C2C472A"/>
    <w:rsid w:val="5C3B496D"/>
    <w:rsid w:val="5C3B671B"/>
    <w:rsid w:val="5C606182"/>
    <w:rsid w:val="5C8E7193"/>
    <w:rsid w:val="5C950521"/>
    <w:rsid w:val="5D8726A2"/>
    <w:rsid w:val="5DBE5856"/>
    <w:rsid w:val="5DCA1D31"/>
    <w:rsid w:val="5DF72B16"/>
    <w:rsid w:val="5E040AAB"/>
    <w:rsid w:val="5E086D76"/>
    <w:rsid w:val="5E244317"/>
    <w:rsid w:val="5E7F4FE5"/>
    <w:rsid w:val="5E9D36BD"/>
    <w:rsid w:val="5EA92062"/>
    <w:rsid w:val="5EBA601D"/>
    <w:rsid w:val="5ED91E11"/>
    <w:rsid w:val="5F125E59"/>
    <w:rsid w:val="5F1C6CD8"/>
    <w:rsid w:val="5F1D65AC"/>
    <w:rsid w:val="5F503398"/>
    <w:rsid w:val="5F5C5326"/>
    <w:rsid w:val="5F753A23"/>
    <w:rsid w:val="5FC37153"/>
    <w:rsid w:val="5FC6060A"/>
    <w:rsid w:val="5FC627A0"/>
    <w:rsid w:val="5FD44EBD"/>
    <w:rsid w:val="5FE47271"/>
    <w:rsid w:val="601856F1"/>
    <w:rsid w:val="60651FB9"/>
    <w:rsid w:val="606C1599"/>
    <w:rsid w:val="60E2185B"/>
    <w:rsid w:val="60EE6452"/>
    <w:rsid w:val="60F2656F"/>
    <w:rsid w:val="61160466"/>
    <w:rsid w:val="6122434D"/>
    <w:rsid w:val="6148266D"/>
    <w:rsid w:val="616A2AFC"/>
    <w:rsid w:val="617821BF"/>
    <w:rsid w:val="61834DEC"/>
    <w:rsid w:val="61AE26A7"/>
    <w:rsid w:val="61C3012A"/>
    <w:rsid w:val="61D218D0"/>
    <w:rsid w:val="624C1682"/>
    <w:rsid w:val="625C6AE6"/>
    <w:rsid w:val="6277433C"/>
    <w:rsid w:val="62902033"/>
    <w:rsid w:val="62970423"/>
    <w:rsid w:val="62A23F41"/>
    <w:rsid w:val="62DE6052"/>
    <w:rsid w:val="630E4B89"/>
    <w:rsid w:val="63122D07"/>
    <w:rsid w:val="631C38D8"/>
    <w:rsid w:val="63520F1A"/>
    <w:rsid w:val="635307EE"/>
    <w:rsid w:val="6367429A"/>
    <w:rsid w:val="636E73D6"/>
    <w:rsid w:val="63780255"/>
    <w:rsid w:val="63892462"/>
    <w:rsid w:val="63E37DC4"/>
    <w:rsid w:val="63E43B3C"/>
    <w:rsid w:val="64032214"/>
    <w:rsid w:val="64181EFF"/>
    <w:rsid w:val="641A1953"/>
    <w:rsid w:val="642E12EC"/>
    <w:rsid w:val="64340620"/>
    <w:rsid w:val="6464424D"/>
    <w:rsid w:val="647B7FFD"/>
    <w:rsid w:val="64882719"/>
    <w:rsid w:val="64947310"/>
    <w:rsid w:val="64A21A2D"/>
    <w:rsid w:val="64B7608B"/>
    <w:rsid w:val="64BE25DF"/>
    <w:rsid w:val="64D12312"/>
    <w:rsid w:val="64D23995"/>
    <w:rsid w:val="651C53E1"/>
    <w:rsid w:val="653B59DE"/>
    <w:rsid w:val="65622F6B"/>
    <w:rsid w:val="65856C59"/>
    <w:rsid w:val="65860F5C"/>
    <w:rsid w:val="659F762B"/>
    <w:rsid w:val="65A73073"/>
    <w:rsid w:val="65A90B99"/>
    <w:rsid w:val="65AB22A7"/>
    <w:rsid w:val="65BD63F3"/>
    <w:rsid w:val="65D138A0"/>
    <w:rsid w:val="65D26342"/>
    <w:rsid w:val="65D976D1"/>
    <w:rsid w:val="65EB11B2"/>
    <w:rsid w:val="65F30067"/>
    <w:rsid w:val="66195D1F"/>
    <w:rsid w:val="66386EBE"/>
    <w:rsid w:val="663F5CAC"/>
    <w:rsid w:val="66456B14"/>
    <w:rsid w:val="665E7BD6"/>
    <w:rsid w:val="66A852F5"/>
    <w:rsid w:val="66B2068C"/>
    <w:rsid w:val="66C537B1"/>
    <w:rsid w:val="66CC2D91"/>
    <w:rsid w:val="66EE21D7"/>
    <w:rsid w:val="66FE6E71"/>
    <w:rsid w:val="67274411"/>
    <w:rsid w:val="6757424F"/>
    <w:rsid w:val="677E5C60"/>
    <w:rsid w:val="67917B37"/>
    <w:rsid w:val="67DC434B"/>
    <w:rsid w:val="67E660D5"/>
    <w:rsid w:val="67EE31DB"/>
    <w:rsid w:val="681B783C"/>
    <w:rsid w:val="683A1F7D"/>
    <w:rsid w:val="68453A46"/>
    <w:rsid w:val="684A4140"/>
    <w:rsid w:val="684B23DC"/>
    <w:rsid w:val="68535400"/>
    <w:rsid w:val="68856272"/>
    <w:rsid w:val="68B47F81"/>
    <w:rsid w:val="68D45F2D"/>
    <w:rsid w:val="690B6C2B"/>
    <w:rsid w:val="69791212"/>
    <w:rsid w:val="69831701"/>
    <w:rsid w:val="69937B96"/>
    <w:rsid w:val="6995280C"/>
    <w:rsid w:val="69A43B52"/>
    <w:rsid w:val="69B33D95"/>
    <w:rsid w:val="69FF347E"/>
    <w:rsid w:val="6A010FA4"/>
    <w:rsid w:val="6A294057"/>
    <w:rsid w:val="6A413A96"/>
    <w:rsid w:val="6A4A35D4"/>
    <w:rsid w:val="6A7A48B2"/>
    <w:rsid w:val="6A7A6FA8"/>
    <w:rsid w:val="6AC87D14"/>
    <w:rsid w:val="6AF208ED"/>
    <w:rsid w:val="6B234F4A"/>
    <w:rsid w:val="6B256F14"/>
    <w:rsid w:val="6B2E3B50"/>
    <w:rsid w:val="6B4665DD"/>
    <w:rsid w:val="6B767770"/>
    <w:rsid w:val="6BDA7CFF"/>
    <w:rsid w:val="6BF14C21"/>
    <w:rsid w:val="6BF54B38"/>
    <w:rsid w:val="6C0975D2"/>
    <w:rsid w:val="6C2947E2"/>
    <w:rsid w:val="6C520AEA"/>
    <w:rsid w:val="6C5F6456"/>
    <w:rsid w:val="6C7A503E"/>
    <w:rsid w:val="6CA95923"/>
    <w:rsid w:val="6CC9069F"/>
    <w:rsid w:val="6CFF5D83"/>
    <w:rsid w:val="6D1014FE"/>
    <w:rsid w:val="6D1E00BF"/>
    <w:rsid w:val="6D284A9A"/>
    <w:rsid w:val="6D3E250F"/>
    <w:rsid w:val="6D3F1745"/>
    <w:rsid w:val="6D667370"/>
    <w:rsid w:val="6D6F26C8"/>
    <w:rsid w:val="6D9C140F"/>
    <w:rsid w:val="6DAE1443"/>
    <w:rsid w:val="6DEB54A0"/>
    <w:rsid w:val="6DED6A63"/>
    <w:rsid w:val="6DF47D35"/>
    <w:rsid w:val="6E0946A8"/>
    <w:rsid w:val="6E1B015A"/>
    <w:rsid w:val="6E276AFF"/>
    <w:rsid w:val="6E337B9A"/>
    <w:rsid w:val="6E3631E6"/>
    <w:rsid w:val="6E3851B0"/>
    <w:rsid w:val="6E4A65FA"/>
    <w:rsid w:val="6E55366C"/>
    <w:rsid w:val="6E5A18AA"/>
    <w:rsid w:val="6EA2087C"/>
    <w:rsid w:val="6EAD0CD2"/>
    <w:rsid w:val="6EAE41BE"/>
    <w:rsid w:val="6ED547AD"/>
    <w:rsid w:val="6F0B2A24"/>
    <w:rsid w:val="6F132AC3"/>
    <w:rsid w:val="6F912DCA"/>
    <w:rsid w:val="6FC04153"/>
    <w:rsid w:val="700D7F77"/>
    <w:rsid w:val="702A28D7"/>
    <w:rsid w:val="70321441"/>
    <w:rsid w:val="703D260A"/>
    <w:rsid w:val="704E22C7"/>
    <w:rsid w:val="70875F7B"/>
    <w:rsid w:val="70912956"/>
    <w:rsid w:val="70930D2C"/>
    <w:rsid w:val="70DE6973"/>
    <w:rsid w:val="70E84C6C"/>
    <w:rsid w:val="70FD7FEB"/>
    <w:rsid w:val="71056494"/>
    <w:rsid w:val="7148570A"/>
    <w:rsid w:val="714B6FA9"/>
    <w:rsid w:val="71520A20"/>
    <w:rsid w:val="71881FAB"/>
    <w:rsid w:val="718F158B"/>
    <w:rsid w:val="71C31235"/>
    <w:rsid w:val="71E96D5E"/>
    <w:rsid w:val="71F43569"/>
    <w:rsid w:val="720C6371"/>
    <w:rsid w:val="72225F5B"/>
    <w:rsid w:val="72302055"/>
    <w:rsid w:val="723A2045"/>
    <w:rsid w:val="72700DDE"/>
    <w:rsid w:val="729701A9"/>
    <w:rsid w:val="72C2329A"/>
    <w:rsid w:val="72E476B5"/>
    <w:rsid w:val="72E503E5"/>
    <w:rsid w:val="72EE408F"/>
    <w:rsid w:val="73076EFF"/>
    <w:rsid w:val="730D3E5C"/>
    <w:rsid w:val="73341A5D"/>
    <w:rsid w:val="73A527A7"/>
    <w:rsid w:val="73B52DFF"/>
    <w:rsid w:val="73BE3A62"/>
    <w:rsid w:val="73CD1EF7"/>
    <w:rsid w:val="73EF1E6D"/>
    <w:rsid w:val="73FF34E7"/>
    <w:rsid w:val="74055146"/>
    <w:rsid w:val="74193742"/>
    <w:rsid w:val="741B0EB4"/>
    <w:rsid w:val="74266EEE"/>
    <w:rsid w:val="743B6451"/>
    <w:rsid w:val="744C3764"/>
    <w:rsid w:val="745F58C2"/>
    <w:rsid w:val="7467234B"/>
    <w:rsid w:val="74942A15"/>
    <w:rsid w:val="74AE1D28"/>
    <w:rsid w:val="74E82953"/>
    <w:rsid w:val="750556C0"/>
    <w:rsid w:val="751D3629"/>
    <w:rsid w:val="756D1BE3"/>
    <w:rsid w:val="75874327"/>
    <w:rsid w:val="75D02172"/>
    <w:rsid w:val="75E35A02"/>
    <w:rsid w:val="75E75F97"/>
    <w:rsid w:val="76144FAC"/>
    <w:rsid w:val="762946C4"/>
    <w:rsid w:val="76377242"/>
    <w:rsid w:val="76391AC6"/>
    <w:rsid w:val="765E152C"/>
    <w:rsid w:val="7662726E"/>
    <w:rsid w:val="769F7133"/>
    <w:rsid w:val="77291B3A"/>
    <w:rsid w:val="774424D0"/>
    <w:rsid w:val="7746169E"/>
    <w:rsid w:val="77681E6C"/>
    <w:rsid w:val="77690189"/>
    <w:rsid w:val="779E7B41"/>
    <w:rsid w:val="77B238DE"/>
    <w:rsid w:val="77C96E79"/>
    <w:rsid w:val="77F374B5"/>
    <w:rsid w:val="7836450F"/>
    <w:rsid w:val="783A38D3"/>
    <w:rsid w:val="78713799"/>
    <w:rsid w:val="78961451"/>
    <w:rsid w:val="78C2487D"/>
    <w:rsid w:val="78CA2EA9"/>
    <w:rsid w:val="78D065E5"/>
    <w:rsid w:val="78D87374"/>
    <w:rsid w:val="78DA7590"/>
    <w:rsid w:val="79084BB6"/>
    <w:rsid w:val="7933353D"/>
    <w:rsid w:val="79350978"/>
    <w:rsid w:val="793547C6"/>
    <w:rsid w:val="793A38C4"/>
    <w:rsid w:val="79492020"/>
    <w:rsid w:val="796F7173"/>
    <w:rsid w:val="797A58C2"/>
    <w:rsid w:val="79815562"/>
    <w:rsid w:val="79AB2DDB"/>
    <w:rsid w:val="7A2E35CB"/>
    <w:rsid w:val="7A454EDD"/>
    <w:rsid w:val="7A513882"/>
    <w:rsid w:val="7A831561"/>
    <w:rsid w:val="7A867C44"/>
    <w:rsid w:val="7AAD4830"/>
    <w:rsid w:val="7ACB4CB6"/>
    <w:rsid w:val="7AD718AD"/>
    <w:rsid w:val="7AE364A4"/>
    <w:rsid w:val="7B160627"/>
    <w:rsid w:val="7B227CEF"/>
    <w:rsid w:val="7B5F3D7C"/>
    <w:rsid w:val="7B820B7D"/>
    <w:rsid w:val="7B825CBD"/>
    <w:rsid w:val="7C044924"/>
    <w:rsid w:val="7C226211"/>
    <w:rsid w:val="7C4B60AF"/>
    <w:rsid w:val="7C5E4034"/>
    <w:rsid w:val="7C890C1E"/>
    <w:rsid w:val="7CCD11BA"/>
    <w:rsid w:val="7CE00EED"/>
    <w:rsid w:val="7CE56503"/>
    <w:rsid w:val="7D07647A"/>
    <w:rsid w:val="7D230DDA"/>
    <w:rsid w:val="7D2D68B7"/>
    <w:rsid w:val="7D32101D"/>
    <w:rsid w:val="7D5D253D"/>
    <w:rsid w:val="7DA168CE"/>
    <w:rsid w:val="7DE247F1"/>
    <w:rsid w:val="7DF52776"/>
    <w:rsid w:val="7DF77766"/>
    <w:rsid w:val="7DF82266"/>
    <w:rsid w:val="7E16190F"/>
    <w:rsid w:val="7E3C03A5"/>
    <w:rsid w:val="7E535658"/>
    <w:rsid w:val="7E8104AE"/>
    <w:rsid w:val="7E987C76"/>
    <w:rsid w:val="7EA36676"/>
    <w:rsid w:val="7EAB1087"/>
    <w:rsid w:val="7EB268B9"/>
    <w:rsid w:val="7EBE2413"/>
    <w:rsid w:val="7F18571A"/>
    <w:rsid w:val="7F1B7FBA"/>
    <w:rsid w:val="7F3E639F"/>
    <w:rsid w:val="7F4F291E"/>
    <w:rsid w:val="7F6A109C"/>
    <w:rsid w:val="7F721BA4"/>
    <w:rsid w:val="7F79392D"/>
    <w:rsid w:val="7F7C2839"/>
    <w:rsid w:val="7F89546E"/>
    <w:rsid w:val="7F9F508F"/>
    <w:rsid w:val="7FA2692E"/>
    <w:rsid w:val="7FCA19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ind w:firstLine="0" w:firstLineChars="0"/>
      <w:jc w:val="center"/>
      <w:outlineLvl w:val="0"/>
    </w:pPr>
    <w:rPr>
      <w:b/>
      <w:bCs/>
      <w:kern w:val="44"/>
      <w:sz w:val="36"/>
      <w:szCs w:val="36"/>
    </w:rPr>
  </w:style>
  <w:style w:type="paragraph" w:styleId="4">
    <w:name w:val="heading 3"/>
    <w:basedOn w:val="1"/>
    <w:next w:val="1"/>
    <w:link w:val="47"/>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39"/>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40"/>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spacing w:beforeLines="0"/>
      <w:ind w:firstLine="0" w:firstLineChars="0"/>
      <w:jc w:val="center"/>
    </w:pPr>
    <w:rPr>
      <w:rFonts w:eastAsia="黑体"/>
      <w:szCs w:val="21"/>
    </w:rPr>
  </w:style>
  <w:style w:type="paragraph" w:styleId="7">
    <w:name w:val="caption"/>
    <w:basedOn w:val="1"/>
    <w:next w:val="1"/>
    <w:unhideWhenUsed/>
    <w:qFormat/>
    <w:uiPriority w:val="0"/>
    <w:pPr>
      <w:jc w:val="center"/>
      <w:outlineLvl w:val="9"/>
    </w:pPr>
    <w:rPr>
      <w:rFonts w:ascii="Times New Roman" w:hAnsi="Times New Roman" w:eastAsia="宋体" w:cs="Times New Roman"/>
      <w:b/>
      <w:szCs w:val="21"/>
    </w:rPr>
  </w:style>
  <w:style w:type="paragraph" w:styleId="8">
    <w:name w:val="annotation text"/>
    <w:basedOn w:val="1"/>
    <w:qFormat/>
    <w:uiPriority w:val="0"/>
    <w:pPr>
      <w:jc w:val="left"/>
    </w:pPr>
  </w:style>
  <w:style w:type="paragraph" w:styleId="9">
    <w:name w:val="Salutation"/>
    <w:basedOn w:val="1"/>
    <w:next w:val="1"/>
    <w:unhideWhenUsed/>
    <w:qFormat/>
    <w:uiPriority w:val="99"/>
    <w:pPr>
      <w:spacing w:beforeLines="0" w:afterLines="0"/>
    </w:pPr>
    <w:rPr>
      <w:rFonts w:hint="default"/>
      <w:sz w:val="21"/>
      <w:szCs w:val="24"/>
    </w:r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spacing w:after="120"/>
      <w:ind w:left="420" w:leftChars="200"/>
    </w:pPr>
    <w:rPr>
      <w:kern w:val="0"/>
      <w:sz w:val="24"/>
      <w:szCs w:val="20"/>
    </w:rPr>
  </w:style>
  <w:style w:type="paragraph" w:customStyle="1" w:styleId="12">
    <w:name w:val="样式 正文文本缩进 + 行距: 1.5 倍行距"/>
    <w:basedOn w:val="11"/>
    <w:qFormat/>
    <w:uiPriority w:val="0"/>
    <w:pPr>
      <w:spacing w:before="0" w:after="120"/>
      <w:ind w:left="90" w:leftChars="32" w:firstLine="560" w:firstLineChars="200"/>
    </w:pPr>
    <w:rPr>
      <w:rFonts w:ascii="Times New Roman" w:cs="宋体"/>
    </w:rPr>
  </w:style>
  <w:style w:type="paragraph" w:styleId="13">
    <w:name w:val="Plain Text"/>
    <w:basedOn w:val="1"/>
    <w:next w:val="9"/>
    <w:qFormat/>
    <w:uiPriority w:val="0"/>
    <w:rPr>
      <w:rFonts w:ascii="宋体" w:hAnsi="Courier New"/>
    </w:r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unhideWhenUsed/>
    <w:qFormat/>
    <w:uiPriority w:val="39"/>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2"/>
    <w:basedOn w:val="11"/>
    <w:next w:val="1"/>
    <w:qFormat/>
    <w:uiPriority w:val="0"/>
    <w:pPr>
      <w:ind w:firstLine="420" w:firstLineChars="200"/>
    </w:pPr>
    <w:rPr>
      <w:kern w:val="2"/>
      <w:sz w:val="21"/>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0"/>
    <w:rPr>
      <w:b/>
    </w:rPr>
  </w:style>
  <w:style w:type="character" w:styleId="23">
    <w:name w:val="page number"/>
    <w:basedOn w:val="21"/>
    <w:qFormat/>
    <w:uiPriority w:val="0"/>
  </w:style>
  <w:style w:type="character" w:styleId="24">
    <w:name w:val="Hyperlink"/>
    <w:basedOn w:val="21"/>
    <w:qFormat/>
    <w:uiPriority w:val="0"/>
    <w:rPr>
      <w:color w:val="0000FF"/>
      <w:u w:val="single"/>
    </w:rPr>
  </w:style>
  <w:style w:type="character" w:styleId="25">
    <w:name w:val="annotation reference"/>
    <w:semiHidden/>
    <w:qFormat/>
    <w:uiPriority w:val="0"/>
    <w:rPr>
      <w:sz w:val="21"/>
    </w:rPr>
  </w:style>
  <w:style w:type="paragraph" w:customStyle="1" w:styleId="26">
    <w:name w:val="A"/>
    <w:basedOn w:val="1"/>
    <w:qFormat/>
    <w:uiPriority w:val="0"/>
    <w:pPr>
      <w:spacing w:before="50"/>
    </w:pPr>
    <w:rPr>
      <w:rFonts w:ascii="Times New Roman" w:hAnsi="Times New Roman" w:eastAsia="宋体" w:cs="Times New Roman"/>
      <w:b/>
      <w:bCs/>
      <w:sz w:val="28"/>
      <w:szCs w:val="28"/>
    </w:rPr>
  </w:style>
  <w:style w:type="paragraph" w:customStyle="1" w:styleId="27">
    <w:name w:val="表格文字"/>
    <w:basedOn w:val="13"/>
    <w:next w:val="1"/>
    <w:qFormat/>
    <w:uiPriority w:val="0"/>
    <w:pPr>
      <w:adjustRightInd w:val="0"/>
      <w:snapToGrid w:val="0"/>
      <w:spacing w:line="340" w:lineRule="exact"/>
      <w:jc w:val="center"/>
    </w:pPr>
    <w:rPr>
      <w:szCs w:val="20"/>
    </w:rPr>
  </w:style>
  <w:style w:type="paragraph" w:customStyle="1" w:styleId="28">
    <w:name w:val="Default"/>
    <w:basedOn w:val="29"/>
    <w:next w:val="18"/>
    <w:unhideWhenUsed/>
    <w:qFormat/>
    <w:uiPriority w:val="99"/>
    <w:pPr>
      <w:widowControl w:val="0"/>
      <w:autoSpaceDE w:val="0"/>
      <w:autoSpaceDN w:val="0"/>
      <w:adjustRightInd w:val="0"/>
      <w:jc w:val="center"/>
    </w:pPr>
    <w:rPr>
      <w:rFonts w:ascii="Times New Roman" w:hAnsi="Times New Roman" w:eastAsia="宋体" w:cs="Times New Roman"/>
      <w:color w:val="000000"/>
      <w:sz w:val="21"/>
      <w:szCs w:val="24"/>
      <w:lang w:val="en-US" w:eastAsia="zh-CN" w:bidi="ar-SA"/>
    </w:rPr>
  </w:style>
  <w:style w:type="paragraph" w:customStyle="1" w:styleId="29">
    <w:name w:val="纯文本1"/>
    <w:basedOn w:val="1"/>
    <w:qFormat/>
    <w:uiPriority w:val="0"/>
    <w:rPr>
      <w:rFonts w:ascii="宋体" w:hAnsi="Courier New"/>
    </w:rPr>
  </w:style>
  <w:style w:type="paragraph" w:customStyle="1" w:styleId="30">
    <w:name w:val="表格"/>
    <w:basedOn w:val="31"/>
    <w:qFormat/>
    <w:uiPriority w:val="0"/>
    <w:pPr>
      <w:adjustRightInd w:val="0"/>
      <w:snapToGrid w:val="0"/>
      <w:spacing w:beforeLines="10" w:afterLines="10" w:line="259" w:lineRule="auto"/>
      <w:jc w:val="center"/>
    </w:pPr>
    <w:rPr>
      <w:rFonts w:ascii="宋体"/>
      <w:kern w:val="0"/>
      <w:szCs w:val="20"/>
    </w:rPr>
  </w:style>
  <w:style w:type="paragraph" w:customStyle="1" w:styleId="31">
    <w:name w:val="表格标题"/>
    <w:basedOn w:val="1"/>
    <w:next w:val="30"/>
    <w:qFormat/>
    <w:uiPriority w:val="0"/>
    <w:pPr>
      <w:overflowPunct w:val="0"/>
      <w:autoSpaceDE w:val="0"/>
      <w:autoSpaceDN w:val="0"/>
      <w:adjustRightInd w:val="0"/>
      <w:snapToGrid w:val="0"/>
      <w:spacing w:line="240" w:lineRule="auto"/>
      <w:ind w:firstLine="0" w:firstLineChars="0"/>
      <w:jc w:val="center"/>
      <w:textAlignment w:val="baseline"/>
    </w:pPr>
    <w:rPr>
      <w:rFonts w:ascii="Times New Roman" w:hAnsi="Times New Roman" w:eastAsia="宋体"/>
      <w:b/>
      <w:bCs/>
      <w:kern w:val="0"/>
      <w:szCs w:val="21"/>
    </w:rPr>
  </w:style>
  <w:style w:type="character" w:customStyle="1" w:styleId="32">
    <w:name w:val="content1"/>
    <w:qFormat/>
    <w:uiPriority w:val="0"/>
    <w:rPr>
      <w:color w:val="000000"/>
      <w:sz w:val="20"/>
      <w:szCs w:val="20"/>
    </w:rPr>
  </w:style>
  <w:style w:type="paragraph" w:customStyle="1" w:styleId="33">
    <w:name w:val="样式9"/>
    <w:basedOn w:val="1"/>
    <w:qFormat/>
    <w:uiPriority w:val="0"/>
    <w:pPr>
      <w:adjustRightInd w:val="0"/>
      <w:snapToGrid w:val="0"/>
      <w:spacing w:line="460" w:lineRule="exact"/>
      <w:ind w:firstLine="520" w:firstLineChars="200"/>
    </w:pPr>
    <w:rPr>
      <w:sz w:val="26"/>
      <w:szCs w:val="26"/>
    </w:rPr>
  </w:style>
  <w:style w:type="paragraph" w:customStyle="1" w:styleId="34">
    <w:name w:val="正文文本 全"/>
    <w:basedOn w:val="10"/>
    <w:qFormat/>
    <w:uiPriority w:val="0"/>
    <w:pPr>
      <w:spacing w:before="0" w:after="0" w:line="360" w:lineRule="auto"/>
      <w:ind w:right="0" w:firstLine="200" w:firstLineChars="200"/>
    </w:pPr>
    <w:rPr>
      <w:sz w:val="21"/>
    </w:rPr>
  </w:style>
  <w:style w:type="paragraph" w:customStyle="1" w:styleId="35">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图标标题"/>
    <w:basedOn w:val="37"/>
    <w:qFormat/>
    <w:uiPriority w:val="0"/>
    <w:rPr>
      <w:color w:val="000000"/>
      <w:sz w:val="21"/>
      <w:szCs w:val="21"/>
    </w:rPr>
  </w:style>
  <w:style w:type="paragraph" w:customStyle="1" w:styleId="37">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38">
    <w:name w:val="表格文本"/>
    <w:basedOn w:val="27"/>
    <w:qFormat/>
    <w:uiPriority w:val="0"/>
    <w:rPr>
      <w:color w:val="000000"/>
      <w:sz w:val="18"/>
    </w:rPr>
  </w:style>
  <w:style w:type="character" w:customStyle="1" w:styleId="39">
    <w:name w:val="标题 4 Char"/>
    <w:link w:val="5"/>
    <w:qFormat/>
    <w:uiPriority w:val="9"/>
    <w:rPr>
      <w:rFonts w:ascii="Cambria" w:hAnsi="Cambria" w:eastAsia="宋体" w:cs="Times New Roman"/>
      <w:b/>
      <w:bCs/>
      <w:sz w:val="28"/>
      <w:szCs w:val="28"/>
    </w:rPr>
  </w:style>
  <w:style w:type="character" w:customStyle="1" w:styleId="40">
    <w:name w:val="标题 5 Char"/>
    <w:link w:val="6"/>
    <w:qFormat/>
    <w:uiPriority w:val="0"/>
    <w:rPr>
      <w:b/>
      <w:sz w:val="28"/>
    </w:rPr>
  </w:style>
  <w:style w:type="paragraph" w:customStyle="1" w:styleId="41">
    <w:name w:val="样式 左侧:  0.85 厘米"/>
    <w:basedOn w:val="1"/>
    <w:semiHidden/>
    <w:qFormat/>
    <w:uiPriority w:val="0"/>
    <w:pPr>
      <w:adjustRightInd w:val="0"/>
      <w:spacing w:line="360" w:lineRule="auto"/>
      <w:ind w:firstLine="480" w:firstLineChars="200"/>
    </w:pPr>
    <w:rPr>
      <w:rFonts w:cs="宋体"/>
      <w:kern w:val="0"/>
      <w:sz w:val="24"/>
      <w:szCs w:val="24"/>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环评正文"/>
    <w:basedOn w:val="1"/>
    <w:qFormat/>
    <w:uiPriority w:val="0"/>
    <w:pPr>
      <w:spacing w:beforeLines="30" w:after="100" w:afterAutospacing="1"/>
      <w:ind w:firstLine="480" w:firstLineChars="200"/>
    </w:pPr>
    <w:rPr>
      <w:rFonts w:ascii="Tahoma" w:hAnsi="Tahoma" w:cs="Tahoma"/>
      <w:kern w:val="0"/>
      <w:sz w:val="24"/>
      <w:szCs w:val="24"/>
    </w:rPr>
  </w:style>
  <w:style w:type="paragraph" w:customStyle="1" w:styleId="44">
    <w:name w:val="报告正文"/>
    <w:basedOn w:val="1"/>
    <w:qFormat/>
    <w:uiPriority w:val="0"/>
    <w:pPr>
      <w:spacing w:line="360" w:lineRule="auto"/>
      <w:ind w:firstLine="720" w:firstLineChars="200"/>
    </w:pPr>
    <w:rPr>
      <w:rFonts w:ascii="Times New Roman" w:hAnsi="Times New Roman"/>
      <w:sz w:val="24"/>
    </w:rPr>
  </w:style>
  <w:style w:type="paragraph" w:customStyle="1" w:styleId="45">
    <w:name w:val="Table Text"/>
    <w:basedOn w:val="1"/>
    <w:semiHidden/>
    <w:qFormat/>
    <w:uiPriority w:val="0"/>
    <w:rPr>
      <w:rFonts w:ascii="宋体" w:hAnsi="宋体" w:eastAsia="宋体" w:cs="宋体"/>
      <w:sz w:val="24"/>
      <w:szCs w:val="24"/>
      <w:lang w:val="en-US" w:eastAsia="en-US" w:bidi="ar-SA"/>
    </w:rPr>
  </w:style>
  <w:style w:type="table" w:customStyle="1" w:styleId="46">
    <w:name w:val="Table Normal"/>
    <w:semiHidden/>
    <w:unhideWhenUsed/>
    <w:qFormat/>
    <w:uiPriority w:val="0"/>
    <w:tblPr>
      <w:tblCellMar>
        <w:top w:w="0" w:type="dxa"/>
        <w:left w:w="0" w:type="dxa"/>
        <w:bottom w:w="0" w:type="dxa"/>
        <w:right w:w="0" w:type="dxa"/>
      </w:tblCellMar>
    </w:tblPr>
  </w:style>
  <w:style w:type="character" w:customStyle="1" w:styleId="47">
    <w:name w:val="标题 3 Char1"/>
    <w:link w:val="4"/>
    <w:qFormat/>
    <w:uiPriority w:val="0"/>
    <w:rPr>
      <w:rFonts w:hint="eastAsia" w:ascii="宋体" w:hAnsi="宋体" w:eastAsia="宋体" w:cs="宋体"/>
      <w:b/>
      <w:bCs/>
      <w:kern w:val="0"/>
      <w:sz w:val="27"/>
      <w:szCs w:val="27"/>
      <w:lang w:val="en-US" w:eastAsia="zh-CN" w:bidi="ar"/>
    </w:rPr>
  </w:style>
  <w:style w:type="character" w:customStyle="1" w:styleId="48">
    <w:name w:val="font11"/>
    <w:basedOn w:val="21"/>
    <w:qFormat/>
    <w:uiPriority w:val="0"/>
    <w:rPr>
      <w:rFonts w:hint="eastAsia" w:ascii="宋体" w:hAnsi="宋体" w:eastAsia="宋体" w:cs="宋体"/>
      <w:b/>
      <w:bCs/>
      <w:color w:val="000000"/>
      <w:sz w:val="21"/>
      <w:szCs w:val="21"/>
      <w:u w:val="none"/>
    </w:rPr>
  </w:style>
  <w:style w:type="character" w:customStyle="1" w:styleId="49">
    <w:name w:val="font31"/>
    <w:basedOn w:val="21"/>
    <w:qFormat/>
    <w:uiPriority w:val="0"/>
    <w:rPr>
      <w:rFonts w:hint="default" w:ascii="Times New Roman" w:hAnsi="Times New Roman" w:cs="Times New Roman"/>
      <w:b/>
      <w:bCs/>
      <w:color w:val="000000"/>
      <w:sz w:val="21"/>
      <w:szCs w:val="21"/>
      <w:u w:val="none"/>
    </w:rPr>
  </w:style>
  <w:style w:type="character" w:customStyle="1" w:styleId="50">
    <w:name w:val="font41"/>
    <w:basedOn w:val="21"/>
    <w:qFormat/>
    <w:uiPriority w:val="0"/>
    <w:rPr>
      <w:rFonts w:hint="default" w:ascii="Times New Roman" w:hAnsi="Times New Roman" w:cs="Times New Roman"/>
      <w:b/>
      <w:bCs/>
      <w:color w:val="000000"/>
      <w:sz w:val="21"/>
      <w:szCs w:val="21"/>
      <w:u w:val="none"/>
      <w:vertAlign w:val="superscript"/>
    </w:rPr>
  </w:style>
  <w:style w:type="character" w:customStyle="1" w:styleId="51">
    <w:name w:val="font21"/>
    <w:basedOn w:val="21"/>
    <w:qFormat/>
    <w:uiPriority w:val="0"/>
    <w:rPr>
      <w:rFonts w:hint="eastAsia" w:ascii="宋体" w:hAnsi="宋体" w:eastAsia="宋体" w:cs="宋体"/>
      <w:color w:val="000000"/>
      <w:sz w:val="21"/>
      <w:szCs w:val="21"/>
      <w:u w:val="none"/>
    </w:rPr>
  </w:style>
  <w:style w:type="character" w:customStyle="1" w:styleId="52">
    <w:name w:val="font51"/>
    <w:basedOn w:val="21"/>
    <w:qFormat/>
    <w:uiPriority w:val="0"/>
    <w:rPr>
      <w:rFonts w:hint="default" w:ascii="Times New Roman" w:hAnsi="Times New Roman" w:cs="Times New Roman"/>
      <w:color w:val="000000"/>
      <w:sz w:val="21"/>
      <w:szCs w:val="21"/>
      <w:u w:val="none"/>
    </w:rPr>
  </w:style>
  <w:style w:type="character" w:customStyle="1" w:styleId="53">
    <w:name w:val="font61"/>
    <w:basedOn w:val="21"/>
    <w:qFormat/>
    <w:uiPriority w:val="0"/>
    <w:rPr>
      <w:rFonts w:hint="eastAsia" w:ascii="宋体" w:hAnsi="宋体" w:eastAsia="宋体" w:cs="宋体"/>
      <w:color w:val="FF0000"/>
      <w:sz w:val="21"/>
      <w:szCs w:val="21"/>
      <w:u w:val="none"/>
    </w:rPr>
  </w:style>
  <w:style w:type="character" w:customStyle="1" w:styleId="54">
    <w:name w:val="font71"/>
    <w:basedOn w:val="21"/>
    <w:qFormat/>
    <w:uiPriority w:val="0"/>
    <w:rPr>
      <w:rFonts w:hint="default" w:ascii="Times New Roman" w:hAnsi="Times New Roman" w:cs="Times New Roman"/>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42750</Words>
  <Characters>46521</Characters>
  <Lines>1</Lines>
  <Paragraphs>1</Paragraphs>
  <TotalTime>8</TotalTime>
  <ScaleCrop>false</ScaleCrop>
  <LinksUpToDate>false</LinksUpToDate>
  <CharactersWithSpaces>46645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2022-10-07T23:56:00Z</dcterms:created>
  <dc:creator>Administrator</dc:creator>
  <cp:lastModifiedBy>陈志骞</cp:lastModifiedBy>
  <cp:lastPrinted>2023-08-23T09:27:00Z</cp:lastPrinted>
  <dcterms:modified xsi:type="dcterms:W3CDTF">2024-01-19T04:36:56Z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86EF462FEE874FDDB54FD5A58A26B6E0_13</vt:lpwstr>
  </property>
</Properties>
</file>