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sz w:val="36"/>
          <w:szCs w:val="36"/>
        </w:rPr>
      </w:pPr>
    </w:p>
    <w:p>
      <w:pPr>
        <w:rPr>
          <w:rFonts w:ascii="仿宋_GB2312" w:hAnsi="仿宋_GB2312" w:eastAsia="仿宋_GB2312" w:cs="仿宋_GB2312"/>
          <w:sz w:val="36"/>
          <w:szCs w:val="36"/>
        </w:rPr>
      </w:pPr>
    </w:p>
    <w:p>
      <w:pPr>
        <w:rPr>
          <w:rFonts w:ascii="仿宋_GB2312" w:hAnsi="仿宋_GB2312" w:eastAsia="仿宋_GB2312" w:cs="仿宋_GB2312"/>
          <w:sz w:val="36"/>
          <w:szCs w:val="36"/>
        </w:rPr>
      </w:pPr>
    </w:p>
    <w:p>
      <w:pPr>
        <w:adjustRightInd w:val="0"/>
        <w:snapToGrid w:val="0"/>
        <w:jc w:val="center"/>
        <w:outlineLvl w:val="0"/>
        <w:rPr>
          <w:rFonts w:ascii="方正小标宋_GBK" w:eastAsia="方正小标宋_GBK"/>
          <w:bCs/>
          <w:sz w:val="72"/>
          <w:szCs w:val="72"/>
        </w:rPr>
      </w:pPr>
      <w:bookmarkStart w:id="0" w:name="_Toc111712322"/>
      <w:r>
        <w:rPr>
          <w:rFonts w:hint="eastAsia" w:ascii="方正小标宋_GBK" w:eastAsia="方正小标宋_GBK"/>
          <w:bCs/>
          <w:sz w:val="72"/>
          <w:szCs w:val="72"/>
        </w:rPr>
        <w:t>建设项目环境影响报告表</w:t>
      </w:r>
      <w:bookmarkEnd w:id="0"/>
    </w:p>
    <w:p>
      <w:pPr>
        <w:adjustRightInd w:val="0"/>
        <w:snapToGrid w:val="0"/>
        <w:spacing w:beforeLines="80"/>
        <w:jc w:val="center"/>
        <w:rPr>
          <w:rFonts w:ascii="楷体_GB2312" w:eastAsia="楷体_GB2312"/>
          <w:bCs/>
          <w:sz w:val="48"/>
          <w:szCs w:val="48"/>
        </w:rPr>
      </w:pPr>
      <w:r>
        <w:rPr>
          <w:rFonts w:hint="eastAsia" w:ascii="楷体_GB2312" w:eastAsia="楷体_GB2312"/>
          <w:bCs/>
          <w:sz w:val="48"/>
          <w:szCs w:val="48"/>
        </w:rPr>
        <w:t>（污染影响类）</w:t>
      </w:r>
    </w:p>
    <w:p>
      <w:pPr>
        <w:adjustRightInd w:val="0"/>
        <w:snapToGrid w:val="0"/>
        <w:spacing w:line="288" w:lineRule="auto"/>
        <w:jc w:val="center"/>
        <w:outlineLvl w:val="0"/>
        <w:rPr>
          <w:rFonts w:ascii="华文仿宋" w:hAnsi="华文仿宋" w:eastAsia="华文仿宋" w:cs="华文仿宋"/>
          <w:color w:val="000000"/>
          <w:kern w:val="44"/>
          <w:sz w:val="44"/>
          <w:szCs w:val="44"/>
        </w:rPr>
      </w:pPr>
    </w:p>
    <w:p>
      <w:pPr>
        <w:jc w:val="center"/>
        <w:rPr>
          <w:rFonts w:eastAsia="仿宋"/>
          <w:sz w:val="52"/>
          <w:szCs w:val="52"/>
        </w:rPr>
      </w:pPr>
    </w:p>
    <w:p>
      <w:pPr>
        <w:rPr>
          <w:rFonts w:eastAsia="仿宋"/>
          <w:sz w:val="44"/>
          <w:szCs w:val="44"/>
        </w:rPr>
      </w:pPr>
    </w:p>
    <w:p>
      <w:pPr>
        <w:ind w:firstLine="1040"/>
        <w:rPr>
          <w:rFonts w:eastAsia="仿宋"/>
          <w:sz w:val="44"/>
          <w:szCs w:val="44"/>
        </w:rPr>
      </w:pPr>
    </w:p>
    <w:p>
      <w:pPr>
        <w:ind w:firstLine="1040"/>
        <w:rPr>
          <w:rFonts w:eastAsia="仿宋"/>
          <w:sz w:val="44"/>
          <w:szCs w:val="44"/>
        </w:rPr>
      </w:pPr>
    </w:p>
    <w:p>
      <w:pPr>
        <w:ind w:firstLine="1040"/>
        <w:rPr>
          <w:rFonts w:eastAsia="仿宋"/>
          <w:sz w:val="44"/>
          <w:szCs w:val="44"/>
        </w:rPr>
      </w:pPr>
    </w:p>
    <w:p>
      <w:pPr>
        <w:adjustRightInd w:val="0"/>
        <w:snapToGrid w:val="0"/>
        <w:spacing w:line="288" w:lineRule="auto"/>
        <w:ind w:left="1800" w:hanging="1800" w:hangingChars="500"/>
        <w:rPr>
          <w:rFonts w:asciiTheme="majorEastAsia" w:hAnsiTheme="majorEastAsia" w:eastAsiaTheme="majorEastAsia"/>
          <w:sz w:val="36"/>
          <w:szCs w:val="36"/>
          <w:u w:val="single"/>
        </w:rPr>
      </w:pPr>
      <w:bookmarkStart w:id="1" w:name="_Hlk57884087"/>
      <w:r>
        <w:rPr>
          <w:rFonts w:hint="eastAsia" w:asciiTheme="majorEastAsia" w:hAnsiTheme="majorEastAsia" w:eastAsiaTheme="majorEastAsia"/>
          <w:sz w:val="36"/>
          <w:szCs w:val="36"/>
        </w:rPr>
        <w:t>项目名称：</w:t>
      </w:r>
      <w:r>
        <w:rPr>
          <w:rFonts w:hint="eastAsia" w:asciiTheme="majorEastAsia" w:hAnsiTheme="majorEastAsia" w:eastAsiaTheme="majorEastAsia"/>
          <w:sz w:val="36"/>
          <w:szCs w:val="36"/>
          <w:u w:val="single"/>
        </w:rPr>
        <w:t xml:space="preserve"> 衡阳市新德力交通材料有限公司</w:t>
      </w:r>
      <w:r>
        <w:rPr>
          <w:rFonts w:hint="eastAsia" w:asciiTheme="majorEastAsia" w:hAnsiTheme="majorEastAsia" w:eastAsiaTheme="majorEastAsia"/>
          <w:sz w:val="36"/>
          <w:szCs w:val="36"/>
          <w:u w:val="single"/>
          <w:lang w:val="en-US" w:eastAsia="zh-CN"/>
        </w:rPr>
        <w:t>改建项目</w:t>
      </w:r>
      <w:r>
        <w:rPr>
          <w:rFonts w:hint="eastAsia" w:asciiTheme="majorEastAsia" w:hAnsiTheme="majorEastAsia" w:eastAsiaTheme="majorEastAsia"/>
          <w:sz w:val="36"/>
          <w:szCs w:val="36"/>
          <w:u w:val="single"/>
        </w:rPr>
        <w:t xml:space="preserve"> </w:t>
      </w:r>
    </w:p>
    <w:p>
      <w:pPr>
        <w:adjustRightInd w:val="0"/>
        <w:snapToGrid w:val="0"/>
        <w:spacing w:line="288" w:lineRule="auto"/>
        <w:rPr>
          <w:rFonts w:asciiTheme="majorEastAsia" w:hAnsiTheme="majorEastAsia" w:eastAsiaTheme="majorEastAsia"/>
          <w:sz w:val="36"/>
          <w:szCs w:val="36"/>
          <w:u w:val="single"/>
        </w:rPr>
      </w:pPr>
      <w:r>
        <w:rPr>
          <w:rFonts w:hint="eastAsia" w:asciiTheme="majorEastAsia" w:hAnsiTheme="majorEastAsia" w:eastAsiaTheme="majorEastAsia"/>
          <w:sz w:val="36"/>
          <w:szCs w:val="36"/>
        </w:rPr>
        <w:t>建设单位（盖章）：</w:t>
      </w:r>
      <w:r>
        <w:rPr>
          <w:rFonts w:hint="eastAsia" w:asciiTheme="majorEastAsia" w:hAnsiTheme="majorEastAsia" w:eastAsiaTheme="majorEastAsia"/>
          <w:sz w:val="36"/>
          <w:szCs w:val="36"/>
          <w:u w:val="single"/>
        </w:rPr>
        <w:t xml:space="preserve"> 衡阳市新德力交通材料有限公司 </w:t>
      </w:r>
    </w:p>
    <w:p>
      <w:pPr>
        <w:adjustRightInd w:val="0"/>
        <w:snapToGrid w:val="0"/>
        <w:spacing w:line="288" w:lineRule="auto"/>
        <w:rPr>
          <w:rFonts w:asciiTheme="majorEastAsia" w:hAnsiTheme="majorEastAsia" w:eastAsiaTheme="majorEastAsia"/>
          <w:sz w:val="36"/>
          <w:szCs w:val="36"/>
          <w:u w:val="single"/>
        </w:rPr>
      </w:pPr>
      <w:r>
        <w:rPr>
          <w:rFonts w:hint="eastAsia" w:asciiTheme="majorEastAsia" w:hAnsiTheme="majorEastAsia" w:eastAsiaTheme="majorEastAsia"/>
          <w:sz w:val="36"/>
          <w:szCs w:val="36"/>
        </w:rPr>
        <w:t>编制日期：</w:t>
      </w:r>
      <w:r>
        <w:rPr>
          <w:rFonts w:hint="eastAsia" w:asciiTheme="majorEastAsia" w:hAnsiTheme="majorEastAsia" w:eastAsiaTheme="majorEastAsia"/>
          <w:sz w:val="36"/>
          <w:szCs w:val="36"/>
          <w:u w:val="single"/>
        </w:rPr>
        <w:t xml:space="preserve"> </w:t>
      </w:r>
      <w:r>
        <w:rPr>
          <w:rFonts w:asciiTheme="majorEastAsia" w:hAnsiTheme="majorEastAsia" w:eastAsiaTheme="majorEastAsia"/>
          <w:sz w:val="36"/>
          <w:szCs w:val="36"/>
          <w:u w:val="single"/>
        </w:rPr>
        <w:t xml:space="preserve">  </w:t>
      </w:r>
      <w:r>
        <w:rPr>
          <w:rFonts w:hint="eastAsia" w:asciiTheme="majorEastAsia" w:hAnsiTheme="majorEastAsia" w:eastAsiaTheme="majorEastAsia"/>
          <w:sz w:val="36"/>
          <w:szCs w:val="36"/>
          <w:u w:val="single"/>
        </w:rPr>
        <w:t xml:space="preserve">           2023年9月</w:t>
      </w:r>
      <w:r>
        <w:rPr>
          <w:rFonts w:asciiTheme="majorEastAsia" w:hAnsiTheme="majorEastAsia" w:eastAsiaTheme="majorEastAsia"/>
          <w:sz w:val="36"/>
          <w:szCs w:val="36"/>
          <w:u w:val="single"/>
        </w:rPr>
        <w:t xml:space="preserve">   </w:t>
      </w:r>
      <w:r>
        <w:rPr>
          <w:rFonts w:hint="eastAsia" w:asciiTheme="majorEastAsia" w:hAnsiTheme="majorEastAsia" w:eastAsiaTheme="majorEastAsia"/>
          <w:sz w:val="36"/>
          <w:szCs w:val="36"/>
          <w:u w:val="single"/>
        </w:rPr>
        <w:t xml:space="preserve">          </w:t>
      </w:r>
    </w:p>
    <w:p>
      <w:pPr>
        <w:adjustRightInd w:val="0"/>
        <w:snapToGrid w:val="0"/>
        <w:spacing w:line="288" w:lineRule="auto"/>
        <w:ind w:firstLine="1040"/>
        <w:rPr>
          <w:rFonts w:ascii="仿宋_GB2312" w:eastAsia="仿宋_GB2312"/>
          <w:sz w:val="36"/>
          <w:szCs w:val="36"/>
          <w:u w:val="single"/>
        </w:rPr>
      </w:pPr>
    </w:p>
    <w:p>
      <w:pPr>
        <w:adjustRightInd w:val="0"/>
        <w:snapToGrid w:val="0"/>
        <w:spacing w:line="288" w:lineRule="auto"/>
        <w:ind w:firstLine="1040"/>
        <w:rPr>
          <w:rFonts w:ascii="仿宋_GB2312" w:eastAsia="仿宋_GB2312"/>
          <w:sz w:val="36"/>
          <w:szCs w:val="36"/>
        </w:rPr>
      </w:pPr>
    </w:p>
    <w:p>
      <w:pPr>
        <w:adjustRightInd w:val="0"/>
        <w:snapToGrid w:val="0"/>
        <w:spacing w:line="288" w:lineRule="auto"/>
        <w:ind w:firstLine="1040"/>
        <w:rPr>
          <w:rFonts w:ascii="仿宋_GB2312" w:eastAsia="仿宋_GB2312"/>
          <w:sz w:val="36"/>
          <w:szCs w:val="36"/>
        </w:rPr>
      </w:pPr>
    </w:p>
    <w:bookmarkEnd w:id="1"/>
    <w:p>
      <w:pPr>
        <w:adjustRightInd w:val="0"/>
        <w:snapToGrid w:val="0"/>
        <w:spacing w:line="288" w:lineRule="auto"/>
        <w:jc w:val="center"/>
        <w:rPr>
          <w:rFonts w:ascii="楷体_GB2312" w:eastAsia="楷体_GB2312"/>
          <w:sz w:val="36"/>
          <w:szCs w:val="36"/>
        </w:rPr>
      </w:pPr>
      <w:r>
        <w:rPr>
          <w:rFonts w:hint="eastAsia" w:ascii="楷体_GB2312" w:eastAsia="楷体_GB2312"/>
          <w:sz w:val="36"/>
          <w:szCs w:val="36"/>
        </w:rPr>
        <w:t>中华人民共和国生态环境部制</w:t>
      </w:r>
    </w:p>
    <w:p>
      <w:pPr>
        <w:adjustRightInd w:val="0"/>
        <w:snapToGrid w:val="0"/>
        <w:spacing w:line="288" w:lineRule="auto"/>
        <w:ind w:firstLine="1040"/>
        <w:rPr>
          <w:rFonts w:ascii="仿宋_GB2312" w:eastAsia="仿宋_GB2312"/>
          <w:sz w:val="36"/>
          <w:szCs w:val="36"/>
        </w:rPr>
        <w:sectPr>
          <w:footerReference r:id="rId3" w:type="default"/>
          <w:footerReference r:id="rId4" w:type="even"/>
          <w:pgSz w:w="11906" w:h="16838"/>
          <w:pgMar w:top="1701" w:right="1531" w:bottom="1701" w:left="1531" w:header="851" w:footer="1077" w:gutter="0"/>
          <w:pgBorders>
            <w:top w:val="none" w:sz="0" w:space="0"/>
            <w:left w:val="none" w:sz="0" w:space="0"/>
            <w:bottom w:val="none" w:sz="0" w:space="0"/>
            <w:right w:val="none" w:sz="0" w:space="0"/>
          </w:pgBorders>
          <w:pgNumType w:start="3"/>
          <w:cols w:space="720" w:num="1"/>
          <w:docGrid w:linePitch="312" w:charSpace="0"/>
        </w:sectPr>
      </w:pPr>
    </w:p>
    <w:p>
      <w:pPr>
        <w:pStyle w:val="21"/>
        <w:jc w:val="center"/>
        <w:outlineLvl w:val="0"/>
        <w:rPr>
          <w:rFonts w:ascii="黑体" w:hAnsi="黑体" w:eastAsia="黑体"/>
          <w:snapToGrid w:val="0"/>
          <w:sz w:val="30"/>
          <w:szCs w:val="30"/>
        </w:rPr>
      </w:pPr>
      <w:bookmarkStart w:id="2" w:name="_Toc109898366"/>
      <w:bookmarkStart w:id="3" w:name="_Toc111712323"/>
      <w:r>
        <w:rPr>
          <w:rFonts w:hint="eastAsia" w:ascii="黑体" w:hAnsi="黑体" w:eastAsia="黑体"/>
          <w:snapToGrid w:val="0"/>
          <w:sz w:val="30"/>
          <w:szCs w:val="30"/>
        </w:rPr>
        <w:t>目  录</w:t>
      </w:r>
      <w:bookmarkEnd w:id="2"/>
      <w:bookmarkEnd w:id="3"/>
    </w:p>
    <w:p>
      <w:pPr>
        <w:pStyle w:val="18"/>
        <w:tabs>
          <w:tab w:val="right" w:leader="dot" w:pos="8834"/>
        </w:tabs>
        <w:spacing w:line="360" w:lineRule="auto"/>
        <w:rPr>
          <w:rFonts w:eastAsiaTheme="minorEastAsia"/>
          <w:sz w:val="24"/>
        </w:rPr>
      </w:pPr>
      <w:r>
        <w:rPr>
          <w:rFonts w:eastAsiaTheme="minorEastAsia"/>
          <w:snapToGrid w:val="0"/>
          <w:sz w:val="24"/>
        </w:rPr>
        <w:fldChar w:fldCharType="begin"/>
      </w:r>
      <w:r>
        <w:rPr>
          <w:rFonts w:eastAsiaTheme="minorEastAsia"/>
          <w:snapToGrid w:val="0"/>
          <w:sz w:val="24"/>
        </w:rPr>
        <w:instrText xml:space="preserve"> TOC \o "1-1" \h \z \u </w:instrText>
      </w:r>
      <w:r>
        <w:rPr>
          <w:rFonts w:eastAsiaTheme="minorEastAsia"/>
          <w:snapToGrid w:val="0"/>
          <w:sz w:val="24"/>
        </w:rPr>
        <w:fldChar w:fldCharType="separate"/>
      </w:r>
      <w:r>
        <w:fldChar w:fldCharType="begin"/>
      </w:r>
      <w:r>
        <w:instrText xml:space="preserve"> HYPERLINK \l "_Toc111712326" </w:instrText>
      </w:r>
      <w:r>
        <w:fldChar w:fldCharType="separate"/>
      </w:r>
      <w:r>
        <w:rPr>
          <w:rStyle w:val="31"/>
          <w:rFonts w:hAnsiTheme="minorEastAsia" w:eastAsiaTheme="minorEastAsia"/>
          <w:snapToGrid w:val="0"/>
          <w:sz w:val="24"/>
        </w:rPr>
        <w:t>一、建设项目基本情况</w:t>
      </w:r>
      <w:r>
        <w:rPr>
          <w:rFonts w:eastAsiaTheme="minorEastAsia"/>
          <w:sz w:val="24"/>
        </w:rPr>
        <w:tab/>
      </w:r>
      <w:r>
        <w:rPr>
          <w:rFonts w:eastAsiaTheme="minorEastAsia"/>
          <w:sz w:val="24"/>
        </w:rPr>
        <w:fldChar w:fldCharType="begin"/>
      </w:r>
      <w:r>
        <w:rPr>
          <w:rFonts w:eastAsiaTheme="minorEastAsia"/>
          <w:sz w:val="24"/>
        </w:rPr>
        <w:instrText xml:space="preserve"> PAGEREF _Toc111712326 \h </w:instrText>
      </w:r>
      <w:r>
        <w:rPr>
          <w:rFonts w:eastAsiaTheme="minorEastAsia"/>
          <w:sz w:val="24"/>
        </w:rPr>
        <w:fldChar w:fldCharType="separate"/>
      </w:r>
      <w:r>
        <w:rPr>
          <w:rFonts w:eastAsiaTheme="minorEastAsia"/>
          <w:sz w:val="24"/>
        </w:rPr>
        <w:t>2</w:t>
      </w:r>
      <w:r>
        <w:rPr>
          <w:rFonts w:eastAsiaTheme="minorEastAsia"/>
          <w:sz w:val="24"/>
        </w:rPr>
        <w:fldChar w:fldCharType="end"/>
      </w:r>
      <w:r>
        <w:rPr>
          <w:rFonts w:eastAsiaTheme="minorEastAsia"/>
          <w:sz w:val="24"/>
        </w:rPr>
        <w:fldChar w:fldCharType="end"/>
      </w:r>
    </w:p>
    <w:p>
      <w:pPr>
        <w:pStyle w:val="18"/>
        <w:tabs>
          <w:tab w:val="right" w:leader="dot" w:pos="8834"/>
        </w:tabs>
        <w:spacing w:line="360" w:lineRule="auto"/>
        <w:rPr>
          <w:rFonts w:eastAsiaTheme="minorEastAsia"/>
          <w:sz w:val="24"/>
        </w:rPr>
      </w:pPr>
      <w:r>
        <w:fldChar w:fldCharType="begin"/>
      </w:r>
      <w:r>
        <w:instrText xml:space="preserve"> HYPERLINK \l "_Toc111712327" </w:instrText>
      </w:r>
      <w:r>
        <w:fldChar w:fldCharType="separate"/>
      </w:r>
      <w:r>
        <w:rPr>
          <w:rStyle w:val="31"/>
          <w:rFonts w:hAnsiTheme="minorEastAsia" w:eastAsiaTheme="minorEastAsia"/>
          <w:snapToGrid w:val="0"/>
          <w:sz w:val="24"/>
        </w:rPr>
        <w:t>二、建设项目工程分析</w:t>
      </w:r>
      <w:r>
        <w:rPr>
          <w:rFonts w:eastAsiaTheme="minorEastAsia"/>
          <w:sz w:val="24"/>
        </w:rPr>
        <w:tab/>
      </w:r>
      <w:r>
        <w:rPr>
          <w:rFonts w:eastAsiaTheme="minorEastAsia"/>
          <w:sz w:val="24"/>
        </w:rPr>
        <w:fldChar w:fldCharType="begin"/>
      </w:r>
      <w:r>
        <w:rPr>
          <w:rFonts w:eastAsiaTheme="minorEastAsia"/>
          <w:sz w:val="24"/>
        </w:rPr>
        <w:instrText xml:space="preserve"> PAGEREF _Toc111712327 \h </w:instrText>
      </w:r>
      <w:r>
        <w:rPr>
          <w:rFonts w:eastAsiaTheme="minorEastAsia"/>
          <w:sz w:val="24"/>
        </w:rPr>
        <w:fldChar w:fldCharType="separate"/>
      </w:r>
      <w:r>
        <w:rPr>
          <w:rFonts w:eastAsiaTheme="minorEastAsia"/>
          <w:sz w:val="24"/>
        </w:rPr>
        <w:t>12</w:t>
      </w:r>
      <w:r>
        <w:rPr>
          <w:rFonts w:eastAsiaTheme="minorEastAsia"/>
          <w:sz w:val="24"/>
        </w:rPr>
        <w:fldChar w:fldCharType="end"/>
      </w:r>
      <w:r>
        <w:rPr>
          <w:rFonts w:eastAsiaTheme="minorEastAsia"/>
          <w:sz w:val="24"/>
        </w:rPr>
        <w:fldChar w:fldCharType="end"/>
      </w:r>
    </w:p>
    <w:p>
      <w:pPr>
        <w:pStyle w:val="18"/>
        <w:tabs>
          <w:tab w:val="right" w:leader="dot" w:pos="8834"/>
        </w:tabs>
        <w:spacing w:line="360" w:lineRule="auto"/>
        <w:rPr>
          <w:rFonts w:eastAsiaTheme="minorEastAsia"/>
          <w:sz w:val="24"/>
        </w:rPr>
      </w:pPr>
      <w:r>
        <w:fldChar w:fldCharType="begin"/>
      </w:r>
      <w:r>
        <w:instrText xml:space="preserve"> HYPERLINK \l "_Toc111712328" </w:instrText>
      </w:r>
      <w:r>
        <w:fldChar w:fldCharType="separate"/>
      </w:r>
      <w:r>
        <w:rPr>
          <w:rStyle w:val="31"/>
          <w:rFonts w:hAnsiTheme="minorEastAsia" w:eastAsiaTheme="minorEastAsia"/>
          <w:snapToGrid w:val="0"/>
          <w:sz w:val="24"/>
        </w:rPr>
        <w:t>三、区域环境质量现状、环境保护目标及评价标准</w:t>
      </w:r>
      <w:r>
        <w:rPr>
          <w:rFonts w:eastAsiaTheme="minorEastAsia"/>
          <w:sz w:val="24"/>
        </w:rPr>
        <w:tab/>
      </w:r>
      <w:r>
        <w:rPr>
          <w:rFonts w:eastAsiaTheme="minorEastAsia"/>
          <w:sz w:val="24"/>
        </w:rPr>
        <w:fldChar w:fldCharType="begin"/>
      </w:r>
      <w:r>
        <w:rPr>
          <w:rFonts w:eastAsiaTheme="minorEastAsia"/>
          <w:sz w:val="24"/>
        </w:rPr>
        <w:instrText xml:space="preserve"> PAGEREF _Toc111712328 \h </w:instrText>
      </w:r>
      <w:r>
        <w:rPr>
          <w:rFonts w:eastAsiaTheme="minorEastAsia"/>
          <w:sz w:val="24"/>
        </w:rPr>
        <w:fldChar w:fldCharType="separate"/>
      </w:r>
      <w:r>
        <w:rPr>
          <w:rFonts w:eastAsiaTheme="minorEastAsia"/>
          <w:sz w:val="24"/>
        </w:rPr>
        <w:t>40</w:t>
      </w:r>
      <w:r>
        <w:rPr>
          <w:rFonts w:eastAsiaTheme="minorEastAsia"/>
          <w:sz w:val="24"/>
        </w:rPr>
        <w:fldChar w:fldCharType="end"/>
      </w:r>
      <w:r>
        <w:rPr>
          <w:rFonts w:eastAsiaTheme="minorEastAsia"/>
          <w:sz w:val="24"/>
        </w:rPr>
        <w:fldChar w:fldCharType="end"/>
      </w:r>
    </w:p>
    <w:p>
      <w:pPr>
        <w:pStyle w:val="18"/>
        <w:tabs>
          <w:tab w:val="right" w:leader="dot" w:pos="8834"/>
        </w:tabs>
        <w:spacing w:line="360" w:lineRule="auto"/>
        <w:rPr>
          <w:rFonts w:eastAsiaTheme="minorEastAsia"/>
          <w:sz w:val="24"/>
        </w:rPr>
      </w:pPr>
      <w:r>
        <w:fldChar w:fldCharType="begin"/>
      </w:r>
      <w:r>
        <w:instrText xml:space="preserve"> HYPERLINK \l "_Toc111712329" </w:instrText>
      </w:r>
      <w:r>
        <w:fldChar w:fldCharType="separate"/>
      </w:r>
      <w:r>
        <w:rPr>
          <w:rStyle w:val="31"/>
          <w:rFonts w:hAnsiTheme="minorEastAsia" w:eastAsiaTheme="minorEastAsia"/>
          <w:snapToGrid w:val="0"/>
          <w:sz w:val="24"/>
        </w:rPr>
        <w:t>四、主要环境影响和保护措施</w:t>
      </w:r>
      <w:r>
        <w:rPr>
          <w:rFonts w:eastAsiaTheme="minorEastAsia"/>
          <w:sz w:val="24"/>
        </w:rPr>
        <w:tab/>
      </w:r>
      <w:r>
        <w:rPr>
          <w:rFonts w:eastAsiaTheme="minorEastAsia"/>
          <w:sz w:val="24"/>
        </w:rPr>
        <w:fldChar w:fldCharType="begin"/>
      </w:r>
      <w:r>
        <w:rPr>
          <w:rFonts w:eastAsiaTheme="minorEastAsia"/>
          <w:sz w:val="24"/>
        </w:rPr>
        <w:instrText xml:space="preserve"> PAGEREF _Toc111712329 \h </w:instrText>
      </w:r>
      <w:r>
        <w:rPr>
          <w:rFonts w:eastAsiaTheme="minorEastAsia"/>
          <w:sz w:val="24"/>
        </w:rPr>
        <w:fldChar w:fldCharType="separate"/>
      </w:r>
      <w:r>
        <w:rPr>
          <w:rFonts w:eastAsiaTheme="minorEastAsia"/>
          <w:sz w:val="24"/>
        </w:rPr>
        <w:t>48</w:t>
      </w:r>
      <w:r>
        <w:rPr>
          <w:rFonts w:eastAsiaTheme="minorEastAsia"/>
          <w:sz w:val="24"/>
        </w:rPr>
        <w:fldChar w:fldCharType="end"/>
      </w:r>
      <w:r>
        <w:rPr>
          <w:rFonts w:eastAsiaTheme="minorEastAsia"/>
          <w:sz w:val="24"/>
        </w:rPr>
        <w:fldChar w:fldCharType="end"/>
      </w:r>
    </w:p>
    <w:p>
      <w:pPr>
        <w:pStyle w:val="18"/>
        <w:tabs>
          <w:tab w:val="right" w:leader="dot" w:pos="8834"/>
        </w:tabs>
        <w:spacing w:line="360" w:lineRule="auto"/>
        <w:rPr>
          <w:rFonts w:eastAsiaTheme="minorEastAsia"/>
          <w:sz w:val="24"/>
        </w:rPr>
      </w:pPr>
      <w:r>
        <w:fldChar w:fldCharType="begin"/>
      </w:r>
      <w:r>
        <w:instrText xml:space="preserve"> HYPERLINK \l "_Toc111712330" </w:instrText>
      </w:r>
      <w:r>
        <w:fldChar w:fldCharType="separate"/>
      </w:r>
      <w:r>
        <w:rPr>
          <w:rStyle w:val="31"/>
          <w:rFonts w:hAnsiTheme="minorEastAsia" w:eastAsiaTheme="minorEastAsia"/>
          <w:snapToGrid w:val="0"/>
          <w:sz w:val="24"/>
        </w:rPr>
        <w:t>五、环境保护措施监督检查清单</w:t>
      </w:r>
      <w:r>
        <w:rPr>
          <w:rFonts w:eastAsiaTheme="minorEastAsia"/>
          <w:sz w:val="24"/>
        </w:rPr>
        <w:tab/>
      </w:r>
      <w:r>
        <w:rPr>
          <w:rFonts w:eastAsiaTheme="minorEastAsia"/>
          <w:sz w:val="24"/>
        </w:rPr>
        <w:fldChar w:fldCharType="begin"/>
      </w:r>
      <w:r>
        <w:rPr>
          <w:rFonts w:eastAsiaTheme="minorEastAsia"/>
          <w:sz w:val="24"/>
        </w:rPr>
        <w:instrText xml:space="preserve"> PAGEREF _Toc111712330 \h </w:instrText>
      </w:r>
      <w:r>
        <w:rPr>
          <w:rFonts w:eastAsiaTheme="minorEastAsia"/>
          <w:sz w:val="24"/>
        </w:rPr>
        <w:fldChar w:fldCharType="separate"/>
      </w:r>
      <w:r>
        <w:rPr>
          <w:rFonts w:eastAsiaTheme="minorEastAsia"/>
          <w:sz w:val="24"/>
        </w:rPr>
        <w:t>85</w:t>
      </w:r>
      <w:r>
        <w:rPr>
          <w:rFonts w:eastAsiaTheme="minorEastAsia"/>
          <w:sz w:val="24"/>
        </w:rPr>
        <w:fldChar w:fldCharType="end"/>
      </w:r>
      <w:r>
        <w:rPr>
          <w:rFonts w:eastAsiaTheme="minorEastAsia"/>
          <w:sz w:val="24"/>
        </w:rPr>
        <w:fldChar w:fldCharType="end"/>
      </w:r>
    </w:p>
    <w:p>
      <w:pPr>
        <w:pStyle w:val="18"/>
        <w:tabs>
          <w:tab w:val="right" w:leader="dot" w:pos="8834"/>
        </w:tabs>
        <w:spacing w:line="360" w:lineRule="auto"/>
        <w:rPr>
          <w:rFonts w:eastAsiaTheme="minorEastAsia"/>
          <w:sz w:val="24"/>
        </w:rPr>
      </w:pPr>
      <w:r>
        <w:fldChar w:fldCharType="begin"/>
      </w:r>
      <w:r>
        <w:instrText xml:space="preserve"> HYPERLINK \l "_Toc111712331" </w:instrText>
      </w:r>
      <w:r>
        <w:fldChar w:fldCharType="separate"/>
      </w:r>
      <w:r>
        <w:rPr>
          <w:rStyle w:val="31"/>
          <w:rFonts w:hAnsiTheme="minorEastAsia" w:eastAsiaTheme="minorEastAsia"/>
          <w:snapToGrid w:val="0"/>
          <w:sz w:val="24"/>
        </w:rPr>
        <w:t>六、结论</w:t>
      </w:r>
      <w:r>
        <w:rPr>
          <w:rFonts w:eastAsiaTheme="minorEastAsia"/>
          <w:sz w:val="24"/>
        </w:rPr>
        <w:tab/>
      </w:r>
      <w:r>
        <w:rPr>
          <w:rFonts w:eastAsiaTheme="minorEastAsia"/>
          <w:sz w:val="24"/>
        </w:rPr>
        <w:fldChar w:fldCharType="begin"/>
      </w:r>
      <w:r>
        <w:rPr>
          <w:rFonts w:eastAsiaTheme="minorEastAsia"/>
          <w:sz w:val="24"/>
        </w:rPr>
        <w:instrText xml:space="preserve"> PAGEREF _Toc111712331 \h </w:instrText>
      </w:r>
      <w:r>
        <w:rPr>
          <w:rFonts w:eastAsiaTheme="minorEastAsia"/>
          <w:sz w:val="24"/>
        </w:rPr>
        <w:fldChar w:fldCharType="separate"/>
      </w:r>
      <w:r>
        <w:rPr>
          <w:rFonts w:eastAsiaTheme="minorEastAsia"/>
          <w:sz w:val="24"/>
        </w:rPr>
        <w:t>87</w:t>
      </w:r>
      <w:r>
        <w:rPr>
          <w:rFonts w:eastAsiaTheme="minorEastAsia"/>
          <w:sz w:val="24"/>
        </w:rPr>
        <w:fldChar w:fldCharType="end"/>
      </w:r>
      <w:r>
        <w:rPr>
          <w:rFonts w:eastAsiaTheme="minorEastAsia"/>
          <w:sz w:val="24"/>
        </w:rPr>
        <w:fldChar w:fldCharType="end"/>
      </w:r>
    </w:p>
    <w:p>
      <w:pPr>
        <w:pStyle w:val="21"/>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360" w:lineRule="auto"/>
        <w:textAlignment w:val="auto"/>
        <w:outlineLvl w:val="0"/>
        <w:rPr>
          <w:rFonts w:ascii="黑体" w:hAnsi="黑体" w:eastAsia="黑体"/>
          <w:snapToGrid w:val="0"/>
          <w:sz w:val="30"/>
          <w:szCs w:val="30"/>
        </w:rPr>
      </w:pPr>
      <w:r>
        <w:rPr>
          <w:rFonts w:ascii="Times New Roman" w:hAnsi="Times New Roman" w:eastAsiaTheme="minorEastAsia"/>
          <w:snapToGrid w:val="0"/>
          <w:szCs w:val="24"/>
        </w:rPr>
        <w:fldChar w:fldCharType="end"/>
      </w:r>
      <w:bookmarkStart w:id="4" w:name="_Toc111712324"/>
      <w:r>
        <w:rPr>
          <w:rFonts w:hint="eastAsia" w:ascii="黑体" w:hAnsi="黑体" w:eastAsia="黑体"/>
          <w:snapToGrid w:val="0"/>
          <w:sz w:val="32"/>
          <w:szCs w:val="32"/>
        </w:rPr>
        <w:t>附图</w:t>
      </w:r>
      <w:bookmarkEnd w:id="4"/>
    </w:p>
    <w:p>
      <w:pPr>
        <w:spacing w:line="360" w:lineRule="auto"/>
        <w:ind w:firstLine="480" w:firstLineChars="200"/>
        <w:rPr>
          <w:sz w:val="24"/>
          <w:szCs w:val="28"/>
        </w:rPr>
      </w:pPr>
      <w:r>
        <w:rPr>
          <w:rFonts w:hint="eastAsia"/>
          <w:sz w:val="24"/>
          <w:szCs w:val="28"/>
        </w:rPr>
        <w:t>附图</w:t>
      </w:r>
      <w:r>
        <w:rPr>
          <w:sz w:val="24"/>
          <w:szCs w:val="28"/>
        </w:rPr>
        <w:t xml:space="preserve">1  </w:t>
      </w:r>
      <w:r>
        <w:rPr>
          <w:rFonts w:hint="eastAsia"/>
          <w:sz w:val="24"/>
          <w:szCs w:val="28"/>
        </w:rPr>
        <w:t>项目地理位置示意图</w:t>
      </w:r>
    </w:p>
    <w:p>
      <w:pPr>
        <w:spacing w:line="360" w:lineRule="auto"/>
        <w:ind w:firstLine="480" w:firstLineChars="200"/>
        <w:rPr>
          <w:sz w:val="24"/>
          <w:szCs w:val="28"/>
        </w:rPr>
      </w:pPr>
      <w:r>
        <w:rPr>
          <w:rFonts w:hint="eastAsia"/>
          <w:sz w:val="24"/>
          <w:szCs w:val="28"/>
        </w:rPr>
        <w:t>附图</w:t>
      </w:r>
      <w:r>
        <w:rPr>
          <w:sz w:val="24"/>
          <w:szCs w:val="28"/>
        </w:rPr>
        <w:t xml:space="preserve">2  </w:t>
      </w:r>
      <w:r>
        <w:rPr>
          <w:rFonts w:hint="eastAsia"/>
          <w:sz w:val="24"/>
          <w:szCs w:val="28"/>
        </w:rPr>
        <w:t>项目现场勘查图</w:t>
      </w:r>
    </w:p>
    <w:p>
      <w:pPr>
        <w:spacing w:line="360" w:lineRule="auto"/>
        <w:ind w:firstLine="480" w:firstLineChars="200"/>
        <w:rPr>
          <w:sz w:val="24"/>
          <w:szCs w:val="28"/>
        </w:rPr>
      </w:pPr>
      <w:r>
        <w:rPr>
          <w:rFonts w:hint="eastAsia"/>
          <w:sz w:val="24"/>
          <w:szCs w:val="28"/>
        </w:rPr>
        <w:t>附图3</w:t>
      </w:r>
      <w:r>
        <w:rPr>
          <w:sz w:val="24"/>
          <w:szCs w:val="28"/>
        </w:rPr>
        <w:t xml:space="preserve">  </w:t>
      </w:r>
      <w:r>
        <w:rPr>
          <w:rFonts w:hint="eastAsia"/>
          <w:sz w:val="24"/>
          <w:szCs w:val="28"/>
        </w:rPr>
        <w:t>项目环境保护目标示意</w:t>
      </w:r>
      <w:r>
        <w:rPr>
          <w:sz w:val="24"/>
          <w:szCs w:val="28"/>
        </w:rPr>
        <w:t>图</w:t>
      </w:r>
    </w:p>
    <w:p>
      <w:pPr>
        <w:spacing w:line="360" w:lineRule="auto"/>
        <w:ind w:firstLine="480" w:firstLineChars="200"/>
        <w:rPr>
          <w:rFonts w:hint="eastAsia"/>
          <w:sz w:val="24"/>
          <w:szCs w:val="28"/>
        </w:rPr>
      </w:pPr>
      <w:r>
        <w:rPr>
          <w:rFonts w:hint="eastAsia"/>
          <w:sz w:val="24"/>
          <w:szCs w:val="28"/>
        </w:rPr>
        <w:t>附图4</w:t>
      </w:r>
      <w:r>
        <w:rPr>
          <w:sz w:val="24"/>
          <w:szCs w:val="28"/>
        </w:rPr>
        <w:t xml:space="preserve">  </w:t>
      </w:r>
      <w:r>
        <w:rPr>
          <w:rFonts w:hint="eastAsia"/>
          <w:sz w:val="24"/>
          <w:szCs w:val="28"/>
        </w:rPr>
        <w:t>项目总平面布局</w:t>
      </w:r>
    </w:p>
    <w:p>
      <w:pPr>
        <w:spacing w:line="360" w:lineRule="auto"/>
        <w:ind w:firstLine="480" w:firstLineChars="200"/>
        <w:rPr>
          <w:sz w:val="24"/>
          <w:szCs w:val="28"/>
        </w:rPr>
      </w:pPr>
      <w:r>
        <w:rPr>
          <w:rFonts w:hint="eastAsia"/>
          <w:sz w:val="24"/>
          <w:szCs w:val="28"/>
        </w:rPr>
        <w:t>附图5</w:t>
      </w:r>
      <w:r>
        <w:rPr>
          <w:sz w:val="24"/>
          <w:szCs w:val="28"/>
        </w:rPr>
        <w:t xml:space="preserve">  </w:t>
      </w:r>
      <w:r>
        <w:rPr>
          <w:rFonts w:hint="eastAsia"/>
          <w:sz w:val="24"/>
          <w:szCs w:val="28"/>
        </w:rPr>
        <w:t>环保设施</w:t>
      </w:r>
      <w:r>
        <w:rPr>
          <w:rFonts w:hint="eastAsia"/>
          <w:sz w:val="24"/>
          <w:szCs w:val="28"/>
          <w:lang w:val="en-US" w:eastAsia="zh-CN"/>
        </w:rPr>
        <w:t>位置</w:t>
      </w:r>
      <w:r>
        <w:rPr>
          <w:rFonts w:hint="eastAsia"/>
          <w:sz w:val="24"/>
          <w:szCs w:val="28"/>
        </w:rPr>
        <w:t>示意图</w:t>
      </w:r>
    </w:p>
    <w:p>
      <w:pPr>
        <w:spacing w:line="360" w:lineRule="auto"/>
        <w:ind w:firstLine="480" w:firstLineChars="200"/>
        <w:rPr>
          <w:sz w:val="24"/>
          <w:szCs w:val="28"/>
        </w:rPr>
      </w:pPr>
      <w:r>
        <w:rPr>
          <w:rFonts w:hint="eastAsia"/>
          <w:sz w:val="24"/>
          <w:szCs w:val="28"/>
        </w:rPr>
        <w:t>附图6</w:t>
      </w:r>
      <w:r>
        <w:rPr>
          <w:sz w:val="24"/>
          <w:szCs w:val="28"/>
        </w:rPr>
        <w:t xml:space="preserve">  </w:t>
      </w:r>
      <w:r>
        <w:rPr>
          <w:rFonts w:hint="eastAsia"/>
          <w:sz w:val="24"/>
          <w:szCs w:val="28"/>
        </w:rPr>
        <w:t>项目所在园区用地规划图</w:t>
      </w:r>
    </w:p>
    <w:p>
      <w:pPr>
        <w:spacing w:line="360" w:lineRule="auto"/>
        <w:ind w:firstLine="480" w:firstLineChars="200"/>
        <w:rPr>
          <w:sz w:val="24"/>
          <w:szCs w:val="28"/>
        </w:rPr>
      </w:pPr>
      <w:r>
        <w:rPr>
          <w:rFonts w:hint="eastAsia"/>
          <w:sz w:val="24"/>
          <w:szCs w:val="28"/>
        </w:rPr>
        <w:t>附图7</w:t>
      </w:r>
      <w:r>
        <w:rPr>
          <w:sz w:val="24"/>
          <w:szCs w:val="28"/>
        </w:rPr>
        <w:t xml:space="preserve">  </w:t>
      </w:r>
      <w:r>
        <w:rPr>
          <w:rFonts w:hint="eastAsia"/>
          <w:sz w:val="24"/>
          <w:szCs w:val="28"/>
        </w:rPr>
        <w:t>环境质量现状监测图</w:t>
      </w:r>
    </w:p>
    <w:p>
      <w:pPr>
        <w:pStyle w:val="21"/>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360" w:lineRule="auto"/>
        <w:textAlignment w:val="auto"/>
        <w:outlineLvl w:val="0"/>
        <w:rPr>
          <w:rFonts w:hint="eastAsia" w:ascii="黑体" w:hAnsi="黑体" w:eastAsia="黑体"/>
          <w:snapToGrid w:val="0"/>
          <w:sz w:val="32"/>
          <w:szCs w:val="32"/>
        </w:rPr>
      </w:pPr>
      <w:bookmarkStart w:id="5" w:name="_Toc111712325"/>
      <w:r>
        <w:rPr>
          <w:rFonts w:hint="eastAsia" w:ascii="黑体" w:hAnsi="黑体" w:eastAsia="黑体"/>
          <w:snapToGrid w:val="0"/>
          <w:sz w:val="32"/>
          <w:szCs w:val="32"/>
        </w:rPr>
        <w:t>附件</w:t>
      </w:r>
      <w:bookmarkEnd w:id="5"/>
    </w:p>
    <w:p>
      <w:pPr>
        <w:spacing w:line="360" w:lineRule="auto"/>
        <w:ind w:firstLine="480" w:firstLineChars="200"/>
        <w:rPr>
          <w:sz w:val="24"/>
          <w:szCs w:val="28"/>
        </w:rPr>
      </w:pPr>
      <w:r>
        <w:rPr>
          <w:sz w:val="24"/>
          <w:szCs w:val="28"/>
        </w:rPr>
        <w:t>附件1  环评委托书</w:t>
      </w:r>
    </w:p>
    <w:p>
      <w:pPr>
        <w:spacing w:line="360" w:lineRule="auto"/>
        <w:ind w:firstLine="480" w:firstLineChars="200"/>
        <w:rPr>
          <w:sz w:val="24"/>
        </w:rPr>
      </w:pPr>
      <w:r>
        <w:rPr>
          <w:sz w:val="24"/>
          <w:szCs w:val="28"/>
        </w:rPr>
        <w:t>附件</w:t>
      </w:r>
      <w:r>
        <w:rPr>
          <w:rFonts w:hint="eastAsia"/>
          <w:sz w:val="24"/>
          <w:szCs w:val="28"/>
        </w:rPr>
        <w:t>2</w:t>
      </w:r>
      <w:r>
        <w:rPr>
          <w:sz w:val="24"/>
          <w:szCs w:val="28"/>
        </w:rPr>
        <w:t xml:space="preserve">  </w:t>
      </w:r>
      <w:r>
        <w:rPr>
          <w:rFonts w:hint="eastAsia"/>
          <w:sz w:val="24"/>
        </w:rPr>
        <w:t>营业执照</w:t>
      </w:r>
    </w:p>
    <w:p>
      <w:pPr>
        <w:spacing w:line="360" w:lineRule="auto"/>
        <w:ind w:firstLine="480" w:firstLineChars="200"/>
        <w:rPr>
          <w:sz w:val="24"/>
          <w:szCs w:val="28"/>
        </w:rPr>
      </w:pPr>
      <w:r>
        <w:rPr>
          <w:rFonts w:hint="eastAsia"/>
          <w:sz w:val="24"/>
        </w:rPr>
        <w:t>附件3  桥梁锚具产品生产项目环评环评批复及验收意见</w:t>
      </w:r>
    </w:p>
    <w:p>
      <w:pPr>
        <w:spacing w:line="360" w:lineRule="auto"/>
        <w:ind w:firstLine="480" w:firstLineChars="200"/>
        <w:rPr>
          <w:sz w:val="24"/>
          <w:szCs w:val="28"/>
        </w:rPr>
      </w:pPr>
      <w:r>
        <w:rPr>
          <w:sz w:val="24"/>
          <w:szCs w:val="28"/>
        </w:rPr>
        <w:t>附件</w:t>
      </w:r>
      <w:r>
        <w:rPr>
          <w:rFonts w:hint="eastAsia"/>
          <w:sz w:val="24"/>
          <w:szCs w:val="28"/>
        </w:rPr>
        <w:t>4  外加剂合成复配生产线项目环评批复</w:t>
      </w:r>
    </w:p>
    <w:p>
      <w:pPr>
        <w:spacing w:line="360" w:lineRule="auto"/>
        <w:ind w:firstLine="480" w:firstLineChars="200"/>
        <w:rPr>
          <w:sz w:val="24"/>
          <w:szCs w:val="28"/>
        </w:rPr>
      </w:pPr>
      <w:r>
        <w:rPr>
          <w:sz w:val="24"/>
          <w:szCs w:val="28"/>
        </w:rPr>
        <w:t>附件</w:t>
      </w:r>
      <w:r>
        <w:rPr>
          <w:rFonts w:hint="eastAsia"/>
          <w:sz w:val="24"/>
          <w:szCs w:val="28"/>
        </w:rPr>
        <w:t>5  改扩建项目环评批复及竣工自主验收意见</w:t>
      </w:r>
    </w:p>
    <w:p>
      <w:pPr>
        <w:spacing w:line="360" w:lineRule="auto"/>
        <w:ind w:firstLine="480" w:firstLineChars="200"/>
        <w:rPr>
          <w:sz w:val="24"/>
          <w:szCs w:val="28"/>
        </w:rPr>
      </w:pPr>
      <w:r>
        <w:rPr>
          <w:sz w:val="24"/>
          <w:szCs w:val="28"/>
        </w:rPr>
        <w:t>附件</w:t>
      </w:r>
      <w:r>
        <w:rPr>
          <w:rFonts w:hint="eastAsia"/>
          <w:sz w:val="24"/>
          <w:szCs w:val="28"/>
        </w:rPr>
        <w:t>6  企业排污许可证</w:t>
      </w:r>
    </w:p>
    <w:p>
      <w:pPr>
        <w:spacing w:line="360" w:lineRule="auto"/>
        <w:ind w:firstLine="480" w:firstLineChars="200"/>
        <w:rPr>
          <w:sz w:val="24"/>
          <w:szCs w:val="28"/>
        </w:rPr>
      </w:pPr>
      <w:r>
        <w:rPr>
          <w:sz w:val="24"/>
          <w:szCs w:val="28"/>
        </w:rPr>
        <w:t>附件</w:t>
      </w:r>
      <w:r>
        <w:rPr>
          <w:rFonts w:hint="eastAsia"/>
          <w:sz w:val="24"/>
          <w:szCs w:val="28"/>
        </w:rPr>
        <w:t>7  园区规划环评审查意见</w:t>
      </w:r>
    </w:p>
    <w:p>
      <w:pPr>
        <w:spacing w:line="360" w:lineRule="auto"/>
        <w:ind w:firstLine="480" w:firstLineChars="200"/>
        <w:rPr>
          <w:rFonts w:hint="eastAsia"/>
          <w:sz w:val="24"/>
          <w:szCs w:val="28"/>
        </w:rPr>
      </w:pPr>
      <w:r>
        <w:rPr>
          <w:sz w:val="24"/>
          <w:szCs w:val="28"/>
        </w:rPr>
        <w:t>附件</w:t>
      </w:r>
      <w:r>
        <w:rPr>
          <w:rFonts w:hint="eastAsia"/>
          <w:sz w:val="24"/>
          <w:szCs w:val="28"/>
        </w:rPr>
        <w:t>8  现有危废协议</w:t>
      </w:r>
    </w:p>
    <w:p>
      <w:pPr>
        <w:spacing w:line="360" w:lineRule="auto"/>
        <w:ind w:firstLine="480" w:firstLineChars="200"/>
        <w:rPr>
          <w:rFonts w:hint="eastAsia"/>
          <w:sz w:val="24"/>
          <w:szCs w:val="28"/>
          <w:lang w:val="en-US" w:eastAsia="zh-CN"/>
        </w:rPr>
      </w:pPr>
      <w:r>
        <w:rPr>
          <w:sz w:val="24"/>
          <w:szCs w:val="28"/>
        </w:rPr>
        <w:t>附件</w:t>
      </w:r>
      <w:r>
        <w:rPr>
          <w:rFonts w:hint="eastAsia"/>
          <w:sz w:val="24"/>
          <w:szCs w:val="28"/>
          <w:lang w:val="en-US" w:eastAsia="zh-CN"/>
        </w:rPr>
        <w:t>9</w:t>
      </w:r>
      <w:r>
        <w:rPr>
          <w:rFonts w:hint="eastAsia"/>
          <w:sz w:val="24"/>
          <w:szCs w:val="28"/>
        </w:rPr>
        <w:t xml:space="preserve">  </w:t>
      </w:r>
      <w:r>
        <w:rPr>
          <w:rFonts w:hint="eastAsia"/>
          <w:sz w:val="24"/>
          <w:szCs w:val="28"/>
          <w:lang w:val="en-US" w:eastAsia="zh-CN"/>
        </w:rPr>
        <w:t>现状环境质量检测报告及质保单</w:t>
      </w:r>
    </w:p>
    <w:p>
      <w:pPr>
        <w:spacing w:line="360" w:lineRule="auto"/>
        <w:ind w:firstLine="480" w:firstLineChars="200"/>
        <w:rPr>
          <w:sz w:val="24"/>
          <w:szCs w:val="28"/>
        </w:rPr>
      </w:pPr>
      <w:r>
        <w:rPr>
          <w:rFonts w:hint="eastAsia"/>
          <w:sz w:val="24"/>
          <w:szCs w:val="28"/>
          <w:lang w:val="en-US" w:eastAsia="zh-CN"/>
        </w:rPr>
        <w:t>附件10  专家评审意见及签到表</w:t>
      </w:r>
      <w:r>
        <w:rPr>
          <w:sz w:val="24"/>
          <w:szCs w:val="28"/>
        </w:rPr>
        <w:br w:type="page"/>
      </w:r>
    </w:p>
    <w:p>
      <w:pPr>
        <w:pStyle w:val="21"/>
        <w:jc w:val="center"/>
        <w:outlineLvl w:val="0"/>
        <w:rPr>
          <w:rFonts w:ascii="黑体" w:hAnsi="黑体" w:eastAsia="黑体"/>
          <w:snapToGrid w:val="0"/>
          <w:sz w:val="30"/>
          <w:szCs w:val="30"/>
        </w:rPr>
      </w:pPr>
      <w:bookmarkStart w:id="6" w:name="_Toc111712326"/>
      <w:r>
        <w:rPr>
          <w:rFonts w:hint="eastAsia" w:ascii="黑体" w:hAnsi="黑体" w:eastAsia="黑体"/>
          <w:snapToGrid w:val="0"/>
          <w:sz w:val="30"/>
          <w:szCs w:val="30"/>
        </w:rPr>
        <w:t>一、建设项目基本情况</w:t>
      </w:r>
      <w:bookmarkEnd w:id="6"/>
    </w:p>
    <w:tbl>
      <w:tblPr>
        <w:tblStyle w:val="25"/>
        <w:tblW w:w="10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0" w:type="dxa"/>
          <w:bottom w:w="0" w:type="dxa"/>
          <w:right w:w="0" w:type="dxa"/>
        </w:tblCellMar>
      </w:tblPr>
      <w:tblGrid>
        <w:gridCol w:w="823"/>
        <w:gridCol w:w="1476"/>
        <w:gridCol w:w="2325"/>
        <w:gridCol w:w="2544"/>
        <w:gridCol w:w="303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建设项目名称</w:t>
            </w:r>
          </w:p>
        </w:tc>
        <w:tc>
          <w:tcPr>
            <w:tcW w:w="7907" w:type="dxa"/>
            <w:gridSpan w:val="3"/>
            <w:vAlign w:val="center"/>
          </w:tcPr>
          <w:p>
            <w:pPr>
              <w:adjustRightInd w:val="0"/>
              <w:snapToGrid w:val="0"/>
              <w:jc w:val="center"/>
              <w:rPr>
                <w:rFonts w:hint="eastAsia" w:eastAsia="宋体"/>
                <w:sz w:val="24"/>
                <w:lang w:eastAsia="zh-CN"/>
              </w:rPr>
            </w:pPr>
            <w:r>
              <w:rPr>
                <w:rFonts w:hint="eastAsia"/>
                <w:sz w:val="24"/>
                <w:lang w:eastAsia="zh-CN"/>
              </w:rPr>
              <w:t>衡阳市新德力交通材料有限公司改建项目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项目代码</w:t>
            </w:r>
          </w:p>
        </w:tc>
        <w:tc>
          <w:tcPr>
            <w:tcW w:w="7907" w:type="dxa"/>
            <w:gridSpan w:val="3"/>
            <w:vAlign w:val="center"/>
          </w:tcPr>
          <w:p>
            <w:pPr>
              <w:adjustRightInd w:val="0"/>
              <w:snapToGrid w:val="0"/>
              <w:jc w:val="center"/>
              <w:rPr>
                <w:sz w:val="24"/>
              </w:rPr>
            </w:pPr>
            <w:r>
              <w:rPr>
                <w:rFonts w:hint="eastAsia"/>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建设单位联系人</w:t>
            </w:r>
          </w:p>
        </w:tc>
        <w:tc>
          <w:tcPr>
            <w:tcW w:w="2325" w:type="dxa"/>
            <w:vAlign w:val="center"/>
          </w:tcPr>
          <w:p>
            <w:pPr>
              <w:adjustRightInd w:val="0"/>
              <w:snapToGrid w:val="0"/>
              <w:jc w:val="center"/>
              <w:rPr>
                <w:sz w:val="24"/>
              </w:rPr>
            </w:pPr>
            <w:r>
              <w:rPr>
                <w:rFonts w:hint="eastAsia"/>
                <w:sz w:val="24"/>
              </w:rPr>
              <w:t>杨爱明</w:t>
            </w:r>
          </w:p>
        </w:tc>
        <w:tc>
          <w:tcPr>
            <w:tcW w:w="2544" w:type="dxa"/>
            <w:vAlign w:val="center"/>
          </w:tcPr>
          <w:p>
            <w:pPr>
              <w:adjustRightInd w:val="0"/>
              <w:snapToGrid w:val="0"/>
              <w:jc w:val="center"/>
              <w:rPr>
                <w:b/>
                <w:sz w:val="24"/>
              </w:rPr>
            </w:pPr>
            <w:r>
              <w:rPr>
                <w:b/>
                <w:sz w:val="24"/>
              </w:rPr>
              <w:t>联系方式</w:t>
            </w:r>
          </w:p>
        </w:tc>
        <w:tc>
          <w:tcPr>
            <w:tcW w:w="3038" w:type="dxa"/>
            <w:vAlign w:val="center"/>
          </w:tcPr>
          <w:p>
            <w:pPr>
              <w:adjustRightInd w:val="0"/>
              <w:snapToGrid w:val="0"/>
              <w:jc w:val="center"/>
              <w:rPr>
                <w:sz w:val="24"/>
              </w:rPr>
            </w:pPr>
            <w:r>
              <w:rPr>
                <w:rFonts w:hint="eastAsia"/>
                <w:sz w:val="24"/>
              </w:rPr>
              <w:t>13875771909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建设地点</w:t>
            </w:r>
          </w:p>
        </w:tc>
        <w:tc>
          <w:tcPr>
            <w:tcW w:w="7907" w:type="dxa"/>
            <w:gridSpan w:val="3"/>
            <w:vAlign w:val="center"/>
          </w:tcPr>
          <w:p>
            <w:pPr>
              <w:adjustRightInd w:val="0"/>
              <w:snapToGrid w:val="0"/>
              <w:jc w:val="center"/>
              <w:rPr>
                <w:sz w:val="24"/>
              </w:rPr>
            </w:pPr>
            <w:r>
              <w:rPr>
                <w:rFonts w:hint="eastAsia"/>
                <w:sz w:val="24"/>
              </w:rPr>
              <w:t>衡阳县西渡镇清江北路5号（衡阳市新德力交通材料有限公司现有厂区内）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地理坐标</w:t>
            </w:r>
          </w:p>
        </w:tc>
        <w:tc>
          <w:tcPr>
            <w:tcW w:w="7907" w:type="dxa"/>
            <w:gridSpan w:val="3"/>
            <w:vAlign w:val="center"/>
          </w:tcPr>
          <w:p>
            <w:pPr>
              <w:jc w:val="center"/>
              <w:rPr>
                <w:sz w:val="24"/>
              </w:rPr>
            </w:pPr>
            <w:r>
              <w:rPr>
                <w:sz w:val="24"/>
              </w:rPr>
              <w:t>（</w:t>
            </w:r>
            <w:r>
              <w:rPr>
                <w:rFonts w:hint="eastAsia"/>
                <w:sz w:val="24"/>
              </w:rPr>
              <w:t xml:space="preserve"> </w:t>
            </w:r>
            <w:r>
              <w:rPr>
                <w:sz w:val="24"/>
                <w:u w:val="single"/>
              </w:rPr>
              <w:t xml:space="preserve"> </w:t>
            </w:r>
            <w:r>
              <w:rPr>
                <w:rFonts w:hint="eastAsia"/>
                <w:sz w:val="24"/>
                <w:u w:val="single"/>
              </w:rPr>
              <w:t xml:space="preserve">112  </w:t>
            </w:r>
            <w:r>
              <w:rPr>
                <w:sz w:val="24"/>
              </w:rPr>
              <w:t>度</w:t>
            </w:r>
            <w:r>
              <w:rPr>
                <w:sz w:val="24"/>
                <w:u w:val="single"/>
              </w:rPr>
              <w:t xml:space="preserve">  </w:t>
            </w:r>
            <w:r>
              <w:rPr>
                <w:rFonts w:hint="eastAsia"/>
                <w:sz w:val="24"/>
                <w:u w:val="single"/>
              </w:rPr>
              <w:t xml:space="preserve">23 </w:t>
            </w:r>
            <w:r>
              <w:rPr>
                <w:sz w:val="24"/>
                <w:u w:val="single"/>
              </w:rPr>
              <w:t xml:space="preserve"> </w:t>
            </w:r>
            <w:r>
              <w:rPr>
                <w:sz w:val="24"/>
              </w:rPr>
              <w:t>分</w:t>
            </w:r>
            <w:r>
              <w:rPr>
                <w:sz w:val="24"/>
                <w:u w:val="single"/>
              </w:rPr>
              <w:t xml:space="preserve"> </w:t>
            </w:r>
            <w:r>
              <w:rPr>
                <w:rFonts w:hint="eastAsia"/>
                <w:sz w:val="24"/>
                <w:u w:val="single"/>
              </w:rPr>
              <w:t xml:space="preserve"> 29.945</w:t>
            </w:r>
            <w:r>
              <w:rPr>
                <w:sz w:val="24"/>
                <w:u w:val="single"/>
              </w:rPr>
              <w:t xml:space="preserve"> </w:t>
            </w:r>
            <w:r>
              <w:rPr>
                <w:sz w:val="24"/>
              </w:rPr>
              <w:t>秒，</w:t>
            </w:r>
            <w:r>
              <w:rPr>
                <w:sz w:val="24"/>
                <w:u w:val="single"/>
              </w:rPr>
              <w:t xml:space="preserve"> </w:t>
            </w:r>
            <w:r>
              <w:rPr>
                <w:rFonts w:hint="eastAsia"/>
                <w:sz w:val="24"/>
                <w:u w:val="single"/>
              </w:rPr>
              <w:t xml:space="preserve"> 26</w:t>
            </w:r>
            <w:r>
              <w:rPr>
                <w:sz w:val="24"/>
                <w:u w:val="single"/>
              </w:rPr>
              <w:t xml:space="preserve">  </w:t>
            </w:r>
            <w:r>
              <w:rPr>
                <w:sz w:val="24"/>
              </w:rPr>
              <w:t>度</w:t>
            </w:r>
            <w:r>
              <w:rPr>
                <w:sz w:val="24"/>
                <w:u w:val="single"/>
              </w:rPr>
              <w:t xml:space="preserve">  </w:t>
            </w:r>
            <w:r>
              <w:rPr>
                <w:rFonts w:hint="eastAsia"/>
                <w:sz w:val="24"/>
                <w:u w:val="single"/>
              </w:rPr>
              <w:t xml:space="preserve">58  </w:t>
            </w:r>
            <w:r>
              <w:rPr>
                <w:sz w:val="24"/>
              </w:rPr>
              <w:t>分</w:t>
            </w:r>
            <w:r>
              <w:rPr>
                <w:sz w:val="24"/>
                <w:u w:val="single"/>
              </w:rPr>
              <w:t xml:space="preserve"> </w:t>
            </w:r>
            <w:r>
              <w:rPr>
                <w:rFonts w:hint="eastAsia"/>
                <w:sz w:val="24"/>
                <w:u w:val="single"/>
              </w:rPr>
              <w:t xml:space="preserve"> 11.646  </w:t>
            </w:r>
            <w:r>
              <w:rPr>
                <w:sz w:val="24"/>
              </w:rPr>
              <w:t>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国民经济</w:t>
            </w:r>
          </w:p>
          <w:p>
            <w:pPr>
              <w:adjustRightInd w:val="0"/>
              <w:snapToGrid w:val="0"/>
              <w:jc w:val="center"/>
              <w:rPr>
                <w:b/>
                <w:sz w:val="24"/>
              </w:rPr>
            </w:pPr>
            <w:r>
              <w:rPr>
                <w:b/>
                <w:sz w:val="24"/>
              </w:rPr>
              <w:t>行业类别</w:t>
            </w:r>
          </w:p>
        </w:tc>
        <w:tc>
          <w:tcPr>
            <w:tcW w:w="2325" w:type="dxa"/>
            <w:vAlign w:val="center"/>
          </w:tcPr>
          <w:p>
            <w:pPr>
              <w:adjustRightInd w:val="0"/>
              <w:snapToGrid w:val="0"/>
              <w:jc w:val="center"/>
              <w:rPr>
                <w:sz w:val="24"/>
              </w:rPr>
            </w:pPr>
            <w:r>
              <w:rPr>
                <w:rFonts w:hint="eastAsia"/>
                <w:sz w:val="24"/>
              </w:rPr>
              <w:t>C3716铁路专用设备及器材、配件制造、</w:t>
            </w:r>
            <w:r>
              <w:rPr>
                <w:sz w:val="24"/>
              </w:rPr>
              <w:t>D4430热力生产和供应</w:t>
            </w:r>
          </w:p>
        </w:tc>
        <w:tc>
          <w:tcPr>
            <w:tcW w:w="2544" w:type="dxa"/>
            <w:vAlign w:val="center"/>
          </w:tcPr>
          <w:p>
            <w:pPr>
              <w:adjustRightInd w:val="0"/>
              <w:snapToGrid w:val="0"/>
              <w:jc w:val="center"/>
              <w:rPr>
                <w:b/>
                <w:sz w:val="24"/>
              </w:rPr>
            </w:pPr>
            <w:bookmarkStart w:id="7" w:name="_Hlk49843745"/>
            <w:r>
              <w:rPr>
                <w:b/>
                <w:sz w:val="24"/>
              </w:rPr>
              <w:t>建设项目</w:t>
            </w:r>
          </w:p>
          <w:p>
            <w:pPr>
              <w:adjustRightInd w:val="0"/>
              <w:snapToGrid w:val="0"/>
              <w:jc w:val="center"/>
              <w:rPr>
                <w:b/>
                <w:sz w:val="24"/>
              </w:rPr>
            </w:pPr>
            <w:r>
              <w:rPr>
                <w:b/>
                <w:sz w:val="24"/>
              </w:rPr>
              <w:t>行业类别</w:t>
            </w:r>
            <w:bookmarkEnd w:id="7"/>
          </w:p>
        </w:tc>
        <w:tc>
          <w:tcPr>
            <w:tcW w:w="3038" w:type="dxa"/>
            <w:vAlign w:val="center"/>
          </w:tcPr>
          <w:p>
            <w:pPr>
              <w:adjustRightInd w:val="0"/>
              <w:snapToGrid w:val="0"/>
              <w:jc w:val="center"/>
              <w:rPr>
                <w:sz w:val="24"/>
              </w:rPr>
            </w:pPr>
            <w:r>
              <w:rPr>
                <w:rFonts w:hint="eastAsia"/>
                <w:sz w:val="24"/>
              </w:rPr>
              <w:t>三十四、铁路、船舶、航空航天和其他运输设备制造业—72铁路运输设备制造371-其他；</w:t>
            </w:r>
          </w:p>
          <w:p>
            <w:pPr>
              <w:adjustRightInd w:val="0"/>
              <w:snapToGrid w:val="0"/>
              <w:jc w:val="center"/>
              <w:rPr>
                <w:sz w:val="24"/>
              </w:rPr>
            </w:pPr>
            <w:r>
              <w:rPr>
                <w:sz w:val="24"/>
              </w:rPr>
              <w:t>四十一、电力、热力生产和供应业</w:t>
            </w:r>
            <w:r>
              <w:rPr>
                <w:rFonts w:hint="eastAsia"/>
                <w:sz w:val="24"/>
              </w:rPr>
              <w:t>-</w:t>
            </w:r>
            <w:r>
              <w:rPr>
                <w:sz w:val="24"/>
              </w:rPr>
              <w:t>91热力生产供应和供应工程（包括建设单位自建自用的供热工程）</w:t>
            </w:r>
            <w:r>
              <w:rPr>
                <w:rFonts w:hint="eastAsia"/>
                <w:sz w:val="24"/>
              </w:rPr>
              <w:t>-</w:t>
            </w:r>
            <w:r>
              <w:rPr>
                <w:sz w:val="24"/>
              </w:rPr>
              <w:t>天然气锅炉总容量1吨/小时（0.7兆瓦）以上的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建设性质</w:t>
            </w:r>
          </w:p>
        </w:tc>
        <w:tc>
          <w:tcPr>
            <w:tcW w:w="2325" w:type="dxa"/>
            <w:vAlign w:val="center"/>
          </w:tcPr>
          <w:p>
            <w:pPr>
              <w:jc w:val="left"/>
              <w:rPr>
                <w:rFonts w:ascii="宋体" w:hAnsi="宋体"/>
                <w:sz w:val="24"/>
              </w:rPr>
            </w:pPr>
            <w:r>
              <w:rPr>
                <w:rFonts w:hint="eastAsia" w:ascii="宋体" w:hAnsi="宋体" w:cs="宋体"/>
                <w:sz w:val="24"/>
              </w:rPr>
              <w:sym w:font="Wingdings 2" w:char="00A3"/>
            </w:r>
            <w:r>
              <w:rPr>
                <w:rFonts w:ascii="宋体" w:hAnsi="宋体"/>
                <w:sz w:val="24"/>
              </w:rPr>
              <w:t>新建（迁建）</w:t>
            </w:r>
          </w:p>
          <w:p>
            <w:pPr>
              <w:jc w:val="left"/>
              <w:rPr>
                <w:rFonts w:ascii="宋体" w:hAnsi="宋体"/>
                <w:sz w:val="24"/>
              </w:rPr>
            </w:pPr>
            <w:r>
              <w:rPr>
                <w:rFonts w:ascii="宋体" w:hAnsi="宋体"/>
                <w:sz w:val="24"/>
              </w:rPr>
              <w:sym w:font="Wingdings 2" w:char="0052"/>
            </w:r>
            <w:r>
              <w:rPr>
                <w:rFonts w:ascii="宋体" w:hAnsi="宋体"/>
                <w:sz w:val="24"/>
              </w:rPr>
              <w:t>改建</w:t>
            </w:r>
          </w:p>
          <w:p>
            <w:pPr>
              <w:jc w:val="left"/>
              <w:rPr>
                <w:rFonts w:ascii="宋体" w:hAnsi="宋体"/>
                <w:sz w:val="24"/>
              </w:rPr>
            </w:pPr>
            <w:r>
              <w:rPr>
                <w:rFonts w:ascii="宋体" w:hAnsi="宋体"/>
                <w:sz w:val="24"/>
              </w:rPr>
              <w:t>□扩建</w:t>
            </w:r>
          </w:p>
          <w:p>
            <w:pPr>
              <w:jc w:val="left"/>
              <w:rPr>
                <w:rFonts w:ascii="宋体" w:hAnsi="宋体"/>
                <w:sz w:val="24"/>
              </w:rPr>
            </w:pPr>
            <w:r>
              <w:rPr>
                <w:rFonts w:ascii="宋体" w:hAnsi="宋体"/>
                <w:sz w:val="24"/>
              </w:rPr>
              <w:sym w:font="Wingdings 2" w:char="00A3"/>
            </w:r>
            <w:r>
              <w:rPr>
                <w:rFonts w:ascii="宋体" w:hAnsi="宋体"/>
                <w:sz w:val="24"/>
              </w:rPr>
              <w:t>技术改造</w:t>
            </w:r>
          </w:p>
        </w:tc>
        <w:tc>
          <w:tcPr>
            <w:tcW w:w="2544" w:type="dxa"/>
            <w:vAlign w:val="center"/>
          </w:tcPr>
          <w:p>
            <w:pPr>
              <w:adjustRightInd w:val="0"/>
              <w:snapToGrid w:val="0"/>
              <w:jc w:val="center"/>
              <w:rPr>
                <w:rFonts w:ascii="宋体" w:hAnsi="宋体"/>
                <w:b/>
                <w:sz w:val="24"/>
              </w:rPr>
            </w:pPr>
            <w:r>
              <w:rPr>
                <w:rFonts w:ascii="宋体" w:hAnsi="宋体"/>
                <w:b/>
                <w:sz w:val="24"/>
              </w:rPr>
              <w:t>建设项目</w:t>
            </w:r>
          </w:p>
          <w:p>
            <w:pPr>
              <w:adjustRightInd w:val="0"/>
              <w:snapToGrid w:val="0"/>
              <w:jc w:val="center"/>
              <w:rPr>
                <w:rFonts w:ascii="宋体" w:hAnsi="宋体"/>
                <w:b/>
                <w:sz w:val="24"/>
              </w:rPr>
            </w:pPr>
            <w:r>
              <w:rPr>
                <w:rFonts w:ascii="宋体" w:hAnsi="宋体"/>
                <w:b/>
                <w:sz w:val="24"/>
              </w:rPr>
              <w:t>申报情形</w:t>
            </w:r>
          </w:p>
        </w:tc>
        <w:tc>
          <w:tcPr>
            <w:tcW w:w="3038" w:type="dxa"/>
            <w:vAlign w:val="center"/>
          </w:tcPr>
          <w:p>
            <w:pPr>
              <w:jc w:val="left"/>
              <w:rPr>
                <w:rFonts w:ascii="宋体" w:hAnsi="宋体"/>
                <w:sz w:val="24"/>
              </w:rPr>
            </w:pPr>
            <w:r>
              <w:rPr>
                <w:rFonts w:hint="eastAsia" w:ascii="宋体" w:hAnsi="宋体" w:cs="宋体"/>
                <w:sz w:val="24"/>
              </w:rPr>
              <w:sym w:font="Wingdings 2" w:char="0052"/>
            </w:r>
            <w:r>
              <w:rPr>
                <w:rFonts w:ascii="宋体" w:hAnsi="宋体"/>
                <w:sz w:val="24"/>
              </w:rPr>
              <w:t xml:space="preserve">首次申报项目             </w:t>
            </w:r>
          </w:p>
          <w:p>
            <w:pPr>
              <w:jc w:val="left"/>
              <w:rPr>
                <w:rFonts w:ascii="宋体" w:hAnsi="宋体"/>
                <w:sz w:val="24"/>
              </w:rPr>
            </w:pPr>
            <w:r>
              <w:rPr>
                <w:rFonts w:ascii="宋体" w:hAnsi="宋体"/>
                <w:sz w:val="24"/>
              </w:rPr>
              <w:t>□不予批准后再次申报项目</w:t>
            </w:r>
          </w:p>
          <w:p>
            <w:pPr>
              <w:jc w:val="left"/>
              <w:rPr>
                <w:rFonts w:ascii="宋体" w:hAnsi="宋体"/>
                <w:sz w:val="24"/>
              </w:rPr>
            </w:pPr>
            <w:r>
              <w:rPr>
                <w:rFonts w:ascii="宋体" w:hAnsi="宋体"/>
                <w:sz w:val="24"/>
              </w:rPr>
              <w:sym w:font="Wingdings 2" w:char="00A3"/>
            </w:r>
            <w:r>
              <w:rPr>
                <w:rFonts w:ascii="宋体" w:hAnsi="宋体"/>
                <w:sz w:val="24"/>
              </w:rPr>
              <w:t xml:space="preserve">超五年重新审核项目     </w:t>
            </w:r>
          </w:p>
          <w:p>
            <w:pPr>
              <w:jc w:val="left"/>
              <w:rPr>
                <w:rFonts w:ascii="宋体" w:hAnsi="宋体"/>
                <w:sz w:val="24"/>
              </w:rPr>
            </w:pPr>
            <w:r>
              <w:rPr>
                <w:rFonts w:ascii="宋体" w:hAnsi="宋体"/>
                <w:sz w:val="24"/>
              </w:rPr>
              <w:t>□重大变动重新报批项目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项目审批（核准/</w:t>
            </w:r>
          </w:p>
          <w:p>
            <w:pPr>
              <w:adjustRightInd w:val="0"/>
              <w:snapToGrid w:val="0"/>
              <w:jc w:val="center"/>
              <w:rPr>
                <w:b/>
                <w:sz w:val="24"/>
              </w:rPr>
            </w:pPr>
            <w:r>
              <w:rPr>
                <w:b/>
                <w:sz w:val="24"/>
              </w:rPr>
              <w:t>备案）部门（选填）</w:t>
            </w:r>
          </w:p>
        </w:tc>
        <w:tc>
          <w:tcPr>
            <w:tcW w:w="2325" w:type="dxa"/>
            <w:vAlign w:val="center"/>
          </w:tcPr>
          <w:p>
            <w:pPr>
              <w:adjustRightInd w:val="0"/>
              <w:snapToGrid w:val="0"/>
              <w:jc w:val="center"/>
              <w:rPr>
                <w:sz w:val="24"/>
              </w:rPr>
            </w:pPr>
            <w:r>
              <w:rPr>
                <w:rFonts w:hint="eastAsia"/>
                <w:sz w:val="24"/>
              </w:rPr>
              <w:t>/</w:t>
            </w:r>
          </w:p>
        </w:tc>
        <w:tc>
          <w:tcPr>
            <w:tcW w:w="2544" w:type="dxa"/>
            <w:vAlign w:val="center"/>
          </w:tcPr>
          <w:p>
            <w:pPr>
              <w:adjustRightInd w:val="0"/>
              <w:snapToGrid w:val="0"/>
              <w:jc w:val="center"/>
              <w:rPr>
                <w:b/>
                <w:sz w:val="24"/>
              </w:rPr>
            </w:pPr>
            <w:r>
              <w:rPr>
                <w:b/>
                <w:sz w:val="24"/>
              </w:rPr>
              <w:t>项目审批（核准/</w:t>
            </w:r>
          </w:p>
          <w:p>
            <w:pPr>
              <w:adjustRightInd w:val="0"/>
              <w:snapToGrid w:val="0"/>
              <w:jc w:val="center"/>
              <w:rPr>
                <w:b/>
                <w:sz w:val="24"/>
              </w:rPr>
            </w:pPr>
            <w:r>
              <w:rPr>
                <w:b/>
                <w:sz w:val="24"/>
              </w:rPr>
              <w:t>备案）文号（选填）</w:t>
            </w:r>
          </w:p>
        </w:tc>
        <w:tc>
          <w:tcPr>
            <w:tcW w:w="3038" w:type="dxa"/>
            <w:vAlign w:val="center"/>
          </w:tcPr>
          <w:p>
            <w:pPr>
              <w:adjustRightInd w:val="0"/>
              <w:snapToGrid w:val="0"/>
              <w:jc w:val="center"/>
              <w:rPr>
                <w:sz w:val="24"/>
              </w:rPr>
            </w:pPr>
            <w:r>
              <w:rPr>
                <w:rFonts w:hint="eastAsia"/>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总投资（万元）</w:t>
            </w:r>
          </w:p>
        </w:tc>
        <w:tc>
          <w:tcPr>
            <w:tcW w:w="2325" w:type="dxa"/>
            <w:vAlign w:val="center"/>
          </w:tcPr>
          <w:p>
            <w:pPr>
              <w:adjustRightInd w:val="0"/>
              <w:snapToGrid w:val="0"/>
              <w:jc w:val="center"/>
              <w:rPr>
                <w:rFonts w:hint="default" w:eastAsia="宋体"/>
                <w:sz w:val="24"/>
                <w:lang w:val="en-US" w:eastAsia="zh-CN"/>
              </w:rPr>
            </w:pPr>
            <w:r>
              <w:rPr>
                <w:rFonts w:hint="eastAsia"/>
                <w:sz w:val="24"/>
                <w:lang w:val="en-US" w:eastAsia="zh-CN"/>
              </w:rPr>
              <w:t>200</w:t>
            </w:r>
          </w:p>
        </w:tc>
        <w:tc>
          <w:tcPr>
            <w:tcW w:w="2544" w:type="dxa"/>
            <w:tcMar>
              <w:top w:w="16" w:type="dxa"/>
              <w:left w:w="16" w:type="dxa"/>
              <w:right w:w="16" w:type="dxa"/>
            </w:tcMar>
            <w:vAlign w:val="center"/>
          </w:tcPr>
          <w:p>
            <w:pPr>
              <w:adjustRightInd w:val="0"/>
              <w:snapToGrid w:val="0"/>
              <w:jc w:val="center"/>
              <w:rPr>
                <w:b/>
                <w:sz w:val="24"/>
              </w:rPr>
            </w:pPr>
            <w:r>
              <w:rPr>
                <w:b/>
                <w:sz w:val="24"/>
              </w:rPr>
              <w:t>环保投资（万元）</w:t>
            </w:r>
          </w:p>
        </w:tc>
        <w:tc>
          <w:tcPr>
            <w:tcW w:w="3038" w:type="dxa"/>
            <w:vAlign w:val="center"/>
          </w:tcPr>
          <w:p>
            <w:pPr>
              <w:adjustRightInd w:val="0"/>
              <w:snapToGrid w:val="0"/>
              <w:jc w:val="center"/>
              <w:rPr>
                <w:rFonts w:hint="default" w:eastAsia="宋体"/>
                <w:sz w:val="24"/>
                <w:lang w:val="en-US" w:eastAsia="zh-CN"/>
              </w:rPr>
            </w:pPr>
            <w:r>
              <w:rPr>
                <w:rFonts w:hint="eastAsia"/>
                <w:color w:val="FF0000"/>
                <w:sz w:val="24"/>
                <w:u w:val="wav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环保投资占比（%）</w:t>
            </w:r>
          </w:p>
        </w:tc>
        <w:tc>
          <w:tcPr>
            <w:tcW w:w="2325" w:type="dxa"/>
            <w:vAlign w:val="center"/>
          </w:tcPr>
          <w:p>
            <w:pPr>
              <w:adjustRightInd w:val="0"/>
              <w:snapToGrid w:val="0"/>
              <w:jc w:val="center"/>
              <w:rPr>
                <w:rFonts w:hint="default" w:eastAsia="宋体"/>
                <w:sz w:val="24"/>
                <w:lang w:val="en-US" w:eastAsia="zh-CN"/>
              </w:rPr>
            </w:pPr>
            <w:r>
              <w:rPr>
                <w:rFonts w:hint="eastAsia"/>
                <w:sz w:val="24"/>
                <w:lang w:val="en-US" w:eastAsia="zh-CN"/>
              </w:rPr>
              <w:t>7.5</w:t>
            </w:r>
          </w:p>
        </w:tc>
        <w:tc>
          <w:tcPr>
            <w:tcW w:w="2544" w:type="dxa"/>
            <w:tcMar>
              <w:top w:w="16" w:type="dxa"/>
              <w:left w:w="16" w:type="dxa"/>
              <w:right w:w="16" w:type="dxa"/>
            </w:tcMar>
            <w:vAlign w:val="center"/>
          </w:tcPr>
          <w:p>
            <w:pPr>
              <w:adjustRightInd w:val="0"/>
              <w:snapToGrid w:val="0"/>
              <w:jc w:val="center"/>
              <w:rPr>
                <w:b/>
                <w:sz w:val="24"/>
              </w:rPr>
            </w:pPr>
            <w:r>
              <w:rPr>
                <w:b/>
                <w:sz w:val="24"/>
              </w:rPr>
              <w:t>施工工期</w:t>
            </w:r>
          </w:p>
        </w:tc>
        <w:tc>
          <w:tcPr>
            <w:tcW w:w="3038" w:type="dxa"/>
            <w:vAlign w:val="center"/>
          </w:tcPr>
          <w:p>
            <w:pPr>
              <w:adjustRightInd w:val="0"/>
              <w:snapToGrid w:val="0"/>
              <w:jc w:val="center"/>
              <w:rPr>
                <w:sz w:val="24"/>
              </w:rPr>
            </w:pPr>
            <w:r>
              <w:rPr>
                <w:rFonts w:hint="eastAsia"/>
                <w:sz w:val="24"/>
              </w:rPr>
              <w:t>1个月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jc w:val="center"/>
        </w:trPr>
        <w:tc>
          <w:tcPr>
            <w:tcW w:w="2299" w:type="dxa"/>
            <w:gridSpan w:val="2"/>
            <w:tcMar>
              <w:top w:w="16" w:type="dxa"/>
              <w:left w:w="16" w:type="dxa"/>
              <w:right w:w="16" w:type="dxa"/>
            </w:tcMar>
            <w:vAlign w:val="center"/>
          </w:tcPr>
          <w:p>
            <w:pPr>
              <w:adjustRightInd w:val="0"/>
              <w:snapToGrid w:val="0"/>
              <w:jc w:val="center"/>
              <w:rPr>
                <w:b/>
                <w:sz w:val="24"/>
              </w:rPr>
            </w:pPr>
            <w:r>
              <w:rPr>
                <w:b/>
                <w:sz w:val="24"/>
              </w:rPr>
              <w:t>是否开工建设</w:t>
            </w:r>
          </w:p>
        </w:tc>
        <w:tc>
          <w:tcPr>
            <w:tcW w:w="2325" w:type="dxa"/>
            <w:vAlign w:val="center"/>
          </w:tcPr>
          <w:p>
            <w:pPr>
              <w:adjustRightInd w:val="0"/>
              <w:snapToGrid w:val="0"/>
              <w:rPr>
                <w:sz w:val="24"/>
              </w:rPr>
            </w:pPr>
            <w:r>
              <w:rPr>
                <w:sz w:val="24"/>
              </w:rPr>
              <w:sym w:font="Wingdings 2" w:char="0052"/>
            </w:r>
            <w:r>
              <w:rPr>
                <w:sz w:val="24"/>
              </w:rPr>
              <w:t>否</w:t>
            </w:r>
          </w:p>
          <w:p>
            <w:pPr>
              <w:adjustRightInd w:val="0"/>
              <w:snapToGrid w:val="0"/>
              <w:rPr>
                <w:sz w:val="24"/>
              </w:rPr>
            </w:pPr>
            <w:r>
              <w:rPr>
                <w:rFonts w:hint="eastAsia" w:ascii="宋体" w:hAnsi="宋体" w:cs="宋体"/>
                <w:sz w:val="24"/>
              </w:rPr>
              <w:sym w:font="Wingdings 2" w:char="00A3"/>
            </w:r>
            <w:r>
              <w:rPr>
                <w:sz w:val="24"/>
              </w:rPr>
              <w:t>是：</w:t>
            </w:r>
            <w:r>
              <w:rPr>
                <w:rFonts w:hint="eastAsia"/>
                <w:sz w:val="24"/>
                <w:u w:val="single"/>
              </w:rPr>
              <w:t xml:space="preserve">            </w:t>
            </w:r>
          </w:p>
        </w:tc>
        <w:tc>
          <w:tcPr>
            <w:tcW w:w="2544" w:type="dxa"/>
            <w:tcMar>
              <w:top w:w="16" w:type="dxa"/>
              <w:left w:w="16" w:type="dxa"/>
              <w:right w:w="16" w:type="dxa"/>
            </w:tcMar>
            <w:vAlign w:val="center"/>
          </w:tcPr>
          <w:p>
            <w:pPr>
              <w:adjustRightInd w:val="0"/>
              <w:snapToGrid w:val="0"/>
              <w:jc w:val="center"/>
              <w:rPr>
                <w:b/>
                <w:spacing w:val="-6"/>
                <w:sz w:val="24"/>
              </w:rPr>
            </w:pPr>
            <w:r>
              <w:rPr>
                <w:b/>
                <w:spacing w:val="-6"/>
                <w:sz w:val="24"/>
              </w:rPr>
              <w:t>用地（用海）</w:t>
            </w:r>
          </w:p>
          <w:p>
            <w:pPr>
              <w:adjustRightInd w:val="0"/>
              <w:snapToGrid w:val="0"/>
              <w:jc w:val="center"/>
              <w:rPr>
                <w:b/>
                <w:sz w:val="24"/>
              </w:rPr>
            </w:pPr>
            <w:r>
              <w:rPr>
                <w:b/>
                <w:spacing w:val="-6"/>
                <w:sz w:val="24"/>
              </w:rPr>
              <w:t>面积（m</w:t>
            </w:r>
            <w:r>
              <w:rPr>
                <w:b/>
                <w:spacing w:val="-6"/>
                <w:sz w:val="24"/>
                <w:vertAlign w:val="superscript"/>
              </w:rPr>
              <w:t>2</w:t>
            </w:r>
            <w:r>
              <w:rPr>
                <w:b/>
                <w:spacing w:val="-6"/>
                <w:sz w:val="24"/>
              </w:rPr>
              <w:t>）</w:t>
            </w:r>
          </w:p>
        </w:tc>
        <w:tc>
          <w:tcPr>
            <w:tcW w:w="3038" w:type="dxa"/>
            <w:vAlign w:val="center"/>
          </w:tcPr>
          <w:p>
            <w:pPr>
              <w:adjustRightInd w:val="0"/>
              <w:snapToGrid w:val="0"/>
              <w:jc w:val="center"/>
              <w:rPr>
                <w:sz w:val="24"/>
              </w:rPr>
            </w:pPr>
            <w:r>
              <w:rPr>
                <w:rFonts w:hint="eastAsia" w:asciiTheme="majorEastAsia" w:hAnsiTheme="majorEastAsia" w:eastAsiaTheme="majorEastAsia" w:cstheme="majorEastAsia"/>
                <w:sz w:val="24"/>
              </w:rPr>
              <w:t>不新增用地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23" w:type="dxa"/>
            <w:vAlign w:val="center"/>
          </w:tcPr>
          <w:p>
            <w:pPr>
              <w:autoSpaceDE w:val="0"/>
              <w:autoSpaceDN w:val="0"/>
              <w:adjustRightInd w:val="0"/>
              <w:snapToGrid w:val="0"/>
              <w:jc w:val="center"/>
              <w:rPr>
                <w:b/>
                <w:kern w:val="0"/>
                <w:sz w:val="24"/>
              </w:rPr>
            </w:pPr>
            <w:r>
              <w:rPr>
                <w:b/>
                <w:kern w:val="0"/>
                <w:sz w:val="24"/>
              </w:rPr>
              <w:t>专项评价设置情况</w:t>
            </w:r>
          </w:p>
        </w:tc>
        <w:tc>
          <w:tcPr>
            <w:tcW w:w="9383" w:type="dxa"/>
            <w:gridSpan w:val="4"/>
            <w:vAlign w:val="center"/>
          </w:tcPr>
          <w:p>
            <w:pPr>
              <w:autoSpaceDE w:val="0"/>
              <w:autoSpaceDN w:val="0"/>
              <w:adjustRightInd w:val="0"/>
              <w:snapToGrid w:val="0"/>
              <w:spacing w:beforeLines="50"/>
              <w:jc w:val="center"/>
              <w:rPr>
                <w:b/>
                <w:bCs/>
              </w:rPr>
            </w:pPr>
            <w:r>
              <w:rPr>
                <w:b/>
              </w:rPr>
              <w:t>表</w:t>
            </w:r>
            <w:r>
              <w:rPr>
                <w:rFonts w:hint="eastAsia"/>
                <w:b/>
              </w:rPr>
              <w:t xml:space="preserve">1-1  </w:t>
            </w:r>
            <w:r>
              <w:rPr>
                <w:rFonts w:hint="eastAsia"/>
                <w:b/>
                <w:bCs/>
              </w:rPr>
              <w:t>专项评价设置原则</w:t>
            </w:r>
          </w:p>
          <w:tbl>
            <w:tblPr>
              <w:tblStyle w:val="26"/>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162"/>
              <w:gridCol w:w="4101"/>
              <w:gridCol w:w="3061"/>
              <w:gridCol w:w="81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36" w:type="pct"/>
                  <w:vAlign w:val="center"/>
                </w:tcPr>
                <w:p>
                  <w:pPr>
                    <w:autoSpaceDE w:val="0"/>
                    <w:autoSpaceDN w:val="0"/>
                    <w:adjustRightInd w:val="0"/>
                    <w:snapToGrid w:val="0"/>
                    <w:jc w:val="center"/>
                    <w:rPr>
                      <w:rFonts w:eastAsiaTheme="minorEastAsia"/>
                      <w:b/>
                      <w:bCs/>
                    </w:rPr>
                  </w:pPr>
                  <w:r>
                    <w:rPr>
                      <w:rFonts w:hAnsiTheme="minorEastAsia" w:eastAsiaTheme="minorEastAsia"/>
                      <w:b/>
                      <w:bCs/>
                    </w:rPr>
                    <w:t>专项评价类别</w:t>
                  </w:r>
                </w:p>
              </w:tc>
              <w:tc>
                <w:tcPr>
                  <w:tcW w:w="2244" w:type="pct"/>
                  <w:vAlign w:val="center"/>
                </w:tcPr>
                <w:p>
                  <w:pPr>
                    <w:autoSpaceDE w:val="0"/>
                    <w:autoSpaceDN w:val="0"/>
                    <w:adjustRightInd w:val="0"/>
                    <w:snapToGrid w:val="0"/>
                    <w:jc w:val="center"/>
                    <w:rPr>
                      <w:rFonts w:eastAsiaTheme="minorEastAsia"/>
                      <w:b/>
                      <w:bCs/>
                    </w:rPr>
                  </w:pPr>
                  <w:r>
                    <w:rPr>
                      <w:rFonts w:hAnsiTheme="minorEastAsia" w:eastAsiaTheme="minorEastAsia"/>
                      <w:b/>
                      <w:bCs/>
                    </w:rPr>
                    <w:t>设置原则</w:t>
                  </w:r>
                </w:p>
              </w:tc>
              <w:tc>
                <w:tcPr>
                  <w:tcW w:w="1675" w:type="pct"/>
                  <w:vAlign w:val="center"/>
                </w:tcPr>
                <w:p>
                  <w:pPr>
                    <w:autoSpaceDE w:val="0"/>
                    <w:autoSpaceDN w:val="0"/>
                    <w:adjustRightInd w:val="0"/>
                    <w:snapToGrid w:val="0"/>
                    <w:jc w:val="center"/>
                    <w:rPr>
                      <w:rFonts w:eastAsiaTheme="minorEastAsia"/>
                      <w:b/>
                      <w:bCs/>
                    </w:rPr>
                  </w:pPr>
                  <w:r>
                    <w:rPr>
                      <w:rFonts w:hAnsiTheme="minorEastAsia" w:eastAsiaTheme="minorEastAsia"/>
                      <w:b/>
                      <w:bCs/>
                    </w:rPr>
                    <w:t>项目情况</w:t>
                  </w:r>
                </w:p>
              </w:tc>
              <w:tc>
                <w:tcPr>
                  <w:tcW w:w="445" w:type="pct"/>
                  <w:vAlign w:val="center"/>
                </w:tcPr>
                <w:p>
                  <w:pPr>
                    <w:autoSpaceDE w:val="0"/>
                    <w:autoSpaceDN w:val="0"/>
                    <w:adjustRightInd w:val="0"/>
                    <w:snapToGrid w:val="0"/>
                    <w:jc w:val="center"/>
                    <w:rPr>
                      <w:rFonts w:eastAsiaTheme="minorEastAsia"/>
                      <w:b/>
                      <w:bCs/>
                    </w:rPr>
                  </w:pPr>
                  <w:r>
                    <w:rPr>
                      <w:rFonts w:hAnsiTheme="minorEastAsia" w:eastAsiaTheme="minorEastAsia"/>
                      <w:b/>
                      <w:bCs/>
                    </w:rPr>
                    <w:t>判定结果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36" w:type="pct"/>
                  <w:vAlign w:val="center"/>
                </w:tcPr>
                <w:p>
                  <w:pPr>
                    <w:autoSpaceDE w:val="0"/>
                    <w:autoSpaceDN w:val="0"/>
                    <w:adjustRightInd w:val="0"/>
                    <w:snapToGrid w:val="0"/>
                    <w:jc w:val="center"/>
                    <w:rPr>
                      <w:rFonts w:eastAsiaTheme="minorEastAsia"/>
                      <w:bCs/>
                    </w:rPr>
                  </w:pPr>
                  <w:r>
                    <w:rPr>
                      <w:rFonts w:hAnsiTheme="minorEastAsia" w:eastAsiaTheme="minorEastAsia"/>
                      <w:bCs/>
                    </w:rPr>
                    <w:t>大气</w:t>
                  </w:r>
                </w:p>
              </w:tc>
              <w:tc>
                <w:tcPr>
                  <w:tcW w:w="2244" w:type="pct"/>
                  <w:vAlign w:val="center"/>
                </w:tcPr>
                <w:p>
                  <w:pPr>
                    <w:autoSpaceDE w:val="0"/>
                    <w:autoSpaceDN w:val="0"/>
                    <w:adjustRightInd w:val="0"/>
                    <w:snapToGrid w:val="0"/>
                    <w:jc w:val="center"/>
                    <w:rPr>
                      <w:rFonts w:eastAsiaTheme="minorEastAsia"/>
                      <w:bCs/>
                    </w:rPr>
                  </w:pPr>
                  <w:r>
                    <w:rPr>
                      <w:rFonts w:hAnsiTheme="minorEastAsia" w:eastAsiaTheme="minorEastAsia"/>
                      <w:bCs/>
                    </w:rPr>
                    <w:t>排放废气含有毒有害污染物、二噁英、苯并</w:t>
                  </w:r>
                  <w:r>
                    <w:rPr>
                      <w:rFonts w:eastAsiaTheme="minorEastAsia"/>
                      <w:bCs/>
                    </w:rPr>
                    <w:t>[a]</w:t>
                  </w:r>
                  <w:r>
                    <w:rPr>
                      <w:rFonts w:hAnsiTheme="minorEastAsia" w:eastAsiaTheme="minorEastAsia"/>
                      <w:bCs/>
                    </w:rPr>
                    <w:t>芘、氰化物、氯气且厂界外</w:t>
                  </w:r>
                  <w:r>
                    <w:rPr>
                      <w:rFonts w:eastAsiaTheme="minorEastAsia"/>
                      <w:bCs/>
                    </w:rPr>
                    <w:t>500</w:t>
                  </w:r>
                  <w:r>
                    <w:rPr>
                      <w:rFonts w:hAnsiTheme="minorEastAsia" w:eastAsiaTheme="minorEastAsia"/>
                      <w:bCs/>
                    </w:rPr>
                    <w:t>米范围内有环境空气保护目标的建设项目</w:t>
                  </w:r>
                </w:p>
              </w:tc>
              <w:tc>
                <w:tcPr>
                  <w:tcW w:w="1675" w:type="pct"/>
                  <w:vAlign w:val="center"/>
                </w:tcPr>
                <w:p>
                  <w:pPr>
                    <w:autoSpaceDE w:val="0"/>
                    <w:autoSpaceDN w:val="0"/>
                    <w:adjustRightInd w:val="0"/>
                    <w:snapToGrid w:val="0"/>
                    <w:jc w:val="center"/>
                    <w:rPr>
                      <w:rFonts w:eastAsiaTheme="minorEastAsia"/>
                      <w:bCs/>
                    </w:rPr>
                  </w:pPr>
                  <w:r>
                    <w:rPr>
                      <w:rFonts w:hAnsiTheme="minorEastAsia" w:eastAsiaTheme="minorEastAsia"/>
                      <w:bCs/>
                    </w:rPr>
                    <w:t>排放的大气污染物不含有毒有害污染物、二噁英、苯并</w:t>
                  </w:r>
                  <w:r>
                    <w:rPr>
                      <w:rFonts w:eastAsiaTheme="minorEastAsia"/>
                      <w:bCs/>
                    </w:rPr>
                    <w:t>[a]</w:t>
                  </w:r>
                  <w:r>
                    <w:rPr>
                      <w:rFonts w:hAnsiTheme="minorEastAsia" w:eastAsiaTheme="minorEastAsia"/>
                      <w:bCs/>
                    </w:rPr>
                    <w:t>芘、氰化物、氯气等物质</w:t>
                  </w:r>
                </w:p>
              </w:tc>
              <w:tc>
                <w:tcPr>
                  <w:tcW w:w="445" w:type="pct"/>
                  <w:vAlign w:val="center"/>
                </w:tcPr>
                <w:p>
                  <w:pPr>
                    <w:autoSpaceDE w:val="0"/>
                    <w:autoSpaceDN w:val="0"/>
                    <w:adjustRightInd w:val="0"/>
                    <w:snapToGrid w:val="0"/>
                    <w:jc w:val="center"/>
                    <w:rPr>
                      <w:rFonts w:eastAsiaTheme="minorEastAsia"/>
                      <w:bCs/>
                    </w:rPr>
                  </w:pPr>
                  <w:r>
                    <w:rPr>
                      <w:rFonts w:hAnsiTheme="minorEastAsia" w:eastAsiaTheme="minorEastAsia"/>
                      <w:bCs/>
                    </w:rPr>
                    <w:t>无需设置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36" w:type="pct"/>
                  <w:vAlign w:val="center"/>
                </w:tcPr>
                <w:p>
                  <w:pPr>
                    <w:autoSpaceDE w:val="0"/>
                    <w:autoSpaceDN w:val="0"/>
                    <w:adjustRightInd w:val="0"/>
                    <w:snapToGrid w:val="0"/>
                    <w:jc w:val="center"/>
                    <w:rPr>
                      <w:rFonts w:eastAsiaTheme="minorEastAsia"/>
                      <w:bCs/>
                    </w:rPr>
                  </w:pPr>
                  <w:r>
                    <w:rPr>
                      <w:rFonts w:hAnsiTheme="minorEastAsia" w:eastAsiaTheme="minorEastAsia"/>
                      <w:bCs/>
                    </w:rPr>
                    <w:t>地表水</w:t>
                  </w:r>
                </w:p>
              </w:tc>
              <w:tc>
                <w:tcPr>
                  <w:tcW w:w="2244" w:type="pct"/>
                  <w:vAlign w:val="center"/>
                </w:tcPr>
                <w:p>
                  <w:pPr>
                    <w:autoSpaceDE w:val="0"/>
                    <w:autoSpaceDN w:val="0"/>
                    <w:adjustRightInd w:val="0"/>
                    <w:snapToGrid w:val="0"/>
                    <w:jc w:val="center"/>
                    <w:rPr>
                      <w:rFonts w:eastAsiaTheme="minorEastAsia"/>
                      <w:bCs/>
                    </w:rPr>
                  </w:pPr>
                  <w:r>
                    <w:rPr>
                      <w:rFonts w:hAnsiTheme="minorEastAsia" w:eastAsiaTheme="minorEastAsia"/>
                      <w:bCs/>
                    </w:rPr>
                    <w:t>新增工业废水直接排放建设项目（槽罐车外送至污水处理厂的除外）；新增废水直排的污水集中处理厂</w:t>
                  </w:r>
                </w:p>
              </w:tc>
              <w:tc>
                <w:tcPr>
                  <w:tcW w:w="1675" w:type="pct"/>
                  <w:vAlign w:val="center"/>
                </w:tcPr>
                <w:p>
                  <w:pPr>
                    <w:autoSpaceDE w:val="0"/>
                    <w:autoSpaceDN w:val="0"/>
                    <w:adjustRightInd w:val="0"/>
                    <w:snapToGrid w:val="0"/>
                    <w:jc w:val="center"/>
                    <w:rPr>
                      <w:rFonts w:eastAsiaTheme="minorEastAsia"/>
                      <w:bCs/>
                    </w:rPr>
                  </w:pPr>
                  <w:r>
                    <w:rPr>
                      <w:rFonts w:hAnsiTheme="minorEastAsia" w:eastAsiaTheme="minorEastAsia"/>
                      <w:bCs/>
                    </w:rPr>
                    <w:t>不涉及工业废水直接排放</w:t>
                  </w:r>
                </w:p>
              </w:tc>
              <w:tc>
                <w:tcPr>
                  <w:tcW w:w="445" w:type="pct"/>
                  <w:vAlign w:val="center"/>
                </w:tcPr>
                <w:p>
                  <w:pPr>
                    <w:autoSpaceDE w:val="0"/>
                    <w:autoSpaceDN w:val="0"/>
                    <w:adjustRightInd w:val="0"/>
                    <w:snapToGrid w:val="0"/>
                    <w:jc w:val="center"/>
                    <w:rPr>
                      <w:rFonts w:eastAsiaTheme="minorEastAsia"/>
                      <w:bCs/>
                    </w:rPr>
                  </w:pPr>
                  <w:r>
                    <w:rPr>
                      <w:rFonts w:hAnsiTheme="minorEastAsia" w:eastAsiaTheme="minorEastAsia"/>
                      <w:bCs/>
                    </w:rPr>
                    <w:t>无需设置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36" w:type="pct"/>
                  <w:vAlign w:val="center"/>
                </w:tcPr>
                <w:p>
                  <w:pPr>
                    <w:autoSpaceDE w:val="0"/>
                    <w:autoSpaceDN w:val="0"/>
                    <w:adjustRightInd w:val="0"/>
                    <w:snapToGrid w:val="0"/>
                    <w:jc w:val="center"/>
                    <w:rPr>
                      <w:rFonts w:eastAsiaTheme="minorEastAsia"/>
                      <w:bCs/>
                    </w:rPr>
                  </w:pPr>
                  <w:r>
                    <w:rPr>
                      <w:rFonts w:hAnsiTheme="minorEastAsia" w:eastAsiaTheme="minorEastAsia"/>
                      <w:bCs/>
                    </w:rPr>
                    <w:t>环境风险</w:t>
                  </w:r>
                </w:p>
              </w:tc>
              <w:tc>
                <w:tcPr>
                  <w:tcW w:w="2244" w:type="pct"/>
                  <w:vAlign w:val="center"/>
                </w:tcPr>
                <w:p>
                  <w:pPr>
                    <w:autoSpaceDE w:val="0"/>
                    <w:autoSpaceDN w:val="0"/>
                    <w:adjustRightInd w:val="0"/>
                    <w:snapToGrid w:val="0"/>
                    <w:jc w:val="center"/>
                    <w:rPr>
                      <w:rFonts w:eastAsiaTheme="minorEastAsia"/>
                      <w:bCs/>
                    </w:rPr>
                  </w:pPr>
                  <w:r>
                    <w:rPr>
                      <w:rFonts w:hAnsiTheme="minorEastAsia" w:eastAsiaTheme="minorEastAsia"/>
                      <w:bCs/>
                    </w:rPr>
                    <w:t>有毒有害和易燃易爆危险物质存储量超过临界量的建设项目</w:t>
                  </w:r>
                </w:p>
              </w:tc>
              <w:tc>
                <w:tcPr>
                  <w:tcW w:w="1675" w:type="pct"/>
                  <w:vAlign w:val="center"/>
                </w:tcPr>
                <w:p>
                  <w:pPr>
                    <w:autoSpaceDE w:val="0"/>
                    <w:autoSpaceDN w:val="0"/>
                    <w:adjustRightInd w:val="0"/>
                    <w:snapToGrid w:val="0"/>
                    <w:jc w:val="center"/>
                    <w:rPr>
                      <w:rFonts w:eastAsiaTheme="minorEastAsia"/>
                      <w:bCs/>
                    </w:rPr>
                  </w:pPr>
                  <w:r>
                    <w:rPr>
                      <w:rFonts w:hAnsiTheme="minorEastAsia" w:eastAsiaTheme="minorEastAsia"/>
                      <w:bCs/>
                    </w:rPr>
                    <w:t>危险物质存储量未超过临界量</w:t>
                  </w:r>
                </w:p>
              </w:tc>
              <w:tc>
                <w:tcPr>
                  <w:tcW w:w="445" w:type="pct"/>
                  <w:vAlign w:val="center"/>
                </w:tcPr>
                <w:p>
                  <w:pPr>
                    <w:autoSpaceDE w:val="0"/>
                    <w:autoSpaceDN w:val="0"/>
                    <w:adjustRightInd w:val="0"/>
                    <w:snapToGrid w:val="0"/>
                    <w:jc w:val="center"/>
                    <w:rPr>
                      <w:rFonts w:eastAsiaTheme="minorEastAsia"/>
                      <w:bCs/>
                    </w:rPr>
                  </w:pPr>
                  <w:r>
                    <w:rPr>
                      <w:rFonts w:hAnsiTheme="minorEastAsia" w:eastAsiaTheme="minorEastAsia"/>
                      <w:bCs/>
                    </w:rPr>
                    <w:t>无需设置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2" w:hRule="atLeast"/>
              </w:trPr>
              <w:tc>
                <w:tcPr>
                  <w:tcW w:w="636" w:type="pct"/>
                  <w:vAlign w:val="center"/>
                </w:tcPr>
                <w:p>
                  <w:pPr>
                    <w:autoSpaceDE w:val="0"/>
                    <w:autoSpaceDN w:val="0"/>
                    <w:adjustRightInd w:val="0"/>
                    <w:snapToGrid w:val="0"/>
                    <w:jc w:val="center"/>
                    <w:rPr>
                      <w:rFonts w:eastAsiaTheme="minorEastAsia"/>
                      <w:bCs/>
                    </w:rPr>
                  </w:pPr>
                  <w:r>
                    <w:rPr>
                      <w:rFonts w:hAnsiTheme="minorEastAsia" w:eastAsiaTheme="minorEastAsia"/>
                      <w:bCs/>
                    </w:rPr>
                    <w:t>生态</w:t>
                  </w:r>
                </w:p>
              </w:tc>
              <w:tc>
                <w:tcPr>
                  <w:tcW w:w="2244" w:type="pct"/>
                  <w:vAlign w:val="center"/>
                </w:tcPr>
                <w:p>
                  <w:pPr>
                    <w:autoSpaceDE w:val="0"/>
                    <w:autoSpaceDN w:val="0"/>
                    <w:adjustRightInd w:val="0"/>
                    <w:snapToGrid w:val="0"/>
                    <w:jc w:val="center"/>
                    <w:rPr>
                      <w:rFonts w:eastAsiaTheme="minorEastAsia"/>
                      <w:bCs/>
                    </w:rPr>
                  </w:pPr>
                  <w:r>
                    <w:rPr>
                      <w:rFonts w:hAnsiTheme="minorEastAsia" w:eastAsiaTheme="minorEastAsia"/>
                      <w:bCs/>
                    </w:rPr>
                    <w:t>取水口下游</w:t>
                  </w:r>
                  <w:r>
                    <w:rPr>
                      <w:rFonts w:eastAsiaTheme="minorEastAsia"/>
                      <w:bCs/>
                    </w:rPr>
                    <w:t>500</w:t>
                  </w:r>
                  <w:r>
                    <w:rPr>
                      <w:rFonts w:hAnsiTheme="minorEastAsia" w:eastAsiaTheme="minorEastAsia"/>
                      <w:bCs/>
                    </w:rPr>
                    <w:t>米范围内有重要水生生物的自然产卵场、索饵场、越冬场和洄游通道的新增河道取水的污染类建设项目</w:t>
                  </w:r>
                </w:p>
              </w:tc>
              <w:tc>
                <w:tcPr>
                  <w:tcW w:w="1675" w:type="pct"/>
                  <w:vAlign w:val="center"/>
                </w:tcPr>
                <w:p>
                  <w:pPr>
                    <w:autoSpaceDE w:val="0"/>
                    <w:autoSpaceDN w:val="0"/>
                    <w:adjustRightInd w:val="0"/>
                    <w:snapToGrid w:val="0"/>
                    <w:jc w:val="center"/>
                    <w:rPr>
                      <w:rFonts w:eastAsiaTheme="minorEastAsia"/>
                      <w:bCs/>
                    </w:rPr>
                  </w:pPr>
                  <w:r>
                    <w:rPr>
                      <w:rFonts w:hAnsiTheme="minorEastAsia" w:eastAsiaTheme="minorEastAsia"/>
                    </w:rPr>
                    <w:t>不涉及取水口</w:t>
                  </w:r>
                </w:p>
              </w:tc>
              <w:tc>
                <w:tcPr>
                  <w:tcW w:w="445" w:type="pct"/>
                  <w:vAlign w:val="center"/>
                </w:tcPr>
                <w:p>
                  <w:pPr>
                    <w:autoSpaceDE w:val="0"/>
                    <w:autoSpaceDN w:val="0"/>
                    <w:adjustRightInd w:val="0"/>
                    <w:snapToGrid w:val="0"/>
                    <w:jc w:val="center"/>
                    <w:rPr>
                      <w:rFonts w:eastAsiaTheme="minorEastAsia"/>
                    </w:rPr>
                  </w:pPr>
                  <w:r>
                    <w:rPr>
                      <w:rFonts w:hAnsiTheme="minorEastAsia" w:eastAsiaTheme="minorEastAsia"/>
                      <w:bCs/>
                    </w:rPr>
                    <w:t>无需设置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36" w:type="pct"/>
                  <w:vAlign w:val="center"/>
                </w:tcPr>
                <w:p>
                  <w:pPr>
                    <w:autoSpaceDE w:val="0"/>
                    <w:autoSpaceDN w:val="0"/>
                    <w:adjustRightInd w:val="0"/>
                    <w:snapToGrid w:val="0"/>
                    <w:jc w:val="center"/>
                    <w:rPr>
                      <w:rFonts w:eastAsiaTheme="minorEastAsia"/>
                      <w:bCs/>
                    </w:rPr>
                  </w:pPr>
                  <w:r>
                    <w:rPr>
                      <w:rFonts w:hAnsiTheme="minorEastAsia" w:eastAsiaTheme="minorEastAsia"/>
                      <w:bCs/>
                    </w:rPr>
                    <w:t>海洋</w:t>
                  </w:r>
                </w:p>
              </w:tc>
              <w:tc>
                <w:tcPr>
                  <w:tcW w:w="2244" w:type="pct"/>
                  <w:vAlign w:val="center"/>
                </w:tcPr>
                <w:p>
                  <w:pPr>
                    <w:autoSpaceDE w:val="0"/>
                    <w:autoSpaceDN w:val="0"/>
                    <w:adjustRightInd w:val="0"/>
                    <w:snapToGrid w:val="0"/>
                    <w:jc w:val="center"/>
                    <w:rPr>
                      <w:rFonts w:eastAsiaTheme="minorEastAsia"/>
                      <w:bCs/>
                    </w:rPr>
                  </w:pPr>
                  <w:r>
                    <w:rPr>
                      <w:rFonts w:hAnsiTheme="minorEastAsia" w:eastAsiaTheme="minorEastAsia"/>
                      <w:bCs/>
                    </w:rPr>
                    <w:t>直接向海排放污染物的海洋工程建设项目</w:t>
                  </w:r>
                </w:p>
              </w:tc>
              <w:tc>
                <w:tcPr>
                  <w:tcW w:w="1675" w:type="pct"/>
                  <w:vAlign w:val="center"/>
                </w:tcPr>
                <w:p>
                  <w:pPr>
                    <w:autoSpaceDE w:val="0"/>
                    <w:autoSpaceDN w:val="0"/>
                    <w:adjustRightInd w:val="0"/>
                    <w:snapToGrid w:val="0"/>
                    <w:jc w:val="center"/>
                    <w:rPr>
                      <w:rFonts w:eastAsiaTheme="minorEastAsia"/>
                      <w:bCs/>
                    </w:rPr>
                  </w:pPr>
                  <w:r>
                    <w:rPr>
                      <w:rFonts w:hAnsiTheme="minorEastAsia" w:eastAsiaTheme="minorEastAsia"/>
                    </w:rPr>
                    <w:t>不涉及向海洋排放污染物</w:t>
                  </w:r>
                </w:p>
              </w:tc>
              <w:tc>
                <w:tcPr>
                  <w:tcW w:w="445" w:type="pct"/>
                  <w:vAlign w:val="center"/>
                </w:tcPr>
                <w:p>
                  <w:pPr>
                    <w:autoSpaceDE w:val="0"/>
                    <w:autoSpaceDN w:val="0"/>
                    <w:adjustRightInd w:val="0"/>
                    <w:snapToGrid w:val="0"/>
                    <w:jc w:val="center"/>
                    <w:rPr>
                      <w:rFonts w:eastAsiaTheme="minorEastAsia"/>
                    </w:rPr>
                  </w:pPr>
                  <w:r>
                    <w:rPr>
                      <w:rFonts w:hAnsiTheme="minorEastAsia" w:eastAsiaTheme="minorEastAsia"/>
                      <w:bCs/>
                    </w:rPr>
                    <w:t>无需设置</w:t>
                  </w:r>
                </w:p>
              </w:tc>
            </w:tr>
          </w:tbl>
          <w:p>
            <w:pPr>
              <w:autoSpaceDE w:val="0"/>
              <w:autoSpaceDN w:val="0"/>
              <w:adjustRightInd w:val="0"/>
              <w:snapToGrid w:val="0"/>
              <w:jc w:val="center"/>
              <w:rPr>
                <w:kern w:val="0"/>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23" w:type="dxa"/>
            <w:vAlign w:val="center"/>
          </w:tcPr>
          <w:p>
            <w:pPr>
              <w:autoSpaceDE w:val="0"/>
              <w:autoSpaceDN w:val="0"/>
              <w:adjustRightInd w:val="0"/>
              <w:snapToGrid w:val="0"/>
              <w:jc w:val="center"/>
              <w:rPr>
                <w:b/>
                <w:kern w:val="0"/>
                <w:sz w:val="24"/>
              </w:rPr>
            </w:pPr>
            <w:r>
              <w:rPr>
                <w:b/>
                <w:sz w:val="24"/>
              </w:rPr>
              <w:t>规划情况</w:t>
            </w:r>
          </w:p>
        </w:tc>
        <w:tc>
          <w:tcPr>
            <w:tcW w:w="9383" w:type="dxa"/>
            <w:gridSpan w:val="4"/>
            <w:vAlign w:val="center"/>
          </w:tcPr>
          <w:p>
            <w:pPr>
              <w:spacing w:line="360" w:lineRule="auto"/>
              <w:ind w:firstLine="472" w:firstLineChars="200"/>
              <w:rPr>
                <w:rFonts w:eastAsiaTheme="minorEastAsia"/>
                <w:spacing w:val="-2"/>
                <w:sz w:val="24"/>
              </w:rPr>
            </w:pPr>
            <w:r>
              <w:rPr>
                <w:rFonts w:hint="eastAsia" w:eastAsiaTheme="minorEastAsia"/>
                <w:spacing w:val="-2"/>
                <w:sz w:val="24"/>
              </w:rPr>
              <w:t>湖南衡阳西渡高新技术产业园区前身为衡阳县经济技术开发区，于1992年经衡阳市人民政府衡政发[1992]95号文件批准设立，1994年经湖南省人民政府湘政发[1994]5号文件认定为省级开发区，2006年经国家发改委第41号公告公布列入第七批通过审核的开发区名录，并更名为湖南衡阳西渡经济开发区，2012年湖南省人民政府以湘政函[2012]88号文件批准更名为湖南衡阳西渡高新技术产业园区。</w:t>
            </w:r>
          </w:p>
          <w:p>
            <w:pPr>
              <w:spacing w:line="360" w:lineRule="auto"/>
              <w:ind w:firstLine="472" w:firstLineChars="200"/>
              <w:rPr>
                <w:rFonts w:eastAsiaTheme="minorEastAsia"/>
                <w:spacing w:val="-2"/>
                <w:sz w:val="24"/>
              </w:rPr>
            </w:pPr>
            <w:r>
              <w:rPr>
                <w:rFonts w:hint="eastAsia" w:eastAsiaTheme="minorEastAsia"/>
                <w:spacing w:val="-2"/>
                <w:sz w:val="24"/>
              </w:rPr>
              <w:t>根据湖南省发展和改革委员会、湖南省自然资源厅关于发布衡阳西渡高新技术产业园区边界面积及四至范围的通知（湘发改园区[2022]601号），湖南衡阳西渡高新技术产业园区规划面积1007.11公顷。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23" w:type="dxa"/>
            <w:vAlign w:val="center"/>
          </w:tcPr>
          <w:p>
            <w:pPr>
              <w:adjustRightInd w:val="0"/>
              <w:snapToGrid w:val="0"/>
              <w:jc w:val="center"/>
              <w:rPr>
                <w:b/>
                <w:sz w:val="24"/>
              </w:rPr>
            </w:pPr>
            <w:r>
              <w:rPr>
                <w:b/>
                <w:sz w:val="24"/>
              </w:rPr>
              <w:t>规划环境影响评价情况</w:t>
            </w:r>
          </w:p>
        </w:tc>
        <w:tc>
          <w:tcPr>
            <w:tcW w:w="9383" w:type="dxa"/>
            <w:gridSpan w:val="4"/>
            <w:vAlign w:val="center"/>
          </w:tcPr>
          <w:p>
            <w:pPr>
              <w:spacing w:line="360" w:lineRule="auto"/>
              <w:ind w:firstLine="472" w:firstLineChars="200"/>
              <w:rPr>
                <w:rFonts w:eastAsiaTheme="minorEastAsia"/>
                <w:spacing w:val="-2"/>
                <w:sz w:val="24"/>
              </w:rPr>
            </w:pPr>
            <w:r>
              <w:rPr>
                <w:rFonts w:eastAsiaTheme="minorEastAsia"/>
                <w:spacing w:val="-2"/>
                <w:sz w:val="24"/>
              </w:rPr>
              <w:t>文件名称：《衡阳西渡经济开发区环境影响报告书》；</w:t>
            </w:r>
          </w:p>
          <w:p>
            <w:pPr>
              <w:spacing w:line="360" w:lineRule="auto"/>
              <w:ind w:firstLine="472" w:firstLineChars="200"/>
              <w:rPr>
                <w:rFonts w:eastAsiaTheme="minorEastAsia"/>
                <w:spacing w:val="-2"/>
                <w:sz w:val="24"/>
              </w:rPr>
            </w:pPr>
            <w:r>
              <w:rPr>
                <w:rFonts w:hint="eastAsia" w:eastAsiaTheme="minorEastAsia"/>
                <w:spacing w:val="-2"/>
                <w:sz w:val="24"/>
              </w:rPr>
              <w:t>召集审查机关：湖南省生态环境厅；</w:t>
            </w:r>
          </w:p>
          <w:p>
            <w:pPr>
              <w:spacing w:line="360" w:lineRule="auto"/>
              <w:ind w:firstLine="472" w:firstLineChars="200"/>
              <w:rPr>
                <w:kern w:val="0"/>
                <w:sz w:val="24"/>
              </w:rPr>
            </w:pPr>
            <w:r>
              <w:rPr>
                <w:rFonts w:hint="eastAsia" w:eastAsiaTheme="minorEastAsia"/>
                <w:spacing w:val="-2"/>
                <w:sz w:val="24"/>
              </w:rPr>
              <w:t>审查文件名称及文号：</w:t>
            </w:r>
            <w:r>
              <w:rPr>
                <w:rFonts w:eastAsiaTheme="minorEastAsia"/>
                <w:spacing w:val="-2"/>
                <w:sz w:val="24"/>
              </w:rPr>
              <w:t>《关于西渡经济开发区环境影响报告书的批复》（</w:t>
            </w:r>
            <w:r>
              <w:rPr>
                <w:rFonts w:hint="eastAsia" w:eastAsiaTheme="minorEastAsia"/>
                <w:spacing w:val="-2"/>
                <w:sz w:val="24"/>
              </w:rPr>
              <w:t>湘环评[2013]285号</w:t>
            </w:r>
            <w:r>
              <w:rPr>
                <w:rFonts w:eastAsiaTheme="minorEastAsia"/>
                <w:spacing w:val="-2"/>
                <w:sz w:val="24"/>
              </w:rPr>
              <w:t>）</w:t>
            </w:r>
            <w:r>
              <w:rPr>
                <w:rFonts w:hint="eastAsia" w:eastAsiaTheme="minorEastAsia"/>
                <w:spacing w:val="-2"/>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23" w:type="dxa"/>
            <w:vAlign w:val="center"/>
          </w:tcPr>
          <w:p>
            <w:pPr>
              <w:autoSpaceDE w:val="0"/>
              <w:autoSpaceDN w:val="0"/>
              <w:adjustRightInd w:val="0"/>
              <w:snapToGrid w:val="0"/>
              <w:jc w:val="center"/>
              <w:rPr>
                <w:b/>
                <w:kern w:val="0"/>
                <w:sz w:val="24"/>
              </w:rPr>
            </w:pPr>
            <w:r>
              <w:rPr>
                <w:b/>
                <w:kern w:val="0"/>
                <w:sz w:val="24"/>
              </w:rPr>
              <w:t>规划及规划环境影响评价符合性分析</w:t>
            </w:r>
          </w:p>
        </w:tc>
        <w:tc>
          <w:tcPr>
            <w:tcW w:w="9383" w:type="dxa"/>
            <w:gridSpan w:val="4"/>
            <w:vAlign w:val="center"/>
          </w:tcPr>
          <w:p>
            <w:pPr>
              <w:spacing w:line="360" w:lineRule="auto"/>
              <w:ind w:firstLine="472" w:firstLineChars="200"/>
              <w:jc w:val="left"/>
              <w:rPr>
                <w:rFonts w:eastAsiaTheme="minorEastAsia"/>
                <w:spacing w:val="-2"/>
                <w:sz w:val="24"/>
              </w:rPr>
            </w:pPr>
            <w:r>
              <w:rPr>
                <w:rFonts w:hint="eastAsia" w:eastAsiaTheme="minorEastAsia"/>
                <w:spacing w:val="-2"/>
                <w:sz w:val="24"/>
              </w:rPr>
              <w:t>（1）定位符合性分析</w:t>
            </w:r>
          </w:p>
          <w:p>
            <w:pPr>
              <w:spacing w:line="360" w:lineRule="auto"/>
              <w:ind w:firstLine="472" w:firstLineChars="200"/>
              <w:jc w:val="left"/>
              <w:rPr>
                <w:rFonts w:eastAsiaTheme="minorEastAsia"/>
                <w:spacing w:val="-2"/>
                <w:sz w:val="24"/>
              </w:rPr>
            </w:pPr>
            <w:r>
              <w:rPr>
                <w:rFonts w:eastAsiaTheme="minorEastAsia"/>
                <w:spacing w:val="-2"/>
                <w:sz w:val="24"/>
              </w:rPr>
              <w:t>衡阳西渡高新技术产业园产业定位为：以生物医药、外贸加工和机械电子制造产业基地为主导产业，以农产品加工行业为辅导产业，配套物流及居民安置区，建立省级新型工业化示范基地，打造新型的省级经济开发区。</w:t>
            </w:r>
          </w:p>
          <w:p>
            <w:pPr>
              <w:spacing w:line="360" w:lineRule="auto"/>
              <w:ind w:firstLine="472" w:firstLineChars="200"/>
              <w:rPr>
                <w:rFonts w:eastAsiaTheme="minorEastAsia"/>
                <w:spacing w:val="-2"/>
                <w:sz w:val="24"/>
              </w:rPr>
            </w:pPr>
            <w:r>
              <w:rPr>
                <w:rFonts w:hint="eastAsia" w:eastAsiaTheme="minorEastAsia"/>
                <w:spacing w:val="-2"/>
                <w:sz w:val="24"/>
              </w:rPr>
              <w:t>项目属于铁路专用设备及器材、配件制造项目，属于机械制造业，项目</w:t>
            </w:r>
            <w:r>
              <w:rPr>
                <w:rFonts w:hint="eastAsia" w:eastAsiaTheme="minorEastAsia"/>
                <w:spacing w:val="-2"/>
                <w:sz w:val="24"/>
                <w:lang w:val="en-US" w:eastAsia="zh-CN"/>
              </w:rPr>
              <w:t>主要改造内容</w:t>
            </w:r>
            <w:r>
              <w:rPr>
                <w:rFonts w:hint="eastAsia" w:eastAsiaTheme="minorEastAsia"/>
                <w:spacing w:val="-2"/>
                <w:sz w:val="24"/>
              </w:rPr>
              <w:t>为增设2台燃气渗锌炉替代现有电加热渗锌设备，符合园区的产业定位。</w:t>
            </w:r>
          </w:p>
          <w:p>
            <w:pPr>
              <w:spacing w:line="360" w:lineRule="auto"/>
              <w:ind w:firstLine="472" w:firstLineChars="200"/>
              <w:jc w:val="left"/>
              <w:rPr>
                <w:rFonts w:eastAsiaTheme="minorEastAsia"/>
                <w:spacing w:val="-2"/>
                <w:sz w:val="24"/>
              </w:rPr>
            </w:pPr>
            <w:r>
              <w:rPr>
                <w:rFonts w:hint="eastAsia" w:eastAsiaTheme="minorEastAsia"/>
                <w:spacing w:val="-2"/>
                <w:sz w:val="24"/>
              </w:rPr>
              <w:t>（2）准入条件符合性分析</w:t>
            </w:r>
          </w:p>
          <w:p>
            <w:pPr>
              <w:spacing w:line="360" w:lineRule="auto"/>
              <w:ind w:firstLine="472" w:firstLineChars="200"/>
              <w:jc w:val="left"/>
              <w:rPr>
                <w:rFonts w:eastAsiaTheme="minorEastAsia"/>
                <w:spacing w:val="-2"/>
                <w:sz w:val="24"/>
              </w:rPr>
            </w:pPr>
            <w:r>
              <w:rPr>
                <w:rFonts w:hint="eastAsia" w:eastAsiaTheme="minorEastAsia"/>
                <w:spacing w:val="-2"/>
                <w:sz w:val="24"/>
              </w:rPr>
              <w:t>根据《衡阳西渡高新技术产业开发区发展规划》及其审查意见</w:t>
            </w:r>
            <w:r>
              <w:rPr>
                <w:rFonts w:eastAsiaTheme="minorEastAsia"/>
                <w:spacing w:val="-2"/>
                <w:sz w:val="24"/>
              </w:rPr>
              <w:t>（</w:t>
            </w:r>
            <w:r>
              <w:rPr>
                <w:rFonts w:hint="eastAsia" w:eastAsiaTheme="minorEastAsia"/>
                <w:spacing w:val="-2"/>
                <w:sz w:val="24"/>
              </w:rPr>
              <w:t>湘环评[2013]285号</w:t>
            </w:r>
            <w:r>
              <w:rPr>
                <w:rFonts w:eastAsiaTheme="minorEastAsia"/>
                <w:spacing w:val="-2"/>
                <w:sz w:val="24"/>
              </w:rPr>
              <w:t>）</w:t>
            </w:r>
            <w:r>
              <w:rPr>
                <w:rFonts w:hint="eastAsia" w:eastAsiaTheme="minorEastAsia"/>
                <w:spacing w:val="-2"/>
                <w:sz w:val="24"/>
              </w:rPr>
              <w:t>可知，</w:t>
            </w:r>
            <w:r>
              <w:rPr>
                <w:rFonts w:eastAsiaTheme="minorEastAsia"/>
                <w:spacing w:val="-2"/>
                <w:sz w:val="24"/>
              </w:rPr>
              <w:t>衡阳西渡高新技术产业园</w:t>
            </w:r>
            <w:r>
              <w:rPr>
                <w:rFonts w:hint="eastAsia" w:eastAsiaTheme="minorEastAsia"/>
                <w:spacing w:val="-2"/>
                <w:sz w:val="24"/>
              </w:rPr>
              <w:t>总体控制要求为：规划为一类工业用地只能引入一类工业，不得引进二类、三类工业；二类工业用地禁止引进三类工业项且；禁止使用高硫煤，禁止气型污染企业入驻；禁止涉重金属或者产生重金属污染物的企业入驻、高浓度有机废水以及排水量大的企业入驻；禁止使用和生产高毒性原料和产品的行业和企业入园；禁止造纸，印染、电镀、水泥、农药、制革、炼油石化化工等废水、废气、噪声排放量大的污染企业或行业进入园区；水处理设施不完善的企业禁止开工生产；禁止引进致癌、致畸、致突变产品生产项目；禁止引进来料加工的海外废金属、塑料、纸张工业；禁止引进国家明文禁止的“十五小”和“新五小”项目，以及大量增加SO</w:t>
            </w:r>
            <w:r>
              <w:rPr>
                <w:rFonts w:hint="eastAsia" w:eastAsiaTheme="minorEastAsia"/>
                <w:spacing w:val="-2"/>
                <w:sz w:val="24"/>
                <w:vertAlign w:val="subscript"/>
              </w:rPr>
              <w:t>2</w:t>
            </w:r>
            <w:r>
              <w:rPr>
                <w:rFonts w:hint="eastAsia" w:eastAsiaTheme="minorEastAsia"/>
                <w:spacing w:val="-2"/>
                <w:sz w:val="24"/>
              </w:rPr>
              <w:t>和TSP排放的工业项目。禁止《产业结构调整指导且录（2011年本）（修正）》第三类淘汰类项目入驻，严格限制《产业结构调整指导目录（2011年本）（修正）》第二类限制类项目入驻。</w:t>
            </w:r>
          </w:p>
          <w:p>
            <w:pPr>
              <w:spacing w:line="360" w:lineRule="auto"/>
              <w:ind w:firstLine="472" w:firstLineChars="200"/>
              <w:rPr>
                <w:rFonts w:eastAsiaTheme="minorEastAsia"/>
                <w:spacing w:val="-2"/>
                <w:sz w:val="24"/>
              </w:rPr>
            </w:pPr>
            <w:r>
              <w:rPr>
                <w:rFonts w:hint="eastAsia" w:eastAsiaTheme="minorEastAsia"/>
                <w:spacing w:val="-2"/>
                <w:sz w:val="24"/>
              </w:rPr>
              <w:t>本项目属于铁路专用设备及器材、配件制造项目，项目</w:t>
            </w:r>
            <w:r>
              <w:rPr>
                <w:rFonts w:hint="eastAsia" w:eastAsiaTheme="minorEastAsia"/>
                <w:spacing w:val="-2"/>
                <w:sz w:val="24"/>
                <w:lang w:val="en-US" w:eastAsia="zh-CN"/>
              </w:rPr>
              <w:t>主要改造内容</w:t>
            </w:r>
            <w:r>
              <w:rPr>
                <w:rFonts w:hint="eastAsia" w:eastAsiaTheme="minorEastAsia"/>
                <w:spacing w:val="-2"/>
                <w:sz w:val="24"/>
              </w:rPr>
              <w:t>为增设2台燃气渗锌炉替代现有电加热渗锌设备。项目不涉及重金属污染、持久性污染物，污染物经处理后均能达标排放，对周边环境较小，符合规划环评要求</w:t>
            </w:r>
          </w:p>
          <w:p>
            <w:pPr>
              <w:spacing w:line="360" w:lineRule="auto"/>
              <w:ind w:firstLine="472" w:firstLineChars="200"/>
              <w:jc w:val="left"/>
              <w:rPr>
                <w:rFonts w:hAnsiTheme="minorEastAsia" w:eastAsiaTheme="minorEastAsia"/>
                <w:spacing w:val="-2"/>
                <w:sz w:val="24"/>
              </w:rPr>
            </w:pPr>
            <w:r>
              <w:rPr>
                <w:rFonts w:hint="eastAsia" w:eastAsiaTheme="minorEastAsia"/>
                <w:spacing w:val="-2"/>
                <w:sz w:val="24"/>
              </w:rPr>
              <w:t>综上所述，本项目的建设与《衡阳西渡高新技术产业开发区发展规划》相符。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23" w:type="dxa"/>
            <w:vAlign w:val="center"/>
          </w:tcPr>
          <w:p>
            <w:pPr>
              <w:autoSpaceDE w:val="0"/>
              <w:autoSpaceDN w:val="0"/>
              <w:adjustRightInd w:val="0"/>
              <w:snapToGrid w:val="0"/>
              <w:jc w:val="center"/>
              <w:rPr>
                <w:b/>
                <w:kern w:val="0"/>
                <w:sz w:val="24"/>
              </w:rPr>
            </w:pPr>
            <w:r>
              <w:rPr>
                <w:b/>
                <w:kern w:val="0"/>
                <w:sz w:val="24"/>
              </w:rPr>
              <w:t>其他符合性分析</w:t>
            </w:r>
          </w:p>
        </w:tc>
        <w:tc>
          <w:tcPr>
            <w:tcW w:w="9383" w:type="dxa"/>
            <w:gridSpan w:val="4"/>
            <w:vAlign w:val="center"/>
          </w:tcPr>
          <w:p>
            <w:pPr>
              <w:autoSpaceDE w:val="0"/>
              <w:autoSpaceDN w:val="0"/>
              <w:adjustRightInd w:val="0"/>
              <w:snapToGrid w:val="0"/>
              <w:spacing w:line="360" w:lineRule="auto"/>
              <w:ind w:firstLine="482" w:firstLineChars="200"/>
              <w:rPr>
                <w:b/>
                <w:bCs/>
                <w:kern w:val="0"/>
                <w:sz w:val="24"/>
              </w:rPr>
            </w:pPr>
            <w:r>
              <w:rPr>
                <w:rFonts w:hint="eastAsia"/>
                <w:b/>
                <w:bCs/>
                <w:kern w:val="0"/>
                <w:sz w:val="24"/>
              </w:rPr>
              <w:t>1、</w:t>
            </w:r>
            <w:r>
              <w:rPr>
                <w:b/>
                <w:bCs/>
                <w:kern w:val="0"/>
                <w:sz w:val="24"/>
              </w:rPr>
              <w:t>产业政策合理性分析</w:t>
            </w:r>
          </w:p>
          <w:p>
            <w:pPr>
              <w:pStyle w:val="50"/>
              <w:spacing w:line="360" w:lineRule="auto"/>
              <w:ind w:firstLine="480" w:firstLineChars="200"/>
              <w:rPr>
                <w:rFonts w:hAnsiTheme="minorEastAsia" w:eastAsiaTheme="minorEastAsia"/>
                <w:color w:val="auto"/>
              </w:rPr>
            </w:pPr>
            <w:r>
              <w:rPr>
                <w:rFonts w:hAnsiTheme="minorEastAsia" w:eastAsiaTheme="minorEastAsia"/>
                <w:color w:val="auto"/>
              </w:rPr>
              <w:t>对照《产业结构调整指导目录（</w:t>
            </w:r>
            <w:r>
              <w:rPr>
                <w:rFonts w:eastAsiaTheme="minorEastAsia"/>
                <w:color w:val="auto"/>
              </w:rPr>
              <w:t>2019</w:t>
            </w:r>
            <w:r>
              <w:rPr>
                <w:rFonts w:hAnsiTheme="minorEastAsia" w:eastAsiaTheme="minorEastAsia"/>
                <w:color w:val="auto"/>
              </w:rPr>
              <w:t>年本）》，本项目不属于《产业结构调整指导目录（</w:t>
            </w:r>
            <w:r>
              <w:rPr>
                <w:rFonts w:eastAsiaTheme="minorEastAsia"/>
                <w:color w:val="auto"/>
              </w:rPr>
              <w:t>2019</w:t>
            </w:r>
            <w:r>
              <w:rPr>
                <w:rFonts w:hAnsiTheme="minorEastAsia" w:eastAsiaTheme="minorEastAsia"/>
                <w:color w:val="auto"/>
              </w:rPr>
              <w:t>年本）》中</w:t>
            </w:r>
            <w:r>
              <w:rPr>
                <w:rFonts w:asciiTheme="minorEastAsia" w:hAnsiTheme="minorEastAsia" w:eastAsiaTheme="minorEastAsia"/>
                <w:color w:val="auto"/>
              </w:rPr>
              <w:t>“限制类”和“淘汰类”，为“允许类”，</w:t>
            </w:r>
            <w:r>
              <w:rPr>
                <w:rFonts w:hAnsiTheme="minorEastAsia" w:eastAsiaTheme="minorEastAsia"/>
                <w:color w:val="auto"/>
              </w:rPr>
              <w:t>因此项目建设符合国家和地方产业政策。因此项目建设符合国家规定现行产业政策。</w:t>
            </w:r>
          </w:p>
          <w:p>
            <w:pPr>
              <w:pStyle w:val="50"/>
              <w:spacing w:line="360" w:lineRule="auto"/>
              <w:ind w:firstLine="480" w:firstLineChars="200"/>
              <w:rPr>
                <w:rFonts w:eastAsiaTheme="minorEastAsia"/>
                <w:color w:val="auto"/>
              </w:rPr>
            </w:pPr>
            <w:r>
              <w:rPr>
                <w:rFonts w:hAnsiTheme="minorEastAsia" w:eastAsiaTheme="minorEastAsia"/>
                <w:color w:val="auto"/>
              </w:rPr>
              <w:t>本项目所选用机械设备未列入《部分工业行业淘汰落后生产工艺装备和产品指导目录（</w:t>
            </w:r>
            <w:r>
              <w:rPr>
                <w:rFonts w:eastAsiaTheme="minorEastAsia"/>
                <w:color w:val="auto"/>
              </w:rPr>
              <w:t>2010</w:t>
            </w:r>
            <w:r>
              <w:rPr>
                <w:rFonts w:hAnsiTheme="minorEastAsia" w:eastAsiaTheme="minorEastAsia"/>
                <w:color w:val="auto"/>
              </w:rPr>
              <w:t>年本）》（工产业（</w:t>
            </w:r>
            <w:r>
              <w:rPr>
                <w:rFonts w:eastAsiaTheme="minorEastAsia"/>
                <w:color w:val="auto"/>
              </w:rPr>
              <w:t>2010</w:t>
            </w:r>
            <w:r>
              <w:rPr>
                <w:rFonts w:hAnsiTheme="minorEastAsia" w:eastAsiaTheme="minorEastAsia"/>
                <w:color w:val="auto"/>
              </w:rPr>
              <w:t>）第</w:t>
            </w:r>
            <w:r>
              <w:rPr>
                <w:rFonts w:eastAsiaTheme="minorEastAsia"/>
                <w:color w:val="auto"/>
              </w:rPr>
              <w:t>122</w:t>
            </w:r>
            <w:r>
              <w:rPr>
                <w:rFonts w:hAnsiTheme="minorEastAsia" w:eastAsiaTheme="minorEastAsia"/>
                <w:color w:val="auto"/>
              </w:rPr>
              <w:t>号）中，无淘汰、落后设备。</w:t>
            </w:r>
          </w:p>
          <w:p>
            <w:pPr>
              <w:autoSpaceDE w:val="0"/>
              <w:autoSpaceDN w:val="0"/>
              <w:adjustRightInd w:val="0"/>
              <w:snapToGrid w:val="0"/>
              <w:spacing w:line="360" w:lineRule="auto"/>
              <w:ind w:firstLine="482" w:firstLineChars="200"/>
              <w:jc w:val="left"/>
              <w:rPr>
                <w:b/>
                <w:bCs/>
                <w:kern w:val="0"/>
                <w:sz w:val="24"/>
              </w:rPr>
            </w:pPr>
            <w:r>
              <w:rPr>
                <w:rFonts w:hint="eastAsia"/>
                <w:b/>
                <w:bCs/>
                <w:kern w:val="0"/>
                <w:sz w:val="24"/>
              </w:rPr>
              <w:t>2、“</w:t>
            </w:r>
            <w:r>
              <w:rPr>
                <w:b/>
                <w:bCs/>
                <w:kern w:val="0"/>
                <w:sz w:val="24"/>
              </w:rPr>
              <w:t>三线一单”控制要求的符合性分析</w:t>
            </w:r>
          </w:p>
          <w:p>
            <w:pPr>
              <w:pStyle w:val="50"/>
              <w:snapToGrid/>
              <w:spacing w:line="360" w:lineRule="auto"/>
              <w:ind w:firstLine="482" w:firstLineChars="200"/>
              <w:rPr>
                <w:rFonts w:eastAsia="宋体"/>
                <w:b/>
                <w:color w:val="auto"/>
              </w:rPr>
            </w:pPr>
            <w:r>
              <w:rPr>
                <w:rFonts w:hint="eastAsia" w:eastAsia="宋体"/>
                <w:b/>
                <w:color w:val="auto"/>
              </w:rPr>
              <w:t>（1）生态保护红线</w:t>
            </w:r>
          </w:p>
          <w:p>
            <w:pPr>
              <w:pStyle w:val="50"/>
              <w:spacing w:line="360" w:lineRule="auto"/>
              <w:ind w:firstLine="480" w:firstLineChars="200"/>
              <w:rPr>
                <w:rFonts w:eastAsia="宋体"/>
                <w:color w:val="auto"/>
              </w:rPr>
            </w:pPr>
            <w:r>
              <w:rPr>
                <w:rFonts w:hint="eastAsia" w:eastAsia="宋体"/>
                <w:color w:val="auto"/>
              </w:rPr>
              <w:t>“生态保护红线”是生态空间范围内具有特殊重要生态功能必须实行强制性严格保护的区域。</w:t>
            </w:r>
          </w:p>
          <w:p>
            <w:pPr>
              <w:pStyle w:val="50"/>
              <w:snapToGrid/>
              <w:spacing w:line="360" w:lineRule="auto"/>
              <w:ind w:firstLine="480" w:firstLineChars="200"/>
              <w:rPr>
                <w:rFonts w:eastAsia="宋体"/>
                <w:color w:val="auto"/>
              </w:rPr>
            </w:pPr>
            <w:r>
              <w:rPr>
                <w:rFonts w:hint="eastAsia" w:eastAsia="宋体"/>
                <w:color w:val="auto"/>
              </w:rPr>
              <w:t>本项目位于衡阳县西渡镇清江北路5号（衡阳市新德力交通材料有限公司现有厂区内），根据衡阳市生态保护红线区划，项目不在生态保护红线划定范围内，与衡阳市生态保护红线相符。</w:t>
            </w:r>
          </w:p>
          <w:p>
            <w:pPr>
              <w:pStyle w:val="50"/>
              <w:snapToGrid/>
              <w:spacing w:line="360" w:lineRule="auto"/>
              <w:ind w:firstLine="482" w:firstLineChars="200"/>
              <w:rPr>
                <w:rFonts w:eastAsia="宋体"/>
                <w:b/>
                <w:bCs/>
                <w:color w:val="auto"/>
              </w:rPr>
            </w:pPr>
            <w:r>
              <w:rPr>
                <w:rFonts w:hint="eastAsia" w:eastAsia="宋体"/>
                <w:b/>
                <w:bCs/>
                <w:color w:val="auto"/>
              </w:rPr>
              <w:t>（2）环境质量底线</w:t>
            </w:r>
          </w:p>
          <w:p>
            <w:pPr>
              <w:pStyle w:val="50"/>
              <w:snapToGrid/>
              <w:spacing w:line="360" w:lineRule="auto"/>
              <w:ind w:firstLine="480" w:firstLineChars="200"/>
              <w:rPr>
                <w:rFonts w:eastAsia="宋体"/>
                <w:color w:val="auto"/>
              </w:rPr>
            </w:pPr>
            <w:r>
              <w:rPr>
                <w:rFonts w:asciiTheme="minorEastAsia" w:hAnsiTheme="minorEastAsia" w:eastAsiaTheme="minorEastAsia"/>
                <w:color w:val="auto"/>
              </w:rPr>
              <w:t>“环境质量底线”</w:t>
            </w:r>
            <w:r>
              <w:rPr>
                <w:rFonts w:eastAsia="宋体"/>
                <w:color w:val="auto"/>
              </w:rPr>
              <w:t>是国家和地方设置的大气、水和土壤环境质量目标，也是改善环境质量的基准线。</w:t>
            </w:r>
          </w:p>
          <w:p>
            <w:pPr>
              <w:pStyle w:val="50"/>
              <w:snapToGrid/>
              <w:spacing w:line="360" w:lineRule="auto"/>
              <w:ind w:firstLine="480" w:firstLineChars="200"/>
              <w:rPr>
                <w:rFonts w:eastAsia="宋体"/>
                <w:color w:val="auto"/>
              </w:rPr>
            </w:pPr>
            <w:r>
              <w:rPr>
                <w:rFonts w:hint="eastAsia" w:eastAsia="宋体"/>
                <w:color w:val="auto"/>
              </w:rPr>
              <w:t>衡阳县2022</w:t>
            </w:r>
            <w:r>
              <w:rPr>
                <w:rFonts w:eastAsia="宋体"/>
                <w:color w:val="auto"/>
              </w:rPr>
              <w:t>年大气环境各常规因子达标，区域地表水体满足相应功能要求，项目周边土壤现状质量达标。本项目建设符合环境质量底线要求的</w:t>
            </w:r>
            <w:r>
              <w:rPr>
                <w:rFonts w:hint="eastAsia" w:eastAsia="宋体"/>
                <w:color w:val="auto"/>
              </w:rPr>
              <w:t>。</w:t>
            </w:r>
          </w:p>
          <w:p>
            <w:pPr>
              <w:pStyle w:val="50"/>
              <w:snapToGrid/>
              <w:spacing w:line="360" w:lineRule="auto"/>
              <w:ind w:firstLine="482" w:firstLineChars="200"/>
              <w:rPr>
                <w:rFonts w:eastAsia="宋体"/>
                <w:b/>
                <w:bCs/>
                <w:color w:val="auto"/>
              </w:rPr>
            </w:pPr>
            <w:r>
              <w:rPr>
                <w:rFonts w:hint="eastAsia" w:eastAsia="宋体"/>
                <w:b/>
                <w:bCs/>
                <w:color w:val="auto"/>
              </w:rPr>
              <w:t>（3）资源利用上线</w:t>
            </w:r>
          </w:p>
          <w:p>
            <w:pPr>
              <w:pStyle w:val="50"/>
              <w:spacing w:line="360" w:lineRule="auto"/>
              <w:ind w:firstLine="480" w:firstLineChars="200"/>
              <w:rPr>
                <w:rFonts w:eastAsia="宋体"/>
                <w:color w:val="auto"/>
              </w:rPr>
            </w:pPr>
            <w:r>
              <w:rPr>
                <w:rFonts w:hint="eastAsia" w:eastAsia="宋体"/>
                <w:color w:val="auto"/>
              </w:rPr>
              <w:t>资源是环境的载体，“资源利用上线”地区能源、水、土地等资源消耗不得突破的“天花板”。</w:t>
            </w:r>
          </w:p>
          <w:p>
            <w:pPr>
              <w:pStyle w:val="50"/>
              <w:snapToGrid/>
              <w:spacing w:line="360" w:lineRule="auto"/>
              <w:ind w:firstLine="480" w:firstLineChars="200"/>
              <w:rPr>
                <w:rFonts w:eastAsia="宋体"/>
                <w:color w:val="auto"/>
              </w:rPr>
            </w:pPr>
            <w:r>
              <w:rPr>
                <w:rFonts w:hint="eastAsia" w:eastAsia="宋体"/>
                <w:color w:val="auto"/>
              </w:rPr>
              <w:t>建设项目给水来自于市政管网供水，供电由市政电网供给，供气由市政燃气管网供给，无其他自然资源消耗。原料为市场采购，项目所选工艺设备选用了高效、先进的设备，提高了生产效率，降低了产品的损耗率，减少了原料的用量和废物的产生量，减少了物流运输次数和运输量，节省了能源，项目符合资源利用上线的要求。</w:t>
            </w:r>
          </w:p>
          <w:p>
            <w:pPr>
              <w:pStyle w:val="50"/>
              <w:snapToGrid/>
              <w:spacing w:line="360" w:lineRule="auto"/>
              <w:ind w:firstLine="482" w:firstLineChars="200"/>
              <w:rPr>
                <w:rFonts w:eastAsia="宋体"/>
                <w:b/>
                <w:bCs/>
                <w:color w:val="auto"/>
              </w:rPr>
            </w:pPr>
            <w:r>
              <w:rPr>
                <w:rFonts w:hint="eastAsia" w:eastAsia="宋体"/>
                <w:b/>
                <w:bCs/>
                <w:color w:val="auto"/>
              </w:rPr>
              <w:t>（</w:t>
            </w:r>
            <w:r>
              <w:rPr>
                <w:rFonts w:eastAsia="宋体"/>
                <w:b/>
                <w:bCs/>
                <w:color w:val="auto"/>
              </w:rPr>
              <w:t>4</w:t>
            </w:r>
            <w:r>
              <w:rPr>
                <w:rFonts w:hint="eastAsia" w:eastAsia="宋体"/>
                <w:b/>
                <w:bCs/>
                <w:color w:val="auto"/>
              </w:rPr>
              <w:t>）生态环境准入清单</w:t>
            </w:r>
          </w:p>
          <w:p>
            <w:pPr>
              <w:pStyle w:val="50"/>
              <w:snapToGrid/>
              <w:spacing w:line="360" w:lineRule="auto"/>
              <w:ind w:firstLine="480" w:firstLineChars="200"/>
              <w:rPr>
                <w:rFonts w:eastAsia="宋体"/>
                <w:bCs/>
                <w:color w:val="auto"/>
              </w:rPr>
            </w:pPr>
            <w:r>
              <w:rPr>
                <w:rFonts w:hint="eastAsia" w:eastAsia="宋体"/>
                <w:bCs/>
                <w:color w:val="auto"/>
              </w:rPr>
              <w:t>生态环境准入清单是基于生态保护红线、环境质量底线和资源利用上线，以清单方式列出的禁止、限制等差别化环境准入条件和要求。</w:t>
            </w:r>
          </w:p>
          <w:p>
            <w:pPr>
              <w:pStyle w:val="50"/>
              <w:snapToGrid/>
              <w:spacing w:line="360" w:lineRule="auto"/>
              <w:ind w:firstLine="480" w:firstLineChars="200"/>
              <w:rPr>
                <w:rFonts w:asciiTheme="minorEastAsia" w:hAnsiTheme="minorEastAsia" w:eastAsiaTheme="minorEastAsia"/>
                <w:color w:val="auto"/>
                <w:szCs w:val="24"/>
              </w:rPr>
            </w:pPr>
            <w:r>
              <w:rPr>
                <w:rFonts w:hint="eastAsia" w:eastAsia="宋体"/>
                <w:color w:val="auto"/>
              </w:rPr>
              <w:t>①</w:t>
            </w:r>
            <w:r>
              <w:rPr>
                <w:rFonts w:asciiTheme="minorEastAsia" w:hAnsiTheme="minorEastAsia" w:eastAsiaTheme="minorEastAsia"/>
                <w:color w:val="auto"/>
                <w:szCs w:val="24"/>
              </w:rPr>
              <w:t>根据《湖南省人民政府关于实施“三线一单”生态环境分区管控的意见》（湘政发</w:t>
            </w:r>
            <w:r>
              <w:rPr>
                <w:rFonts w:hAnsiTheme="minorEastAsia" w:eastAsiaTheme="minorEastAsia"/>
                <w:color w:val="auto"/>
                <w:szCs w:val="24"/>
              </w:rPr>
              <w:t>〔</w:t>
            </w:r>
            <w:r>
              <w:rPr>
                <w:rFonts w:eastAsiaTheme="minorEastAsia"/>
                <w:color w:val="auto"/>
                <w:szCs w:val="24"/>
              </w:rPr>
              <w:t>2020</w:t>
            </w:r>
            <w:r>
              <w:rPr>
                <w:rFonts w:hAnsiTheme="minorEastAsia" w:eastAsiaTheme="minorEastAsia"/>
                <w:color w:val="auto"/>
                <w:szCs w:val="24"/>
              </w:rPr>
              <w:t>〕</w:t>
            </w:r>
            <w:r>
              <w:rPr>
                <w:rFonts w:eastAsiaTheme="minorEastAsia"/>
                <w:color w:val="auto"/>
                <w:szCs w:val="24"/>
              </w:rPr>
              <w:t>12</w:t>
            </w:r>
            <w:r>
              <w:rPr>
                <w:rFonts w:hAnsiTheme="minorEastAsia" w:eastAsiaTheme="minorEastAsia"/>
                <w:color w:val="auto"/>
                <w:szCs w:val="24"/>
              </w:rPr>
              <w:t>号），</w:t>
            </w:r>
            <w:r>
              <w:rPr>
                <w:rFonts w:hint="eastAsia" w:eastAsia="宋体"/>
                <w:color w:val="auto"/>
              </w:rPr>
              <w:t>对全省按行政区域实行生态环境分区管控。全省共划定860个环境管控单元，其中：优先保护单元253个，面积占全省国土面积的37.50%；重点管控单元358个（全省144个省级以上产业园区均划为重点管控单元），面积占比21.38%；一般管控单元249个，面积占比41.12%</w:t>
            </w:r>
            <w:r>
              <w:rPr>
                <w:rFonts w:hint="eastAsia" w:asciiTheme="minorEastAsia" w:hAnsiTheme="minorEastAsia" w:eastAsiaTheme="minorEastAsia"/>
                <w:color w:val="auto"/>
                <w:szCs w:val="24"/>
              </w:rPr>
              <w:t>。</w:t>
            </w:r>
          </w:p>
          <w:p>
            <w:pPr>
              <w:pStyle w:val="50"/>
              <w:snapToGrid/>
              <w:spacing w:line="360" w:lineRule="auto"/>
              <w:ind w:firstLine="480" w:firstLineChars="200"/>
              <w:rPr>
                <w:rFonts w:asciiTheme="minorEastAsia" w:hAnsiTheme="minorEastAsia" w:eastAsiaTheme="minorEastAsia"/>
                <w:szCs w:val="24"/>
              </w:rPr>
            </w:pPr>
            <w:r>
              <w:rPr>
                <w:rFonts w:asciiTheme="minorEastAsia" w:hAnsiTheme="minorEastAsia" w:eastAsiaTheme="minorEastAsia"/>
                <w:color w:val="auto"/>
                <w:szCs w:val="24"/>
              </w:rPr>
              <w:t>本项目位于</w:t>
            </w:r>
            <w:r>
              <w:rPr>
                <w:rFonts w:hint="eastAsia" w:eastAsia="宋体"/>
                <w:color w:val="auto"/>
              </w:rPr>
              <w:t>衡阳县西渡镇清江北路5号（衡阳市新德力交通材料有限公司现有厂区内），位于</w:t>
            </w:r>
            <w:r>
              <w:rPr>
                <w:rFonts w:hint="eastAsia" w:hAnsiTheme="minorEastAsia" w:eastAsiaTheme="minorEastAsia"/>
                <w:color w:val="auto"/>
                <w:szCs w:val="24"/>
              </w:rPr>
              <w:t>衡阳高新技术产业开发区内</w:t>
            </w:r>
            <w:r>
              <w:rPr>
                <w:rFonts w:asciiTheme="minorEastAsia" w:hAnsiTheme="minorEastAsia" w:eastAsiaTheme="minorEastAsia"/>
                <w:color w:val="auto"/>
                <w:szCs w:val="24"/>
              </w:rPr>
              <w:t>。项目与《湖南省“三线一单”生态环境总体管控要求暨省级以上产业园区生态环境准入清单》</w:t>
            </w:r>
            <w:r>
              <w:rPr>
                <w:rFonts w:hint="eastAsia" w:asciiTheme="minorEastAsia" w:hAnsiTheme="minorEastAsia" w:eastAsiaTheme="minorEastAsia"/>
                <w:color w:val="auto"/>
                <w:szCs w:val="24"/>
              </w:rPr>
              <w:t>中</w:t>
            </w:r>
            <w:r>
              <w:rPr>
                <w:rFonts w:hint="eastAsia" w:hAnsiTheme="minorEastAsia" w:eastAsiaTheme="minorEastAsia"/>
                <w:color w:val="auto"/>
                <w:szCs w:val="24"/>
              </w:rPr>
              <w:t>衡阳高新技术产业开发区（ZH43040820003）</w:t>
            </w:r>
            <w:r>
              <w:rPr>
                <w:rFonts w:hint="eastAsia" w:asciiTheme="minorEastAsia" w:hAnsiTheme="minorEastAsia" w:eastAsiaTheme="minorEastAsia"/>
                <w:color w:val="auto"/>
                <w:szCs w:val="24"/>
              </w:rPr>
              <w:t>符合性</w:t>
            </w:r>
            <w:r>
              <w:rPr>
                <w:rFonts w:asciiTheme="minorEastAsia" w:hAnsiTheme="minorEastAsia" w:eastAsiaTheme="minorEastAsia"/>
                <w:color w:val="auto"/>
                <w:szCs w:val="24"/>
              </w:rPr>
              <w:t>分析见下表。</w:t>
            </w:r>
          </w:p>
          <w:p>
            <w:pPr>
              <w:spacing w:line="480" w:lineRule="exact"/>
              <w:jc w:val="center"/>
              <w:rPr>
                <w:b/>
                <w:bCs/>
              </w:rPr>
            </w:pPr>
            <w:r>
              <w:rPr>
                <w:b/>
                <w:bCs/>
                <w:color w:val="000000"/>
              </w:rPr>
              <w:t>表1-</w:t>
            </w:r>
            <w:r>
              <w:rPr>
                <w:rFonts w:hint="eastAsia"/>
                <w:b/>
                <w:bCs/>
                <w:color w:val="000000"/>
                <w:lang w:val="en-US" w:eastAsia="zh-CN"/>
              </w:rPr>
              <w:t>2</w:t>
            </w:r>
            <w:r>
              <w:rPr>
                <w:b/>
                <w:bCs/>
                <w:color w:val="000000"/>
              </w:rPr>
              <w:t xml:space="preserve">  </w:t>
            </w:r>
            <w:r>
              <w:rPr>
                <w:rFonts w:hint="eastAsia"/>
                <w:b/>
                <w:bCs/>
                <w:color w:val="000000"/>
              </w:rPr>
              <w:t>衡阳高新技术产业开发区</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4570"/>
              <w:gridCol w:w="2646"/>
              <w:gridCol w:w="8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Align w:val="center"/>
                </w:tcPr>
                <w:p>
                  <w:pPr>
                    <w:jc w:val="center"/>
                    <w:rPr>
                      <w:rFonts w:ascii="Calibri" w:hAnsi="Calibri"/>
                      <w:b/>
                      <w:bCs/>
                      <w:szCs w:val="21"/>
                    </w:rPr>
                  </w:pPr>
                  <w:r>
                    <w:rPr>
                      <w:rFonts w:hint="eastAsia" w:ascii="Calibri" w:hAnsi="Calibri"/>
                      <w:b/>
                      <w:bCs/>
                      <w:szCs w:val="21"/>
                    </w:rPr>
                    <w:t>管控纬度</w:t>
                  </w:r>
                </w:p>
              </w:tc>
              <w:tc>
                <w:tcPr>
                  <w:tcW w:w="2501" w:type="pct"/>
                  <w:vAlign w:val="center"/>
                </w:tcPr>
                <w:p>
                  <w:pPr>
                    <w:jc w:val="center"/>
                    <w:rPr>
                      <w:rFonts w:ascii="Calibri" w:hAnsi="Calibri"/>
                      <w:b/>
                      <w:bCs/>
                      <w:szCs w:val="21"/>
                    </w:rPr>
                  </w:pPr>
                  <w:r>
                    <w:rPr>
                      <w:rFonts w:hint="eastAsia" w:ascii="Calibri" w:hAnsi="Calibri"/>
                      <w:b/>
                      <w:bCs/>
                      <w:szCs w:val="21"/>
                    </w:rPr>
                    <w:t>管控要求</w:t>
                  </w:r>
                </w:p>
              </w:tc>
              <w:tc>
                <w:tcPr>
                  <w:tcW w:w="1448" w:type="pct"/>
                  <w:vAlign w:val="center"/>
                </w:tcPr>
                <w:p>
                  <w:pPr>
                    <w:jc w:val="center"/>
                    <w:rPr>
                      <w:rFonts w:ascii="Calibri" w:hAnsi="Calibri"/>
                      <w:b/>
                      <w:bCs/>
                      <w:szCs w:val="21"/>
                    </w:rPr>
                  </w:pPr>
                  <w:r>
                    <w:rPr>
                      <w:rFonts w:hint="eastAsia" w:ascii="Calibri" w:hAnsi="Calibri"/>
                      <w:b/>
                      <w:bCs/>
                      <w:szCs w:val="21"/>
                    </w:rPr>
                    <w:t>本项目情况</w:t>
                  </w:r>
                </w:p>
              </w:tc>
              <w:tc>
                <w:tcPr>
                  <w:tcW w:w="483" w:type="pct"/>
                  <w:vAlign w:val="center"/>
                </w:tcPr>
                <w:p>
                  <w:pPr>
                    <w:jc w:val="center"/>
                    <w:rPr>
                      <w:rFonts w:ascii="Calibri" w:hAnsi="Calibri"/>
                      <w:b/>
                      <w:bCs/>
                      <w:szCs w:val="21"/>
                    </w:rPr>
                  </w:pPr>
                  <w:r>
                    <w:rPr>
                      <w:rFonts w:hint="eastAsia" w:ascii="Calibri" w:hAnsi="Calibri"/>
                      <w:b/>
                      <w:bCs/>
                      <w:szCs w:val="21"/>
                    </w:rPr>
                    <w:t>相符性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restart"/>
                  <w:vAlign w:val="center"/>
                </w:tcPr>
                <w:p>
                  <w:pPr>
                    <w:jc w:val="center"/>
                    <w:rPr>
                      <w:rFonts w:ascii="Calibri" w:hAnsi="Calibri"/>
                      <w:szCs w:val="21"/>
                    </w:rPr>
                  </w:pPr>
                  <w:r>
                    <w:rPr>
                      <w:rFonts w:ascii="Calibri" w:hAnsi="Calibri"/>
                      <w:kern w:val="0"/>
                      <w:szCs w:val="21"/>
                    </w:rPr>
                    <w:t>空间布局约束</w:t>
                  </w:r>
                </w:p>
              </w:tc>
              <w:tc>
                <w:tcPr>
                  <w:tcW w:w="2501" w:type="pct"/>
                  <w:vAlign w:val="center"/>
                </w:tcPr>
                <w:p>
                  <w:pPr>
                    <w:jc w:val="center"/>
                    <w:rPr>
                      <w:szCs w:val="21"/>
                    </w:rPr>
                  </w:pPr>
                  <w:r>
                    <w:rPr>
                      <w:rFonts w:hint="eastAsia"/>
                      <w:szCs w:val="21"/>
                    </w:rPr>
                    <w:t>①</w:t>
                  </w:r>
                  <w:r>
                    <w:rPr>
                      <w:rFonts w:hint="eastAsia" w:eastAsiaTheme="minorEastAsia"/>
                      <w:szCs w:val="21"/>
                    </w:rPr>
                    <w:t>各功能区相对集中布置，充分利用自然地形和绿化隔离带使各功能区隔离</w:t>
                  </w:r>
                  <w:r>
                    <w:rPr>
                      <w:szCs w:val="21"/>
                    </w:rPr>
                    <w:t>；</w:t>
                  </w:r>
                </w:p>
              </w:tc>
              <w:tc>
                <w:tcPr>
                  <w:tcW w:w="1448" w:type="pct"/>
                  <w:vAlign w:val="center"/>
                </w:tcPr>
                <w:p>
                  <w:pPr>
                    <w:jc w:val="center"/>
                    <w:rPr>
                      <w:rFonts w:hint="default" w:ascii="Calibri" w:hAnsi="Calibri" w:eastAsia="宋体"/>
                      <w:szCs w:val="21"/>
                      <w:lang w:val="en-US" w:eastAsia="zh-CN"/>
                    </w:rPr>
                  </w:pPr>
                  <w:r>
                    <w:rPr>
                      <w:szCs w:val="21"/>
                    </w:rPr>
                    <w:t>项目位于衡阳县西渡镇清江北路5号（衡阳市新德力交通材料有限公司现有厂区内），</w:t>
                  </w:r>
                  <w:r>
                    <w:rPr>
                      <w:rFonts w:ascii="Calibri" w:hAnsi="Calibri"/>
                      <w:szCs w:val="21"/>
                    </w:rPr>
                    <w:t>用地符合园区</w:t>
                  </w:r>
                  <w:r>
                    <w:rPr>
                      <w:rFonts w:hint="eastAsia" w:ascii="Calibri" w:hAnsi="Calibri"/>
                      <w:szCs w:val="21"/>
                    </w:rPr>
                    <w:t>土地利用规划要求</w:t>
                  </w:r>
                  <w:r>
                    <w:rPr>
                      <w:rFonts w:hint="eastAsia" w:ascii="Calibri" w:hAnsi="Calibri"/>
                      <w:szCs w:val="21"/>
                      <w:lang w:eastAsia="zh-CN"/>
                    </w:rPr>
                    <w:t>，</w:t>
                  </w:r>
                  <w:r>
                    <w:rPr>
                      <w:rFonts w:hint="eastAsia" w:ascii="Calibri" w:hAnsi="Calibri"/>
                      <w:szCs w:val="21"/>
                      <w:lang w:val="en-US" w:eastAsia="zh-CN"/>
                    </w:rPr>
                    <w:t>厂区功能布局合理</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szCs w:val="21"/>
                    </w:rPr>
                  </w:pPr>
                  <w:r>
                    <w:rPr>
                      <w:rFonts w:hint="eastAsia"/>
                      <w:szCs w:val="21"/>
                    </w:rPr>
                    <w:t>②</w:t>
                  </w:r>
                  <w:r>
                    <w:rPr>
                      <w:rFonts w:hint="eastAsia" w:eastAsiaTheme="minorEastAsia"/>
                      <w:szCs w:val="21"/>
                    </w:rPr>
                    <w:t>将气型污染为主的项目布置在高新区南部</w:t>
                  </w:r>
                  <w:r>
                    <w:rPr>
                      <w:szCs w:val="21"/>
                    </w:rPr>
                    <w:t>。</w:t>
                  </w:r>
                </w:p>
              </w:tc>
              <w:tc>
                <w:tcPr>
                  <w:tcW w:w="1448" w:type="pct"/>
                  <w:vAlign w:val="center"/>
                </w:tcPr>
                <w:p>
                  <w:pPr>
                    <w:jc w:val="center"/>
                    <w:rPr>
                      <w:rFonts w:ascii="Calibri" w:hAnsi="Calibri"/>
                      <w:szCs w:val="21"/>
                    </w:rPr>
                  </w:pPr>
                  <w:r>
                    <w:rPr>
                      <w:rFonts w:ascii="Calibri" w:hAnsi="Calibri"/>
                      <w:szCs w:val="21"/>
                    </w:rPr>
                    <w:t>项目位于</w:t>
                  </w:r>
                  <w:r>
                    <w:rPr>
                      <w:szCs w:val="21"/>
                    </w:rPr>
                    <w:t>项目位于衡阳县西渡镇清江北路5号（衡阳市新德力交通材料有限公司现有厂区内），</w:t>
                  </w:r>
                  <w:r>
                    <w:rPr>
                      <w:rFonts w:hint="eastAsia"/>
                      <w:szCs w:val="21"/>
                    </w:rPr>
                    <w:t>位于</w:t>
                  </w:r>
                  <w:r>
                    <w:rPr>
                      <w:rFonts w:ascii="Calibri" w:hAnsi="Calibri"/>
                      <w:szCs w:val="21"/>
                    </w:rPr>
                    <w:t>高新区</w:t>
                  </w:r>
                  <w:r>
                    <w:rPr>
                      <w:rFonts w:hint="eastAsia" w:ascii="Calibri" w:hAnsi="Calibri"/>
                      <w:szCs w:val="21"/>
                    </w:rPr>
                    <w:t>西南部</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restart"/>
                  <w:vAlign w:val="center"/>
                </w:tcPr>
                <w:p>
                  <w:pPr>
                    <w:jc w:val="center"/>
                    <w:rPr>
                      <w:rFonts w:ascii="Calibri" w:hAnsi="Calibri"/>
                      <w:szCs w:val="21"/>
                    </w:rPr>
                  </w:pPr>
                  <w:r>
                    <w:rPr>
                      <w:rFonts w:ascii="Calibri" w:hAnsi="Calibri"/>
                      <w:kern w:val="0"/>
                      <w:szCs w:val="21"/>
                    </w:rPr>
                    <w:t>污染物排放管控</w:t>
                  </w:r>
                </w:p>
              </w:tc>
              <w:tc>
                <w:tcPr>
                  <w:tcW w:w="2501" w:type="pct"/>
                  <w:vAlign w:val="center"/>
                </w:tcPr>
                <w:p>
                  <w:pPr>
                    <w:adjustRightInd w:val="0"/>
                    <w:jc w:val="center"/>
                    <w:rPr>
                      <w:rFonts w:ascii="Calibri" w:hAnsi="Calibri"/>
                      <w:szCs w:val="21"/>
                    </w:rPr>
                  </w:pPr>
                  <w:r>
                    <w:rPr>
                      <w:rFonts w:hint="eastAsia" w:ascii="Calibri" w:hAnsi="Calibri"/>
                      <w:szCs w:val="21"/>
                    </w:rPr>
                    <w:t>①</w:t>
                  </w:r>
                  <w:r>
                    <w:rPr>
                      <w:rFonts w:hint="eastAsia" w:eastAsiaTheme="minorEastAsia"/>
                      <w:szCs w:val="21"/>
                    </w:rPr>
                    <w:t>废水：园区废水排水实行雨污分流。工业废水、生活污水经城西污水处理厂处理达标后外排至蒸水。</w:t>
                  </w:r>
                </w:p>
              </w:tc>
              <w:tc>
                <w:tcPr>
                  <w:tcW w:w="1448" w:type="pct"/>
                  <w:vAlign w:val="center"/>
                </w:tcPr>
                <w:p>
                  <w:pPr>
                    <w:jc w:val="center"/>
                    <w:rPr>
                      <w:rFonts w:hint="default" w:ascii="Calibri" w:hAnsi="Calibri" w:eastAsia="宋体"/>
                      <w:szCs w:val="21"/>
                      <w:lang w:val="en-US" w:eastAsia="zh-CN"/>
                    </w:rPr>
                  </w:pPr>
                  <w:r>
                    <w:rPr>
                      <w:rFonts w:hint="eastAsia" w:ascii="Calibri" w:hAnsi="Calibri"/>
                      <w:szCs w:val="21"/>
                    </w:rPr>
                    <w:t>项目建成后，全厂排水实行雨污分流，废水达标纳入市政污水管网，</w:t>
                  </w:r>
                  <w:r>
                    <w:rPr>
                      <w:rFonts w:hint="eastAsia" w:ascii="Calibri" w:hAnsi="Calibri"/>
                      <w:szCs w:val="21"/>
                      <w:lang w:val="en-US" w:eastAsia="zh-CN"/>
                    </w:rPr>
                    <w:t>经衡阳县国帧污水处理厂深度处理后排至蒸水</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adjustRightInd w:val="0"/>
                    <w:jc w:val="center"/>
                    <w:rPr>
                      <w:rFonts w:ascii="Calibri" w:hAnsi="Calibri"/>
                      <w:szCs w:val="21"/>
                    </w:rPr>
                  </w:pPr>
                  <w:r>
                    <w:rPr>
                      <w:rFonts w:hint="eastAsia" w:ascii="Calibri" w:hAnsi="Calibri"/>
                      <w:szCs w:val="21"/>
                    </w:rPr>
                    <w:t>②</w:t>
                  </w:r>
                  <w:r>
                    <w:rPr>
                      <w:rFonts w:hint="eastAsia" w:eastAsiaTheme="minorEastAsia"/>
                      <w:szCs w:val="21"/>
                    </w:rPr>
                    <w:t>废气：加强园区内企业管理，确保企业废气经处理达到相应排放标准。强化末端治理，加快推进包装印刷等行业企业VOCs治理，确保达标排放。汽车制造行业全面实施油性漆改水性漆，减少VOCs产生量</w:t>
                  </w:r>
                  <w:r>
                    <w:rPr>
                      <w:rFonts w:ascii="Calibri" w:hAnsi="Calibri"/>
                      <w:szCs w:val="21"/>
                    </w:rPr>
                    <w:t>。</w:t>
                  </w:r>
                </w:p>
              </w:tc>
              <w:tc>
                <w:tcPr>
                  <w:tcW w:w="1448" w:type="pct"/>
                  <w:vAlign w:val="center"/>
                </w:tcPr>
                <w:p>
                  <w:pPr>
                    <w:jc w:val="center"/>
                    <w:rPr>
                      <w:rFonts w:hint="default" w:ascii="Calibri" w:hAnsi="Calibri" w:eastAsia="宋体"/>
                      <w:szCs w:val="21"/>
                      <w:lang w:val="en-US" w:eastAsia="zh-CN"/>
                    </w:rPr>
                  </w:pPr>
                  <w:r>
                    <w:rPr>
                      <w:rFonts w:hint="eastAsia"/>
                      <w:bCs/>
                      <w:szCs w:val="21"/>
                    </w:rPr>
                    <w:t>项目建成后，有机废气经废气处理设施处理后达标排放</w:t>
                  </w:r>
                  <w:r>
                    <w:rPr>
                      <w:rFonts w:hint="eastAsia"/>
                      <w:bCs/>
                      <w:szCs w:val="21"/>
                      <w:lang w:eastAsia="zh-CN"/>
                    </w:rPr>
                    <w:t>；</w:t>
                  </w:r>
                  <w:r>
                    <w:rPr>
                      <w:rFonts w:hint="eastAsia"/>
                      <w:bCs/>
                      <w:szCs w:val="21"/>
                      <w:lang w:val="en-US" w:eastAsia="zh-CN"/>
                    </w:rPr>
                    <w:t>天然气燃烧烟气经排气筒直接排放；颗粒物经除尘器处理后达标排放或车间内无组织排放</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adjustRightInd w:val="0"/>
                    <w:jc w:val="center"/>
                    <w:rPr>
                      <w:rFonts w:ascii="Calibri" w:hAnsi="Calibri"/>
                      <w:szCs w:val="21"/>
                    </w:rPr>
                  </w:pPr>
                  <w:r>
                    <w:rPr>
                      <w:rFonts w:hint="eastAsia" w:ascii="Calibri" w:hAnsi="Calibri"/>
                      <w:szCs w:val="21"/>
                    </w:rPr>
                    <w:t>③</w:t>
                  </w:r>
                  <w:r>
                    <w:rPr>
                      <w:rFonts w:hint="eastAsia" w:eastAsiaTheme="minorEastAsia"/>
                      <w:szCs w:val="21"/>
                    </w:rPr>
                    <w:t>固废：做好工业固体废物和生活垃圾的分类收集、转运、综合利用和无害化处理。推行清洁生产，减少固体废物产生量；加强固体废物的资源化进程，提高综合利用率；规范固体废物处理措施，对工业固废特别是危险固废应按国家有关规定综合利用或妥善处置，不得造成二次污染；生活垃圾集中由环卫部门及时清运处理</w:t>
                  </w:r>
                  <w:r>
                    <w:rPr>
                      <w:rFonts w:hint="eastAsia" w:ascii="Calibri" w:hAnsi="Calibri"/>
                      <w:szCs w:val="21"/>
                    </w:rPr>
                    <w:t>。</w:t>
                  </w:r>
                </w:p>
              </w:tc>
              <w:tc>
                <w:tcPr>
                  <w:tcW w:w="1448" w:type="pct"/>
                  <w:vAlign w:val="center"/>
                </w:tcPr>
                <w:p>
                  <w:pPr>
                    <w:jc w:val="center"/>
                    <w:rPr>
                      <w:rFonts w:ascii="Calibri" w:hAnsi="Calibri"/>
                      <w:szCs w:val="21"/>
                    </w:rPr>
                  </w:pPr>
                  <w:r>
                    <w:rPr>
                      <w:rFonts w:hint="eastAsia"/>
                      <w:szCs w:val="21"/>
                    </w:rPr>
                    <w:t>本项目采取工业固体废物和生活垃圾分类收集、转运、综合利用和安全处置；规范固体废物处理措施，对工业企业产生的固体废物特别是危险固废按国家有关规定妥善处置</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restart"/>
                  <w:vAlign w:val="center"/>
                </w:tcPr>
                <w:p>
                  <w:pPr>
                    <w:jc w:val="center"/>
                    <w:rPr>
                      <w:rFonts w:ascii="Calibri" w:hAnsi="Calibri"/>
                      <w:szCs w:val="21"/>
                    </w:rPr>
                  </w:pPr>
                  <w:r>
                    <w:rPr>
                      <w:rFonts w:ascii="Calibri" w:hAnsi="Calibri"/>
                      <w:kern w:val="0"/>
                      <w:szCs w:val="21"/>
                    </w:rPr>
                    <w:t>环境风险防控</w:t>
                  </w:r>
                </w:p>
              </w:tc>
              <w:tc>
                <w:tcPr>
                  <w:tcW w:w="2501" w:type="pct"/>
                  <w:vAlign w:val="center"/>
                </w:tcPr>
                <w:p>
                  <w:pPr>
                    <w:jc w:val="center"/>
                    <w:rPr>
                      <w:rFonts w:ascii="Calibri" w:hAnsi="Calibri"/>
                      <w:szCs w:val="21"/>
                    </w:rPr>
                  </w:pPr>
                  <w:r>
                    <w:rPr>
                      <w:rFonts w:hint="eastAsia" w:eastAsiaTheme="minorEastAsia"/>
                      <w:szCs w:val="21"/>
                    </w:rPr>
                    <w:t>①园区应建立健全环境风险防控体系，严格落实《衡阳市高新技术产业开发区突发环境事件应急预案》中提出的各项环境风险事故防范措施，严防环境风险事故发生，提高应急处置能力</w:t>
                  </w:r>
                  <w:r>
                    <w:rPr>
                      <w:rFonts w:hint="eastAsia" w:ascii="Calibri" w:hAnsi="Calibri"/>
                      <w:kern w:val="0"/>
                      <w:szCs w:val="21"/>
                    </w:rPr>
                    <w:t>。</w:t>
                  </w:r>
                </w:p>
              </w:tc>
              <w:tc>
                <w:tcPr>
                  <w:tcW w:w="1448" w:type="pct"/>
                  <w:vMerge w:val="restart"/>
                  <w:vAlign w:val="center"/>
                </w:tcPr>
                <w:p>
                  <w:pPr>
                    <w:jc w:val="center"/>
                    <w:rPr>
                      <w:rFonts w:ascii="Calibri" w:hAnsi="Calibri"/>
                      <w:szCs w:val="21"/>
                    </w:rPr>
                  </w:pPr>
                  <w:r>
                    <w:rPr>
                      <w:rFonts w:hint="eastAsia" w:ascii="Calibri" w:hAnsi="Calibri"/>
                      <w:szCs w:val="21"/>
                    </w:rPr>
                    <w:t>要求建设单位加强设备运行监管和风险防控体系建设，建立隐患排查整治监管机制</w:t>
                  </w:r>
                </w:p>
              </w:tc>
              <w:tc>
                <w:tcPr>
                  <w:tcW w:w="483" w:type="pct"/>
                  <w:vMerge w:val="restar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kern w:val="0"/>
                      <w:szCs w:val="21"/>
                    </w:rPr>
                  </w:pPr>
                  <w:r>
                    <w:rPr>
                      <w:rFonts w:hint="eastAsia" w:ascii="宋体" w:hAnsi="宋体" w:cs="宋体"/>
                      <w:bCs/>
                      <w:szCs w:val="21"/>
                    </w:rPr>
                    <w:t>②</w:t>
                  </w:r>
                  <w:r>
                    <w:rPr>
                      <w:rFonts w:hint="eastAsia" w:eastAsiaTheme="minorEastAsia"/>
                      <w:bCs/>
                      <w:szCs w:val="21"/>
                    </w:rPr>
                    <w:t>园区可能发生突发环境事件的污染物排放企业，生产、储存、运输、使用危险化学品的企业，产生、收集、贮存、运输、利用、处置危险废物的企业等应当编制和实施环境应急预案；鼓励其他企业制定单独的环境应急预案，或在突发事件应急预案中制定环境应急预案专章，并备案</w:t>
                  </w:r>
                  <w:r>
                    <w:rPr>
                      <w:kern w:val="0"/>
                      <w:szCs w:val="21"/>
                    </w:rPr>
                    <w:t>。</w:t>
                  </w:r>
                </w:p>
              </w:tc>
              <w:tc>
                <w:tcPr>
                  <w:tcW w:w="1448" w:type="pct"/>
                  <w:vMerge w:val="continue"/>
                  <w:vAlign w:val="center"/>
                </w:tcPr>
                <w:p>
                  <w:pPr>
                    <w:jc w:val="center"/>
                    <w:rPr>
                      <w:rFonts w:ascii="Calibri" w:hAnsi="Calibri"/>
                      <w:szCs w:val="21"/>
                    </w:rPr>
                  </w:pPr>
                </w:p>
              </w:tc>
              <w:tc>
                <w:tcPr>
                  <w:tcW w:w="483" w:type="pct"/>
                  <w:vMerge w:val="continue"/>
                  <w:vAlign w:val="center"/>
                </w:tcPr>
                <w:p>
                  <w:pPr>
                    <w:jc w:val="center"/>
                    <w:rPr>
                      <w:rFonts w:ascii="Calibri" w:hAnsi="Calibri"/>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rFonts w:ascii="宋体" w:hAnsi="宋体" w:cs="宋体"/>
                      <w:bCs/>
                      <w:szCs w:val="21"/>
                    </w:rPr>
                  </w:pPr>
                  <w:r>
                    <w:rPr>
                      <w:rFonts w:hint="eastAsia" w:ascii="Calibri" w:hAnsi="Calibri"/>
                      <w:szCs w:val="21"/>
                    </w:rPr>
                    <w:t>③建设用地土壤风险防控：结合土壤污染状况详查情况，根据建设用地土壤环境调查评估及现有重金属污染场地调查结果，逐步建立污染地块名录及其开发利用的负面清单，合理确定土地用途。土地开发利用必须符合土壤环境质量要求。各部门在编制土地利用总体规划、城市总体规划、控制性详细规划等相关规划时，应充分考虑污染地块的环境风险，合理确定土地用途。</w:t>
                  </w:r>
                </w:p>
              </w:tc>
              <w:tc>
                <w:tcPr>
                  <w:tcW w:w="1448" w:type="pct"/>
                  <w:vAlign w:val="center"/>
                </w:tcPr>
                <w:p>
                  <w:pPr>
                    <w:jc w:val="center"/>
                    <w:rPr>
                      <w:rFonts w:ascii="Calibri" w:hAnsi="Calibri"/>
                      <w:szCs w:val="21"/>
                    </w:rPr>
                  </w:pPr>
                  <w:r>
                    <w:rPr>
                      <w:rFonts w:hint="eastAsia" w:ascii="Calibri" w:hAnsi="Calibri"/>
                      <w:szCs w:val="21"/>
                    </w:rPr>
                    <w:t>项目用地不属于污染地块名录及其开发利用的负面清单</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rFonts w:ascii="Calibri" w:hAnsi="Calibri"/>
                      <w:szCs w:val="21"/>
                    </w:rPr>
                  </w:pPr>
                  <w:r>
                    <w:rPr>
                      <w:rFonts w:hint="eastAsia" w:ascii="Calibri" w:hAnsi="Calibri"/>
                      <w:szCs w:val="21"/>
                    </w:rPr>
                    <w:t>④农用地风险防控：划定农用地土壤环境质量类别，加大农用地保护力度，禁止在优先保护类耕地集中区域新建有色金属冶炼、有色金属矿采选、化工、电解锰、电镀、制革、石油加工、农药生产、危险废物经营等行业企业。制定实施受污染耕地安全利用方案，采取农艺调控、化学阻控、替代种植等措施，降低农产品重金属超标风险。</w:t>
                  </w:r>
                </w:p>
              </w:tc>
              <w:tc>
                <w:tcPr>
                  <w:tcW w:w="1448" w:type="pct"/>
                  <w:vAlign w:val="center"/>
                </w:tcPr>
                <w:p>
                  <w:pPr>
                    <w:jc w:val="center"/>
                    <w:rPr>
                      <w:rFonts w:ascii="Calibri" w:hAnsi="Calibri"/>
                      <w:szCs w:val="21"/>
                    </w:rPr>
                  </w:pPr>
                  <w:r>
                    <w:rPr>
                      <w:rFonts w:hint="eastAsia" w:ascii="Calibri" w:hAnsi="Calibri"/>
                      <w:szCs w:val="21"/>
                    </w:rPr>
                    <w:t>项目用地非农用地</w:t>
                  </w:r>
                </w:p>
              </w:tc>
              <w:tc>
                <w:tcPr>
                  <w:tcW w:w="483" w:type="pc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restart"/>
                  <w:vAlign w:val="center"/>
                </w:tcPr>
                <w:p>
                  <w:pPr>
                    <w:jc w:val="center"/>
                    <w:rPr>
                      <w:rFonts w:ascii="Calibri" w:hAnsi="Calibri"/>
                      <w:szCs w:val="21"/>
                    </w:rPr>
                  </w:pPr>
                  <w:r>
                    <w:rPr>
                      <w:rFonts w:ascii="Calibri" w:hAnsi="Calibri"/>
                      <w:kern w:val="0"/>
                      <w:szCs w:val="21"/>
                    </w:rPr>
                    <w:t>资源开发效率要求</w:t>
                  </w:r>
                </w:p>
              </w:tc>
              <w:tc>
                <w:tcPr>
                  <w:tcW w:w="2501" w:type="pct"/>
                  <w:vAlign w:val="center"/>
                </w:tcPr>
                <w:p>
                  <w:pPr>
                    <w:jc w:val="center"/>
                    <w:rPr>
                      <w:rFonts w:ascii="Calibri" w:hAnsi="Calibri"/>
                      <w:kern w:val="0"/>
                      <w:szCs w:val="21"/>
                    </w:rPr>
                  </w:pPr>
                  <w:r>
                    <w:rPr>
                      <w:rFonts w:hint="eastAsia" w:ascii="Calibri" w:hAnsi="Calibri"/>
                      <w:szCs w:val="21"/>
                    </w:rPr>
                    <w:t>①</w:t>
                  </w:r>
                  <w:r>
                    <w:rPr>
                      <w:rFonts w:ascii="Calibri" w:hAnsi="Calibri"/>
                      <w:szCs w:val="21"/>
                    </w:rPr>
                    <w:t>能源：</w:t>
                  </w:r>
                  <w:r>
                    <w:rPr>
                      <w:rFonts w:hint="eastAsia" w:eastAsiaTheme="minorEastAsia"/>
                      <w:kern w:val="0"/>
                      <w:szCs w:val="21"/>
                    </w:rPr>
                    <w:t>开发区属于高污染燃料禁燃区，常规燃料按照《高污染燃料目录》“Ⅲ类（严格）”进行管控。进一步加快开发区内能源结构调整，全面推广天然气等清洁能源，提供燃气普及率，并积极扶持和推进太阳能、生物能等可再生能源的开发和利用。园区到2020年能耗总量当量值为31.5680万吨标煤，单位GDP能耗当量值为0.167吨标煤/万元；到2025年能耗控制目标为47.9031万吨标煤，单位GDP能耗为0.14吨标煤/万元</w:t>
                  </w:r>
                  <w:r>
                    <w:rPr>
                      <w:rFonts w:ascii="Calibri" w:hAnsi="Calibri"/>
                      <w:kern w:val="0"/>
                      <w:szCs w:val="21"/>
                    </w:rPr>
                    <w:t>。</w:t>
                  </w:r>
                </w:p>
              </w:tc>
              <w:tc>
                <w:tcPr>
                  <w:tcW w:w="1448" w:type="pct"/>
                  <w:vMerge w:val="restart"/>
                  <w:vAlign w:val="center"/>
                </w:tcPr>
                <w:p>
                  <w:pPr>
                    <w:jc w:val="center"/>
                    <w:rPr>
                      <w:rFonts w:ascii="Calibri" w:hAnsi="Calibri"/>
                      <w:szCs w:val="21"/>
                    </w:rPr>
                  </w:pPr>
                  <w:r>
                    <w:rPr>
                      <w:rFonts w:hint="eastAsia" w:ascii="Calibri" w:hAnsi="Calibri"/>
                      <w:szCs w:val="21"/>
                      <w:lang w:val="en-US" w:eastAsia="zh-CN"/>
                    </w:rPr>
                    <w:t>①</w:t>
                  </w:r>
                  <w:r>
                    <w:rPr>
                      <w:rFonts w:hint="eastAsia" w:ascii="Calibri" w:hAnsi="Calibri"/>
                      <w:szCs w:val="21"/>
                    </w:rPr>
                    <w:t>项目使用的能源主要为水、电、天然气，不使用煤、高硫、中硫原煤及重油等燃料</w:t>
                  </w:r>
                  <w:r>
                    <w:rPr>
                      <w:rFonts w:hint="eastAsia" w:ascii="Calibri" w:hAnsi="Calibri"/>
                      <w:szCs w:val="21"/>
                      <w:lang w:eastAsia="zh-CN"/>
                    </w:rPr>
                    <w:t>；</w:t>
                  </w:r>
                  <w:r>
                    <w:rPr>
                      <w:rFonts w:hint="eastAsia" w:ascii="Calibri" w:hAnsi="Calibri"/>
                      <w:szCs w:val="21"/>
                      <w:lang w:val="en-US" w:eastAsia="zh-CN"/>
                    </w:rPr>
                    <w:t>②</w:t>
                  </w:r>
                  <w:r>
                    <w:rPr>
                      <w:rFonts w:hint="eastAsia" w:ascii="Calibri" w:hAnsi="Calibri"/>
                      <w:szCs w:val="21"/>
                    </w:rPr>
                    <w:t>项目不属于严重过剩行业、不属于高耗能产业</w:t>
                  </w:r>
                  <w:r>
                    <w:rPr>
                      <w:rFonts w:hint="eastAsia" w:ascii="Calibri" w:hAnsi="Calibri"/>
                      <w:szCs w:val="21"/>
                      <w:lang w:eastAsia="zh-CN"/>
                    </w:rPr>
                    <w:t>，</w:t>
                  </w:r>
                  <w:r>
                    <w:rPr>
                      <w:rFonts w:hint="eastAsia" w:ascii="Calibri" w:hAnsi="Calibri"/>
                      <w:szCs w:val="21"/>
                      <w:lang w:val="en-US" w:eastAsia="zh-CN"/>
                    </w:rPr>
                    <w:t>实行清洁、低耗、低排放生产；③项目在现有厂区内进行，不新增用地</w:t>
                  </w:r>
                </w:p>
              </w:tc>
              <w:tc>
                <w:tcPr>
                  <w:tcW w:w="483" w:type="pct"/>
                  <w:vMerge w:val="restart"/>
                  <w:vAlign w:val="center"/>
                </w:tcPr>
                <w:p>
                  <w:pPr>
                    <w:jc w:val="center"/>
                    <w:rPr>
                      <w:rFonts w:ascii="Calibri" w:hAnsi="Calibri"/>
                      <w:szCs w:val="21"/>
                    </w:rPr>
                  </w:pPr>
                  <w:r>
                    <w:rPr>
                      <w:rFonts w:ascii="Calibri" w:hAnsi="Calibri"/>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rFonts w:ascii="Calibri" w:hAnsi="Calibri"/>
                      <w:szCs w:val="21"/>
                    </w:rPr>
                  </w:pPr>
                  <w:r>
                    <w:rPr>
                      <w:rFonts w:hint="eastAsia" w:ascii="Calibri" w:hAnsi="Calibri"/>
                      <w:szCs w:val="21"/>
                    </w:rPr>
                    <w:t>②</w:t>
                  </w:r>
                  <w:r>
                    <w:rPr>
                      <w:rFonts w:eastAsiaTheme="minorEastAsia"/>
                      <w:szCs w:val="21"/>
                    </w:rPr>
                    <w:t>水资源：</w:t>
                  </w:r>
                  <w:r>
                    <w:rPr>
                      <w:rFonts w:hint="eastAsia" w:eastAsiaTheme="minorEastAsia"/>
                      <w:kern w:val="0"/>
                      <w:szCs w:val="21"/>
                    </w:rPr>
                    <w:t>水资源：强化工业节水，淘汰落后的用水技术、工艺、产品和设备，开展高耗水工业行业节水技术改造，开展水平衡测试和用水效率评估，大力推广工业水循环利用，推进节水型企业、节水型工业园区建设。实施最严格水资源管理制度考核，突出用水总量和强度控制目标，到2020年，蒸湘区万元工业增加值用水量比2015年下降32.7%，万元GDP用水量应比2015年下降30%。园区用水总量控制指标2020年为0.27亿立方米，2030年为0.27亿立方米。</w:t>
                  </w:r>
                </w:p>
              </w:tc>
              <w:tc>
                <w:tcPr>
                  <w:tcW w:w="1448" w:type="pct"/>
                  <w:vMerge w:val="continue"/>
                  <w:vAlign w:val="center"/>
                </w:tcPr>
                <w:p>
                  <w:pPr>
                    <w:jc w:val="center"/>
                    <w:rPr>
                      <w:rFonts w:ascii="Calibri" w:hAnsi="Calibri"/>
                      <w:szCs w:val="21"/>
                    </w:rPr>
                  </w:pPr>
                </w:p>
              </w:tc>
              <w:tc>
                <w:tcPr>
                  <w:tcW w:w="483" w:type="pct"/>
                  <w:vMerge w:val="continue"/>
                  <w:vAlign w:val="center"/>
                </w:tcPr>
                <w:p>
                  <w:pPr>
                    <w:jc w:val="center"/>
                    <w:rPr>
                      <w:rFonts w:ascii="Calibri" w:hAnsi="Calibri"/>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68" w:type="pct"/>
                  <w:vMerge w:val="continue"/>
                  <w:vAlign w:val="center"/>
                </w:tcPr>
                <w:p>
                  <w:pPr>
                    <w:jc w:val="center"/>
                    <w:rPr>
                      <w:rFonts w:ascii="Calibri" w:hAnsi="Calibri"/>
                      <w:kern w:val="0"/>
                      <w:szCs w:val="21"/>
                    </w:rPr>
                  </w:pPr>
                </w:p>
              </w:tc>
              <w:tc>
                <w:tcPr>
                  <w:tcW w:w="2501" w:type="pct"/>
                  <w:vAlign w:val="center"/>
                </w:tcPr>
                <w:p>
                  <w:pPr>
                    <w:jc w:val="center"/>
                    <w:rPr>
                      <w:rFonts w:ascii="Calibri" w:hAnsi="Calibri"/>
                      <w:szCs w:val="21"/>
                    </w:rPr>
                  </w:pPr>
                  <w:r>
                    <w:rPr>
                      <w:rFonts w:hAnsi="Calibri"/>
                      <w:szCs w:val="21"/>
                    </w:rPr>
                    <w:t>土地资源：提高土地使用效率和节约集约程度，园区土地投资强度达到</w:t>
                  </w:r>
                  <w:r>
                    <w:rPr>
                      <w:szCs w:val="21"/>
                    </w:rPr>
                    <w:t>3750</w:t>
                  </w:r>
                  <w:r>
                    <w:rPr>
                      <w:rFonts w:hAnsi="Calibri"/>
                      <w:szCs w:val="21"/>
                    </w:rPr>
                    <w:t>万元</w:t>
                  </w:r>
                  <w:r>
                    <w:rPr>
                      <w:szCs w:val="21"/>
                    </w:rPr>
                    <w:t>/</w:t>
                  </w:r>
                  <w:r>
                    <w:rPr>
                      <w:rFonts w:hAnsi="Calibri"/>
                      <w:szCs w:val="21"/>
                    </w:rPr>
                    <w:t>公顷。严格执行土地使用标准，工业项目投资强度执行《湖南省建设用地指标》（</w:t>
                  </w:r>
                  <w:r>
                    <w:rPr>
                      <w:szCs w:val="21"/>
                    </w:rPr>
                    <w:t xml:space="preserve">2020 </w:t>
                  </w:r>
                  <w:r>
                    <w:rPr>
                      <w:rFonts w:hAnsi="Calibri"/>
                      <w:szCs w:val="21"/>
                    </w:rPr>
                    <w:t>版）六等区域控制指标要求</w:t>
                  </w:r>
                </w:p>
              </w:tc>
              <w:tc>
                <w:tcPr>
                  <w:tcW w:w="1448" w:type="pct"/>
                  <w:vMerge w:val="continue"/>
                  <w:vAlign w:val="center"/>
                </w:tcPr>
                <w:p>
                  <w:pPr>
                    <w:jc w:val="center"/>
                    <w:rPr>
                      <w:rFonts w:ascii="Calibri" w:hAnsi="Calibri"/>
                      <w:szCs w:val="21"/>
                    </w:rPr>
                  </w:pPr>
                </w:p>
              </w:tc>
              <w:tc>
                <w:tcPr>
                  <w:tcW w:w="483" w:type="pct"/>
                  <w:vMerge w:val="continue"/>
                  <w:vAlign w:val="center"/>
                </w:tcPr>
                <w:p>
                  <w:pPr>
                    <w:jc w:val="center"/>
                    <w:rPr>
                      <w:rFonts w:ascii="Calibri" w:hAnsi="Calibri"/>
                      <w:szCs w:val="21"/>
                    </w:rPr>
                  </w:pPr>
                </w:p>
              </w:tc>
            </w:tr>
          </w:tbl>
          <w:p>
            <w:pPr>
              <w:pStyle w:val="50"/>
              <w:snapToGrid/>
              <w:spacing w:line="360" w:lineRule="auto"/>
              <w:ind w:firstLine="480" w:firstLineChars="200"/>
              <w:rPr>
                <w:rFonts w:asciiTheme="minorEastAsia" w:hAnsiTheme="minorEastAsia" w:eastAsiaTheme="minorEastAsia"/>
                <w:color w:val="auto"/>
                <w:szCs w:val="24"/>
              </w:rPr>
            </w:pPr>
            <w:r>
              <w:rPr>
                <w:rFonts w:asciiTheme="minorEastAsia" w:hAnsiTheme="minorEastAsia" w:eastAsiaTheme="minorEastAsia"/>
                <w:color w:val="auto"/>
                <w:szCs w:val="24"/>
              </w:rPr>
              <w:t>由上表可知，项目</w:t>
            </w:r>
            <w:r>
              <w:rPr>
                <w:rFonts w:hint="eastAsia" w:asciiTheme="minorEastAsia" w:hAnsiTheme="minorEastAsia" w:eastAsiaTheme="minorEastAsia"/>
                <w:color w:val="auto"/>
                <w:szCs w:val="24"/>
              </w:rPr>
              <w:t>符合</w:t>
            </w:r>
            <w:r>
              <w:rPr>
                <w:rFonts w:asciiTheme="minorEastAsia" w:hAnsiTheme="minorEastAsia" w:eastAsiaTheme="minorEastAsia"/>
                <w:color w:val="auto"/>
                <w:szCs w:val="24"/>
              </w:rPr>
              <w:t>《湖南省“三线一单”生态环境总体管控要求暨省级以上产业园区生态环境准入清单》的要求。</w:t>
            </w:r>
          </w:p>
          <w:p>
            <w:pPr>
              <w:pStyle w:val="50"/>
              <w:snapToGrid/>
              <w:spacing w:line="360" w:lineRule="auto"/>
              <w:ind w:firstLine="480" w:firstLineChars="200"/>
              <w:rPr>
                <w:rFonts w:ascii="宋体" w:hAnsi="宋体" w:eastAsia="宋体"/>
                <w:color w:val="auto"/>
                <w:szCs w:val="24"/>
              </w:rPr>
            </w:pPr>
            <w:r>
              <w:rPr>
                <w:rFonts w:hint="eastAsia" w:ascii="宋体" w:hAnsi="宋体" w:eastAsia="宋体"/>
                <w:color w:val="auto"/>
                <w:szCs w:val="24"/>
              </w:rPr>
              <w:t>②项目与《衡阳市生态环境准入清单》符合性分析</w:t>
            </w:r>
          </w:p>
          <w:p>
            <w:pPr>
              <w:pStyle w:val="50"/>
              <w:snapToGrid/>
              <w:spacing w:line="360" w:lineRule="auto"/>
              <w:ind w:firstLine="480" w:firstLineChars="200"/>
              <w:rPr>
                <w:rFonts w:ascii="宋体" w:hAnsi="宋体" w:eastAsia="宋体"/>
                <w:color w:val="auto"/>
                <w:szCs w:val="24"/>
              </w:rPr>
            </w:pPr>
            <w:r>
              <w:rPr>
                <w:rFonts w:hint="eastAsia" w:ascii="宋体" w:hAnsi="宋体" w:eastAsia="宋体"/>
                <w:color w:val="auto"/>
                <w:szCs w:val="24"/>
              </w:rPr>
              <w:t>a.根据《衡阳市生态环境准入清单》中衡阳市各县（市、区）产业发展布局方案，本项目位于</w:t>
            </w:r>
            <w:r>
              <w:rPr>
                <w:rFonts w:hint="eastAsia" w:hAnsiTheme="minorEastAsia" w:eastAsiaTheme="minorEastAsia"/>
                <w:color w:val="auto"/>
                <w:szCs w:val="24"/>
              </w:rPr>
              <w:t>衡阳高新技术产业开发区内</w:t>
            </w:r>
            <w:r>
              <w:rPr>
                <w:rFonts w:hint="eastAsia" w:ascii="宋体" w:hAnsi="宋体" w:eastAsia="宋体"/>
                <w:color w:val="auto"/>
                <w:szCs w:val="24"/>
              </w:rPr>
              <w:t>，</w:t>
            </w:r>
            <w:r>
              <w:rPr>
                <w:rFonts w:hint="eastAsia" w:eastAsiaTheme="minorEastAsia"/>
                <w:spacing w:val="-2"/>
                <w:sz w:val="24"/>
              </w:rPr>
              <w:t>项目属于铁路专用设备及器材、配件制造项目，属于机械制造业</w:t>
            </w:r>
            <w:r>
              <w:rPr>
                <w:rFonts w:hint="eastAsia" w:eastAsiaTheme="minorEastAsia"/>
                <w:spacing w:val="-2"/>
                <w:sz w:val="24"/>
                <w:lang w:eastAsia="zh-CN"/>
              </w:rPr>
              <w:t>，</w:t>
            </w:r>
            <w:r>
              <w:rPr>
                <w:rFonts w:hint="eastAsia" w:ascii="宋体" w:hAnsi="宋体" w:eastAsia="宋体"/>
                <w:color w:val="auto"/>
                <w:szCs w:val="24"/>
              </w:rPr>
              <w:t>与</w:t>
            </w:r>
            <w:r>
              <w:rPr>
                <w:rFonts w:hint="eastAsia" w:hAnsiTheme="minorEastAsia" w:eastAsiaTheme="minorEastAsia"/>
                <w:color w:val="auto"/>
                <w:szCs w:val="24"/>
              </w:rPr>
              <w:t>衡阳县</w:t>
            </w:r>
            <w:r>
              <w:rPr>
                <w:rFonts w:hint="eastAsia" w:ascii="宋体" w:hAnsi="宋体" w:eastAsia="宋体"/>
                <w:color w:val="auto"/>
                <w:szCs w:val="24"/>
              </w:rPr>
              <w:t>产业布局规划相符，详见下表。</w:t>
            </w:r>
          </w:p>
          <w:p>
            <w:pPr>
              <w:pStyle w:val="38"/>
              <w:spacing w:beforeLines="0" w:afterLines="0" w:line="480" w:lineRule="exact"/>
              <w:ind w:firstLine="422" w:firstLineChars="200"/>
              <w:rPr>
                <w:rFonts w:ascii="Times New Roman"/>
                <w:b/>
                <w:bCs/>
              </w:rPr>
            </w:pPr>
            <w:r>
              <w:rPr>
                <w:rFonts w:hint="eastAsia" w:ascii="Times New Roman"/>
                <w:b/>
                <w:bCs/>
              </w:rPr>
              <w:t>表1-</w:t>
            </w:r>
            <w:r>
              <w:rPr>
                <w:rFonts w:hint="eastAsia" w:ascii="Times New Roman"/>
                <w:b/>
                <w:bCs/>
                <w:lang w:val="en-US" w:eastAsia="zh-CN"/>
              </w:rPr>
              <w:t>3</w:t>
            </w:r>
            <w:r>
              <w:rPr>
                <w:rFonts w:hint="eastAsia" w:ascii="Times New Roman"/>
                <w:b/>
                <w:bCs/>
              </w:rPr>
              <w:t xml:space="preserve">  衡阳市各县（市、区）产业发展布局方案</w:t>
            </w:r>
          </w:p>
          <w:tbl>
            <w:tblPr>
              <w:tblStyle w:val="26"/>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343"/>
              <w:gridCol w:w="2725"/>
              <w:gridCol w:w="506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35" w:type="pct"/>
                  <w:vAlign w:val="center"/>
                </w:tcPr>
                <w:p>
                  <w:pPr>
                    <w:adjustRightInd w:val="0"/>
                    <w:snapToGrid w:val="0"/>
                    <w:jc w:val="center"/>
                    <w:rPr>
                      <w:b/>
                      <w:szCs w:val="21"/>
                    </w:rPr>
                  </w:pPr>
                  <w:r>
                    <w:rPr>
                      <w:b/>
                      <w:kern w:val="0"/>
                      <w:szCs w:val="21"/>
                    </w:rPr>
                    <w:t>市州/区县</w:t>
                  </w:r>
                </w:p>
              </w:tc>
              <w:tc>
                <w:tcPr>
                  <w:tcW w:w="1491" w:type="pct"/>
                  <w:vAlign w:val="center"/>
                </w:tcPr>
                <w:p>
                  <w:pPr>
                    <w:adjustRightInd w:val="0"/>
                    <w:snapToGrid w:val="0"/>
                    <w:jc w:val="center"/>
                    <w:rPr>
                      <w:b/>
                      <w:szCs w:val="21"/>
                    </w:rPr>
                  </w:pPr>
                  <w:r>
                    <w:rPr>
                      <w:b/>
                      <w:kern w:val="0"/>
                      <w:szCs w:val="21"/>
                    </w:rPr>
                    <w:t>产业布局现状</w:t>
                  </w:r>
                </w:p>
              </w:tc>
              <w:tc>
                <w:tcPr>
                  <w:tcW w:w="2774" w:type="pct"/>
                  <w:vAlign w:val="center"/>
                </w:tcPr>
                <w:p>
                  <w:pPr>
                    <w:adjustRightInd w:val="0"/>
                    <w:snapToGrid w:val="0"/>
                    <w:jc w:val="center"/>
                    <w:rPr>
                      <w:b/>
                      <w:szCs w:val="21"/>
                    </w:rPr>
                  </w:pPr>
                  <w:r>
                    <w:rPr>
                      <w:b/>
                      <w:kern w:val="0"/>
                      <w:szCs w:val="21"/>
                    </w:rPr>
                    <w:t>产业布局规划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43" w:type="dxa"/>
                  <w:vAlign w:val="center"/>
                </w:tcPr>
                <w:p>
                  <w:pPr>
                    <w:adjustRightInd w:val="0"/>
                    <w:jc w:val="center"/>
                    <w:rPr>
                      <w:szCs w:val="21"/>
                    </w:rPr>
                  </w:pPr>
                  <w:r>
                    <w:rPr>
                      <w:szCs w:val="21"/>
                    </w:rPr>
                    <w:t>衡阳县</w:t>
                  </w:r>
                </w:p>
              </w:tc>
              <w:tc>
                <w:tcPr>
                  <w:tcW w:w="2725" w:type="dxa"/>
                  <w:vAlign w:val="center"/>
                </w:tcPr>
                <w:p>
                  <w:pPr>
                    <w:adjustRightInd w:val="0"/>
                    <w:jc w:val="center"/>
                    <w:rPr>
                      <w:kern w:val="0"/>
                      <w:szCs w:val="21"/>
                    </w:rPr>
                  </w:pPr>
                  <w:r>
                    <w:rPr>
                      <w:rFonts w:hint="eastAsia"/>
                      <w:kern w:val="0"/>
                      <w:szCs w:val="21"/>
                    </w:rPr>
                    <w:t>区内有西渡高新技术产业园区、界牌陶瓷工业园。</w:t>
                  </w:r>
                </w:p>
                <w:p>
                  <w:pPr>
                    <w:adjustRightInd w:val="0"/>
                    <w:jc w:val="center"/>
                    <w:rPr>
                      <w:szCs w:val="21"/>
                    </w:rPr>
                  </w:pPr>
                  <w:r>
                    <w:rPr>
                      <w:rFonts w:hint="eastAsia"/>
                      <w:kern w:val="0"/>
                      <w:szCs w:val="21"/>
                    </w:rPr>
                    <w:t>其他有建材、陶瓷原料加工、铁矿采选、石材开采加工、农副产品加工、畜禽养殖业等</w:t>
                  </w:r>
                  <w:r>
                    <w:rPr>
                      <w:kern w:val="0"/>
                      <w:szCs w:val="21"/>
                    </w:rPr>
                    <w:t>。</w:t>
                  </w:r>
                </w:p>
              </w:tc>
              <w:tc>
                <w:tcPr>
                  <w:tcW w:w="5069" w:type="dxa"/>
                  <w:vAlign w:val="center"/>
                </w:tcPr>
                <w:p>
                  <w:pPr>
                    <w:adjustRightInd w:val="0"/>
                    <w:snapToGrid w:val="0"/>
                    <w:ind w:firstLine="420" w:firstLineChars="200"/>
                    <w:rPr>
                      <w:kern w:val="0"/>
                      <w:szCs w:val="21"/>
                    </w:rPr>
                  </w:pPr>
                  <w:r>
                    <w:rPr>
                      <w:kern w:val="0"/>
                      <w:szCs w:val="21"/>
                    </w:rPr>
                    <w:t>西渡高新技术产业园区主导产业为：</w:t>
                  </w:r>
                  <w:r>
                    <w:rPr>
                      <w:rFonts w:hint="eastAsia"/>
                      <w:kern w:val="0"/>
                      <w:szCs w:val="21"/>
                    </w:rPr>
                    <w:t>生物医药、外贸加工（服装缝纫加工、鞋帽加工、箱包加工等为重点的来料加工型生活用品制造）和机械电子制造产业（不含电镀加工及线路板生产）、智能机器、非金属矿物制品、农产品加工。</w:t>
                  </w:r>
                </w:p>
                <w:p>
                  <w:pPr>
                    <w:adjustRightInd w:val="0"/>
                    <w:snapToGrid w:val="0"/>
                    <w:ind w:firstLine="420" w:firstLineChars="200"/>
                    <w:rPr>
                      <w:kern w:val="0"/>
                      <w:szCs w:val="21"/>
                    </w:rPr>
                  </w:pPr>
                  <w:r>
                    <w:rPr>
                      <w:rFonts w:hint="eastAsia"/>
                      <w:kern w:val="0"/>
                      <w:szCs w:val="21"/>
                    </w:rPr>
                    <w:t>新扩区</w:t>
                  </w:r>
                  <w:r>
                    <w:rPr>
                      <w:kern w:val="0"/>
                      <w:szCs w:val="21"/>
                    </w:rPr>
                    <w:t>主导产业为：</w:t>
                  </w:r>
                  <w:r>
                    <w:rPr>
                      <w:rFonts w:hint="eastAsia"/>
                      <w:kern w:val="0"/>
                      <w:szCs w:val="21"/>
                    </w:rPr>
                    <w:t>医药制造业，皮革、毛皮、羽毛及其制品和制鞋业，非金属矿物制品等。</w:t>
                  </w:r>
                </w:p>
                <w:p>
                  <w:pPr>
                    <w:adjustRightInd w:val="0"/>
                    <w:jc w:val="center"/>
                    <w:rPr>
                      <w:szCs w:val="21"/>
                    </w:rPr>
                  </w:pPr>
                  <w:r>
                    <w:rPr>
                      <w:kern w:val="0"/>
                      <w:szCs w:val="21"/>
                    </w:rPr>
                    <w:t>衡阳界牌陶瓷工业园以瓷泥加工和集散、日用陶瓷、建筑卫生陶瓷和特种工业陶瓷生产产业为主，配套物流服务产业（湘环评函</w:t>
                  </w:r>
                  <w:r>
                    <w:rPr>
                      <w:rFonts w:hint="eastAsia"/>
                      <w:kern w:val="0"/>
                      <w:szCs w:val="21"/>
                    </w:rPr>
                    <w:t>〔</w:t>
                  </w:r>
                  <w:r>
                    <w:rPr>
                      <w:kern w:val="0"/>
                      <w:szCs w:val="21"/>
                    </w:rPr>
                    <w:t>2016</w:t>
                  </w:r>
                  <w:r>
                    <w:rPr>
                      <w:rFonts w:hint="eastAsia"/>
                      <w:kern w:val="0"/>
                      <w:szCs w:val="21"/>
                    </w:rPr>
                    <w:t>〕</w:t>
                  </w:r>
                  <w:r>
                    <w:rPr>
                      <w:kern w:val="0"/>
                      <w:szCs w:val="21"/>
                    </w:rPr>
                    <w:t>34号）。</w:t>
                  </w:r>
                </w:p>
              </w:tc>
            </w:tr>
          </w:tbl>
          <w:p>
            <w:pPr>
              <w:pStyle w:val="50"/>
              <w:snapToGrid/>
              <w:spacing w:line="360" w:lineRule="auto"/>
              <w:ind w:firstLine="480" w:firstLineChars="200"/>
              <w:rPr>
                <w:rFonts w:ascii="宋体" w:hAnsi="宋体" w:eastAsia="宋体"/>
                <w:color w:val="auto"/>
                <w:szCs w:val="24"/>
              </w:rPr>
            </w:pPr>
            <w:r>
              <w:rPr>
                <w:rFonts w:eastAsia="宋体"/>
                <w:color w:val="auto"/>
                <w:szCs w:val="24"/>
              </w:rPr>
              <w:t>b.</w:t>
            </w:r>
            <w:r>
              <w:rPr>
                <w:rFonts w:hAnsi="宋体" w:eastAsia="宋体"/>
                <w:color w:val="auto"/>
                <w:szCs w:val="24"/>
              </w:rPr>
              <w:t>衡阳市工业园区生态环境准入清单参考</w:t>
            </w:r>
            <w:r>
              <w:rPr>
                <w:rFonts w:eastAsia="宋体"/>
                <w:color w:val="auto"/>
                <w:szCs w:val="24"/>
              </w:rPr>
              <w:t>《湖南省</w:t>
            </w:r>
            <w:r>
              <w:rPr>
                <w:rFonts w:ascii="宋体" w:hAnsi="宋体" w:eastAsia="宋体"/>
                <w:color w:val="auto"/>
                <w:szCs w:val="24"/>
              </w:rPr>
              <w:t>“三线一单”生</w:t>
            </w:r>
            <w:r>
              <w:rPr>
                <w:rFonts w:eastAsia="宋体"/>
                <w:color w:val="auto"/>
                <w:szCs w:val="24"/>
              </w:rPr>
              <w:t>态</w:t>
            </w:r>
            <w:r>
              <w:rPr>
                <w:rFonts w:hAnsi="宋体" w:eastAsia="宋体"/>
                <w:color w:val="auto"/>
                <w:szCs w:val="24"/>
              </w:rPr>
              <w:t>环境总体管控要求暨省级以上产业园区生态</w:t>
            </w:r>
            <w:r>
              <w:rPr>
                <w:rFonts w:ascii="宋体" w:hAnsi="宋体" w:eastAsia="宋体"/>
                <w:color w:val="auto"/>
                <w:szCs w:val="24"/>
              </w:rPr>
              <w:t>环境准入清单》</w:t>
            </w:r>
            <w:r>
              <w:rPr>
                <w:rFonts w:hint="eastAsia" w:ascii="宋体" w:hAnsi="宋体" w:eastAsia="宋体"/>
                <w:color w:val="auto"/>
                <w:szCs w:val="24"/>
              </w:rPr>
              <w:t>。</w:t>
            </w:r>
          </w:p>
          <w:p>
            <w:pPr>
              <w:pStyle w:val="50"/>
              <w:snapToGrid/>
              <w:spacing w:line="360" w:lineRule="auto"/>
              <w:ind w:firstLine="480" w:firstLineChars="200"/>
              <w:rPr>
                <w:rFonts w:asciiTheme="minorEastAsia" w:hAnsiTheme="minorEastAsia" w:eastAsiaTheme="minorEastAsia"/>
                <w:color w:val="auto"/>
                <w:szCs w:val="24"/>
              </w:rPr>
            </w:pPr>
            <w:r>
              <w:rPr>
                <w:rFonts w:ascii="宋体" w:hAnsi="宋体" w:eastAsia="宋体"/>
                <w:color w:val="auto"/>
                <w:szCs w:val="24"/>
              </w:rPr>
              <w:t>综上所述，</w:t>
            </w:r>
            <w:r>
              <w:rPr>
                <w:rFonts w:hint="eastAsia" w:ascii="宋体" w:hAnsi="宋体" w:eastAsia="宋体"/>
                <w:color w:val="auto"/>
                <w:szCs w:val="24"/>
              </w:rPr>
              <w:t>项目建设符合</w:t>
            </w:r>
            <w:r>
              <w:rPr>
                <w:rFonts w:ascii="宋体" w:hAnsi="宋体" w:eastAsia="宋体"/>
                <w:color w:val="auto"/>
                <w:szCs w:val="24"/>
              </w:rPr>
              <w:t>《湖南省“三线一单”生态环境总体管控要求暨省级以上产业园区生态环境准入清单》</w:t>
            </w:r>
            <w:r>
              <w:rPr>
                <w:rFonts w:hint="eastAsia" w:ascii="宋体" w:hAnsi="宋体" w:eastAsia="宋体"/>
                <w:color w:val="auto"/>
                <w:szCs w:val="24"/>
              </w:rPr>
              <w:t>及《衡阳市生态环境准入清单》的文件要求</w:t>
            </w:r>
            <w:r>
              <w:rPr>
                <w:rFonts w:hint="eastAsia" w:asciiTheme="minorEastAsia" w:hAnsiTheme="minorEastAsia" w:eastAsiaTheme="minorEastAsia"/>
                <w:color w:val="auto"/>
                <w:szCs w:val="24"/>
              </w:rPr>
              <w:t>。</w:t>
            </w:r>
          </w:p>
          <w:p>
            <w:pPr>
              <w:autoSpaceDE w:val="0"/>
              <w:autoSpaceDN w:val="0"/>
              <w:adjustRightInd w:val="0"/>
              <w:snapToGrid w:val="0"/>
              <w:spacing w:line="360" w:lineRule="auto"/>
              <w:ind w:firstLine="482" w:firstLineChars="200"/>
              <w:jc w:val="left"/>
              <w:rPr>
                <w:b/>
                <w:bCs/>
                <w:kern w:val="0"/>
                <w:sz w:val="24"/>
              </w:rPr>
            </w:pPr>
            <w:r>
              <w:rPr>
                <w:rFonts w:hint="eastAsia"/>
                <w:b/>
                <w:bCs/>
                <w:kern w:val="0"/>
                <w:sz w:val="24"/>
              </w:rPr>
              <w:t>3、项目选址</w:t>
            </w:r>
            <w:r>
              <w:rPr>
                <w:b/>
                <w:bCs/>
                <w:kern w:val="0"/>
                <w:sz w:val="24"/>
              </w:rPr>
              <w:t>符合性分析</w:t>
            </w:r>
          </w:p>
          <w:p>
            <w:pPr>
              <w:pStyle w:val="50"/>
              <w:snapToGrid/>
              <w:spacing w:line="360" w:lineRule="auto"/>
              <w:ind w:firstLine="480" w:firstLineChars="200"/>
              <w:rPr>
                <w:rFonts w:eastAsiaTheme="minorEastAsia"/>
                <w:color w:val="auto"/>
                <w:szCs w:val="24"/>
              </w:rPr>
            </w:pPr>
            <w:r>
              <w:rPr>
                <w:rFonts w:eastAsiaTheme="minorEastAsia"/>
                <w:color w:val="auto"/>
                <w:szCs w:val="24"/>
              </w:rPr>
              <w:t>项目位于</w:t>
            </w:r>
            <w:r>
              <w:rPr>
                <w:rFonts w:hint="eastAsia" w:eastAsiaTheme="minorEastAsia"/>
                <w:color w:val="auto"/>
                <w:szCs w:val="24"/>
              </w:rPr>
              <w:t>衡阳县西渡镇清江北路5号（衡阳市新德力交通材料有限公司现有厂区内）</w:t>
            </w:r>
            <w:r>
              <w:rPr>
                <w:rFonts w:eastAsiaTheme="minorEastAsia"/>
                <w:color w:val="auto"/>
                <w:szCs w:val="24"/>
              </w:rPr>
              <w:t>，根据《</w:t>
            </w:r>
            <w:r>
              <w:rPr>
                <w:rFonts w:hint="eastAsia" w:eastAsiaTheme="minorEastAsia"/>
                <w:color w:val="auto"/>
                <w:szCs w:val="24"/>
              </w:rPr>
              <w:t>衡阳县县城总体</w:t>
            </w:r>
            <w:r>
              <w:rPr>
                <w:rFonts w:eastAsiaTheme="minorEastAsia"/>
                <w:color w:val="auto"/>
                <w:szCs w:val="24"/>
              </w:rPr>
              <w:t>规划（20</w:t>
            </w:r>
            <w:r>
              <w:rPr>
                <w:rFonts w:hint="eastAsia" w:eastAsiaTheme="minorEastAsia"/>
                <w:color w:val="auto"/>
                <w:szCs w:val="24"/>
              </w:rPr>
              <w:t>06</w:t>
            </w:r>
            <w:r>
              <w:rPr>
                <w:rFonts w:eastAsiaTheme="minorEastAsia"/>
                <w:color w:val="auto"/>
                <w:szCs w:val="24"/>
              </w:rPr>
              <w:t>-20</w:t>
            </w:r>
            <w:r>
              <w:rPr>
                <w:rFonts w:hint="eastAsia" w:eastAsiaTheme="minorEastAsia"/>
                <w:color w:val="auto"/>
                <w:szCs w:val="24"/>
              </w:rPr>
              <w:t>20</w:t>
            </w:r>
            <w:r>
              <w:rPr>
                <w:rFonts w:eastAsiaTheme="minorEastAsia"/>
                <w:color w:val="auto"/>
                <w:szCs w:val="24"/>
              </w:rPr>
              <w:t>）</w:t>
            </w:r>
            <w:r>
              <w:rPr>
                <w:rFonts w:hint="eastAsia" w:eastAsiaTheme="minorEastAsia"/>
                <w:color w:val="auto"/>
                <w:szCs w:val="24"/>
              </w:rPr>
              <w:t>（2013年修订）</w:t>
            </w:r>
            <w:r>
              <w:rPr>
                <w:rFonts w:eastAsiaTheme="minorEastAsia"/>
                <w:color w:val="auto"/>
                <w:szCs w:val="24"/>
              </w:rPr>
              <w:t>》</w:t>
            </w:r>
            <w:r>
              <w:rPr>
                <w:rFonts w:hint="eastAsia" w:eastAsiaTheme="minorEastAsia"/>
                <w:color w:val="auto"/>
                <w:szCs w:val="24"/>
              </w:rPr>
              <w:t>，</w:t>
            </w:r>
            <w:r>
              <w:rPr>
                <w:rFonts w:eastAsiaTheme="minorEastAsia"/>
                <w:color w:val="auto"/>
                <w:szCs w:val="24"/>
              </w:rPr>
              <w:t>项目用地</w:t>
            </w:r>
            <w:r>
              <w:rPr>
                <w:rFonts w:hint="eastAsia" w:eastAsiaTheme="minorEastAsia"/>
                <w:color w:val="auto"/>
                <w:szCs w:val="24"/>
                <w:lang w:val="en-US" w:eastAsia="zh-CN"/>
              </w:rPr>
              <w:t>性质</w:t>
            </w:r>
            <w:r>
              <w:rPr>
                <w:rFonts w:eastAsiaTheme="minorEastAsia"/>
                <w:color w:val="auto"/>
                <w:szCs w:val="24"/>
              </w:rPr>
              <w:t>属于工业</w:t>
            </w:r>
            <w:r>
              <w:rPr>
                <w:rFonts w:hint="eastAsia" w:eastAsiaTheme="minorEastAsia"/>
                <w:color w:val="auto"/>
                <w:szCs w:val="24"/>
                <w:lang w:val="en-US" w:eastAsia="zh-CN"/>
              </w:rPr>
              <w:t>二类</w:t>
            </w:r>
            <w:r>
              <w:rPr>
                <w:rFonts w:eastAsiaTheme="minorEastAsia"/>
                <w:color w:val="auto"/>
                <w:szCs w:val="24"/>
              </w:rPr>
              <w:t>用地</w:t>
            </w:r>
            <w:r>
              <w:rPr>
                <w:rFonts w:hint="eastAsia" w:eastAsiaTheme="minorEastAsia"/>
                <w:color w:val="auto"/>
                <w:szCs w:val="24"/>
                <w:lang w:eastAsia="zh-CN"/>
              </w:rPr>
              <w:t>。</w:t>
            </w:r>
            <w:r>
              <w:rPr>
                <w:rFonts w:hint="eastAsia" w:eastAsiaTheme="minorEastAsia"/>
                <w:spacing w:val="-2"/>
                <w:sz w:val="24"/>
              </w:rPr>
              <w:t>项目属于铁路专用设备及器材、配件制造项目，属于机械制造业</w:t>
            </w:r>
            <w:r>
              <w:rPr>
                <w:rFonts w:hint="eastAsia" w:eastAsiaTheme="minorEastAsia"/>
                <w:spacing w:val="-2"/>
                <w:sz w:val="24"/>
                <w:lang w:eastAsia="zh-CN"/>
              </w:rPr>
              <w:t>，</w:t>
            </w:r>
            <w:r>
              <w:rPr>
                <w:rFonts w:hint="eastAsia" w:eastAsiaTheme="minorEastAsia"/>
                <w:spacing w:val="-2"/>
                <w:sz w:val="24"/>
                <w:lang w:val="en-US" w:eastAsia="zh-CN"/>
              </w:rPr>
              <w:t>为二类工业项目，因此</w:t>
            </w:r>
            <w:r>
              <w:rPr>
                <w:rFonts w:eastAsiaTheme="minorEastAsia"/>
                <w:color w:val="auto"/>
                <w:szCs w:val="24"/>
              </w:rPr>
              <w:t>项目</w:t>
            </w:r>
            <w:r>
              <w:rPr>
                <w:rFonts w:hint="eastAsia" w:eastAsiaTheme="minorEastAsia"/>
                <w:color w:val="auto"/>
                <w:szCs w:val="24"/>
                <w:lang w:val="en-US" w:eastAsia="zh-CN"/>
              </w:rPr>
              <w:t>用地</w:t>
            </w:r>
            <w:r>
              <w:rPr>
                <w:rFonts w:eastAsiaTheme="minorEastAsia"/>
                <w:color w:val="auto"/>
                <w:szCs w:val="24"/>
              </w:rPr>
              <w:t>符合</w:t>
            </w:r>
            <w:r>
              <w:rPr>
                <w:rFonts w:hint="eastAsia" w:eastAsiaTheme="minorEastAsia"/>
                <w:color w:val="auto"/>
                <w:szCs w:val="24"/>
              </w:rPr>
              <w:t>衡阳县</w:t>
            </w:r>
            <w:r>
              <w:rPr>
                <w:rFonts w:eastAsiaTheme="minorEastAsia"/>
                <w:color w:val="auto"/>
                <w:szCs w:val="24"/>
              </w:rPr>
              <w:t>城市总体规划，详见附图4。</w:t>
            </w:r>
          </w:p>
          <w:p>
            <w:pPr>
              <w:pStyle w:val="50"/>
              <w:snapToGrid/>
              <w:spacing w:line="360" w:lineRule="auto"/>
              <w:ind w:firstLine="480" w:firstLineChars="200"/>
              <w:rPr>
                <w:rFonts w:eastAsiaTheme="minorEastAsia"/>
                <w:color w:val="auto"/>
                <w:szCs w:val="24"/>
              </w:rPr>
            </w:pPr>
            <w:r>
              <w:rPr>
                <w:rFonts w:eastAsiaTheme="minorEastAsia"/>
                <w:color w:val="auto"/>
                <w:szCs w:val="24"/>
              </w:rPr>
              <w:t>项目位于</w:t>
            </w:r>
            <w:r>
              <w:rPr>
                <w:rFonts w:hint="eastAsia" w:eastAsiaTheme="minorEastAsia"/>
                <w:color w:val="auto"/>
                <w:szCs w:val="24"/>
              </w:rPr>
              <w:t>衡阳县西渡镇清江北路5号（衡阳市新德力交通材料有限公司现有厂区内）</w:t>
            </w:r>
            <w:r>
              <w:rPr>
                <w:rFonts w:eastAsiaTheme="minorEastAsia"/>
                <w:color w:val="auto"/>
                <w:szCs w:val="24"/>
              </w:rPr>
              <w:t>，项目选址不在水源保护区范围内，不在风景名胜区、自然保护区内。项目所在区域为环境空气质量二类功能区，区域属于声环境</w:t>
            </w:r>
            <w:r>
              <w:rPr>
                <w:rFonts w:hint="eastAsia" w:eastAsiaTheme="minorEastAsia"/>
                <w:color w:val="auto"/>
                <w:szCs w:val="24"/>
              </w:rPr>
              <w:t>3</w:t>
            </w:r>
            <w:r>
              <w:rPr>
                <w:rFonts w:eastAsiaTheme="minorEastAsia"/>
                <w:color w:val="auto"/>
                <w:szCs w:val="24"/>
              </w:rPr>
              <w:t>类区，不属于环境敏感区。</w:t>
            </w:r>
          </w:p>
          <w:p>
            <w:pPr>
              <w:autoSpaceDE w:val="0"/>
              <w:autoSpaceDN w:val="0"/>
              <w:adjustRightInd w:val="0"/>
              <w:snapToGrid w:val="0"/>
              <w:spacing w:line="360" w:lineRule="auto"/>
              <w:ind w:firstLine="480" w:firstLineChars="200"/>
              <w:jc w:val="left"/>
              <w:rPr>
                <w:bCs/>
                <w:kern w:val="0"/>
                <w:sz w:val="24"/>
              </w:rPr>
            </w:pPr>
            <w:r>
              <w:rPr>
                <w:bCs/>
                <w:kern w:val="0"/>
                <w:sz w:val="24"/>
              </w:rPr>
              <w:t>项目紧邻</w:t>
            </w:r>
            <w:r>
              <w:rPr>
                <w:rFonts w:hint="eastAsia"/>
                <w:bCs/>
                <w:kern w:val="0"/>
                <w:sz w:val="24"/>
              </w:rPr>
              <w:t>清江北路</w:t>
            </w:r>
            <w:r>
              <w:rPr>
                <w:bCs/>
                <w:kern w:val="0"/>
                <w:sz w:val="24"/>
              </w:rPr>
              <w:t>，交通便利，并且水、电、气、管网等各项公用配套设施较完善，给项目建设提供了很好的基础条件。因此，本项目选址可行。</w:t>
            </w:r>
          </w:p>
          <w:p>
            <w:pPr>
              <w:spacing w:line="360" w:lineRule="auto"/>
              <w:ind w:firstLine="482" w:firstLineChars="200"/>
              <w:rPr>
                <w:sz w:val="24"/>
              </w:rPr>
            </w:pPr>
            <w:r>
              <w:rPr>
                <w:rFonts w:hint="eastAsia"/>
                <w:b/>
                <w:bCs/>
                <w:sz w:val="24"/>
                <w:lang w:val="en-US" w:eastAsia="zh-CN"/>
              </w:rPr>
              <w:t>4</w:t>
            </w:r>
            <w:r>
              <w:rPr>
                <w:rFonts w:hint="eastAsia"/>
                <w:b/>
                <w:bCs/>
                <w:sz w:val="24"/>
              </w:rPr>
              <w:t>、</w:t>
            </w:r>
            <w:r>
              <w:rPr>
                <w:b/>
                <w:bCs/>
                <w:sz w:val="24"/>
              </w:rPr>
              <w:t>与《重点行业挥发性有机物综合治理方案》的符合性分析</w:t>
            </w:r>
          </w:p>
          <w:p>
            <w:pPr>
              <w:autoSpaceDE w:val="0"/>
              <w:autoSpaceDN w:val="0"/>
              <w:adjustRightInd w:val="0"/>
              <w:snapToGrid w:val="0"/>
              <w:spacing w:line="360" w:lineRule="auto"/>
              <w:ind w:firstLine="480" w:firstLineChars="200"/>
              <w:jc w:val="left"/>
              <w:rPr>
                <w:sz w:val="24"/>
                <w:szCs w:val="22"/>
              </w:rPr>
            </w:pPr>
            <w:r>
              <w:rPr>
                <w:sz w:val="24"/>
                <w:szCs w:val="22"/>
              </w:rPr>
              <w:t>根据《重点行业挥发性有机物综合治理方案》（环大气[2019]53号，2019.6.26）：低浓度、大风量废气，宜采用沸石转轮吸附、活性炭吸附、减风增浓等浓缩技术，提高VOCs浓度后净化处理；采用一次性活性炭吸附技术的，应定期更换活性炭，废旧活性炭应再生或处理处置。</w:t>
            </w:r>
          </w:p>
          <w:p>
            <w:pPr>
              <w:autoSpaceDE w:val="0"/>
              <w:autoSpaceDN w:val="0"/>
              <w:adjustRightInd w:val="0"/>
              <w:snapToGrid w:val="0"/>
              <w:spacing w:line="360" w:lineRule="auto"/>
              <w:ind w:firstLine="480" w:firstLineChars="200"/>
              <w:jc w:val="left"/>
              <w:rPr>
                <w:rFonts w:hint="eastAsia" w:eastAsia="宋体"/>
                <w:bCs/>
                <w:kern w:val="0"/>
                <w:sz w:val="24"/>
                <w:lang w:eastAsia="zh-CN"/>
              </w:rPr>
            </w:pPr>
            <w:r>
              <w:rPr>
                <w:sz w:val="24"/>
                <w:szCs w:val="22"/>
              </w:rPr>
              <w:t>本项目采用</w:t>
            </w:r>
            <w:r>
              <w:rPr>
                <w:rFonts w:hint="eastAsia"/>
                <w:sz w:val="24"/>
                <w:szCs w:val="22"/>
              </w:rPr>
              <w:t>UV+活性炭吸附、干式过滤+活性炭吸附+催化燃烧脱附</w:t>
            </w:r>
            <w:r>
              <w:rPr>
                <w:sz w:val="24"/>
                <w:szCs w:val="22"/>
              </w:rPr>
              <w:t>装置处理</w:t>
            </w:r>
            <w:r>
              <w:rPr>
                <w:rFonts w:hint="eastAsia"/>
                <w:sz w:val="24"/>
                <w:szCs w:val="22"/>
              </w:rPr>
              <w:t>有机废气</w:t>
            </w:r>
            <w:r>
              <w:rPr>
                <w:sz w:val="24"/>
                <w:szCs w:val="22"/>
              </w:rPr>
              <w:t>，</w:t>
            </w:r>
            <w:r>
              <w:rPr>
                <w:rFonts w:hint="eastAsia"/>
                <w:sz w:val="24"/>
                <w:szCs w:val="22"/>
                <w:lang w:val="en-US" w:eastAsia="zh-CN"/>
              </w:rPr>
              <w:t>产生的废UV灯管、</w:t>
            </w:r>
            <w:r>
              <w:rPr>
                <w:sz w:val="24"/>
                <w:szCs w:val="22"/>
              </w:rPr>
              <w:t>废活性炭收集至危废暂存间，定期交有资质单位处置。故项目采用</w:t>
            </w:r>
            <w:r>
              <w:rPr>
                <w:rFonts w:hint="eastAsia"/>
                <w:sz w:val="24"/>
                <w:szCs w:val="22"/>
              </w:rPr>
              <w:t>UV+活性炭吸附、干式过滤+活性炭吸附+催化燃烧脱附</w:t>
            </w:r>
            <w:r>
              <w:rPr>
                <w:sz w:val="24"/>
                <w:szCs w:val="22"/>
              </w:rPr>
              <w:t>装置治理</w:t>
            </w:r>
            <w:r>
              <w:rPr>
                <w:rFonts w:hint="eastAsia"/>
                <w:sz w:val="24"/>
                <w:szCs w:val="22"/>
              </w:rPr>
              <w:t>有机废气</w:t>
            </w:r>
            <w:r>
              <w:rPr>
                <w:sz w:val="24"/>
                <w:szCs w:val="22"/>
              </w:rPr>
              <w:t>的方法符合《关于印发《重点行业挥发性有机物综合治理方案》的通知》（环大气[2019]53号，2019.6.26）中相关要求</w:t>
            </w:r>
            <w:r>
              <w:rPr>
                <w:rFonts w:hint="eastAsia"/>
                <w:sz w:val="24"/>
                <w:szCs w:val="22"/>
                <w:lang w:eastAsia="zh-CN"/>
              </w:rPr>
              <w:t>。</w:t>
            </w:r>
          </w:p>
          <w:p>
            <w:pPr>
              <w:autoSpaceDE w:val="0"/>
              <w:autoSpaceDN w:val="0"/>
              <w:adjustRightInd w:val="0"/>
              <w:spacing w:line="360" w:lineRule="auto"/>
              <w:ind w:firstLine="482" w:firstLineChars="200"/>
              <w:rPr>
                <w:b/>
                <w:sz w:val="24"/>
                <w:szCs w:val="22"/>
              </w:rPr>
            </w:pPr>
            <w:r>
              <w:rPr>
                <w:rFonts w:hint="eastAsia"/>
                <w:b/>
                <w:bCs w:val="0"/>
                <w:kern w:val="0"/>
                <w:sz w:val="24"/>
                <w:lang w:val="en-US" w:eastAsia="zh-CN"/>
              </w:rPr>
              <w:t>5、</w:t>
            </w:r>
            <w:r>
              <w:rPr>
                <w:rFonts w:hint="eastAsia" w:ascii="Times New Roman" w:hAnsi="Times New Roman" w:eastAsia="宋体" w:cs="Times New Roman"/>
                <w:b/>
                <w:bCs/>
                <w:kern w:val="0"/>
                <w:sz w:val="24"/>
              </w:rPr>
              <w:t>与《挥发性有机</w:t>
            </w:r>
            <w:r>
              <w:rPr>
                <w:rFonts w:hint="eastAsia"/>
                <w:b/>
                <w:sz w:val="24"/>
                <w:szCs w:val="22"/>
              </w:rPr>
              <w:t>物无组织排放控制标准》相符性分析</w:t>
            </w:r>
          </w:p>
          <w:p>
            <w:pPr>
              <w:autoSpaceDE w:val="0"/>
              <w:autoSpaceDN w:val="0"/>
              <w:adjustRightInd w:val="0"/>
              <w:snapToGrid w:val="0"/>
              <w:spacing w:beforeLines="50"/>
              <w:jc w:val="center"/>
              <w:rPr>
                <w:b/>
                <w:bCs/>
              </w:rPr>
            </w:pPr>
            <w:r>
              <w:rPr>
                <w:b/>
              </w:rPr>
              <w:t>表</w:t>
            </w:r>
            <w:r>
              <w:rPr>
                <w:rFonts w:hint="eastAsia"/>
                <w:b/>
              </w:rPr>
              <w:t>1-</w:t>
            </w:r>
            <w:r>
              <w:rPr>
                <w:rFonts w:hint="eastAsia"/>
                <w:b/>
                <w:lang w:val="en-US" w:eastAsia="zh-CN"/>
              </w:rPr>
              <w:t>4</w:t>
            </w:r>
            <w:r>
              <w:rPr>
                <w:rFonts w:hint="eastAsia"/>
                <w:b/>
              </w:rPr>
              <w:t xml:space="preserve">  </w:t>
            </w:r>
            <w:r>
              <w:rPr>
                <w:rFonts w:hint="eastAsia"/>
                <w:b/>
                <w:bCs/>
              </w:rPr>
              <w:t>与《挥发性有机物无组织排放控制标准》</w:t>
            </w:r>
            <w:r>
              <w:rPr>
                <w:b/>
                <w:bCs/>
              </w:rPr>
              <w:t>相符性分析</w:t>
            </w:r>
          </w:p>
          <w:tbl>
            <w:tblPr>
              <w:tblStyle w:val="26"/>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01"/>
              <w:gridCol w:w="5323"/>
              <w:gridCol w:w="241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
                      <w:bCs/>
                    </w:rPr>
                  </w:pPr>
                  <w:r>
                    <w:rPr>
                      <w:rFonts w:hint="eastAsia"/>
                      <w:b/>
                      <w:bCs/>
                    </w:rPr>
                    <w:t>控制项目</w:t>
                  </w:r>
                </w:p>
              </w:tc>
              <w:tc>
                <w:tcPr>
                  <w:tcW w:w="2912" w:type="pct"/>
                  <w:vAlign w:val="center"/>
                </w:tcPr>
                <w:p>
                  <w:pPr>
                    <w:autoSpaceDE w:val="0"/>
                    <w:autoSpaceDN w:val="0"/>
                    <w:adjustRightInd w:val="0"/>
                    <w:snapToGrid w:val="0"/>
                    <w:jc w:val="center"/>
                    <w:rPr>
                      <w:b/>
                      <w:bCs/>
                    </w:rPr>
                  </w:pPr>
                  <w:r>
                    <w:rPr>
                      <w:rFonts w:hint="eastAsia"/>
                      <w:b/>
                      <w:bCs/>
                    </w:rPr>
                    <w:t>GB37822标准要求</w:t>
                  </w:r>
                </w:p>
              </w:tc>
              <w:tc>
                <w:tcPr>
                  <w:tcW w:w="1320" w:type="pct"/>
                  <w:vAlign w:val="center"/>
                </w:tcPr>
                <w:p>
                  <w:pPr>
                    <w:autoSpaceDE w:val="0"/>
                    <w:autoSpaceDN w:val="0"/>
                    <w:adjustRightInd w:val="0"/>
                    <w:snapToGrid w:val="0"/>
                    <w:jc w:val="center"/>
                    <w:rPr>
                      <w:b/>
                      <w:bCs/>
                    </w:rPr>
                  </w:pPr>
                  <w:r>
                    <w:rPr>
                      <w:rFonts w:hint="eastAsia"/>
                      <w:b/>
                      <w:bCs/>
                    </w:rPr>
                    <w:t>本项目落实情况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Cs/>
                    </w:rPr>
                  </w:pPr>
                  <w:r>
                    <w:rPr>
                      <w:bCs/>
                    </w:rPr>
                    <w:t>VOCs</w:t>
                  </w:r>
                  <w:r>
                    <w:rPr>
                      <w:rFonts w:hint="eastAsia"/>
                      <w:bCs/>
                    </w:rPr>
                    <w:t>物料的储存</w:t>
                  </w:r>
                </w:p>
              </w:tc>
              <w:tc>
                <w:tcPr>
                  <w:tcW w:w="2912" w:type="pct"/>
                  <w:vAlign w:val="center"/>
                </w:tcPr>
                <w:p>
                  <w:pPr>
                    <w:autoSpaceDE w:val="0"/>
                    <w:autoSpaceDN w:val="0"/>
                    <w:adjustRightInd w:val="0"/>
                    <w:snapToGrid w:val="0"/>
                    <w:jc w:val="center"/>
                    <w:rPr>
                      <w:bCs/>
                    </w:rPr>
                  </w:pPr>
                  <w:r>
                    <w:rPr>
                      <w:rFonts w:hint="eastAsia"/>
                      <w:bCs/>
                    </w:rPr>
                    <w:t>（1）</w:t>
                  </w:r>
                  <w:r>
                    <w:rPr>
                      <w:bCs/>
                    </w:rPr>
                    <w:t>VOCs</w:t>
                  </w:r>
                  <w:r>
                    <w:rPr>
                      <w:rFonts w:hint="eastAsia"/>
                      <w:bCs/>
                    </w:rPr>
                    <w:t>物料应储存于密闭的容器、包装袋、储罐、储库和料仓中。</w:t>
                  </w:r>
                </w:p>
                <w:p>
                  <w:pPr>
                    <w:autoSpaceDE w:val="0"/>
                    <w:autoSpaceDN w:val="0"/>
                    <w:adjustRightInd w:val="0"/>
                    <w:snapToGrid w:val="0"/>
                    <w:jc w:val="center"/>
                    <w:rPr>
                      <w:bCs/>
                    </w:rPr>
                  </w:pPr>
                  <w:r>
                    <w:rPr>
                      <w:rFonts w:hint="eastAsia"/>
                      <w:bCs/>
                    </w:rPr>
                    <w:t>（2）盛装</w:t>
                  </w:r>
                  <w:r>
                    <w:rPr>
                      <w:bCs/>
                    </w:rPr>
                    <w:t>VOCs</w:t>
                  </w:r>
                  <w:r>
                    <w:rPr>
                      <w:rFonts w:hint="eastAsia"/>
                      <w:bCs/>
                    </w:rPr>
                    <w:t>物料的容器或包装袋应存放于室内，或设置有雨棚、遮阳和防渗设施的专用场地。容器或包装袋在非取用状态时应加盖、封口，保持密闭。</w:t>
                  </w:r>
                </w:p>
                <w:p>
                  <w:pPr>
                    <w:autoSpaceDE w:val="0"/>
                    <w:autoSpaceDN w:val="0"/>
                    <w:adjustRightInd w:val="0"/>
                    <w:snapToGrid w:val="0"/>
                    <w:jc w:val="center"/>
                    <w:rPr>
                      <w:bCs/>
                    </w:rPr>
                  </w:pPr>
                  <w:r>
                    <w:rPr>
                      <w:rFonts w:hint="eastAsia"/>
                      <w:bCs/>
                    </w:rPr>
                    <w:t>（</w:t>
                  </w:r>
                  <w:r>
                    <w:rPr>
                      <w:bCs/>
                    </w:rPr>
                    <w:t>3</w:t>
                  </w:r>
                  <w:r>
                    <w:rPr>
                      <w:rFonts w:hint="eastAsia"/>
                      <w:bCs/>
                    </w:rPr>
                    <w:t>）</w:t>
                  </w:r>
                  <w:r>
                    <w:rPr>
                      <w:bCs/>
                    </w:rPr>
                    <w:t>VOCs</w:t>
                  </w:r>
                  <w:r>
                    <w:rPr>
                      <w:rFonts w:hint="eastAsia"/>
                      <w:bCs/>
                    </w:rPr>
                    <w:t>物料储库、料仓应满足密闭空间的要求：利用完整的维护结构将污染物质、作业场所等与周围空间阻隔所形成的封闭区域或封闭式建筑物。该封闭区域或封闭式建筑物除人员、车辆、设备、物料进出时，以及依法设立的排气筒、通风口外，门窗及其他开口（孔）部位应随时保持关闭状态</w:t>
                  </w:r>
                </w:p>
              </w:tc>
              <w:tc>
                <w:tcPr>
                  <w:tcW w:w="1320" w:type="pct"/>
                  <w:vAlign w:val="center"/>
                </w:tcPr>
                <w:p>
                  <w:pPr>
                    <w:autoSpaceDE w:val="0"/>
                    <w:autoSpaceDN w:val="0"/>
                    <w:adjustRightInd w:val="0"/>
                    <w:snapToGrid w:val="0"/>
                    <w:jc w:val="center"/>
                    <w:rPr>
                      <w:rFonts w:hint="eastAsia"/>
                      <w:bCs/>
                    </w:rPr>
                  </w:pPr>
                  <w:r>
                    <w:rPr>
                      <w:rFonts w:hint="eastAsia"/>
                      <w:bCs/>
                    </w:rPr>
                    <w:t>已落实。</w:t>
                  </w:r>
                </w:p>
                <w:p>
                  <w:pPr>
                    <w:autoSpaceDE w:val="0"/>
                    <w:autoSpaceDN w:val="0"/>
                    <w:adjustRightInd w:val="0"/>
                    <w:snapToGrid w:val="0"/>
                    <w:jc w:val="center"/>
                    <w:rPr>
                      <w:rFonts w:hint="eastAsia"/>
                      <w:bCs/>
                      <w:lang w:val="en-US" w:eastAsia="zh-CN"/>
                    </w:rPr>
                  </w:pPr>
                  <w:r>
                    <w:rPr>
                      <w:rFonts w:hint="eastAsia"/>
                      <w:bCs/>
                      <w:lang w:val="en-US" w:eastAsia="zh-CN"/>
                    </w:rPr>
                    <w:t>（1）</w:t>
                  </w:r>
                  <w:r>
                    <w:rPr>
                      <w:rFonts w:hint="eastAsia"/>
                      <w:bCs/>
                    </w:rPr>
                    <w:t>项目</w:t>
                  </w:r>
                  <w:r>
                    <w:rPr>
                      <w:rFonts w:hint="eastAsia"/>
                      <w:bCs/>
                      <w:lang w:val="en-US" w:eastAsia="zh-CN"/>
                    </w:rPr>
                    <w:t>涉</w:t>
                  </w:r>
                  <w:r>
                    <w:rPr>
                      <w:bCs/>
                    </w:rPr>
                    <w:t>VOCs</w:t>
                  </w:r>
                  <w:r>
                    <w:rPr>
                      <w:rFonts w:hint="eastAsia"/>
                      <w:bCs/>
                    </w:rPr>
                    <w:t>物料</w:t>
                  </w:r>
                  <w:r>
                    <w:rPr>
                      <w:rFonts w:hint="eastAsia"/>
                      <w:bCs/>
                      <w:lang w:val="en-US" w:eastAsia="zh-CN"/>
                    </w:rPr>
                    <w:t>均</w:t>
                  </w:r>
                  <w:r>
                    <w:rPr>
                      <w:rFonts w:hint="eastAsia"/>
                      <w:bCs/>
                    </w:rPr>
                    <w:t>采用</w:t>
                  </w:r>
                  <w:r>
                    <w:rPr>
                      <w:rFonts w:hint="eastAsia"/>
                      <w:bCs/>
                      <w:lang w:val="en-US" w:eastAsia="zh-CN"/>
                    </w:rPr>
                    <w:t>密闭的涂料桶储存</w:t>
                  </w:r>
                  <w:r>
                    <w:rPr>
                      <w:rFonts w:hint="eastAsia"/>
                      <w:bCs/>
                    </w:rPr>
                    <w:t>。</w:t>
                  </w:r>
                </w:p>
                <w:p>
                  <w:pPr>
                    <w:autoSpaceDE w:val="0"/>
                    <w:autoSpaceDN w:val="0"/>
                    <w:adjustRightInd w:val="0"/>
                    <w:snapToGrid w:val="0"/>
                    <w:jc w:val="center"/>
                    <w:rPr>
                      <w:rFonts w:hint="eastAsia"/>
                      <w:bCs/>
                      <w:lang w:val="en-US" w:eastAsia="zh-CN"/>
                    </w:rPr>
                  </w:pPr>
                  <w:r>
                    <w:rPr>
                      <w:rFonts w:hint="eastAsia"/>
                      <w:bCs/>
                      <w:lang w:val="en-US" w:eastAsia="zh-CN"/>
                    </w:rPr>
                    <w:t>（2）均不单独储存，均放在危化品仓库内，做好了渗措施。</w:t>
                  </w:r>
                </w:p>
                <w:p>
                  <w:pPr>
                    <w:autoSpaceDE w:val="0"/>
                    <w:autoSpaceDN w:val="0"/>
                    <w:adjustRightInd w:val="0"/>
                    <w:snapToGrid w:val="0"/>
                    <w:jc w:val="center"/>
                    <w:rPr>
                      <w:rFonts w:hint="default" w:eastAsia="宋体"/>
                      <w:bCs/>
                      <w:lang w:val="en-US" w:eastAsia="zh-CN"/>
                    </w:rPr>
                  </w:pPr>
                  <w:r>
                    <w:rPr>
                      <w:rFonts w:hint="eastAsia"/>
                      <w:bCs/>
                      <w:lang w:val="en-US" w:eastAsia="zh-CN"/>
                    </w:rPr>
                    <w:t>（3）盛装涂料的容器在非取用状态时采用加盖、封口，保持密闭</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73" w:hRule="atLeast"/>
              </w:trPr>
              <w:tc>
                <w:tcPr>
                  <w:tcW w:w="767" w:type="pct"/>
                  <w:vMerge w:val="restart"/>
                  <w:vAlign w:val="center"/>
                </w:tcPr>
                <w:p>
                  <w:pPr>
                    <w:autoSpaceDE w:val="0"/>
                    <w:autoSpaceDN w:val="0"/>
                    <w:adjustRightInd w:val="0"/>
                    <w:snapToGrid w:val="0"/>
                    <w:jc w:val="center"/>
                    <w:rPr>
                      <w:bCs/>
                    </w:rPr>
                  </w:pPr>
                  <w:r>
                    <w:rPr>
                      <w:bCs/>
                    </w:rPr>
                    <w:t>VOCs</w:t>
                  </w:r>
                  <w:r>
                    <w:rPr>
                      <w:rFonts w:hint="eastAsia"/>
                      <w:bCs/>
                    </w:rPr>
                    <w:t>物料的转移和输送</w:t>
                  </w:r>
                </w:p>
              </w:tc>
              <w:tc>
                <w:tcPr>
                  <w:tcW w:w="2912" w:type="pct"/>
                  <w:vAlign w:val="center"/>
                </w:tcPr>
                <w:p>
                  <w:pPr>
                    <w:autoSpaceDE w:val="0"/>
                    <w:autoSpaceDN w:val="0"/>
                    <w:adjustRightInd w:val="0"/>
                    <w:snapToGrid w:val="0"/>
                    <w:jc w:val="center"/>
                    <w:rPr>
                      <w:bCs/>
                    </w:rPr>
                  </w:pPr>
                  <w:r>
                    <w:rPr>
                      <w:rFonts w:hint="eastAsia"/>
                      <w:bCs/>
                    </w:rPr>
                    <w:t>（1）液态</w:t>
                  </w:r>
                  <w:r>
                    <w:rPr>
                      <w:bCs/>
                    </w:rPr>
                    <w:t>VOCs</w:t>
                  </w:r>
                  <w:r>
                    <w:rPr>
                      <w:rFonts w:hint="eastAsia"/>
                      <w:bCs/>
                    </w:rPr>
                    <w:t>物料应采用密闭管道输送，非管道输送方式转移则应采用密闭容器、罐车。</w:t>
                  </w:r>
                </w:p>
              </w:tc>
              <w:tc>
                <w:tcPr>
                  <w:tcW w:w="1320" w:type="pct"/>
                  <w:vAlign w:val="center"/>
                </w:tcPr>
                <w:p>
                  <w:pPr>
                    <w:autoSpaceDE w:val="0"/>
                    <w:autoSpaceDN w:val="0"/>
                    <w:adjustRightInd w:val="0"/>
                    <w:snapToGrid w:val="0"/>
                    <w:jc w:val="center"/>
                    <w:rPr>
                      <w:bCs/>
                    </w:rPr>
                  </w:pPr>
                  <w:r>
                    <w:rPr>
                      <w:rFonts w:hint="eastAsia"/>
                      <w:bCs/>
                    </w:rPr>
                    <w:t>已落实。本项目</w:t>
                  </w:r>
                  <w:r>
                    <w:rPr>
                      <w:rFonts w:hint="eastAsia"/>
                      <w:bCs/>
                      <w:lang w:val="en-US" w:eastAsia="zh-CN"/>
                    </w:rPr>
                    <w:t>涉</w:t>
                  </w:r>
                  <w:r>
                    <w:rPr>
                      <w:bCs/>
                    </w:rPr>
                    <w:t>VOCs</w:t>
                  </w:r>
                  <w:r>
                    <w:rPr>
                      <w:rFonts w:hint="eastAsia"/>
                      <w:bCs/>
                    </w:rPr>
                    <w:t>物料</w:t>
                  </w:r>
                  <w:r>
                    <w:rPr>
                      <w:rFonts w:hint="eastAsia"/>
                      <w:bCs/>
                      <w:lang w:val="en-US" w:eastAsia="zh-CN"/>
                    </w:rPr>
                    <w:t>都采用</w:t>
                  </w:r>
                  <w:r>
                    <w:rPr>
                      <w:rFonts w:hint="eastAsia"/>
                      <w:bCs/>
                    </w:rPr>
                    <w:t>密闭容器转移和输送</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73" w:hRule="atLeast"/>
              </w:trPr>
              <w:tc>
                <w:tcPr>
                  <w:tcW w:w="767" w:type="pct"/>
                  <w:vMerge w:val="continue"/>
                  <w:vAlign w:val="center"/>
                </w:tcPr>
                <w:p>
                  <w:pPr>
                    <w:autoSpaceDE w:val="0"/>
                    <w:autoSpaceDN w:val="0"/>
                    <w:adjustRightInd w:val="0"/>
                    <w:snapToGrid w:val="0"/>
                    <w:jc w:val="center"/>
                  </w:pPr>
                </w:p>
              </w:tc>
              <w:tc>
                <w:tcPr>
                  <w:tcW w:w="2912" w:type="pct"/>
                  <w:vAlign w:val="center"/>
                </w:tcPr>
                <w:p>
                  <w:pPr>
                    <w:autoSpaceDE w:val="0"/>
                    <w:autoSpaceDN w:val="0"/>
                    <w:adjustRightInd w:val="0"/>
                    <w:snapToGrid w:val="0"/>
                    <w:jc w:val="center"/>
                    <w:rPr>
                      <w:rFonts w:hint="eastAsia"/>
                      <w:bCs/>
                    </w:rPr>
                  </w:pPr>
                  <w:r>
                    <w:rPr>
                      <w:rFonts w:hint="eastAsia"/>
                      <w:bCs/>
                    </w:rPr>
                    <w:t>（2）粉状、粒状</w:t>
                  </w:r>
                  <w:r>
                    <w:rPr>
                      <w:bCs/>
                    </w:rPr>
                    <w:t>VOCs</w:t>
                  </w:r>
                  <w:r>
                    <w:rPr>
                      <w:rFonts w:hint="eastAsia"/>
                      <w:bCs/>
                    </w:rPr>
                    <w:t>物料应采用气力输送设备、管状带式输送机、螺旋输送机等密闭输送方式。或者采用密闭的包装袋、容器或罐车进行物料转移</w:t>
                  </w:r>
                </w:p>
              </w:tc>
              <w:tc>
                <w:tcPr>
                  <w:tcW w:w="1320" w:type="pct"/>
                  <w:vAlign w:val="center"/>
                </w:tcPr>
                <w:p>
                  <w:pPr>
                    <w:autoSpaceDE w:val="0"/>
                    <w:autoSpaceDN w:val="0"/>
                    <w:adjustRightInd w:val="0"/>
                    <w:snapToGrid w:val="0"/>
                    <w:jc w:val="center"/>
                    <w:rPr>
                      <w:rFonts w:hint="eastAsia" w:eastAsia="宋体"/>
                      <w:bCs/>
                      <w:lang w:val="en-US" w:eastAsia="zh-CN"/>
                    </w:rPr>
                  </w:pPr>
                  <w:r>
                    <w:rPr>
                      <w:rFonts w:hint="eastAsia"/>
                      <w:bCs/>
                      <w:lang w:val="en-US" w:eastAsia="zh-CN"/>
                    </w:rPr>
                    <w:t>不涉及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Cs/>
                    </w:rPr>
                  </w:pPr>
                  <w:r>
                    <w:rPr>
                      <w:rFonts w:hint="eastAsia"/>
                      <w:bCs/>
                    </w:rPr>
                    <w:t>工艺过程的</w:t>
                  </w:r>
                  <w:r>
                    <w:rPr>
                      <w:bCs/>
                    </w:rPr>
                    <w:t>VOCs</w:t>
                  </w:r>
                  <w:r>
                    <w:rPr>
                      <w:rFonts w:hint="eastAsia"/>
                      <w:bCs/>
                    </w:rPr>
                    <w:t>控制</w:t>
                  </w:r>
                </w:p>
              </w:tc>
              <w:tc>
                <w:tcPr>
                  <w:tcW w:w="2912" w:type="pct"/>
                  <w:vAlign w:val="center"/>
                </w:tcPr>
                <w:p>
                  <w:pPr>
                    <w:autoSpaceDE w:val="0"/>
                    <w:autoSpaceDN w:val="0"/>
                    <w:adjustRightInd w:val="0"/>
                    <w:snapToGrid w:val="0"/>
                    <w:jc w:val="center"/>
                    <w:rPr>
                      <w:bCs/>
                    </w:rPr>
                  </w:pPr>
                  <w:r>
                    <w:rPr>
                      <w:bCs/>
                    </w:rPr>
                    <w:t>VOCs</w:t>
                  </w:r>
                  <w:r>
                    <w:rPr>
                      <w:rFonts w:hint="eastAsia"/>
                      <w:bCs/>
                    </w:rPr>
                    <w:t>质量占比大于等于</w:t>
                  </w:r>
                  <w:r>
                    <w:rPr>
                      <w:bCs/>
                    </w:rPr>
                    <w:t>10%</w:t>
                  </w:r>
                  <w:r>
                    <w:rPr>
                      <w:rFonts w:hint="eastAsia"/>
                      <w:bCs/>
                    </w:rPr>
                    <w:t>的含</w:t>
                  </w:r>
                  <w:r>
                    <w:rPr>
                      <w:bCs/>
                    </w:rPr>
                    <w:t>VOCs</w:t>
                  </w:r>
                  <w:r>
                    <w:rPr>
                      <w:rFonts w:hint="eastAsia"/>
                      <w:bCs/>
                    </w:rPr>
                    <w:t>产品，其使用过程应采取密闭设备或在密闭空间内操作，废气应排至</w:t>
                  </w:r>
                  <w:r>
                    <w:rPr>
                      <w:bCs/>
                    </w:rPr>
                    <w:t>VOCs</w:t>
                  </w:r>
                  <w:r>
                    <w:rPr>
                      <w:rFonts w:hint="eastAsia"/>
                      <w:bCs/>
                    </w:rPr>
                    <w:t>废气收集处理系统。无法密闭的应采取局部气体收集措施。</w:t>
                  </w:r>
                </w:p>
              </w:tc>
              <w:tc>
                <w:tcPr>
                  <w:tcW w:w="1320" w:type="pct"/>
                  <w:vAlign w:val="center"/>
                </w:tcPr>
                <w:p>
                  <w:pPr>
                    <w:autoSpaceDE w:val="0"/>
                    <w:autoSpaceDN w:val="0"/>
                    <w:adjustRightInd w:val="0"/>
                    <w:snapToGrid w:val="0"/>
                    <w:jc w:val="center"/>
                    <w:rPr>
                      <w:rFonts w:hint="default" w:eastAsia="宋体"/>
                      <w:bCs/>
                      <w:lang w:val="en-US" w:eastAsia="zh-CN"/>
                    </w:rPr>
                  </w:pPr>
                  <w:r>
                    <w:rPr>
                      <w:rFonts w:hint="eastAsia"/>
                      <w:bCs/>
                    </w:rPr>
                    <w:t>已落实。本项目</w:t>
                  </w:r>
                  <w:r>
                    <w:rPr>
                      <w:rFonts w:hint="eastAsia"/>
                      <w:bCs/>
                      <w:lang w:val="en-US" w:eastAsia="zh-CN"/>
                    </w:rPr>
                    <w:t>钝化烘干等产生VOCs的工段都在密闭的空间内进行，废气收集后经废气处理设施进行处理后排放</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Cs/>
                    </w:rPr>
                  </w:pPr>
                  <w:r>
                    <w:rPr>
                      <w:rFonts w:hint="eastAsia"/>
                      <w:bCs/>
                    </w:rPr>
                    <w:t>VOCs收集处理系统要求</w:t>
                  </w:r>
                </w:p>
              </w:tc>
              <w:tc>
                <w:tcPr>
                  <w:tcW w:w="2912" w:type="pct"/>
                  <w:vAlign w:val="center"/>
                </w:tcPr>
                <w:p>
                  <w:pPr>
                    <w:autoSpaceDE w:val="0"/>
                    <w:autoSpaceDN w:val="0"/>
                    <w:adjustRightInd w:val="0"/>
                    <w:snapToGrid w:val="0"/>
                    <w:jc w:val="center"/>
                    <w:rPr>
                      <w:bCs/>
                    </w:rPr>
                  </w:pPr>
                  <w:r>
                    <w:rPr>
                      <w:rFonts w:hint="eastAsia"/>
                      <w:bCs/>
                    </w:rPr>
                    <w:t>（1）基本要求：VOCs废气收集处理系统应与生产工艺设备同步运行。VOCs废气收集处理系统发生故障或检修时，对应的生产工艺设备应停止运行，待检修完毕后同步投入使用；生产工艺设备不能停止运行或不能及时停止运行的，应设置废气应急处理设施或采取其他替代措施。</w:t>
                  </w:r>
                </w:p>
                <w:p>
                  <w:pPr>
                    <w:autoSpaceDE w:val="0"/>
                    <w:autoSpaceDN w:val="0"/>
                    <w:adjustRightInd w:val="0"/>
                    <w:snapToGrid w:val="0"/>
                    <w:jc w:val="center"/>
                    <w:rPr>
                      <w:bCs/>
                    </w:rPr>
                  </w:pPr>
                  <w:r>
                    <w:rPr>
                      <w:rFonts w:hint="eastAsia"/>
                      <w:bCs/>
                    </w:rPr>
                    <w:t>（2）废气收集系统要求：①企业应考虑生产工艺、操作方式、废气性质、处理方法等因素，对VOCs废气进行分类收集。②废气收集系统排放罩（集气罩）的设置应符合GB/T16758 的规定。③废气收集系统的输送管道应密闭。</w:t>
                  </w:r>
                </w:p>
                <w:p>
                  <w:pPr>
                    <w:autoSpaceDE w:val="0"/>
                    <w:autoSpaceDN w:val="0"/>
                    <w:adjustRightInd w:val="0"/>
                    <w:snapToGrid w:val="0"/>
                    <w:jc w:val="center"/>
                    <w:rPr>
                      <w:bCs/>
                    </w:rPr>
                  </w:pPr>
                  <w:r>
                    <w:rPr>
                      <w:rFonts w:hint="eastAsia"/>
                      <w:bCs/>
                    </w:rPr>
                    <w:t>（3）VOCs排放控制要求：①VOCs废气收集处理系统污染物排放应符合GB16297或相关行业排放标准的规定。②收集的废气中NMHC初始排放速率≥3kg/h时，应配置VOCs处理系统，处理效率不应低于80%；采用的原辅材料符合国家有关低VOCs含量产品规定的除外。③排气筒高度不得低于15m。</w:t>
                  </w:r>
                </w:p>
              </w:tc>
              <w:tc>
                <w:tcPr>
                  <w:tcW w:w="1320" w:type="pct"/>
                  <w:vAlign w:val="center"/>
                </w:tcPr>
                <w:p>
                  <w:pPr>
                    <w:autoSpaceDE w:val="0"/>
                    <w:autoSpaceDN w:val="0"/>
                    <w:adjustRightInd w:val="0"/>
                    <w:snapToGrid w:val="0"/>
                    <w:jc w:val="center"/>
                    <w:rPr>
                      <w:bCs/>
                    </w:rPr>
                  </w:pPr>
                  <w:r>
                    <w:rPr>
                      <w:rFonts w:hint="eastAsia"/>
                      <w:bCs/>
                    </w:rPr>
                    <w:t>已落实。</w:t>
                  </w:r>
                </w:p>
                <w:p>
                  <w:pPr>
                    <w:autoSpaceDE w:val="0"/>
                    <w:autoSpaceDN w:val="0"/>
                    <w:adjustRightInd w:val="0"/>
                    <w:snapToGrid w:val="0"/>
                    <w:jc w:val="center"/>
                    <w:rPr>
                      <w:bCs/>
                    </w:rPr>
                  </w:pPr>
                  <w:r>
                    <w:rPr>
                      <w:rFonts w:hint="eastAsia"/>
                      <w:bCs/>
                    </w:rPr>
                    <w:t>（1）本项目废气收集处理系统与生产工艺设备同步运行。</w:t>
                  </w:r>
                </w:p>
                <w:p>
                  <w:pPr>
                    <w:autoSpaceDE w:val="0"/>
                    <w:autoSpaceDN w:val="0"/>
                    <w:adjustRightInd w:val="0"/>
                    <w:snapToGrid w:val="0"/>
                    <w:jc w:val="center"/>
                    <w:rPr>
                      <w:bCs/>
                    </w:rPr>
                  </w:pPr>
                  <w:r>
                    <w:rPr>
                      <w:rFonts w:hint="eastAsia"/>
                      <w:bCs/>
                    </w:rPr>
                    <w:t>（2）本项目</w:t>
                  </w:r>
                  <w:r>
                    <w:rPr>
                      <w:rFonts w:hint="eastAsia"/>
                      <w:bCs/>
                      <w:lang w:val="en-US" w:eastAsia="zh-CN"/>
                    </w:rPr>
                    <w:t>产生的有机废气收集后经废气处理设施处理达标后排放</w:t>
                  </w:r>
                  <w:r>
                    <w:rPr>
                      <w:rFonts w:hint="eastAsia"/>
                      <w:bCs/>
                    </w:rPr>
                    <w:t>。</w:t>
                  </w:r>
                </w:p>
                <w:p>
                  <w:pPr>
                    <w:autoSpaceDE w:val="0"/>
                    <w:autoSpaceDN w:val="0"/>
                    <w:adjustRightInd w:val="0"/>
                    <w:snapToGrid w:val="0"/>
                    <w:jc w:val="center"/>
                    <w:rPr>
                      <w:bCs/>
                    </w:rPr>
                  </w:pPr>
                  <w:r>
                    <w:rPr>
                      <w:rFonts w:hint="eastAsia"/>
                      <w:bCs/>
                    </w:rPr>
                    <w:t>（3）</w:t>
                  </w:r>
                  <w:r>
                    <w:rPr>
                      <w:rFonts w:hint="eastAsia"/>
                      <w:bCs/>
                      <w:color w:val="FF0000"/>
                    </w:rPr>
                    <w:t>本项目</w:t>
                  </w:r>
                  <w:r>
                    <w:rPr>
                      <w:rFonts w:hint="eastAsia"/>
                      <w:bCs/>
                      <w:color w:val="FF0000"/>
                      <w:lang w:val="en-US" w:eastAsia="zh-CN"/>
                    </w:rPr>
                    <w:t>固化烘干、喷漆</w:t>
                  </w:r>
                  <w:r>
                    <w:rPr>
                      <w:rFonts w:hint="eastAsia"/>
                      <w:bCs/>
                      <w:color w:val="FF0000"/>
                    </w:rPr>
                    <w:t>VOCs初始排放速率</w:t>
                  </w:r>
                  <w:r>
                    <w:rPr>
                      <w:rFonts w:hint="eastAsia"/>
                      <w:bCs/>
                      <w:color w:val="FF0000"/>
                      <w:lang w:val="en-US" w:eastAsia="zh-CN"/>
                    </w:rPr>
                    <w:t>分别为0.489kg/h、0.246kg/h</w:t>
                  </w:r>
                  <w:r>
                    <w:rPr>
                      <w:rFonts w:hint="eastAsia"/>
                      <w:bCs/>
                      <w:lang w:val="en-US" w:eastAsia="zh-CN"/>
                    </w:rPr>
                    <w:t>，</w:t>
                  </w:r>
                  <w:r>
                    <w:rPr>
                      <w:rFonts w:hint="eastAsia"/>
                      <w:bCs/>
                    </w:rPr>
                    <w:t>远小于2.0kg/h，</w:t>
                  </w:r>
                  <w:r>
                    <w:rPr>
                      <w:rFonts w:hint="eastAsia"/>
                      <w:bCs/>
                      <w:lang w:val="en-US" w:eastAsia="zh-CN"/>
                    </w:rPr>
                    <w:t>且项目使用的涂料是低</w:t>
                  </w:r>
                  <w:r>
                    <w:rPr>
                      <w:rFonts w:hint="eastAsia"/>
                      <w:bCs/>
                    </w:rPr>
                    <w:t>VOCs</w:t>
                  </w:r>
                  <w:r>
                    <w:rPr>
                      <w:rFonts w:hint="eastAsia"/>
                      <w:bCs/>
                      <w:lang w:val="en-US" w:eastAsia="zh-CN"/>
                    </w:rPr>
                    <w:t>原辅材料</w:t>
                  </w:r>
                  <w:r>
                    <w:rPr>
                      <w:rFonts w:hint="eastAsia"/>
                      <w:bCs/>
                      <w:lang w:eastAsia="zh-CN"/>
                    </w:rPr>
                    <w:t>；</w:t>
                  </w:r>
                  <w:r>
                    <w:rPr>
                      <w:rFonts w:hint="eastAsia"/>
                      <w:bCs/>
                      <w:lang w:val="en-US" w:eastAsia="zh-CN"/>
                    </w:rPr>
                    <w:t>项目废气处理设施</w:t>
                  </w:r>
                  <w:r>
                    <w:rPr>
                      <w:rFonts w:hint="eastAsia"/>
                      <w:bCs/>
                    </w:rPr>
                    <w:t>处理效率8</w:t>
                  </w:r>
                  <w:r>
                    <w:rPr>
                      <w:rFonts w:hint="eastAsia"/>
                      <w:bCs/>
                      <w:lang w:val="en-US" w:eastAsia="zh-CN"/>
                    </w:rPr>
                    <w:t>5</w:t>
                  </w:r>
                  <w:r>
                    <w:rPr>
                      <w:rFonts w:hint="eastAsia"/>
                      <w:bCs/>
                    </w:rPr>
                    <w:t>%</w:t>
                  </w:r>
                  <w:r>
                    <w:rPr>
                      <w:rFonts w:hint="eastAsia"/>
                      <w:bCs/>
                      <w:lang w:val="en-US" w:eastAsia="zh-CN"/>
                    </w:rPr>
                    <w:t>以上</w:t>
                  </w:r>
                  <w:r>
                    <w:rPr>
                      <w:rFonts w:hint="eastAsia"/>
                      <w:bCs/>
                      <w:lang w:eastAsia="zh-CN"/>
                    </w:rPr>
                    <w:t>，</w:t>
                  </w:r>
                  <w:r>
                    <w:rPr>
                      <w:rFonts w:hint="eastAsia"/>
                      <w:bCs/>
                    </w:rPr>
                    <w:t>排气筒高度为15m。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Cs/>
                    </w:rPr>
                  </w:pPr>
                  <w:r>
                    <w:rPr>
                      <w:rFonts w:hint="eastAsia"/>
                      <w:bCs/>
                    </w:rPr>
                    <w:t>厂区内</w:t>
                  </w:r>
                  <w:r>
                    <w:rPr>
                      <w:bCs/>
                    </w:rPr>
                    <w:t xml:space="preserve">VOCs </w:t>
                  </w:r>
                  <w:r>
                    <w:rPr>
                      <w:rFonts w:hint="eastAsia"/>
                      <w:bCs/>
                    </w:rPr>
                    <w:t>无组织排放限值</w:t>
                  </w:r>
                </w:p>
              </w:tc>
              <w:tc>
                <w:tcPr>
                  <w:tcW w:w="2912" w:type="pct"/>
                  <w:vAlign w:val="center"/>
                </w:tcPr>
                <w:p>
                  <w:pPr>
                    <w:autoSpaceDE w:val="0"/>
                    <w:autoSpaceDN w:val="0"/>
                    <w:adjustRightInd w:val="0"/>
                    <w:snapToGrid w:val="0"/>
                    <w:jc w:val="center"/>
                    <w:rPr>
                      <w:bCs/>
                    </w:rPr>
                  </w:pPr>
                  <w:r>
                    <w:rPr>
                      <w:rFonts w:hint="eastAsia"/>
                      <w:bCs/>
                    </w:rPr>
                    <w:t>厂区内NMHC浓度≦6mg/m</w:t>
                  </w:r>
                  <w:r>
                    <w:rPr>
                      <w:rFonts w:hint="eastAsia"/>
                      <w:bCs/>
                      <w:vertAlign w:val="superscript"/>
                    </w:rPr>
                    <w:t>3</w:t>
                  </w:r>
                  <w:r>
                    <w:rPr>
                      <w:rFonts w:hint="eastAsia"/>
                      <w:bCs/>
                    </w:rPr>
                    <w:t>（1h均值）</w:t>
                  </w:r>
                </w:p>
              </w:tc>
              <w:tc>
                <w:tcPr>
                  <w:tcW w:w="1320" w:type="pct"/>
                  <w:vAlign w:val="center"/>
                </w:tcPr>
                <w:p>
                  <w:pPr>
                    <w:autoSpaceDE w:val="0"/>
                    <w:autoSpaceDN w:val="0"/>
                    <w:adjustRightInd w:val="0"/>
                    <w:snapToGrid w:val="0"/>
                    <w:jc w:val="center"/>
                    <w:rPr>
                      <w:bCs/>
                    </w:rPr>
                  </w:pPr>
                  <w:r>
                    <w:rPr>
                      <w:rFonts w:hint="eastAsia"/>
                      <w:bCs/>
                    </w:rPr>
                    <w:t>根据工程分析，本项目实施后全厂NMHC最大落地浓度会小于6mg/m</w:t>
                  </w:r>
                  <w:r>
                    <w:rPr>
                      <w:rFonts w:hint="eastAsia"/>
                      <w:bCs/>
                      <w:vertAlign w:val="superscript"/>
                    </w:rPr>
                    <w:t>3</w:t>
                  </w:r>
                  <w:r>
                    <w:rPr>
                      <w:rFonts w:hint="eastAsia"/>
                      <w:bCs/>
                    </w:rPr>
                    <w:t>（1h均值），满足限值要求。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767" w:type="pct"/>
                  <w:vAlign w:val="center"/>
                </w:tcPr>
                <w:p>
                  <w:pPr>
                    <w:autoSpaceDE w:val="0"/>
                    <w:autoSpaceDN w:val="0"/>
                    <w:adjustRightInd w:val="0"/>
                    <w:snapToGrid w:val="0"/>
                    <w:jc w:val="center"/>
                    <w:rPr>
                      <w:bCs/>
                    </w:rPr>
                  </w:pPr>
                  <w:r>
                    <w:rPr>
                      <w:rFonts w:hint="eastAsia" w:ascii="宋体" w:cs="宋体"/>
                      <w:kern w:val="0"/>
                      <w:szCs w:val="21"/>
                    </w:rPr>
                    <w:t>记录要求</w:t>
                  </w:r>
                </w:p>
              </w:tc>
              <w:tc>
                <w:tcPr>
                  <w:tcW w:w="2912" w:type="pct"/>
                  <w:vAlign w:val="center"/>
                </w:tcPr>
                <w:p>
                  <w:pPr>
                    <w:autoSpaceDE w:val="0"/>
                    <w:autoSpaceDN w:val="0"/>
                    <w:adjustRightInd w:val="0"/>
                    <w:snapToGrid w:val="0"/>
                    <w:jc w:val="center"/>
                    <w:rPr>
                      <w:bCs/>
                    </w:rPr>
                  </w:pPr>
                  <w:r>
                    <w:rPr>
                      <w:rFonts w:hint="eastAsia"/>
                      <w:bCs/>
                    </w:rPr>
                    <w:t>企业应建立台账，记录废气收集系统、</w:t>
                  </w:r>
                  <w:r>
                    <w:rPr>
                      <w:bCs/>
                    </w:rPr>
                    <w:t>VOCs</w:t>
                  </w:r>
                  <w:r>
                    <w:rPr>
                      <w:rFonts w:hint="eastAsia"/>
                      <w:bCs/>
                    </w:rPr>
                    <w:t>处理设施的主要运行和维护信息，如运行时间、废气处理量、操作温度、停留时间、吸附剂再生</w:t>
                  </w:r>
                  <w:r>
                    <w:rPr>
                      <w:bCs/>
                    </w:rPr>
                    <w:t>/</w:t>
                  </w:r>
                  <w:r>
                    <w:rPr>
                      <w:rFonts w:hint="eastAsia"/>
                      <w:bCs/>
                    </w:rPr>
                    <w:t>更换周期和更换量、催化剂更换周期和更换两、吸收液</w:t>
                  </w:r>
                  <w:r>
                    <w:rPr>
                      <w:bCs/>
                    </w:rPr>
                    <w:t>pH</w:t>
                  </w:r>
                  <w:r>
                    <w:rPr>
                      <w:rFonts w:hint="eastAsia"/>
                      <w:bCs/>
                    </w:rPr>
                    <w:t>值等关键运行参数。台账保存期限不少于</w:t>
                  </w:r>
                  <w:r>
                    <w:rPr>
                      <w:bCs/>
                    </w:rPr>
                    <w:t xml:space="preserve">3 </w:t>
                  </w:r>
                  <w:r>
                    <w:rPr>
                      <w:rFonts w:hint="eastAsia"/>
                      <w:bCs/>
                    </w:rPr>
                    <w:t>年。</w:t>
                  </w:r>
                </w:p>
              </w:tc>
              <w:tc>
                <w:tcPr>
                  <w:tcW w:w="1320" w:type="pct"/>
                  <w:vAlign w:val="center"/>
                </w:tcPr>
                <w:p>
                  <w:pPr>
                    <w:autoSpaceDE w:val="0"/>
                    <w:autoSpaceDN w:val="0"/>
                    <w:adjustRightInd w:val="0"/>
                    <w:snapToGrid w:val="0"/>
                    <w:jc w:val="center"/>
                    <w:rPr>
                      <w:bCs/>
                    </w:rPr>
                  </w:pPr>
                  <w:r>
                    <w:rPr>
                      <w:rFonts w:hint="eastAsia"/>
                      <w:bCs/>
                    </w:rPr>
                    <w:t>企业将按照相关要求建立台账。</w:t>
                  </w:r>
                </w:p>
              </w:tc>
            </w:tr>
          </w:tbl>
          <w:p>
            <w:pPr>
              <w:autoSpaceDE w:val="0"/>
              <w:autoSpaceDN w:val="0"/>
              <w:adjustRightInd w:val="0"/>
              <w:snapToGrid w:val="0"/>
              <w:spacing w:line="360" w:lineRule="auto"/>
              <w:ind w:firstLine="482" w:firstLineChars="200"/>
              <w:jc w:val="left"/>
              <w:rPr>
                <w:b/>
                <w:bCs/>
                <w:kern w:val="0"/>
                <w:sz w:val="24"/>
              </w:rPr>
            </w:pPr>
            <w:r>
              <w:rPr>
                <w:rFonts w:hint="eastAsia"/>
                <w:b/>
                <w:bCs/>
                <w:kern w:val="0"/>
                <w:sz w:val="24"/>
                <w:lang w:val="en-US" w:eastAsia="zh-CN"/>
              </w:rPr>
              <w:t>6</w:t>
            </w:r>
            <w:r>
              <w:rPr>
                <w:rFonts w:hint="eastAsia"/>
                <w:b/>
                <w:bCs/>
                <w:kern w:val="0"/>
                <w:sz w:val="24"/>
              </w:rPr>
              <w:t>、</w:t>
            </w:r>
            <w:r>
              <w:rPr>
                <w:rFonts w:hint="eastAsia"/>
                <w:b/>
                <w:sz w:val="24"/>
              </w:rPr>
              <w:t>与《湖南省“十四五”生态环境保护规划》的符合性分析</w:t>
            </w:r>
          </w:p>
          <w:p>
            <w:pPr>
              <w:autoSpaceDE w:val="0"/>
              <w:autoSpaceDN w:val="0"/>
              <w:adjustRightInd w:val="0"/>
              <w:snapToGrid w:val="0"/>
              <w:spacing w:line="360" w:lineRule="auto"/>
              <w:ind w:firstLine="480" w:firstLineChars="200"/>
              <w:jc w:val="left"/>
              <w:rPr>
                <w:sz w:val="24"/>
                <w:szCs w:val="22"/>
              </w:rPr>
            </w:pPr>
            <w:r>
              <w:rPr>
                <w:rFonts w:hint="eastAsia"/>
                <w:sz w:val="24"/>
                <w:szCs w:val="22"/>
              </w:rPr>
              <w:t>《湖南省“十四五”生态环境保护规划》提出以下管控要求：强化重点行业VOCs科学治理。以工业涂装、石化、化工、包装印刷、油品储运销等行业为重点，实施企业VOCs原料替代、排放全过程控制。按照“分业施策、一行一策”的原则，加大低VOCs含量原辅材料的推广使用力度，从源头减少VOCs产生。推进使用先进生产工艺设备，减少无组织排放。实行重点排放源排放浓度与去除效率双重控制。加强汽修行业 VOCs 综合治理，加大餐饮油烟污染治理力度，推进县级以上城市餐饮油烟治理全覆盖</w:t>
            </w:r>
            <w:r>
              <w:rPr>
                <w:sz w:val="24"/>
                <w:szCs w:val="22"/>
              </w:rPr>
              <w:t>。</w:t>
            </w:r>
          </w:p>
          <w:p>
            <w:pPr>
              <w:autoSpaceDE w:val="0"/>
              <w:autoSpaceDN w:val="0"/>
              <w:adjustRightInd w:val="0"/>
              <w:snapToGrid w:val="0"/>
              <w:spacing w:line="360" w:lineRule="auto"/>
              <w:ind w:firstLine="480" w:firstLineChars="200"/>
              <w:jc w:val="left"/>
              <w:rPr>
                <w:sz w:val="24"/>
                <w:szCs w:val="22"/>
              </w:rPr>
            </w:pPr>
            <w:r>
              <w:rPr>
                <w:sz w:val="24"/>
                <w:szCs w:val="22"/>
              </w:rPr>
              <w:t>本项目已从源头加强控制，使用的</w:t>
            </w:r>
            <w:r>
              <w:rPr>
                <w:rFonts w:hint="eastAsia"/>
                <w:sz w:val="24"/>
                <w:szCs w:val="22"/>
                <w:lang w:val="en-US" w:eastAsia="zh-CN"/>
              </w:rPr>
              <w:t>涂料</w:t>
            </w:r>
            <w:r>
              <w:rPr>
                <w:sz w:val="24"/>
                <w:szCs w:val="22"/>
              </w:rPr>
              <w:t>属于低</w:t>
            </w:r>
            <w:r>
              <w:rPr>
                <w:rFonts w:hint="eastAsia"/>
                <w:sz w:val="24"/>
                <w:szCs w:val="22"/>
              </w:rPr>
              <w:t>VOCs含量的原辅材料，</w:t>
            </w:r>
            <w:r>
              <w:rPr>
                <w:sz w:val="24"/>
                <w:szCs w:val="22"/>
              </w:rPr>
              <w:t>减少VOCs产生量：加强废气收集，安装高效末端治理设施（</w:t>
            </w:r>
            <w:r>
              <w:rPr>
                <w:rFonts w:hint="eastAsia"/>
                <w:sz w:val="24"/>
                <w:szCs w:val="22"/>
              </w:rPr>
              <w:t>UV+活性炭吸附、干式过滤+活性炭吸附+催化燃烧脱附</w:t>
            </w:r>
            <w:r>
              <w:rPr>
                <w:sz w:val="24"/>
                <w:szCs w:val="22"/>
              </w:rPr>
              <w:t>），涉及VOCs物料的使用过程均密闭操作，有挥发性的原材料、固体废物均密闭储存，确保VOCs达标排放。</w:t>
            </w:r>
          </w:p>
          <w:p>
            <w:pPr>
              <w:autoSpaceDE w:val="0"/>
              <w:autoSpaceDN w:val="0"/>
              <w:adjustRightInd w:val="0"/>
              <w:snapToGrid w:val="0"/>
              <w:spacing w:line="360" w:lineRule="auto"/>
              <w:ind w:firstLine="480" w:firstLineChars="200"/>
              <w:jc w:val="left"/>
              <w:rPr>
                <w:bCs/>
                <w:kern w:val="0"/>
                <w:sz w:val="24"/>
              </w:rPr>
            </w:pPr>
            <w:r>
              <w:rPr>
                <w:rFonts w:hint="eastAsia"/>
                <w:sz w:val="24"/>
                <w:szCs w:val="22"/>
                <w:lang w:val="en-US" w:eastAsia="zh-CN"/>
              </w:rPr>
              <w:t>综上，</w:t>
            </w:r>
            <w:r>
              <w:rPr>
                <w:sz w:val="24"/>
                <w:szCs w:val="22"/>
              </w:rPr>
              <w:t>本</w:t>
            </w:r>
            <w:r>
              <w:rPr>
                <w:rFonts w:hint="eastAsia"/>
                <w:sz w:val="24"/>
                <w:szCs w:val="22"/>
                <w:lang w:val="en-US" w:eastAsia="zh-CN"/>
              </w:rPr>
              <w:t>项目建设</w:t>
            </w:r>
            <w:r>
              <w:rPr>
                <w:sz w:val="24"/>
                <w:szCs w:val="22"/>
              </w:rPr>
              <w:t>符合</w:t>
            </w:r>
            <w:r>
              <w:rPr>
                <w:rFonts w:hint="eastAsia"/>
                <w:sz w:val="24"/>
                <w:szCs w:val="22"/>
              </w:rPr>
              <w:t>《湖南省“十四五”生态环境保护规划》</w:t>
            </w:r>
            <w:r>
              <w:rPr>
                <w:rFonts w:hint="eastAsia"/>
                <w:bCs/>
                <w:kern w:val="0"/>
                <w:sz w:val="24"/>
              </w:rPr>
              <w:t>。</w:t>
            </w:r>
          </w:p>
          <w:p>
            <w:pPr>
              <w:autoSpaceDE w:val="0"/>
              <w:autoSpaceDN w:val="0"/>
              <w:adjustRightInd w:val="0"/>
              <w:snapToGrid w:val="0"/>
              <w:spacing w:line="360" w:lineRule="auto"/>
              <w:ind w:firstLine="482" w:firstLineChars="200"/>
              <w:jc w:val="left"/>
              <w:rPr>
                <w:b/>
                <w:bCs/>
                <w:kern w:val="0"/>
                <w:sz w:val="24"/>
              </w:rPr>
            </w:pPr>
            <w:r>
              <w:rPr>
                <w:rFonts w:hint="eastAsia"/>
                <w:b/>
                <w:bCs/>
                <w:sz w:val="24"/>
                <w:lang w:val="en-US" w:eastAsia="zh-CN"/>
              </w:rPr>
              <w:t>7、</w:t>
            </w:r>
            <w:r>
              <w:rPr>
                <w:rFonts w:hint="eastAsia"/>
                <w:b/>
                <w:sz w:val="24"/>
              </w:rPr>
              <w:t>与《</w:t>
            </w:r>
            <w:r>
              <w:rPr>
                <w:rFonts w:hint="eastAsia"/>
                <w:b/>
                <w:sz w:val="24"/>
                <w:lang w:val="en-US" w:eastAsia="zh-CN"/>
              </w:rPr>
              <w:t>衡阳市</w:t>
            </w:r>
            <w:r>
              <w:rPr>
                <w:rFonts w:hint="eastAsia"/>
                <w:b/>
                <w:sz w:val="24"/>
              </w:rPr>
              <w:t>“十四五”生态环境保护规划》的符合性分析</w:t>
            </w:r>
          </w:p>
          <w:p>
            <w:pPr>
              <w:autoSpaceDE w:val="0"/>
              <w:autoSpaceDN w:val="0"/>
              <w:adjustRightInd w:val="0"/>
              <w:snapToGrid w:val="0"/>
              <w:spacing w:line="360" w:lineRule="auto"/>
              <w:ind w:firstLine="480" w:firstLineChars="200"/>
              <w:jc w:val="left"/>
              <w:rPr>
                <w:rFonts w:hint="eastAsia"/>
                <w:sz w:val="24"/>
                <w:szCs w:val="22"/>
                <w:lang w:val="en-US" w:eastAsia="zh-CN"/>
              </w:rPr>
            </w:pPr>
            <w:r>
              <w:rPr>
                <w:rFonts w:hint="eastAsia"/>
                <w:sz w:val="24"/>
                <w:szCs w:val="22"/>
              </w:rPr>
              <w:t>《</w:t>
            </w:r>
            <w:r>
              <w:rPr>
                <w:rFonts w:hint="eastAsia"/>
                <w:sz w:val="24"/>
                <w:szCs w:val="22"/>
                <w:lang w:val="en-US" w:eastAsia="zh-CN"/>
              </w:rPr>
              <w:t>衡阳市</w:t>
            </w:r>
            <w:r>
              <w:rPr>
                <w:rFonts w:hint="eastAsia"/>
                <w:sz w:val="24"/>
                <w:szCs w:val="22"/>
              </w:rPr>
              <w:t>“十四五”生态环境保护规划》提出以下要求：</w:t>
            </w:r>
            <w:r>
              <w:rPr>
                <w:rFonts w:hint="eastAsia"/>
                <w:sz w:val="24"/>
                <w:szCs w:val="22"/>
                <w:lang w:val="en-US" w:eastAsia="zh-CN"/>
              </w:rPr>
              <w:t>实施VOCs全过程综合整治。以石化、化工、工业涂装包装印刷、油品储运销等行业为重点,实施企业VOCS原料替代排放全过程控制。按照“分业施策、一行一策”的原则，加大低VOCs含量原辅材料的推广便用力度，加快化工、工业涂装、包装印刷等重点行业低VOCs含量原辅材料替代进度，从源头减少VOCs产生。加快推进VOC重点监管企业“一企一策”综合整治方案的制定和实施。推进使用先进生产工艺设备，减少无组织排放。开展工业企业VOCs废气收集率、治理设施同步运行率和去除率专项检查，实行重点排放源排放浓度与去除效率双重控制。加强汽修行业VOCs综合治理。加大餐饮油烟污染治理力度，推进县级以上城市餐饮油烟治理全覆盖。</w:t>
            </w:r>
          </w:p>
          <w:p>
            <w:pPr>
              <w:autoSpaceDE w:val="0"/>
              <w:autoSpaceDN w:val="0"/>
              <w:adjustRightInd w:val="0"/>
              <w:snapToGrid w:val="0"/>
              <w:spacing w:line="360" w:lineRule="auto"/>
              <w:ind w:firstLine="480" w:firstLineChars="200"/>
              <w:jc w:val="left"/>
              <w:rPr>
                <w:sz w:val="24"/>
                <w:szCs w:val="22"/>
              </w:rPr>
            </w:pPr>
            <w:r>
              <w:rPr>
                <w:sz w:val="24"/>
                <w:szCs w:val="22"/>
              </w:rPr>
              <w:t>本项目已从源头加强控制，使用的</w:t>
            </w:r>
            <w:r>
              <w:rPr>
                <w:rFonts w:hint="eastAsia"/>
                <w:sz w:val="24"/>
                <w:szCs w:val="22"/>
                <w:lang w:val="en-US" w:eastAsia="zh-CN"/>
              </w:rPr>
              <w:t>涂料</w:t>
            </w:r>
            <w:r>
              <w:rPr>
                <w:sz w:val="24"/>
                <w:szCs w:val="22"/>
              </w:rPr>
              <w:t>属于低</w:t>
            </w:r>
            <w:r>
              <w:rPr>
                <w:rFonts w:hint="eastAsia"/>
                <w:sz w:val="24"/>
                <w:szCs w:val="22"/>
              </w:rPr>
              <w:t>VOCs含量的原辅材料，</w:t>
            </w:r>
            <w:r>
              <w:rPr>
                <w:sz w:val="24"/>
                <w:szCs w:val="22"/>
              </w:rPr>
              <w:t>减少VOCs产生量：加强废气收集，安装高效末端治理设施（</w:t>
            </w:r>
            <w:r>
              <w:rPr>
                <w:rFonts w:hint="eastAsia"/>
                <w:sz w:val="24"/>
                <w:szCs w:val="22"/>
              </w:rPr>
              <w:t>UV+活性炭吸附、干式过滤+活性炭吸附+催化燃烧脱附</w:t>
            </w:r>
            <w:r>
              <w:rPr>
                <w:sz w:val="24"/>
                <w:szCs w:val="22"/>
              </w:rPr>
              <w:t>），涉及VOCs物料的使用过程均密闭操作，有挥发性的原材料、固体废物均密闭储存，确保VOCs达标排放。</w:t>
            </w:r>
          </w:p>
          <w:p>
            <w:pPr>
              <w:autoSpaceDE w:val="0"/>
              <w:autoSpaceDN w:val="0"/>
              <w:adjustRightInd w:val="0"/>
              <w:snapToGrid w:val="0"/>
              <w:spacing w:line="360" w:lineRule="auto"/>
              <w:ind w:firstLine="480" w:firstLineChars="200"/>
              <w:jc w:val="left"/>
              <w:rPr>
                <w:rFonts w:hint="eastAsia" w:eastAsia="宋体"/>
                <w:lang w:val="en-US" w:eastAsia="zh-CN"/>
              </w:rPr>
            </w:pPr>
            <w:r>
              <w:rPr>
                <w:rFonts w:hint="eastAsia"/>
                <w:sz w:val="24"/>
                <w:szCs w:val="22"/>
                <w:lang w:val="en-US" w:eastAsia="zh-CN"/>
              </w:rPr>
              <w:t>综上，</w:t>
            </w:r>
            <w:r>
              <w:rPr>
                <w:sz w:val="24"/>
                <w:szCs w:val="22"/>
              </w:rPr>
              <w:t>本</w:t>
            </w:r>
            <w:r>
              <w:rPr>
                <w:rFonts w:hint="eastAsia"/>
                <w:sz w:val="24"/>
                <w:szCs w:val="22"/>
                <w:lang w:val="en-US" w:eastAsia="zh-CN"/>
              </w:rPr>
              <w:t>项目建设</w:t>
            </w:r>
            <w:r>
              <w:rPr>
                <w:sz w:val="24"/>
                <w:szCs w:val="22"/>
              </w:rPr>
              <w:t>符合</w:t>
            </w:r>
            <w:r>
              <w:rPr>
                <w:rFonts w:hint="eastAsia"/>
                <w:sz w:val="24"/>
                <w:szCs w:val="22"/>
              </w:rPr>
              <w:t>《</w:t>
            </w:r>
            <w:r>
              <w:rPr>
                <w:rFonts w:hint="eastAsia"/>
                <w:sz w:val="24"/>
                <w:szCs w:val="22"/>
                <w:lang w:val="en-US" w:eastAsia="zh-CN"/>
              </w:rPr>
              <w:t>衡阳市</w:t>
            </w:r>
            <w:r>
              <w:rPr>
                <w:rFonts w:hint="eastAsia"/>
                <w:sz w:val="24"/>
                <w:szCs w:val="22"/>
              </w:rPr>
              <w:t>“十四五”生态环境保护规划》</w:t>
            </w:r>
            <w:r>
              <w:rPr>
                <w:rFonts w:hint="eastAsia"/>
                <w:sz w:val="24"/>
                <w:szCs w:val="22"/>
                <w:lang w:eastAsia="zh-CN"/>
              </w:rPr>
              <w:t>。</w:t>
            </w:r>
          </w:p>
          <w:p>
            <w:pPr>
              <w:autoSpaceDE w:val="0"/>
              <w:autoSpaceDN w:val="0"/>
              <w:adjustRightInd w:val="0"/>
              <w:snapToGrid w:val="0"/>
              <w:spacing w:line="360" w:lineRule="auto"/>
              <w:ind w:firstLine="482" w:firstLineChars="200"/>
              <w:rPr>
                <w:b/>
                <w:kern w:val="0"/>
                <w:sz w:val="24"/>
              </w:rPr>
            </w:pPr>
            <w:r>
              <w:rPr>
                <w:rFonts w:hint="eastAsia"/>
                <w:b/>
                <w:bCs/>
                <w:sz w:val="24"/>
                <w:szCs w:val="22"/>
                <w:lang w:val="en-US" w:eastAsia="zh-CN"/>
              </w:rPr>
              <w:t>8</w:t>
            </w:r>
            <w:r>
              <w:rPr>
                <w:rFonts w:hint="eastAsia"/>
                <w:b/>
                <w:bCs/>
                <w:sz w:val="24"/>
                <w:szCs w:val="22"/>
              </w:rPr>
              <w:t>、</w:t>
            </w:r>
            <w:r>
              <w:rPr>
                <w:rFonts w:hint="eastAsia"/>
                <w:b/>
                <w:kern w:val="0"/>
                <w:sz w:val="24"/>
              </w:rPr>
              <w:t>项目与《衡阳市“十四五”空气质量改善规划》相符性分析</w:t>
            </w:r>
          </w:p>
          <w:p>
            <w:pPr>
              <w:pStyle w:val="7"/>
            </w:pPr>
            <w:r>
              <w:rPr>
                <w:rFonts w:ascii="Times New Roman" w:hAnsi="Times New Roman"/>
                <w:color w:val="auto"/>
                <w:sz w:val="21"/>
              </w:rPr>
              <w:t>表</w:t>
            </w:r>
            <w:r>
              <w:rPr>
                <w:rFonts w:hint="eastAsia" w:ascii="Times New Roman" w:hAnsi="Times New Roman"/>
                <w:color w:val="auto"/>
                <w:sz w:val="21"/>
              </w:rPr>
              <w:t>1-</w:t>
            </w:r>
            <w:r>
              <w:rPr>
                <w:rFonts w:hint="eastAsia" w:ascii="Times New Roman" w:hAnsi="Times New Roman"/>
                <w:color w:val="auto"/>
                <w:sz w:val="21"/>
                <w:lang w:val="en-US" w:eastAsia="zh-CN"/>
              </w:rPr>
              <w:t>5</w:t>
            </w:r>
            <w:r>
              <w:rPr>
                <w:rFonts w:hint="eastAsia" w:ascii="Times New Roman" w:hAnsi="Times New Roman"/>
                <w:color w:val="auto"/>
                <w:sz w:val="21"/>
              </w:rPr>
              <w:t xml:space="preserve">  </w:t>
            </w:r>
            <w:r>
              <w:rPr>
                <w:sz w:val="21"/>
              </w:rPr>
              <w:t>项目与</w:t>
            </w:r>
            <w:r>
              <w:rPr>
                <w:rFonts w:hint="eastAsia"/>
                <w:sz w:val="21"/>
              </w:rPr>
              <w:t>《衡阳市“十四五”空气质量改善规划》</w:t>
            </w:r>
            <w:r>
              <w:rPr>
                <w:sz w:val="21"/>
              </w:rPr>
              <w:t>符合性分析</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9"/>
              <w:gridCol w:w="5762"/>
              <w:gridCol w:w="1713"/>
              <w:gridCol w:w="8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26" w:type="pct"/>
                  <w:vAlign w:val="center"/>
                </w:tcPr>
                <w:p>
                  <w:pPr>
                    <w:jc w:val="center"/>
                    <w:rPr>
                      <w:rFonts w:eastAsiaTheme="minorEastAsia"/>
                      <w:b/>
                      <w:bCs/>
                      <w:szCs w:val="21"/>
                    </w:rPr>
                  </w:pPr>
                  <w:r>
                    <w:rPr>
                      <w:rFonts w:hAnsiTheme="minorEastAsia" w:eastAsiaTheme="minorEastAsia"/>
                      <w:b/>
                      <w:bCs/>
                      <w:szCs w:val="21"/>
                    </w:rPr>
                    <w:t>序号</w:t>
                  </w:r>
                </w:p>
              </w:tc>
              <w:tc>
                <w:tcPr>
                  <w:tcW w:w="3152" w:type="pct"/>
                  <w:vAlign w:val="center"/>
                </w:tcPr>
                <w:p>
                  <w:pPr>
                    <w:jc w:val="center"/>
                    <w:rPr>
                      <w:rFonts w:eastAsiaTheme="minorEastAsia"/>
                      <w:b/>
                      <w:bCs/>
                      <w:szCs w:val="21"/>
                    </w:rPr>
                  </w:pPr>
                  <w:r>
                    <w:rPr>
                      <w:rFonts w:hAnsiTheme="minorEastAsia" w:eastAsiaTheme="minorEastAsia"/>
                      <w:b/>
                      <w:bCs/>
                      <w:szCs w:val="21"/>
                    </w:rPr>
                    <w:t>管控要求</w:t>
                  </w:r>
                </w:p>
              </w:tc>
              <w:tc>
                <w:tcPr>
                  <w:tcW w:w="937" w:type="pct"/>
                  <w:vAlign w:val="center"/>
                </w:tcPr>
                <w:p>
                  <w:pPr>
                    <w:jc w:val="center"/>
                    <w:rPr>
                      <w:rFonts w:eastAsiaTheme="minorEastAsia"/>
                      <w:b/>
                      <w:bCs/>
                      <w:szCs w:val="21"/>
                    </w:rPr>
                  </w:pPr>
                  <w:r>
                    <w:rPr>
                      <w:rFonts w:hAnsiTheme="minorEastAsia" w:eastAsiaTheme="minorEastAsia"/>
                      <w:b/>
                      <w:bCs/>
                      <w:szCs w:val="21"/>
                    </w:rPr>
                    <w:t>本项目情况</w:t>
                  </w:r>
                </w:p>
              </w:tc>
              <w:tc>
                <w:tcPr>
                  <w:tcW w:w="483" w:type="pct"/>
                  <w:vAlign w:val="center"/>
                </w:tcPr>
                <w:p>
                  <w:pPr>
                    <w:jc w:val="center"/>
                    <w:rPr>
                      <w:rFonts w:eastAsiaTheme="minorEastAsia"/>
                      <w:b/>
                      <w:bCs/>
                      <w:szCs w:val="21"/>
                    </w:rPr>
                  </w:pPr>
                  <w:r>
                    <w:rPr>
                      <w:rFonts w:hAnsiTheme="minorEastAsia" w:eastAsiaTheme="minorEastAsia"/>
                      <w:b/>
                      <w:bCs/>
                      <w:szCs w:val="21"/>
                    </w:rPr>
                    <w:t>相符性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26" w:type="pct"/>
                  <w:vAlign w:val="center"/>
                </w:tcPr>
                <w:p>
                  <w:pPr>
                    <w:jc w:val="center"/>
                    <w:rPr>
                      <w:rFonts w:eastAsiaTheme="minorEastAsia"/>
                      <w:szCs w:val="21"/>
                    </w:rPr>
                  </w:pPr>
                  <w:r>
                    <w:rPr>
                      <w:rFonts w:eastAsiaTheme="minorEastAsia"/>
                      <w:szCs w:val="21"/>
                    </w:rPr>
                    <w:t>1</w:t>
                  </w:r>
                </w:p>
              </w:tc>
              <w:tc>
                <w:tcPr>
                  <w:tcW w:w="3152" w:type="pct"/>
                  <w:vAlign w:val="center"/>
                </w:tcPr>
                <w:p>
                  <w:pPr>
                    <w:jc w:val="center"/>
                    <w:rPr>
                      <w:rFonts w:eastAsiaTheme="minorEastAsia"/>
                      <w:szCs w:val="21"/>
                    </w:rPr>
                  </w:pPr>
                  <w:r>
                    <w:rPr>
                      <w:rFonts w:hAnsiTheme="minorEastAsia" w:eastAsiaTheme="minorEastAsia"/>
                      <w:szCs w:val="21"/>
                    </w:rPr>
                    <w:t>优化含</w:t>
                  </w:r>
                  <w:r>
                    <w:rPr>
                      <w:rFonts w:eastAsiaTheme="minorEastAsia"/>
                      <w:szCs w:val="21"/>
                    </w:rPr>
                    <w:t>VOCs</w:t>
                  </w:r>
                  <w:r>
                    <w:rPr>
                      <w:rFonts w:hAnsiTheme="minorEastAsia" w:eastAsiaTheme="minorEastAsia"/>
                      <w:szCs w:val="21"/>
                    </w:rPr>
                    <w:t>原辅材料和产品结构。严格控制生产和使用高</w:t>
                  </w:r>
                  <w:r>
                    <w:rPr>
                      <w:rFonts w:eastAsiaTheme="minorEastAsia"/>
                      <w:szCs w:val="21"/>
                    </w:rPr>
                    <w:t>VOCs</w:t>
                  </w:r>
                  <w:r>
                    <w:rPr>
                      <w:rFonts w:hAnsiTheme="minorEastAsia" w:eastAsiaTheme="minorEastAsia"/>
                      <w:szCs w:val="21"/>
                    </w:rPr>
                    <w:t>含量溶剂型涂料、油墨、胶粘剂、清洗剂等建设项目，现有高</w:t>
                  </w:r>
                  <w:r>
                    <w:rPr>
                      <w:rFonts w:eastAsiaTheme="minorEastAsia"/>
                      <w:szCs w:val="21"/>
                    </w:rPr>
                    <w:t>VOCs</w:t>
                  </w:r>
                  <w:r>
                    <w:rPr>
                      <w:rFonts w:hAnsiTheme="minorEastAsia" w:eastAsiaTheme="minorEastAsia"/>
                      <w:szCs w:val="21"/>
                    </w:rPr>
                    <w:t>含量产品生产企业要加快产品升级转型，提高水性、高固体分、无溶剂、粉末等低</w:t>
                  </w:r>
                  <w:r>
                    <w:rPr>
                      <w:rFonts w:eastAsiaTheme="minorEastAsia"/>
                      <w:szCs w:val="21"/>
                    </w:rPr>
                    <w:t>VOCs</w:t>
                  </w:r>
                  <w:r>
                    <w:rPr>
                      <w:rFonts w:hAnsiTheme="minorEastAsia" w:eastAsiaTheme="minorEastAsia"/>
                      <w:szCs w:val="21"/>
                    </w:rPr>
                    <w:t>含量产品的比重。工业涂装、包装印刷、电子等行业企业要制定工作计划，按照分业施策、一行一策的原则，加大低</w:t>
                  </w:r>
                  <w:r>
                    <w:rPr>
                      <w:rFonts w:eastAsiaTheme="minorEastAsia"/>
                      <w:szCs w:val="21"/>
                    </w:rPr>
                    <w:t>VOCs</w:t>
                  </w:r>
                  <w:r>
                    <w:rPr>
                      <w:rFonts w:hAnsiTheme="minorEastAsia" w:eastAsiaTheme="minorEastAsia"/>
                      <w:szCs w:val="21"/>
                    </w:rPr>
                    <w:t>含量原辅材料的推广使用力度，从源头减少</w:t>
                  </w:r>
                  <w:r>
                    <w:rPr>
                      <w:rFonts w:eastAsiaTheme="minorEastAsia"/>
                      <w:szCs w:val="21"/>
                    </w:rPr>
                    <w:t>VOCs</w:t>
                  </w:r>
                  <w:r>
                    <w:rPr>
                      <w:rFonts w:hAnsiTheme="minorEastAsia" w:eastAsiaTheme="minorEastAsia"/>
                      <w:szCs w:val="21"/>
                    </w:rPr>
                    <w:t>产生。到</w:t>
                  </w:r>
                  <w:r>
                    <w:rPr>
                      <w:rFonts w:eastAsiaTheme="minorEastAsia"/>
                      <w:szCs w:val="21"/>
                    </w:rPr>
                    <w:t>2025</w:t>
                  </w:r>
                  <w:r>
                    <w:rPr>
                      <w:rFonts w:hAnsiTheme="minorEastAsia" w:eastAsiaTheme="minorEastAsia"/>
                      <w:szCs w:val="21"/>
                    </w:rPr>
                    <w:t>年底前，汽车整车制造底漆、中涂、色漆，汽车修理底色漆、本色面漆，以及室外构筑物防护和道路交通标志全部使用低</w:t>
                  </w:r>
                  <w:r>
                    <w:rPr>
                      <w:rFonts w:eastAsiaTheme="minorEastAsia"/>
                      <w:szCs w:val="21"/>
                    </w:rPr>
                    <w:t>VOCs</w:t>
                  </w:r>
                  <w:r>
                    <w:rPr>
                      <w:rFonts w:hAnsiTheme="minorEastAsia" w:eastAsiaTheme="minorEastAsia"/>
                      <w:szCs w:val="21"/>
                    </w:rPr>
                    <w:t>含量涂料；木质家具制造、汽车零部件、工程机械、钢结构、船舶制造等行业使用比例应达到</w:t>
                  </w:r>
                  <w:r>
                    <w:rPr>
                      <w:rFonts w:eastAsiaTheme="minorEastAsia"/>
                      <w:szCs w:val="21"/>
                    </w:rPr>
                    <w:t>50%</w:t>
                  </w:r>
                  <w:r>
                    <w:rPr>
                      <w:rFonts w:hAnsiTheme="minorEastAsia" w:eastAsiaTheme="minorEastAsia"/>
                      <w:szCs w:val="21"/>
                    </w:rPr>
                    <w:t>；钢结构、船舶制造使用比例达到</w:t>
                  </w:r>
                  <w:r>
                    <w:rPr>
                      <w:rFonts w:eastAsiaTheme="minorEastAsia"/>
                      <w:szCs w:val="21"/>
                    </w:rPr>
                    <w:t>30%</w:t>
                  </w:r>
                  <w:r>
                    <w:rPr>
                      <w:rFonts w:hAnsiTheme="minorEastAsia" w:eastAsiaTheme="minorEastAsia"/>
                      <w:szCs w:val="21"/>
                    </w:rPr>
                    <w:t>。严格执行涂料、油墨、胶粘剂、清洗剂</w:t>
                  </w:r>
                  <w:r>
                    <w:rPr>
                      <w:rFonts w:eastAsiaTheme="minorEastAsia"/>
                      <w:szCs w:val="21"/>
                    </w:rPr>
                    <w:t>VOCs</w:t>
                  </w:r>
                  <w:r>
                    <w:rPr>
                      <w:rFonts w:hAnsiTheme="minorEastAsia" w:eastAsiaTheme="minorEastAsia"/>
                      <w:szCs w:val="21"/>
                    </w:rPr>
                    <w:t>含量限值标准，加大抽检力度，确保生产、销售、进口、使用符合标准的产品。</w:t>
                  </w:r>
                </w:p>
              </w:tc>
              <w:tc>
                <w:tcPr>
                  <w:tcW w:w="937" w:type="pct"/>
                  <w:vAlign w:val="center"/>
                </w:tcPr>
                <w:p>
                  <w:pPr>
                    <w:jc w:val="center"/>
                    <w:rPr>
                      <w:rFonts w:hint="eastAsia" w:eastAsiaTheme="minorEastAsia"/>
                      <w:szCs w:val="21"/>
                      <w:lang w:eastAsia="zh-CN"/>
                    </w:rPr>
                  </w:pPr>
                  <w:r>
                    <w:rPr>
                      <w:rFonts w:hAnsiTheme="minorEastAsia" w:eastAsiaTheme="minorEastAsia"/>
                      <w:szCs w:val="21"/>
                    </w:rPr>
                    <w:t>项目使用低</w:t>
                  </w:r>
                  <w:r>
                    <w:rPr>
                      <w:rFonts w:hint="eastAsia" w:hAnsiTheme="minorEastAsia" w:eastAsiaTheme="minorEastAsia"/>
                      <w:szCs w:val="21"/>
                    </w:rPr>
                    <w:t>VOCs型</w:t>
                  </w:r>
                  <w:r>
                    <w:rPr>
                      <w:rFonts w:hint="eastAsia" w:hAnsiTheme="minorEastAsia" w:eastAsiaTheme="minorEastAsia"/>
                      <w:szCs w:val="21"/>
                      <w:lang w:val="en-US" w:eastAsia="zh-CN"/>
                    </w:rPr>
                    <w:t>涂料</w:t>
                  </w:r>
                </w:p>
              </w:tc>
              <w:tc>
                <w:tcPr>
                  <w:tcW w:w="483" w:type="pct"/>
                  <w:vAlign w:val="center"/>
                </w:tcPr>
                <w:p>
                  <w:pPr>
                    <w:jc w:val="center"/>
                    <w:rPr>
                      <w:rFonts w:eastAsiaTheme="minorEastAsia"/>
                      <w:szCs w:val="21"/>
                    </w:rPr>
                  </w:pPr>
                  <w:r>
                    <w:rPr>
                      <w:rFonts w:hAnsiTheme="minorEastAsia" w:eastAsiaTheme="minorEastAsia"/>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trPr>
              <w:tc>
                <w:tcPr>
                  <w:tcW w:w="426" w:type="pct"/>
                  <w:vAlign w:val="center"/>
                </w:tcPr>
                <w:p>
                  <w:pPr>
                    <w:jc w:val="center"/>
                    <w:rPr>
                      <w:rFonts w:eastAsiaTheme="minorEastAsia"/>
                      <w:kern w:val="0"/>
                      <w:szCs w:val="21"/>
                    </w:rPr>
                  </w:pPr>
                  <w:r>
                    <w:rPr>
                      <w:rFonts w:hint="eastAsia" w:eastAsiaTheme="minorEastAsia"/>
                      <w:kern w:val="0"/>
                      <w:szCs w:val="21"/>
                    </w:rPr>
                    <w:t>2</w:t>
                  </w:r>
                </w:p>
              </w:tc>
              <w:tc>
                <w:tcPr>
                  <w:tcW w:w="3152" w:type="pct"/>
                  <w:vAlign w:val="center"/>
                </w:tcPr>
                <w:p>
                  <w:pPr>
                    <w:jc w:val="center"/>
                    <w:rPr>
                      <w:rFonts w:eastAsiaTheme="minorEastAsia"/>
                      <w:szCs w:val="21"/>
                    </w:rPr>
                  </w:pPr>
                  <w:r>
                    <w:rPr>
                      <w:rFonts w:hAnsiTheme="minorEastAsia" w:eastAsiaTheme="minorEastAsia"/>
                      <w:szCs w:val="21"/>
                    </w:rPr>
                    <w:t>强化工艺过程控制及无组织排放排查整治。通过采用全密闭、连续化、自动化等生产技术，以及高效工艺与设备等，减少工艺过程VOCs排放。储罐按照VOCs无组织排放控制标准及相关行业排放标准要求，进行罐型和浮盘边缘密封方式选型。含VOCs物料生产和使用过程，应采取有效收集措施或在密闭空间井（池）、均质罐等排放的高浓度废 气要单独收集处理，采用燃烧等高效治理技术。规 范开展泄漏检测与修复（LDAR）。</w:t>
                  </w:r>
                </w:p>
              </w:tc>
              <w:tc>
                <w:tcPr>
                  <w:tcW w:w="937" w:type="pct"/>
                  <w:vAlign w:val="center"/>
                </w:tcPr>
                <w:p>
                  <w:pPr>
                    <w:jc w:val="center"/>
                    <w:rPr>
                      <w:rFonts w:eastAsiaTheme="minorEastAsia"/>
                      <w:szCs w:val="21"/>
                    </w:rPr>
                  </w:pPr>
                  <w:r>
                    <w:rPr>
                      <w:rFonts w:hint="eastAsia" w:eastAsiaTheme="minorEastAsia"/>
                      <w:szCs w:val="21"/>
                    </w:rPr>
                    <w:t>项目废气采用集气罩进行收集，属于有效的废气收集方式，能有效减少无组织废气排放</w:t>
                  </w:r>
                </w:p>
              </w:tc>
              <w:tc>
                <w:tcPr>
                  <w:tcW w:w="483" w:type="pct"/>
                  <w:vAlign w:val="center"/>
                </w:tcPr>
                <w:p>
                  <w:pPr>
                    <w:jc w:val="center"/>
                    <w:rPr>
                      <w:rFonts w:eastAsiaTheme="minorEastAsia"/>
                      <w:szCs w:val="21"/>
                    </w:rPr>
                  </w:pPr>
                  <w:r>
                    <w:rPr>
                      <w:rFonts w:hAnsiTheme="minorEastAsia" w:eastAsiaTheme="minorEastAsia"/>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26" w:type="pct"/>
                  <w:vAlign w:val="center"/>
                </w:tcPr>
                <w:p>
                  <w:pPr>
                    <w:jc w:val="center"/>
                    <w:rPr>
                      <w:rFonts w:eastAsiaTheme="minorEastAsia"/>
                      <w:szCs w:val="21"/>
                    </w:rPr>
                  </w:pPr>
                  <w:r>
                    <w:rPr>
                      <w:rFonts w:hint="eastAsia" w:eastAsiaTheme="minorEastAsia"/>
                      <w:szCs w:val="21"/>
                    </w:rPr>
                    <w:t>3</w:t>
                  </w:r>
                </w:p>
              </w:tc>
              <w:tc>
                <w:tcPr>
                  <w:tcW w:w="3152" w:type="pct"/>
                  <w:vAlign w:val="center"/>
                </w:tcPr>
                <w:p>
                  <w:pPr>
                    <w:adjustRightInd w:val="0"/>
                    <w:jc w:val="center"/>
                    <w:rPr>
                      <w:rFonts w:eastAsiaTheme="minorEastAsia"/>
                      <w:szCs w:val="21"/>
                    </w:rPr>
                  </w:pPr>
                  <w:r>
                    <w:rPr>
                      <w:rFonts w:hAnsiTheme="minorEastAsia" w:eastAsiaTheme="minorEastAsia"/>
                      <w:szCs w:val="21"/>
                    </w:rPr>
                    <w:t>推进VOCs末端治理。按照“应收尽收、分质收集”的原则，将无组织排放转变为有组织排放进行集中处理，选择适宜高效治理技术，加强运行维护管理，治理设施较生产设备要做到“先启后停”。全面排查清理涉VOCs排放废气旁路，因安全生产等原因必须保留的，要加强监管监控。</w:t>
                  </w:r>
                </w:p>
              </w:tc>
              <w:tc>
                <w:tcPr>
                  <w:tcW w:w="937" w:type="pct"/>
                  <w:vAlign w:val="center"/>
                </w:tcPr>
                <w:p>
                  <w:pPr>
                    <w:jc w:val="center"/>
                    <w:rPr>
                      <w:rFonts w:eastAsiaTheme="minorEastAsia"/>
                      <w:szCs w:val="21"/>
                    </w:rPr>
                  </w:pPr>
                  <w:r>
                    <w:rPr>
                      <w:rFonts w:eastAsiaTheme="minorEastAsia"/>
                      <w:szCs w:val="21"/>
                    </w:rPr>
                    <w:t>项目</w:t>
                  </w:r>
                  <w:r>
                    <w:rPr>
                      <w:rFonts w:hint="eastAsia" w:eastAsiaTheme="minorEastAsia"/>
                      <w:szCs w:val="21"/>
                      <w:lang w:val="en-US" w:eastAsia="zh-CN"/>
                    </w:rPr>
                    <w:t>产生的</w:t>
                  </w:r>
                  <w:r>
                    <w:rPr>
                      <w:rFonts w:eastAsiaTheme="minorEastAsia"/>
                      <w:szCs w:val="21"/>
                    </w:rPr>
                    <w:t>VOCs采用</w:t>
                  </w:r>
                  <w:r>
                    <w:rPr>
                      <w:rFonts w:hint="eastAsia" w:eastAsiaTheme="minorEastAsia"/>
                      <w:szCs w:val="21"/>
                      <w:lang w:val="en-US" w:eastAsia="zh-CN"/>
                    </w:rPr>
                    <w:t>UV+</w:t>
                  </w:r>
                  <w:r>
                    <w:rPr>
                      <w:rFonts w:hint="eastAsia" w:eastAsiaTheme="minorEastAsia"/>
                      <w:szCs w:val="21"/>
                    </w:rPr>
                    <w:t>活性炭</w:t>
                  </w:r>
                  <w:r>
                    <w:rPr>
                      <w:rFonts w:eastAsiaTheme="minorEastAsia"/>
                      <w:szCs w:val="21"/>
                    </w:rPr>
                    <w:t>吸附</w:t>
                  </w:r>
                  <w:r>
                    <w:rPr>
                      <w:rFonts w:hint="eastAsia" w:eastAsiaTheme="minorEastAsia"/>
                      <w:szCs w:val="21"/>
                      <w:lang w:eastAsia="zh-CN"/>
                    </w:rPr>
                    <w:t>、</w:t>
                  </w:r>
                  <w:r>
                    <w:rPr>
                      <w:rFonts w:hint="eastAsia" w:eastAsiaTheme="minorEastAsia"/>
                      <w:szCs w:val="21"/>
                      <w:lang w:val="en-US" w:eastAsia="zh-CN"/>
                    </w:rPr>
                    <w:t>干式过滤+活性炭吸附+催化燃烧脱附装置进行</w:t>
                  </w:r>
                  <w:r>
                    <w:rPr>
                      <w:rFonts w:eastAsiaTheme="minorEastAsia"/>
                      <w:szCs w:val="21"/>
                    </w:rPr>
                    <w:t>处置，</w:t>
                  </w:r>
                  <w:r>
                    <w:rPr>
                      <w:rFonts w:hint="eastAsia" w:eastAsiaTheme="minorEastAsia"/>
                      <w:szCs w:val="21"/>
                      <w:lang w:val="en-US" w:eastAsia="zh-CN"/>
                    </w:rPr>
                    <w:t>均</w:t>
                  </w:r>
                  <w:r>
                    <w:rPr>
                      <w:rFonts w:eastAsiaTheme="minorEastAsia"/>
                      <w:szCs w:val="21"/>
                    </w:rPr>
                    <w:t>属于可行技术</w:t>
                  </w:r>
                </w:p>
              </w:tc>
              <w:tc>
                <w:tcPr>
                  <w:tcW w:w="483" w:type="pct"/>
                  <w:vAlign w:val="center"/>
                </w:tcPr>
                <w:p>
                  <w:pPr>
                    <w:jc w:val="center"/>
                    <w:rPr>
                      <w:rFonts w:eastAsiaTheme="minorEastAsia"/>
                      <w:szCs w:val="21"/>
                    </w:rPr>
                  </w:pPr>
                  <w:r>
                    <w:rPr>
                      <w:rFonts w:hAnsiTheme="minorEastAsia" w:eastAsiaTheme="minorEastAsia"/>
                      <w:szCs w:val="21"/>
                    </w:rPr>
                    <w:t>相符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26" w:type="pct"/>
                  <w:vAlign w:val="center"/>
                </w:tcPr>
                <w:p>
                  <w:pPr>
                    <w:jc w:val="center"/>
                    <w:rPr>
                      <w:rFonts w:eastAsiaTheme="minorEastAsia"/>
                      <w:kern w:val="0"/>
                      <w:szCs w:val="21"/>
                    </w:rPr>
                  </w:pPr>
                  <w:r>
                    <w:rPr>
                      <w:rFonts w:hint="eastAsia" w:eastAsiaTheme="minorEastAsia"/>
                      <w:kern w:val="0"/>
                      <w:szCs w:val="21"/>
                    </w:rPr>
                    <w:t>4</w:t>
                  </w:r>
                </w:p>
              </w:tc>
              <w:tc>
                <w:tcPr>
                  <w:tcW w:w="3152" w:type="pct"/>
                  <w:vAlign w:val="center"/>
                </w:tcPr>
                <w:p>
                  <w:pPr>
                    <w:adjustRightInd w:val="0"/>
                    <w:jc w:val="center"/>
                    <w:rPr>
                      <w:rFonts w:eastAsiaTheme="minorEastAsia"/>
                      <w:szCs w:val="21"/>
                    </w:rPr>
                  </w:pPr>
                  <w:r>
                    <w:rPr>
                      <w:rFonts w:hAnsiTheme="minorEastAsia" w:eastAsiaTheme="minorEastAsia"/>
                      <w:szCs w:val="21"/>
                    </w:rPr>
                    <w:t>加强非正常工况废气排放控制。企业开停工、检维修期间，按照要求及时收集处理退料、清洗、吹扫等作业产生的VOCs废气。石化、化工企业制定非正常工况VOCs管控规程，不得将火炬燃烧装置作为日常大气污染处理设施；火炬系统要安装温度监控、废气流量计、助燃气体流量计等，鼓励安 装热值检测仪。</w:t>
                  </w:r>
                </w:p>
              </w:tc>
              <w:tc>
                <w:tcPr>
                  <w:tcW w:w="937" w:type="pct"/>
                  <w:vAlign w:val="center"/>
                </w:tcPr>
                <w:p>
                  <w:pPr>
                    <w:jc w:val="center"/>
                    <w:rPr>
                      <w:rFonts w:eastAsiaTheme="minorEastAsia"/>
                      <w:szCs w:val="21"/>
                    </w:rPr>
                  </w:pPr>
                  <w:r>
                    <w:t>项目对生产设施定期维护，维修故障期间不进行生产工作</w:t>
                  </w:r>
                </w:p>
              </w:tc>
              <w:tc>
                <w:tcPr>
                  <w:tcW w:w="483" w:type="pct"/>
                  <w:vAlign w:val="center"/>
                </w:tcPr>
                <w:p>
                  <w:pPr>
                    <w:jc w:val="center"/>
                    <w:rPr>
                      <w:rFonts w:eastAsiaTheme="minorEastAsia"/>
                      <w:szCs w:val="21"/>
                    </w:rPr>
                  </w:pPr>
                  <w:r>
                    <w:rPr>
                      <w:rFonts w:hAnsiTheme="minorEastAsia" w:eastAsiaTheme="minorEastAsia"/>
                      <w:szCs w:val="21"/>
                    </w:rPr>
                    <w:t>相符</w:t>
                  </w:r>
                </w:p>
              </w:tc>
            </w:tr>
          </w:tbl>
          <w:p>
            <w:pPr>
              <w:autoSpaceDE w:val="0"/>
              <w:autoSpaceDN w:val="0"/>
              <w:adjustRightInd w:val="0"/>
              <w:snapToGrid w:val="0"/>
              <w:spacing w:line="360" w:lineRule="auto"/>
              <w:ind w:firstLine="472" w:firstLineChars="200"/>
              <w:jc w:val="left"/>
              <w:rPr>
                <w:bCs/>
                <w:kern w:val="0"/>
                <w:sz w:val="24"/>
              </w:rPr>
            </w:pPr>
            <w:r>
              <w:rPr>
                <w:rFonts w:hint="eastAsia" w:hAnsiTheme="minorEastAsia" w:eastAsiaTheme="minorEastAsia"/>
                <w:spacing w:val="-2"/>
                <w:sz w:val="24"/>
              </w:rPr>
              <w:t>综上，本项目符合《衡阳市“十四五”空气质量改善规划》要求</w:t>
            </w:r>
            <w:r>
              <w:rPr>
                <w:rFonts w:hint="eastAsia" w:hAnsiTheme="minorEastAsia" w:eastAsiaTheme="minorEastAsia"/>
                <w:spacing w:val="-2"/>
                <w:sz w:val="24"/>
                <w:lang w:eastAsia="zh-CN"/>
              </w:rPr>
              <w:t>。</w:t>
            </w: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p>
            <w:pPr>
              <w:autoSpaceDE w:val="0"/>
              <w:autoSpaceDN w:val="0"/>
              <w:adjustRightInd w:val="0"/>
              <w:snapToGrid w:val="0"/>
              <w:spacing w:line="360" w:lineRule="auto"/>
              <w:ind w:firstLine="480" w:firstLineChars="200"/>
              <w:jc w:val="left"/>
              <w:rPr>
                <w:bCs/>
                <w:kern w:val="0"/>
                <w:sz w:val="24"/>
              </w:rPr>
            </w:pPr>
          </w:p>
        </w:tc>
      </w:tr>
    </w:tbl>
    <w:p>
      <w:pPr>
        <w:spacing w:line="360" w:lineRule="auto"/>
        <w:outlineLvl w:val="0"/>
        <w:rPr>
          <w:rFonts w:eastAsia="黑体"/>
          <w:sz w:val="30"/>
        </w:rPr>
        <w:sectPr>
          <w:footerReference r:id="rId5" w:type="default"/>
          <w:pgSz w:w="11906" w:h="16838"/>
          <w:pgMar w:top="1701" w:right="1531" w:bottom="1701" w:left="1531" w:header="851" w:footer="1077" w:gutter="0"/>
          <w:pgBorders>
            <w:top w:val="none" w:sz="0" w:space="0"/>
            <w:left w:val="none" w:sz="0" w:space="0"/>
            <w:bottom w:val="none" w:sz="0" w:space="0"/>
            <w:right w:val="none" w:sz="0" w:space="0"/>
          </w:pgBorders>
          <w:pgNumType w:start="1"/>
          <w:cols w:space="720" w:num="1"/>
          <w:docGrid w:linePitch="312" w:charSpace="0"/>
        </w:sectPr>
      </w:pPr>
    </w:p>
    <w:p>
      <w:pPr>
        <w:pStyle w:val="21"/>
        <w:jc w:val="center"/>
        <w:outlineLvl w:val="0"/>
        <w:rPr>
          <w:rFonts w:hint="eastAsia" w:ascii="黑体" w:hAnsi="黑体" w:eastAsia="黑体"/>
          <w:snapToGrid w:val="0"/>
          <w:sz w:val="30"/>
          <w:szCs w:val="30"/>
        </w:rPr>
      </w:pPr>
      <w:bookmarkStart w:id="8" w:name="_Toc111712327"/>
      <w:r>
        <w:rPr>
          <w:rFonts w:hint="eastAsia" w:ascii="黑体" w:hAnsi="黑体" w:eastAsia="黑体"/>
          <w:snapToGrid w:val="0"/>
          <w:sz w:val="30"/>
          <w:szCs w:val="30"/>
        </w:rPr>
        <w:t>二、建设项目工程分析</w:t>
      </w:r>
      <w:bookmarkEnd w:id="8"/>
    </w:p>
    <w:tbl>
      <w:tblPr>
        <w:tblStyle w:val="25"/>
        <w:tblW w:w="1020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71"/>
        <w:gridCol w:w="953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1" w:type="dxa"/>
            <w:vAlign w:val="center"/>
          </w:tcPr>
          <w:p>
            <w:pPr>
              <w:pStyle w:val="21"/>
              <w:adjustRightInd w:val="0"/>
              <w:snapToGrid w:val="0"/>
              <w:spacing w:before="0" w:beforeAutospacing="0" w:after="0" w:afterAutospacing="0"/>
              <w:jc w:val="center"/>
              <w:rPr>
                <w:rFonts w:cs="宋体"/>
                <w:b/>
                <w:szCs w:val="24"/>
              </w:rPr>
            </w:pPr>
          </w:p>
        </w:tc>
        <w:tc>
          <w:tcPr>
            <w:tcW w:w="9534" w:type="dxa"/>
          </w:tcPr>
          <w:p>
            <w:pPr>
              <w:adjustRightInd w:val="0"/>
              <w:snapToGrid w:val="0"/>
              <w:spacing w:line="360" w:lineRule="auto"/>
              <w:ind w:firstLine="482" w:firstLineChars="200"/>
              <w:rPr>
                <w:b/>
                <w:bCs/>
                <w:sz w:val="24"/>
              </w:rPr>
            </w:pPr>
            <w:r>
              <w:rPr>
                <w:b/>
                <w:bCs/>
                <w:sz w:val="24"/>
              </w:rPr>
              <w:t>1、项目由来</w:t>
            </w:r>
          </w:p>
          <w:p>
            <w:pPr>
              <w:adjustRightInd w:val="0"/>
              <w:snapToGrid w:val="0"/>
              <w:spacing w:line="360" w:lineRule="auto"/>
              <w:ind w:firstLine="480" w:firstLineChars="200"/>
              <w:rPr>
                <w:rFonts w:hint="eastAsia" w:eastAsia="宋体"/>
                <w:sz w:val="24"/>
                <w:lang w:eastAsia="zh-CN"/>
              </w:rPr>
            </w:pPr>
            <w:r>
              <w:rPr>
                <w:rFonts w:hint="eastAsia"/>
                <w:bCs/>
                <w:sz w:val="24"/>
              </w:rPr>
              <w:t>衡阳市新德力交通材料有限公司（曾用名：衡阳市新德力预应力有限公司）成立于2000年，于2005年经招商引资落户</w:t>
            </w:r>
            <w:r>
              <w:rPr>
                <w:bCs/>
                <w:sz w:val="24"/>
              </w:rPr>
              <w:t>衡阳县西渡镇清江北路</w:t>
            </w:r>
            <w:r>
              <w:rPr>
                <w:rFonts w:hint="eastAsia"/>
                <w:bCs/>
                <w:sz w:val="24"/>
              </w:rPr>
              <w:t>5号</w:t>
            </w:r>
            <w:r>
              <w:rPr>
                <w:rFonts w:hint="eastAsia"/>
                <w:sz w:val="24"/>
              </w:rPr>
              <w:t>，地理中心坐标为：东</w:t>
            </w:r>
            <w:r>
              <w:rPr>
                <w:sz w:val="24"/>
              </w:rPr>
              <w:t>经112°</w:t>
            </w:r>
            <w:r>
              <w:rPr>
                <w:rFonts w:hint="eastAsia"/>
                <w:sz w:val="24"/>
              </w:rPr>
              <w:t>23</w:t>
            </w:r>
            <w:r>
              <w:rPr>
                <w:sz w:val="24"/>
              </w:rPr>
              <w:t>′</w:t>
            </w:r>
            <w:r>
              <w:rPr>
                <w:rFonts w:hint="eastAsia"/>
                <w:sz w:val="24"/>
              </w:rPr>
              <w:t>29.94</w:t>
            </w:r>
            <w:r>
              <w:rPr>
                <w:sz w:val="24"/>
              </w:rPr>
              <w:t>"</w:t>
            </w:r>
            <w:r>
              <w:rPr>
                <w:rFonts w:hint="eastAsia"/>
                <w:sz w:val="24"/>
              </w:rPr>
              <w:t>，北纬26°58'11.64"。主要经营范围为：铁路、公路交通材料及防护栏、预应力锚具、机具、预埋件、混凝土外加剂、铁路器材的生产、销售；金属材料表面处理</w:t>
            </w:r>
            <w:r>
              <w:rPr>
                <w:rFonts w:hint="eastAsia"/>
                <w:sz w:val="24"/>
                <w:lang w:eastAsia="zh-CN"/>
              </w:rPr>
              <w:t>。</w:t>
            </w:r>
          </w:p>
          <w:p>
            <w:pPr>
              <w:adjustRightInd w:val="0"/>
              <w:snapToGrid w:val="0"/>
              <w:spacing w:line="360" w:lineRule="auto"/>
              <w:ind w:firstLine="480" w:firstLineChars="200"/>
              <w:rPr>
                <w:rFonts w:hint="eastAsia" w:eastAsia="宋体"/>
                <w:sz w:val="24"/>
                <w:lang w:val="en-US" w:eastAsia="zh-CN"/>
              </w:rPr>
            </w:pPr>
            <w:r>
              <w:rPr>
                <w:sz w:val="24"/>
              </w:rPr>
              <w:t>该公司由于市场需求和企业自身经营、生产需要，自2006年6月至今经过多次扩能，</w:t>
            </w:r>
            <w:r>
              <w:rPr>
                <w:rFonts w:hint="eastAsia"/>
                <w:sz w:val="24"/>
              </w:rPr>
              <w:t>现企业</w:t>
            </w:r>
            <w:r>
              <w:rPr>
                <w:rFonts w:hint="eastAsia" w:eastAsiaTheme="minorEastAsia"/>
                <w:spacing w:val="-2"/>
                <w:sz w:val="24"/>
              </w:rPr>
              <w:t>总设计</w:t>
            </w:r>
            <w:r>
              <w:rPr>
                <w:rFonts w:hint="eastAsia"/>
                <w:sz w:val="24"/>
              </w:rPr>
              <w:t>生产能力为锚具250万件/年、预埋件6000吨/年、混凝土高性能聚羧酸减水剂母液3万吨/年（可复配外加剂成品约7万吨/年）</w:t>
            </w:r>
            <w:r>
              <w:rPr>
                <w:rFonts w:hint="eastAsia"/>
                <w:color w:val="FF0000"/>
                <w:sz w:val="24"/>
                <w:u w:val="wave"/>
                <w:lang w:eastAsia="zh-CN"/>
              </w:rPr>
              <w:t>，</w:t>
            </w:r>
            <w:r>
              <w:rPr>
                <w:rFonts w:hint="eastAsia"/>
                <w:color w:val="FF0000"/>
                <w:sz w:val="24"/>
                <w:u w:val="wave"/>
                <w:lang w:val="en-US" w:eastAsia="zh-CN"/>
              </w:rPr>
              <w:t>目前，</w:t>
            </w:r>
            <w:r>
              <w:rPr>
                <w:rFonts w:hint="eastAsia"/>
                <w:color w:val="FF0000"/>
                <w:sz w:val="24"/>
                <w:u w:val="wave"/>
              </w:rPr>
              <w:t>混凝土高性能聚羧酸减水剂母液3万吨/年（可复配外加剂成品约7万吨/年）</w:t>
            </w:r>
            <w:r>
              <w:rPr>
                <w:rFonts w:hint="eastAsia"/>
                <w:color w:val="FF0000"/>
                <w:sz w:val="24"/>
                <w:u w:val="wave"/>
                <w:lang w:val="en-US" w:eastAsia="zh-CN"/>
              </w:rPr>
              <w:t>生产线停建未投产，企业实际生产能力为</w:t>
            </w:r>
            <w:r>
              <w:rPr>
                <w:rFonts w:hint="eastAsia"/>
                <w:color w:val="FF0000"/>
                <w:sz w:val="24"/>
                <w:u w:val="wave"/>
              </w:rPr>
              <w:t>锚具250万件/年、预埋件6000吨/年</w:t>
            </w:r>
            <w:r>
              <w:rPr>
                <w:rFonts w:hint="eastAsia"/>
                <w:sz w:val="24"/>
                <w:lang w:eastAsia="zh-CN"/>
              </w:rPr>
              <w:t>。</w:t>
            </w:r>
          </w:p>
          <w:p>
            <w:pPr>
              <w:adjustRightInd w:val="0"/>
              <w:snapToGrid w:val="0"/>
              <w:spacing w:line="360" w:lineRule="auto"/>
              <w:ind w:firstLine="480" w:firstLineChars="200"/>
              <w:rPr>
                <w:rFonts w:hint="default"/>
                <w:bCs/>
                <w:color w:val="FF0000"/>
                <w:sz w:val="24"/>
                <w:u w:val="wave"/>
                <w:lang w:val="en-US" w:eastAsia="zh-CN"/>
              </w:rPr>
            </w:pPr>
            <w:r>
              <w:rPr>
                <w:rFonts w:hint="eastAsia"/>
                <w:bCs/>
                <w:color w:val="FF0000"/>
                <w:sz w:val="24"/>
                <w:u w:val="wave"/>
              </w:rPr>
              <w:t>衡阳市新德力交通材料有限公司</w:t>
            </w:r>
            <w:r>
              <w:rPr>
                <w:rFonts w:hint="eastAsia"/>
                <w:bCs/>
                <w:color w:val="FF0000"/>
                <w:sz w:val="24"/>
                <w:u w:val="wave"/>
                <w:lang w:val="en-US" w:eastAsia="zh-CN"/>
              </w:rPr>
              <w:t>投产至今近20年，厂区四车间（</w:t>
            </w:r>
            <w:r>
              <w:rPr>
                <w:rFonts w:hint="eastAsia" w:eastAsiaTheme="minorEastAsia"/>
                <w:color w:val="FF0000"/>
                <w:spacing w:val="-2"/>
                <w:sz w:val="24"/>
                <w:u w:val="wave"/>
                <w:lang w:val="en-US" w:eastAsia="zh-CN"/>
              </w:rPr>
              <w:t>渗锌一车间</w:t>
            </w:r>
            <w:r>
              <w:rPr>
                <w:rFonts w:hint="eastAsia"/>
                <w:bCs/>
                <w:color w:val="FF0000"/>
                <w:sz w:val="24"/>
                <w:u w:val="wave"/>
                <w:lang w:val="en-US" w:eastAsia="zh-CN"/>
              </w:rPr>
              <w:t>）环保设施虽能满足环评时提出的要求，但与日益严格的环保要求存在差距；同时，行业对产品要求也越来越高，客户主要以组合塔需求为主，对拼接式焊接塔需求量减少，因此工件尺寸较环评时大，</w:t>
            </w:r>
            <w:r>
              <w:rPr>
                <w:rFonts w:hint="eastAsia" w:eastAsiaTheme="minorEastAsia"/>
                <w:color w:val="FF0000"/>
                <w:spacing w:val="-2"/>
                <w:sz w:val="24"/>
                <w:u w:val="wave"/>
                <w:lang w:val="en-US" w:eastAsia="zh-CN"/>
              </w:rPr>
              <w:t>四车间电加热渗锌设备对一些宽度和外径较大的组合件，无法完全浸没，需要缓慢调整角度尽量沿槽长度方向倾斜，工件方可完全浸没，部分产品质量经常达不到客户要求，出现返工。</w:t>
            </w:r>
          </w:p>
          <w:p>
            <w:pPr>
              <w:adjustRightInd w:val="0"/>
              <w:snapToGrid w:val="0"/>
              <w:spacing w:line="360" w:lineRule="auto"/>
              <w:ind w:firstLine="480" w:firstLineChars="200"/>
              <w:rPr>
                <w:rFonts w:hint="eastAsia"/>
                <w:color w:val="FF0000"/>
                <w:sz w:val="24"/>
                <w:u w:val="wave"/>
                <w:lang w:val="en-US" w:eastAsia="zh-CN"/>
              </w:rPr>
            </w:pPr>
            <w:r>
              <w:rPr>
                <w:rFonts w:hint="eastAsia"/>
                <w:bCs/>
                <w:color w:val="FF0000"/>
                <w:sz w:val="24"/>
                <w:u w:val="wave"/>
                <w:lang w:val="en-US" w:eastAsia="zh-CN"/>
              </w:rPr>
              <w:t>为提高企业竞争力，适应市场发展需求，</w:t>
            </w:r>
            <w:r>
              <w:rPr>
                <w:rFonts w:hint="eastAsia"/>
                <w:bCs/>
                <w:color w:val="FF0000"/>
                <w:sz w:val="24"/>
                <w:u w:val="wave"/>
              </w:rPr>
              <w:t>衡阳市新德力交通材料有限公司</w:t>
            </w:r>
            <w:r>
              <w:rPr>
                <w:rFonts w:hint="eastAsia"/>
                <w:bCs/>
                <w:color w:val="FF0000"/>
                <w:sz w:val="24"/>
                <w:u w:val="wave"/>
                <w:lang w:val="en-US" w:eastAsia="zh-CN"/>
              </w:rPr>
              <w:t>拟投资200万元实施</w:t>
            </w:r>
            <w:r>
              <w:rPr>
                <w:rFonts w:hint="eastAsia"/>
                <w:bCs/>
                <w:color w:val="FF0000"/>
                <w:sz w:val="24"/>
                <w:u w:val="wave"/>
              </w:rPr>
              <w:t>衡阳市新德力交通材料有限公司</w:t>
            </w:r>
            <w:r>
              <w:rPr>
                <w:rFonts w:hint="eastAsia"/>
                <w:bCs/>
                <w:color w:val="FF0000"/>
                <w:sz w:val="24"/>
                <w:u w:val="wave"/>
                <w:lang w:val="en-US" w:eastAsia="zh-CN"/>
              </w:rPr>
              <w:t>改建项目。项目拟对</w:t>
            </w:r>
            <w:r>
              <w:rPr>
                <w:rFonts w:hint="eastAsia" w:eastAsiaTheme="minorEastAsia"/>
                <w:color w:val="FF0000"/>
                <w:spacing w:val="-2"/>
                <w:sz w:val="24"/>
                <w:u w:val="wave"/>
                <w:lang w:val="en-US" w:eastAsia="zh-CN"/>
              </w:rPr>
              <w:t>四车间</w:t>
            </w:r>
            <w:r>
              <w:rPr>
                <w:rFonts w:hint="eastAsia"/>
                <w:bCs/>
                <w:color w:val="FF0000"/>
                <w:sz w:val="24"/>
                <w:u w:val="wave"/>
                <w:lang w:val="en-US" w:eastAsia="zh-CN"/>
              </w:rPr>
              <w:t>及配套环保设施进行全面升级，考虑到四车间已使用近二十年，存在房屋结构及设施老化，难以原地改造提升</w:t>
            </w:r>
            <w:r>
              <w:rPr>
                <w:rFonts w:hint="eastAsia"/>
                <w:color w:val="FF0000"/>
                <w:sz w:val="24"/>
                <w:u w:val="wave"/>
                <w:lang w:val="en-US" w:eastAsia="zh-CN"/>
              </w:rPr>
              <w:t>，故企业拟扩建六</w:t>
            </w:r>
            <w:r>
              <w:rPr>
                <w:rFonts w:hint="eastAsia"/>
                <w:bCs/>
                <w:color w:val="FF0000"/>
                <w:sz w:val="24"/>
                <w:u w:val="wave"/>
                <w:lang w:val="en-US" w:eastAsia="zh-CN"/>
              </w:rPr>
              <w:t>车间（</w:t>
            </w:r>
            <w:r>
              <w:rPr>
                <w:rFonts w:hint="eastAsia" w:eastAsiaTheme="minorEastAsia"/>
                <w:color w:val="FF0000"/>
                <w:spacing w:val="-2"/>
                <w:sz w:val="24"/>
                <w:u w:val="wave"/>
                <w:lang w:val="en-US" w:eastAsia="zh-CN"/>
              </w:rPr>
              <w:t>渗锌二车间</w:t>
            </w:r>
            <w:r>
              <w:rPr>
                <w:rFonts w:hint="eastAsia"/>
                <w:bCs/>
                <w:color w:val="FF0000"/>
                <w:sz w:val="24"/>
                <w:u w:val="wave"/>
                <w:lang w:val="en-US" w:eastAsia="zh-CN"/>
              </w:rPr>
              <w:t>），</w:t>
            </w:r>
            <w:r>
              <w:rPr>
                <w:rFonts w:hint="eastAsia" w:eastAsiaTheme="minorEastAsia"/>
                <w:color w:val="FF0000"/>
                <w:spacing w:val="-2"/>
                <w:sz w:val="24"/>
                <w:u w:val="wave"/>
                <w:lang w:val="en-US" w:eastAsia="zh-CN"/>
              </w:rPr>
              <w:t>连通六车间与七车间之间的通道，新增厂房面积600m</w:t>
            </w:r>
            <w:r>
              <w:rPr>
                <w:rFonts w:hint="eastAsia" w:eastAsiaTheme="minorEastAsia"/>
                <w:color w:val="FF0000"/>
                <w:spacing w:val="-2"/>
                <w:sz w:val="24"/>
                <w:u w:val="wave"/>
                <w:vertAlign w:val="superscript"/>
                <w:lang w:val="en-US" w:eastAsia="zh-CN"/>
              </w:rPr>
              <w:t>2</w:t>
            </w:r>
            <w:r>
              <w:rPr>
                <w:rFonts w:hint="eastAsia" w:eastAsiaTheme="minorEastAsia"/>
                <w:color w:val="FF0000"/>
                <w:spacing w:val="-2"/>
                <w:sz w:val="24"/>
                <w:u w:val="wave"/>
                <w:vertAlign w:val="baseline"/>
                <w:lang w:val="en-US" w:eastAsia="zh-CN"/>
              </w:rPr>
              <w:t>，</w:t>
            </w:r>
            <w:r>
              <w:rPr>
                <w:rFonts w:hint="eastAsia" w:eastAsiaTheme="minorEastAsia"/>
                <w:color w:val="FF0000"/>
                <w:spacing w:val="-2"/>
                <w:sz w:val="24"/>
                <w:u w:val="wave"/>
                <w:lang w:val="en-US" w:eastAsia="zh-CN"/>
              </w:rPr>
              <w:t>增设2台</w:t>
            </w:r>
            <w:r>
              <w:rPr>
                <w:rFonts w:hint="eastAsia" w:eastAsiaTheme="minorEastAsia"/>
                <w:color w:val="FF0000"/>
                <w:spacing w:val="-2"/>
                <w:sz w:val="24"/>
                <w:u w:val="wave"/>
              </w:rPr>
              <w:t>燃气渗锌炉</w:t>
            </w:r>
            <w:r>
              <w:rPr>
                <w:rFonts w:hint="eastAsia" w:eastAsiaTheme="minorEastAsia"/>
                <w:color w:val="FF0000"/>
                <w:spacing w:val="-2"/>
                <w:sz w:val="24"/>
                <w:u w:val="wave"/>
                <w:lang w:val="en-US" w:eastAsia="zh-CN"/>
              </w:rPr>
              <w:t>替代现有电加热渗锌设备</w:t>
            </w:r>
            <w:r>
              <w:rPr>
                <w:rFonts w:hint="eastAsia"/>
                <w:color w:val="FF0000"/>
                <w:sz w:val="24"/>
                <w:u w:val="wave"/>
                <w:lang w:val="en-US" w:eastAsia="zh-CN"/>
              </w:rPr>
              <w:t>，以满足工艺和环保要求，改造后，全厂渗锌规模基本不变，而环境管理水平将得到较大程度提升。</w:t>
            </w:r>
          </w:p>
          <w:p>
            <w:pPr>
              <w:adjustRightInd w:val="0"/>
              <w:snapToGrid w:val="0"/>
              <w:spacing w:line="360" w:lineRule="auto"/>
              <w:ind w:firstLine="480" w:firstLineChars="200"/>
              <w:rPr>
                <w:rFonts w:hint="default"/>
                <w:sz w:val="24"/>
                <w:lang w:val="en-US" w:eastAsia="zh-CN"/>
              </w:rPr>
            </w:pPr>
            <w:r>
              <w:rPr>
                <w:rFonts w:hint="eastAsia"/>
                <w:color w:val="FF0000"/>
                <w:sz w:val="24"/>
                <w:u w:val="wave"/>
                <w:lang w:val="en-US" w:eastAsia="zh-CN"/>
              </w:rPr>
              <w:t>此外，根据实际生产需求，增加碳化除油、检测等工序并相应增加部分生产设备。改造完成后，全厂总设计生产能力保持不变。</w:t>
            </w:r>
          </w:p>
          <w:p>
            <w:pPr>
              <w:adjustRightInd w:val="0"/>
              <w:snapToGrid w:val="0"/>
              <w:spacing w:line="360" w:lineRule="auto"/>
              <w:ind w:firstLine="480" w:firstLineChars="200"/>
              <w:rPr>
                <w:sz w:val="24"/>
              </w:rPr>
            </w:pPr>
            <w:r>
              <w:rPr>
                <w:rFonts w:hint="eastAsia"/>
                <w:sz w:val="24"/>
              </w:rPr>
              <w:t>根据《中华人民共和国环境保护法》以及国务院令682号文《建设项目环境保护管理条例》、《中华人民共和国环境影响评价法》及《建设项目环境影响评价分类管理名录（2021年版）》（生态环境部令第16号，2021年1月1日）的有关规定，本项目属于“三十四、铁路、船舶、航空航天和其他运输设备制造业—72铁路运输设备制造371-其他（年用非溶剂型低VOCs含量涂料10吨以下的除外）”类别；同时，天然气燃烧装置涉及“四十一、电力、热力生产和供应业45-91.热力生产供应和供应工程（包括建设单位自建自用的供热工程）-天然气锅炉总容量1吨/小时（0.7兆瓦）以上”类别。因此，确定本项目评价类别为环境影响报告表。据此，建设单位委托湖南</w:t>
            </w:r>
            <w:r>
              <w:rPr>
                <w:sz w:val="24"/>
              </w:rPr>
              <w:t>鑫煜环保科技有限公司</w:t>
            </w:r>
            <w:r>
              <w:rPr>
                <w:rFonts w:hint="eastAsia"/>
                <w:sz w:val="24"/>
              </w:rPr>
              <w:t>进行环境影响报告表的编制工作。我公司接受委托后，在现场踏勘、资料收集的基础上，根据相关技术导则和规范编制完成了该项目环境影响报告表。</w:t>
            </w:r>
          </w:p>
          <w:p>
            <w:pPr>
              <w:adjustRightInd w:val="0"/>
              <w:snapToGrid w:val="0"/>
              <w:spacing w:line="360" w:lineRule="auto"/>
              <w:ind w:firstLine="482" w:firstLineChars="200"/>
              <w:rPr>
                <w:b/>
                <w:bCs/>
                <w:sz w:val="24"/>
              </w:rPr>
            </w:pPr>
            <w:r>
              <w:rPr>
                <w:rFonts w:hint="eastAsia"/>
                <w:b/>
                <w:bCs/>
                <w:sz w:val="24"/>
              </w:rPr>
              <w:t>2、项目概况</w:t>
            </w:r>
          </w:p>
          <w:p>
            <w:pPr>
              <w:adjustRightInd w:val="0"/>
              <w:snapToGrid w:val="0"/>
              <w:spacing w:line="360" w:lineRule="auto"/>
              <w:ind w:firstLine="480" w:firstLineChars="200"/>
              <w:rPr>
                <w:rFonts w:hint="eastAsia"/>
                <w:bCs/>
                <w:sz w:val="24"/>
                <w:lang w:val="en-US" w:eastAsia="zh-CN"/>
              </w:rPr>
            </w:pPr>
            <w:r>
              <w:rPr>
                <w:rFonts w:hint="eastAsia"/>
                <w:bCs/>
                <w:sz w:val="24"/>
              </w:rPr>
              <w:t>项目总投资</w:t>
            </w:r>
            <w:r>
              <w:rPr>
                <w:rFonts w:hint="eastAsia"/>
                <w:bCs/>
                <w:sz w:val="24"/>
                <w:lang w:val="en-US" w:eastAsia="zh-CN"/>
              </w:rPr>
              <w:t>200</w:t>
            </w:r>
            <w:r>
              <w:rPr>
                <w:rFonts w:hint="eastAsia"/>
                <w:bCs/>
                <w:sz w:val="24"/>
              </w:rPr>
              <w:t>万元</w:t>
            </w:r>
            <w:r>
              <w:rPr>
                <w:rFonts w:hint="eastAsia"/>
                <w:sz w:val="24"/>
              </w:rPr>
              <w:t>，</w:t>
            </w:r>
            <w:r>
              <w:rPr>
                <w:rFonts w:hint="eastAsia"/>
                <w:bCs/>
                <w:sz w:val="24"/>
                <w:lang w:val="en-US" w:eastAsia="zh-CN"/>
              </w:rPr>
              <w:t>主要改建内容包括：</w:t>
            </w:r>
          </w:p>
          <w:p>
            <w:pPr>
              <w:adjustRightInd w:val="0"/>
              <w:snapToGrid w:val="0"/>
              <w:spacing w:line="360" w:lineRule="auto"/>
              <w:ind w:firstLine="480" w:firstLineChars="200"/>
              <w:rPr>
                <w:rFonts w:hint="eastAsia" w:eastAsiaTheme="minorEastAsia"/>
                <w:spacing w:val="-2"/>
                <w:sz w:val="24"/>
                <w:lang w:val="en-US" w:eastAsia="zh-CN"/>
              </w:rPr>
            </w:pPr>
            <w:r>
              <w:rPr>
                <w:rFonts w:hint="eastAsia"/>
                <w:bCs/>
                <w:sz w:val="24"/>
                <w:lang w:val="en-US" w:eastAsia="zh-CN"/>
              </w:rPr>
              <w:t>①检验产品抗盐雾腐蚀能力，在</w:t>
            </w:r>
            <w:r>
              <w:rPr>
                <w:rFonts w:hint="eastAsia" w:eastAsiaTheme="minorEastAsia"/>
                <w:spacing w:val="-2"/>
                <w:sz w:val="24"/>
                <w:lang w:val="en-US" w:eastAsia="zh-CN"/>
              </w:rPr>
              <w:t>一车间新增2</w:t>
            </w:r>
            <w:r>
              <w:rPr>
                <w:rFonts w:hint="eastAsia" w:eastAsiaTheme="minorEastAsia"/>
                <w:spacing w:val="-2"/>
                <w:sz w:val="24"/>
              </w:rPr>
              <w:t>台盐雾试验箱</w:t>
            </w:r>
            <w:r>
              <w:rPr>
                <w:rFonts w:hint="eastAsia" w:eastAsiaTheme="minorEastAsia"/>
                <w:spacing w:val="-2"/>
                <w:sz w:val="24"/>
                <w:lang w:val="en-US" w:eastAsia="zh-CN"/>
              </w:rPr>
              <w:t>；</w:t>
            </w:r>
          </w:p>
          <w:p>
            <w:pPr>
              <w:adjustRightInd w:val="0"/>
              <w:snapToGrid w:val="0"/>
              <w:spacing w:line="360" w:lineRule="auto"/>
              <w:ind w:firstLine="472" w:firstLineChars="200"/>
              <w:rPr>
                <w:rFonts w:hint="eastAsia" w:eastAsiaTheme="minorEastAsia"/>
                <w:spacing w:val="-2"/>
                <w:sz w:val="24"/>
                <w:vertAlign w:val="baseline"/>
                <w:lang w:val="en-US" w:eastAsia="zh-CN"/>
              </w:rPr>
            </w:pPr>
            <w:r>
              <w:rPr>
                <w:rFonts w:hint="eastAsia" w:eastAsiaTheme="minorEastAsia"/>
                <w:spacing w:val="-2"/>
                <w:sz w:val="24"/>
                <w:lang w:val="en-US" w:eastAsia="zh-CN"/>
              </w:rPr>
              <w:t>②三车间</w:t>
            </w:r>
            <w:r>
              <w:rPr>
                <w:rFonts w:hint="eastAsia" w:eastAsiaTheme="minorEastAsia"/>
                <w:spacing w:val="-2"/>
                <w:sz w:val="24"/>
              </w:rPr>
              <w:t>新增1台激光切割机</w:t>
            </w:r>
            <w:r>
              <w:rPr>
                <w:rFonts w:hint="eastAsia" w:eastAsiaTheme="minorEastAsia"/>
                <w:spacing w:val="-2"/>
                <w:sz w:val="24"/>
                <w:vertAlign w:val="baseline"/>
                <w:lang w:val="en-US" w:eastAsia="zh-CN"/>
              </w:rPr>
              <w:t>；</w:t>
            </w:r>
          </w:p>
          <w:p>
            <w:pPr>
              <w:adjustRightInd w:val="0"/>
              <w:snapToGrid w:val="0"/>
              <w:spacing w:line="360" w:lineRule="auto"/>
              <w:ind w:firstLine="472" w:firstLineChars="200"/>
              <w:rPr>
                <w:rFonts w:hint="eastAsia" w:eastAsiaTheme="minorEastAsia"/>
                <w:spacing w:val="-2"/>
                <w:sz w:val="24"/>
                <w:lang w:val="en-US" w:eastAsia="zh-CN"/>
              </w:rPr>
            </w:pPr>
            <w:r>
              <w:rPr>
                <w:rFonts w:hint="eastAsia" w:eastAsiaTheme="minorEastAsia"/>
                <w:spacing w:val="-2"/>
                <w:sz w:val="24"/>
                <w:vertAlign w:val="baseline"/>
                <w:lang w:val="en-US" w:eastAsia="zh-CN"/>
              </w:rPr>
              <w:t>③</w:t>
            </w:r>
            <w:r>
              <w:rPr>
                <w:rFonts w:hint="eastAsia" w:eastAsiaTheme="minorEastAsia"/>
                <w:spacing w:val="-2"/>
                <w:sz w:val="24"/>
                <w:lang w:val="en-US" w:eastAsia="zh-CN"/>
              </w:rPr>
              <w:t>淘汰四车间的电加热渗锌设备、抛丸设备，车间改造为仓库；</w:t>
            </w:r>
          </w:p>
          <w:p>
            <w:pPr>
              <w:adjustRightInd w:val="0"/>
              <w:snapToGrid w:val="0"/>
              <w:spacing w:line="360" w:lineRule="auto"/>
              <w:ind w:firstLine="472" w:firstLineChars="200"/>
              <w:rPr>
                <w:rFonts w:hint="eastAsia" w:eastAsiaTheme="minorEastAsia"/>
                <w:spacing w:val="-2"/>
                <w:sz w:val="24"/>
                <w:lang w:val="en-US" w:eastAsia="zh-CN"/>
              </w:rPr>
            </w:pPr>
            <w:r>
              <w:rPr>
                <w:rFonts w:hint="eastAsia" w:eastAsiaTheme="minorEastAsia"/>
                <w:spacing w:val="-2"/>
                <w:sz w:val="24"/>
                <w:lang w:val="en-US" w:eastAsia="zh-CN"/>
              </w:rPr>
              <w:t>④扩建六车间（渗锌二车间），连通六车间与七车间之间的通道，新增厂房面积约600m</w:t>
            </w:r>
            <w:r>
              <w:rPr>
                <w:rFonts w:hint="eastAsia" w:eastAsiaTheme="minorEastAsia"/>
                <w:spacing w:val="-2"/>
                <w:sz w:val="24"/>
                <w:vertAlign w:val="superscript"/>
                <w:lang w:val="en-US" w:eastAsia="zh-CN"/>
              </w:rPr>
              <w:t>2</w:t>
            </w:r>
            <w:r>
              <w:rPr>
                <w:rFonts w:hint="eastAsia" w:eastAsiaTheme="minorEastAsia"/>
                <w:spacing w:val="-2"/>
                <w:sz w:val="24"/>
                <w:lang w:val="en-US" w:eastAsia="zh-CN"/>
              </w:rPr>
              <w:t>；</w:t>
            </w:r>
          </w:p>
          <w:p>
            <w:pPr>
              <w:adjustRightInd w:val="0"/>
              <w:snapToGrid w:val="0"/>
              <w:spacing w:line="360" w:lineRule="auto"/>
              <w:ind w:firstLine="472" w:firstLineChars="200"/>
              <w:rPr>
                <w:rFonts w:hint="eastAsia" w:eastAsiaTheme="minorEastAsia"/>
                <w:spacing w:val="-2"/>
                <w:sz w:val="24"/>
                <w:lang w:eastAsia="zh-CN"/>
              </w:rPr>
            </w:pPr>
            <w:r>
              <w:rPr>
                <w:rFonts w:hint="eastAsia" w:eastAsiaTheme="minorEastAsia"/>
                <w:spacing w:val="-2"/>
                <w:sz w:val="24"/>
                <w:lang w:val="en-US" w:eastAsia="zh-CN"/>
              </w:rPr>
              <w:t>⑤六车间新增</w:t>
            </w:r>
            <w:r>
              <w:rPr>
                <w:rFonts w:hint="eastAsia" w:eastAsiaTheme="minorEastAsia"/>
                <w:spacing w:val="-2"/>
                <w:sz w:val="24"/>
              </w:rPr>
              <w:t>1台全自动炉料吸送装置、1台燃气碳化除油炉</w:t>
            </w:r>
            <w:r>
              <w:rPr>
                <w:rFonts w:hint="eastAsia" w:eastAsiaTheme="minorEastAsia"/>
                <w:spacing w:val="-2"/>
                <w:sz w:val="24"/>
                <w:lang w:val="en-US" w:eastAsia="zh-CN"/>
              </w:rPr>
              <w:t>和</w:t>
            </w:r>
            <w:r>
              <w:rPr>
                <w:rFonts w:hint="eastAsia" w:eastAsiaTheme="minorEastAsia"/>
                <w:spacing w:val="-2"/>
                <w:sz w:val="24"/>
              </w:rPr>
              <w:t>2台四方滚筒燃气渗锌炉</w:t>
            </w:r>
            <w:r>
              <w:rPr>
                <w:rFonts w:hint="eastAsia" w:eastAsiaTheme="minorEastAsia"/>
                <w:spacing w:val="-2"/>
                <w:sz w:val="24"/>
                <w:lang w:eastAsia="zh-CN"/>
              </w:rPr>
              <w:t>（</w:t>
            </w:r>
            <w:r>
              <w:rPr>
                <w:rFonts w:hint="eastAsia" w:eastAsiaTheme="minorEastAsia"/>
                <w:spacing w:val="-2"/>
                <w:sz w:val="24"/>
                <w:lang w:val="en-US" w:eastAsia="zh-CN"/>
              </w:rPr>
              <w:t>炉膛尺寸：5m×1.2m×1.2m、6.5m×1.2m×1.2m</w:t>
            </w:r>
            <w:r>
              <w:rPr>
                <w:rFonts w:hint="eastAsia" w:eastAsiaTheme="minorEastAsia"/>
                <w:spacing w:val="-2"/>
                <w:sz w:val="24"/>
                <w:lang w:eastAsia="zh-CN"/>
              </w:rPr>
              <w:t>）；</w:t>
            </w:r>
          </w:p>
          <w:p>
            <w:pPr>
              <w:adjustRightInd w:val="0"/>
              <w:snapToGrid w:val="0"/>
              <w:spacing w:line="360" w:lineRule="auto"/>
              <w:ind w:firstLine="472" w:firstLineChars="200"/>
              <w:rPr>
                <w:rFonts w:hint="eastAsia" w:eastAsiaTheme="minorEastAsia"/>
                <w:spacing w:val="-2"/>
                <w:sz w:val="24"/>
                <w:lang w:val="en-US" w:eastAsia="zh-CN"/>
              </w:rPr>
            </w:pPr>
            <w:r>
              <w:rPr>
                <w:rFonts w:hint="eastAsia" w:eastAsiaTheme="minorEastAsia"/>
                <w:spacing w:val="-2"/>
                <w:sz w:val="24"/>
                <w:lang w:val="en-US" w:eastAsia="zh-CN"/>
              </w:rPr>
              <w:t>⑥七车间增加1个钝化槽（2m×1.2m×1m）；</w:t>
            </w:r>
          </w:p>
          <w:p>
            <w:pPr>
              <w:adjustRightInd w:val="0"/>
              <w:snapToGrid w:val="0"/>
              <w:spacing w:line="360" w:lineRule="auto"/>
              <w:ind w:firstLine="472" w:firstLineChars="200"/>
              <w:rPr>
                <w:rFonts w:hint="eastAsia" w:eastAsiaTheme="minorEastAsia"/>
                <w:spacing w:val="-2"/>
                <w:sz w:val="24"/>
                <w:lang w:eastAsia="zh-CN"/>
              </w:rPr>
            </w:pPr>
            <w:r>
              <w:rPr>
                <w:rFonts w:hint="eastAsia" w:eastAsiaTheme="minorEastAsia"/>
                <w:spacing w:val="-2"/>
                <w:sz w:val="24"/>
                <w:lang w:val="en-US" w:eastAsia="zh-CN"/>
              </w:rPr>
              <w:t>⑦生产工艺增加</w:t>
            </w:r>
            <w:r>
              <w:rPr>
                <w:rFonts w:hint="eastAsia"/>
                <w:bCs/>
                <w:sz w:val="24"/>
                <w:lang w:val="en-US" w:eastAsia="zh-CN"/>
              </w:rPr>
              <w:t>检测工序、碳化除油工序</w:t>
            </w:r>
            <w:r>
              <w:rPr>
                <w:rFonts w:hint="eastAsia" w:eastAsiaTheme="minorEastAsia"/>
                <w:spacing w:val="-2"/>
                <w:sz w:val="24"/>
                <w:lang w:eastAsia="zh-CN"/>
              </w:rPr>
              <w:t>。</w:t>
            </w:r>
          </w:p>
          <w:p>
            <w:pPr>
              <w:adjustRightInd w:val="0"/>
              <w:snapToGrid w:val="0"/>
              <w:spacing w:line="360" w:lineRule="auto"/>
              <w:ind w:firstLine="480" w:firstLineChars="200"/>
              <w:rPr>
                <w:bCs/>
                <w:sz w:val="24"/>
              </w:rPr>
            </w:pPr>
            <w:r>
              <w:rPr>
                <w:rFonts w:hint="eastAsia"/>
                <w:sz w:val="24"/>
              </w:rPr>
              <w:t>改建完成后企业总设计生产能力保持不变。项目主要组成</w:t>
            </w:r>
            <w:r>
              <w:rPr>
                <w:sz w:val="24"/>
              </w:rPr>
              <w:t>见表</w:t>
            </w:r>
            <w:r>
              <w:rPr>
                <w:rFonts w:hint="eastAsia"/>
                <w:sz w:val="24"/>
              </w:rPr>
              <w:t>2-1。</w:t>
            </w:r>
          </w:p>
          <w:p>
            <w:pPr>
              <w:autoSpaceDE w:val="0"/>
              <w:autoSpaceDN w:val="0"/>
              <w:adjustRightInd w:val="0"/>
              <w:spacing w:beforeLines="50"/>
              <w:jc w:val="center"/>
              <w:rPr>
                <w:rFonts w:ascii="Times New Roman" w:hAnsi="Times New Roman" w:eastAsia="宋体" w:cs="Times New Roman"/>
                <w:b/>
                <w:color w:val="FF0000"/>
                <w:kern w:val="0"/>
                <w:szCs w:val="21"/>
                <w:u w:val="wave"/>
              </w:rPr>
            </w:pPr>
            <w:r>
              <w:rPr>
                <w:rFonts w:ascii="Times New Roman" w:hAnsi="Times New Roman" w:eastAsia="宋体" w:cs="Times New Roman"/>
                <w:b/>
                <w:color w:val="FF0000"/>
                <w:kern w:val="0"/>
                <w:szCs w:val="21"/>
                <w:u w:val="wave"/>
              </w:rPr>
              <w:t>表2-1  项目</w:t>
            </w:r>
            <w:r>
              <w:rPr>
                <w:rFonts w:hint="eastAsia" w:ascii="Times New Roman" w:hAnsi="Times New Roman" w:eastAsia="宋体" w:cs="Times New Roman"/>
                <w:b/>
                <w:color w:val="FF0000"/>
                <w:kern w:val="0"/>
                <w:szCs w:val="21"/>
                <w:u w:val="wave"/>
              </w:rPr>
              <w:t>组成情况</w:t>
            </w:r>
            <w:r>
              <w:rPr>
                <w:rFonts w:ascii="Times New Roman" w:hAnsi="Times New Roman" w:eastAsia="宋体" w:cs="Times New Roman"/>
                <w:b/>
                <w:color w:val="FF0000"/>
                <w:kern w:val="0"/>
                <w:szCs w:val="21"/>
                <w:u w:val="wave"/>
              </w:rPr>
              <w:t>一览表</w:t>
            </w:r>
          </w:p>
          <w:tbl>
            <w:tblPr>
              <w:tblStyle w:val="2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57"/>
              <w:gridCol w:w="765"/>
              <w:gridCol w:w="3165"/>
              <w:gridCol w:w="1770"/>
              <w:gridCol w:w="29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restart"/>
                  <w:tcBorders>
                    <w:tl2br w:val="nil"/>
                    <w:tr2bl w:val="nil"/>
                  </w:tcBorders>
                  <w:vAlign w:val="center"/>
                </w:tcPr>
                <w:p>
                  <w:pPr>
                    <w:pStyle w:val="59"/>
                    <w:jc w:val="center"/>
                    <w:rPr>
                      <w:b/>
                      <w:color w:val="FF0000"/>
                      <w:sz w:val="21"/>
                      <w:szCs w:val="21"/>
                      <w:u w:val="wave"/>
                    </w:rPr>
                  </w:pPr>
                  <w:r>
                    <w:rPr>
                      <w:b/>
                      <w:color w:val="FF0000"/>
                      <w:sz w:val="21"/>
                      <w:szCs w:val="21"/>
                      <w:u w:val="wave"/>
                    </w:rPr>
                    <w:t>工程</w:t>
                  </w:r>
                </w:p>
                <w:p>
                  <w:pPr>
                    <w:pStyle w:val="59"/>
                    <w:jc w:val="center"/>
                    <w:rPr>
                      <w:rFonts w:ascii="Times New Roman" w:hAnsi="Times New Roman" w:eastAsia="宋体" w:cs="Times New Roman"/>
                      <w:b/>
                      <w:color w:val="FF0000"/>
                      <w:sz w:val="21"/>
                      <w:szCs w:val="21"/>
                      <w:u w:val="wave"/>
                      <w:lang w:val="en-US" w:eastAsia="zh-CN" w:bidi="ar-SA"/>
                    </w:rPr>
                  </w:pPr>
                  <w:r>
                    <w:rPr>
                      <w:b/>
                      <w:color w:val="FF0000"/>
                      <w:sz w:val="21"/>
                      <w:szCs w:val="21"/>
                      <w:u w:val="wave"/>
                    </w:rPr>
                    <w:t>类别</w:t>
                  </w:r>
                </w:p>
              </w:tc>
              <w:tc>
                <w:tcPr>
                  <w:tcW w:w="411" w:type="pct"/>
                  <w:vMerge w:val="restart"/>
                  <w:tcBorders>
                    <w:tl2br w:val="nil"/>
                    <w:tr2bl w:val="nil"/>
                  </w:tcBorders>
                  <w:vAlign w:val="center"/>
                </w:tcPr>
                <w:p>
                  <w:pPr>
                    <w:pStyle w:val="59"/>
                    <w:jc w:val="center"/>
                    <w:rPr>
                      <w:b/>
                      <w:color w:val="FF0000"/>
                      <w:sz w:val="21"/>
                      <w:szCs w:val="21"/>
                      <w:u w:val="wave"/>
                    </w:rPr>
                  </w:pPr>
                  <w:r>
                    <w:rPr>
                      <w:b/>
                      <w:color w:val="FF0000"/>
                      <w:sz w:val="21"/>
                      <w:szCs w:val="21"/>
                      <w:u w:val="wave"/>
                    </w:rPr>
                    <w:t>工程</w:t>
                  </w:r>
                </w:p>
                <w:p>
                  <w:pPr>
                    <w:pStyle w:val="59"/>
                    <w:jc w:val="center"/>
                    <w:rPr>
                      <w:rFonts w:ascii="Times New Roman" w:hAnsi="Times New Roman" w:eastAsia="宋体" w:cs="Times New Roman"/>
                      <w:b/>
                      <w:color w:val="FF0000"/>
                      <w:sz w:val="21"/>
                      <w:szCs w:val="21"/>
                      <w:u w:val="wave"/>
                      <w:lang w:val="en-US" w:eastAsia="zh-CN" w:bidi="ar-SA"/>
                    </w:rPr>
                  </w:pPr>
                  <w:r>
                    <w:rPr>
                      <w:b/>
                      <w:color w:val="FF0000"/>
                      <w:sz w:val="21"/>
                      <w:szCs w:val="21"/>
                      <w:u w:val="wave"/>
                    </w:rPr>
                    <w:t>名称</w:t>
                  </w:r>
                </w:p>
              </w:tc>
              <w:tc>
                <w:tcPr>
                  <w:tcW w:w="4234" w:type="pct"/>
                  <w:gridSpan w:val="3"/>
                  <w:tcBorders>
                    <w:tl2br w:val="nil"/>
                    <w:tr2bl w:val="nil"/>
                  </w:tcBorders>
                  <w:vAlign w:val="center"/>
                </w:tcPr>
                <w:p>
                  <w:pPr>
                    <w:pStyle w:val="2"/>
                    <w:jc w:val="center"/>
                    <w:rPr>
                      <w:b/>
                      <w:color w:val="FF0000"/>
                      <w:sz w:val="21"/>
                      <w:szCs w:val="21"/>
                      <w:u w:val="wave"/>
                    </w:rPr>
                  </w:pPr>
                  <w:r>
                    <w:rPr>
                      <w:b/>
                      <w:color w:val="FF0000"/>
                      <w:sz w:val="21"/>
                      <w:szCs w:val="21"/>
                      <w:u w:val="wave"/>
                    </w:rPr>
                    <w:t>工程规模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vMerge w:val="continue"/>
                  <w:tcBorders>
                    <w:tl2br w:val="nil"/>
                    <w:tr2bl w:val="nil"/>
                  </w:tcBorders>
                  <w:vAlign w:val="center"/>
                </w:tcPr>
                <w:p>
                  <w:pPr>
                    <w:pStyle w:val="2"/>
                    <w:jc w:val="center"/>
                    <w:rPr>
                      <w:color w:val="FF0000"/>
                      <w:sz w:val="21"/>
                      <w:szCs w:val="21"/>
                      <w:u w:val="wave"/>
                      <w:vertAlign w:val="baseline"/>
                    </w:rPr>
                  </w:pPr>
                </w:p>
              </w:tc>
              <w:tc>
                <w:tcPr>
                  <w:tcW w:w="1704" w:type="pct"/>
                  <w:tcBorders>
                    <w:tl2br w:val="nil"/>
                    <w:tr2bl w:val="nil"/>
                  </w:tcBorders>
                  <w:vAlign w:val="center"/>
                </w:tcPr>
                <w:p>
                  <w:pPr>
                    <w:pStyle w:val="59"/>
                    <w:jc w:val="center"/>
                    <w:rPr>
                      <w:rFonts w:ascii="Times New Roman" w:hAnsi="Times New Roman" w:eastAsia="宋体" w:cs="Times New Roman"/>
                      <w:b/>
                      <w:color w:val="FF0000"/>
                      <w:sz w:val="21"/>
                      <w:szCs w:val="21"/>
                      <w:u w:val="wave"/>
                      <w:lang w:val="en-US" w:eastAsia="zh-CN" w:bidi="ar-SA"/>
                    </w:rPr>
                  </w:pPr>
                  <w:r>
                    <w:rPr>
                      <w:b/>
                      <w:color w:val="FF0000"/>
                      <w:sz w:val="21"/>
                      <w:szCs w:val="21"/>
                      <w:u w:val="wave"/>
                    </w:rPr>
                    <w:t>现有工程</w:t>
                  </w:r>
                </w:p>
              </w:tc>
              <w:tc>
                <w:tcPr>
                  <w:tcW w:w="953" w:type="pct"/>
                  <w:tcBorders>
                    <w:tl2br w:val="nil"/>
                    <w:tr2bl w:val="nil"/>
                  </w:tcBorders>
                  <w:vAlign w:val="center"/>
                </w:tcPr>
                <w:p>
                  <w:pPr>
                    <w:pStyle w:val="59"/>
                    <w:jc w:val="center"/>
                    <w:rPr>
                      <w:rFonts w:ascii="Times New Roman" w:hAnsi="Times New Roman" w:eastAsia="宋体" w:cs="Times New Roman"/>
                      <w:b/>
                      <w:color w:val="FF0000"/>
                      <w:sz w:val="21"/>
                      <w:szCs w:val="21"/>
                      <w:u w:val="wave"/>
                      <w:lang w:val="en-US" w:eastAsia="zh-CN" w:bidi="ar-SA"/>
                    </w:rPr>
                  </w:pPr>
                  <w:r>
                    <w:rPr>
                      <w:rFonts w:hint="eastAsia"/>
                      <w:b/>
                      <w:color w:val="FF0000"/>
                      <w:sz w:val="21"/>
                      <w:szCs w:val="21"/>
                      <w:u w:val="wave"/>
                      <w:lang w:val="en-US" w:eastAsia="zh-CN"/>
                    </w:rPr>
                    <w:t>改建</w:t>
                  </w:r>
                  <w:r>
                    <w:rPr>
                      <w:b/>
                      <w:color w:val="FF0000"/>
                      <w:sz w:val="21"/>
                      <w:szCs w:val="21"/>
                      <w:u w:val="wave"/>
                    </w:rPr>
                    <w:t>工程</w:t>
                  </w:r>
                </w:p>
              </w:tc>
              <w:tc>
                <w:tcPr>
                  <w:tcW w:w="1576" w:type="pct"/>
                  <w:tcBorders>
                    <w:tl2br w:val="nil"/>
                    <w:tr2bl w:val="nil"/>
                  </w:tcBorders>
                  <w:vAlign w:val="center"/>
                </w:tcPr>
                <w:p>
                  <w:pPr>
                    <w:pStyle w:val="59"/>
                    <w:jc w:val="center"/>
                    <w:rPr>
                      <w:rFonts w:hint="default"/>
                      <w:b/>
                      <w:color w:val="FF0000"/>
                      <w:sz w:val="21"/>
                      <w:szCs w:val="21"/>
                      <w:u w:val="wave"/>
                      <w:lang w:val="en-US" w:eastAsia="zh-CN"/>
                    </w:rPr>
                  </w:pPr>
                  <w:r>
                    <w:rPr>
                      <w:rFonts w:hint="eastAsia"/>
                      <w:b/>
                      <w:color w:val="FF0000"/>
                      <w:sz w:val="21"/>
                      <w:szCs w:val="21"/>
                      <w:u w:val="wave"/>
                      <w:lang w:val="en-US" w:eastAsia="zh-CN"/>
                    </w:rPr>
                    <w:t>改建完成后全厂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restart"/>
                  <w:tcBorders>
                    <w:tl2br w:val="nil"/>
                    <w:tr2bl w:val="nil"/>
                  </w:tcBorders>
                  <w:vAlign w:val="center"/>
                </w:tcPr>
                <w:p>
                  <w:pPr>
                    <w:pStyle w:val="59"/>
                    <w:jc w:val="center"/>
                    <w:rPr>
                      <w:color w:val="FF0000"/>
                      <w:sz w:val="21"/>
                      <w:szCs w:val="21"/>
                      <w:u w:val="wave"/>
                    </w:rPr>
                  </w:pPr>
                  <w:r>
                    <w:rPr>
                      <w:color w:val="FF0000"/>
                      <w:sz w:val="21"/>
                      <w:szCs w:val="21"/>
                      <w:u w:val="wave"/>
                    </w:rPr>
                    <w:t>主体</w:t>
                  </w:r>
                </w:p>
                <w:p>
                  <w:pPr>
                    <w:pStyle w:val="2"/>
                    <w:jc w:val="center"/>
                    <w:rPr>
                      <w:color w:val="FF0000"/>
                      <w:sz w:val="21"/>
                      <w:szCs w:val="21"/>
                      <w:u w:val="wave"/>
                      <w:vertAlign w:val="baseline"/>
                    </w:rPr>
                  </w:pPr>
                  <w:r>
                    <w:rPr>
                      <w:color w:val="FF0000"/>
                      <w:sz w:val="21"/>
                      <w:szCs w:val="21"/>
                      <w:u w:val="wave"/>
                    </w:rPr>
                    <w:t>工程</w:t>
                  </w:r>
                </w:p>
              </w:tc>
              <w:tc>
                <w:tcPr>
                  <w:tcW w:w="411" w:type="pct"/>
                  <w:tcBorders>
                    <w:tl2br w:val="nil"/>
                    <w:tr2bl w:val="nil"/>
                  </w:tcBorders>
                  <w:vAlign w:val="center"/>
                </w:tcPr>
                <w:p>
                  <w:pPr>
                    <w:pStyle w:val="2"/>
                    <w:jc w:val="center"/>
                    <w:rPr>
                      <w:rFonts w:ascii="Times New Roman" w:cs="Times New Roman"/>
                      <w:color w:val="FF0000"/>
                      <w:sz w:val="21"/>
                      <w:szCs w:val="21"/>
                      <w:u w:val="wave"/>
                    </w:rPr>
                  </w:pPr>
                  <w:r>
                    <w:rPr>
                      <w:rFonts w:ascii="Times New Roman" w:cs="Times New Roman"/>
                      <w:color w:val="FF0000"/>
                      <w:sz w:val="21"/>
                      <w:szCs w:val="21"/>
                      <w:u w:val="wave"/>
                    </w:rPr>
                    <w:t>产品</w:t>
                  </w:r>
                </w:p>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规模</w:t>
                  </w:r>
                </w:p>
              </w:tc>
              <w:tc>
                <w:tcPr>
                  <w:tcW w:w="1704" w:type="pct"/>
                  <w:tcBorders>
                    <w:tl2br w:val="nil"/>
                    <w:tr2bl w:val="nil"/>
                  </w:tcBorders>
                  <w:vAlign w:val="center"/>
                </w:tcPr>
                <w:p>
                  <w:pPr>
                    <w:pStyle w:val="2"/>
                    <w:jc w:val="center"/>
                    <w:rPr>
                      <w:rFonts w:hint="eastAsia" w:ascii="Times New Roman" w:cs="Times New Roman"/>
                      <w:color w:val="FF0000"/>
                      <w:sz w:val="21"/>
                      <w:szCs w:val="21"/>
                      <w:u w:val="wave"/>
                      <w:lang w:eastAsia="zh-CN"/>
                    </w:rPr>
                  </w:pPr>
                  <w:r>
                    <w:rPr>
                      <w:rFonts w:hint="eastAsia" w:ascii="Times New Roman" w:cs="Times New Roman"/>
                      <w:color w:val="FF0000"/>
                      <w:sz w:val="21"/>
                      <w:szCs w:val="21"/>
                      <w:u w:val="wave"/>
                      <w:lang w:val="en-US" w:eastAsia="zh-CN"/>
                    </w:rPr>
                    <w:t>已投产：</w:t>
                  </w:r>
                  <w:r>
                    <w:rPr>
                      <w:rFonts w:ascii="Times New Roman" w:cs="Times New Roman"/>
                      <w:color w:val="FF0000"/>
                      <w:sz w:val="21"/>
                      <w:szCs w:val="21"/>
                      <w:u w:val="wave"/>
                    </w:rPr>
                    <w:t>锚具250万件/年、预埋件6000吨/年</w:t>
                  </w:r>
                  <w:r>
                    <w:rPr>
                      <w:rFonts w:hint="eastAsia" w:ascii="Times New Roman" w:cs="Times New Roman"/>
                      <w:color w:val="FF0000"/>
                      <w:sz w:val="21"/>
                      <w:szCs w:val="21"/>
                      <w:u w:val="wave"/>
                      <w:lang w:eastAsia="zh-CN"/>
                    </w:rPr>
                    <w:t>；</w:t>
                  </w:r>
                </w:p>
                <w:p>
                  <w:pPr>
                    <w:pStyle w:val="2"/>
                    <w:jc w:val="center"/>
                    <w:rPr>
                      <w:rFonts w:ascii="Times New Roman" w:hAnsi="Times New Roman" w:eastAsia="宋体" w:cs="Times New Roman"/>
                      <w:color w:val="FF0000"/>
                      <w:sz w:val="21"/>
                      <w:szCs w:val="21"/>
                      <w:u w:val="wave"/>
                      <w:lang w:val="en-US" w:eastAsia="zh-CN" w:bidi="ar-SA"/>
                    </w:rPr>
                  </w:pPr>
                  <w:r>
                    <w:rPr>
                      <w:rFonts w:hint="eastAsia" w:ascii="Times New Roman" w:cs="Times New Roman"/>
                      <w:color w:val="FF0000"/>
                      <w:sz w:val="21"/>
                      <w:szCs w:val="21"/>
                      <w:u w:val="wave"/>
                      <w:lang w:val="en-US" w:eastAsia="zh-CN"/>
                    </w:rPr>
                    <w:t>未投产：</w:t>
                  </w:r>
                  <w:r>
                    <w:rPr>
                      <w:rFonts w:ascii="Times New Roman" w:cs="Times New Roman"/>
                      <w:color w:val="FF0000"/>
                      <w:sz w:val="21"/>
                      <w:szCs w:val="21"/>
                      <w:u w:val="wave"/>
                    </w:rPr>
                    <w:t>混凝土高性能聚羧酸减水剂母液3万吨/年（可复配外加剂成品约7万吨/年）</w:t>
                  </w:r>
                </w:p>
              </w:tc>
              <w:tc>
                <w:tcPr>
                  <w:tcW w:w="953" w:type="pct"/>
                  <w:tcBorders>
                    <w:tl2br w:val="nil"/>
                    <w:tr2bl w:val="nil"/>
                  </w:tcBorders>
                  <w:vAlign w:val="center"/>
                </w:tcPr>
                <w:p>
                  <w:pPr>
                    <w:jc w:val="center"/>
                    <w:rPr>
                      <w:rFonts w:hint="eastAsia"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tcBorders>
                    <w:tl2br w:val="nil"/>
                    <w:tr2bl w:val="nil"/>
                  </w:tcBorders>
                  <w:vAlign w:val="center"/>
                </w:tcPr>
                <w:p>
                  <w:pPr>
                    <w:jc w:val="center"/>
                    <w:rPr>
                      <w:rFonts w:hint="eastAsia" w:ascii="Times New Roman" w:cs="Times New Roman"/>
                      <w:color w:val="FF0000"/>
                      <w:sz w:val="21"/>
                      <w:szCs w:val="21"/>
                      <w:u w:val="wave"/>
                      <w:lang w:eastAsia="zh-CN"/>
                    </w:rPr>
                  </w:pPr>
                  <w:r>
                    <w:rPr>
                      <w:rFonts w:hint="eastAsia" w:ascii="Times New Roman" w:cs="Times New Roman"/>
                      <w:color w:val="FF0000"/>
                      <w:sz w:val="21"/>
                      <w:szCs w:val="21"/>
                      <w:u w:val="wave"/>
                      <w:lang w:val="en-US" w:eastAsia="zh-CN"/>
                    </w:rPr>
                    <w:t>已投产：</w:t>
                  </w:r>
                  <w:r>
                    <w:rPr>
                      <w:rFonts w:ascii="Times New Roman" w:cs="Times New Roman"/>
                      <w:color w:val="FF0000"/>
                      <w:sz w:val="21"/>
                      <w:szCs w:val="21"/>
                      <w:u w:val="wave"/>
                    </w:rPr>
                    <w:t>锚具250万件/年、预埋件6000吨/年</w:t>
                  </w:r>
                  <w:r>
                    <w:rPr>
                      <w:rFonts w:hint="eastAsia" w:ascii="Times New Roman" w:cs="Times New Roman"/>
                      <w:color w:val="FF0000"/>
                      <w:sz w:val="21"/>
                      <w:szCs w:val="21"/>
                      <w:u w:val="wave"/>
                      <w:lang w:eastAsia="zh-CN"/>
                    </w:rPr>
                    <w:t>；</w:t>
                  </w:r>
                </w:p>
                <w:p>
                  <w:pPr>
                    <w:jc w:val="center"/>
                    <w:rPr>
                      <w:color w:val="FF0000"/>
                      <w:sz w:val="21"/>
                      <w:szCs w:val="21"/>
                      <w:u w:val="wave"/>
                    </w:rPr>
                  </w:pPr>
                  <w:r>
                    <w:rPr>
                      <w:rFonts w:hint="eastAsia" w:ascii="Times New Roman" w:cs="Times New Roman"/>
                      <w:color w:val="FF0000"/>
                      <w:sz w:val="21"/>
                      <w:szCs w:val="21"/>
                      <w:u w:val="wave"/>
                      <w:lang w:val="en-US" w:eastAsia="zh-CN"/>
                    </w:rPr>
                    <w:t>未投产：</w:t>
                  </w:r>
                  <w:r>
                    <w:rPr>
                      <w:rFonts w:ascii="Times New Roman" w:cs="Times New Roman"/>
                      <w:color w:val="FF0000"/>
                      <w:sz w:val="21"/>
                      <w:szCs w:val="21"/>
                      <w:u w:val="wave"/>
                    </w:rPr>
                    <w:t>混凝土高性能聚羧酸减水剂母液3万吨/年（可复配外加剂成品约7万吨/年）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一车间</w:t>
                  </w:r>
                </w:p>
              </w:tc>
              <w:tc>
                <w:tcPr>
                  <w:tcW w:w="1704"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钢架结构，1F，占地约2100m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，主要设置预埋件生产区和弹条热处理区</w:t>
                  </w:r>
                  <w:r>
                    <w:rPr>
                      <w:rFonts w:hint="eastAsia"/>
                      <w:color w:val="FF0000"/>
                      <w:sz w:val="21"/>
                      <w:szCs w:val="21"/>
                      <w:u w:val="wave"/>
                    </w:rPr>
                    <w:t>，</w:t>
                  </w:r>
                  <w:r>
                    <w:rPr>
                      <w:color w:val="FF0000"/>
                      <w:sz w:val="21"/>
                      <w:szCs w:val="21"/>
                      <w:u w:val="wave"/>
                    </w:rPr>
                    <w:t>主要设备包括摇臂钻床</w:t>
                  </w:r>
                  <w:r>
                    <w:rPr>
                      <w:rFonts w:hint="eastAsia"/>
                      <w:color w:val="FF0000"/>
                      <w:sz w:val="21"/>
                      <w:szCs w:val="21"/>
                      <w:u w:val="wave"/>
                    </w:rPr>
                    <w:t>、</w:t>
                  </w:r>
                  <w:r>
                    <w:rPr>
                      <w:color w:val="FF0000"/>
                      <w:sz w:val="21"/>
                      <w:szCs w:val="21"/>
                      <w:u w:val="wave"/>
                    </w:rPr>
                    <w:t>砂轮机</w:t>
                  </w:r>
                  <w:r>
                    <w:rPr>
                      <w:rFonts w:hint="eastAsia"/>
                      <w:color w:val="FF0000"/>
                      <w:sz w:val="21"/>
                      <w:szCs w:val="21"/>
                      <w:u w:val="wave"/>
                    </w:rPr>
                    <w:t>、</w:t>
                  </w:r>
                  <w:r>
                    <w:rPr>
                      <w:color w:val="FF0000"/>
                      <w:sz w:val="21"/>
                      <w:szCs w:val="21"/>
                      <w:u w:val="wave"/>
                    </w:rPr>
                    <w:t>电气焊机</w:t>
                  </w:r>
                  <w:r>
                    <w:rPr>
                      <w:rFonts w:hint="eastAsia"/>
                      <w:color w:val="FF0000"/>
                      <w:sz w:val="21"/>
                      <w:szCs w:val="21"/>
                      <w:u w:val="wave"/>
                    </w:rPr>
                    <w:t>、</w:t>
                  </w:r>
                  <w:r>
                    <w:rPr>
                      <w:color w:val="FF0000"/>
                      <w:sz w:val="21"/>
                      <w:szCs w:val="21"/>
                      <w:u w:val="wave"/>
                    </w:rPr>
                    <w:t>压力机</w:t>
                  </w:r>
                  <w:r>
                    <w:rPr>
                      <w:rFonts w:hint="eastAsia"/>
                      <w:color w:val="FF0000"/>
                      <w:sz w:val="21"/>
                      <w:szCs w:val="21"/>
                      <w:u w:val="wave"/>
                    </w:rPr>
                    <w:t>、</w:t>
                  </w:r>
                  <w:r>
                    <w:rPr>
                      <w:rFonts w:hint="eastAsia"/>
                      <w:color w:val="FF0000"/>
                      <w:sz w:val="21"/>
                      <w:szCs w:val="21"/>
                      <w:u w:val="wave"/>
                      <w:lang w:eastAsia="zh-CN"/>
                    </w:rPr>
                    <w:t>网带式回火炉</w:t>
                  </w:r>
                  <w:r>
                    <w:rPr>
                      <w:rFonts w:hint="eastAsia"/>
                      <w:color w:val="FF0000"/>
                      <w:sz w:val="21"/>
                      <w:szCs w:val="21"/>
                      <w:u w:val="wave"/>
                    </w:rPr>
                    <w:t>、</w:t>
                  </w:r>
                  <w:r>
                    <w:rPr>
                      <w:color w:val="FF0000"/>
                      <w:sz w:val="21"/>
                      <w:szCs w:val="21"/>
                      <w:u w:val="wave"/>
                    </w:rPr>
                    <w:t>气保焊机等</w:t>
                  </w:r>
                </w:p>
              </w:tc>
              <w:tc>
                <w:tcPr>
                  <w:tcW w:w="953"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新增2台盐雾试验箱</w:t>
                  </w:r>
                </w:p>
              </w:tc>
              <w:tc>
                <w:tcPr>
                  <w:tcW w:w="1576" w:type="pct"/>
                  <w:tcBorders>
                    <w:tl2br w:val="nil"/>
                    <w:tr2bl w:val="nil"/>
                  </w:tcBorders>
                  <w:vAlign w:val="center"/>
                </w:tcPr>
                <w:p>
                  <w:pPr>
                    <w:jc w:val="center"/>
                    <w:rPr>
                      <w:color w:val="FF0000"/>
                      <w:sz w:val="21"/>
                      <w:szCs w:val="21"/>
                      <w:u w:val="wave"/>
                    </w:rPr>
                  </w:pPr>
                  <w:r>
                    <w:rPr>
                      <w:rFonts w:ascii="Times New Roman" w:cs="Times New Roman"/>
                      <w:color w:val="FF0000"/>
                      <w:sz w:val="21"/>
                      <w:szCs w:val="21"/>
                      <w:u w:val="wave"/>
                    </w:rPr>
                    <w:t>钢架结构，1F，占地约2100m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，主要设置预埋件生产区和弹条热处理区</w:t>
                  </w:r>
                  <w:r>
                    <w:rPr>
                      <w:rFonts w:hint="eastAsia"/>
                      <w:color w:val="FF0000"/>
                      <w:sz w:val="21"/>
                      <w:szCs w:val="21"/>
                      <w:u w:val="wave"/>
                    </w:rPr>
                    <w:t>，</w:t>
                  </w:r>
                  <w:r>
                    <w:rPr>
                      <w:color w:val="FF0000"/>
                      <w:sz w:val="21"/>
                      <w:szCs w:val="21"/>
                      <w:u w:val="wave"/>
                    </w:rPr>
                    <w:t>主要设备包括摇臂钻床</w:t>
                  </w:r>
                  <w:r>
                    <w:rPr>
                      <w:rFonts w:hint="eastAsia"/>
                      <w:color w:val="FF0000"/>
                      <w:sz w:val="21"/>
                      <w:szCs w:val="21"/>
                      <w:u w:val="wave"/>
                    </w:rPr>
                    <w:t>、</w:t>
                  </w:r>
                  <w:r>
                    <w:rPr>
                      <w:color w:val="FF0000"/>
                      <w:sz w:val="21"/>
                      <w:szCs w:val="21"/>
                      <w:u w:val="wave"/>
                    </w:rPr>
                    <w:t>砂轮机</w:t>
                  </w:r>
                  <w:r>
                    <w:rPr>
                      <w:rFonts w:hint="eastAsia"/>
                      <w:color w:val="FF0000"/>
                      <w:sz w:val="21"/>
                      <w:szCs w:val="21"/>
                      <w:u w:val="wave"/>
                    </w:rPr>
                    <w:t>、</w:t>
                  </w:r>
                  <w:r>
                    <w:rPr>
                      <w:color w:val="FF0000"/>
                      <w:sz w:val="21"/>
                      <w:szCs w:val="21"/>
                      <w:u w:val="wave"/>
                    </w:rPr>
                    <w:t>电气焊机</w:t>
                  </w:r>
                  <w:r>
                    <w:rPr>
                      <w:rFonts w:hint="eastAsia"/>
                      <w:color w:val="FF0000"/>
                      <w:sz w:val="21"/>
                      <w:szCs w:val="21"/>
                      <w:u w:val="wave"/>
                    </w:rPr>
                    <w:t>、</w:t>
                  </w:r>
                  <w:r>
                    <w:rPr>
                      <w:color w:val="FF0000"/>
                      <w:sz w:val="21"/>
                      <w:szCs w:val="21"/>
                      <w:u w:val="wave"/>
                    </w:rPr>
                    <w:t>压力机</w:t>
                  </w:r>
                  <w:r>
                    <w:rPr>
                      <w:rFonts w:hint="eastAsia"/>
                      <w:color w:val="FF0000"/>
                      <w:sz w:val="21"/>
                      <w:szCs w:val="21"/>
                      <w:u w:val="wave"/>
                    </w:rPr>
                    <w:t>、</w:t>
                  </w:r>
                  <w:r>
                    <w:rPr>
                      <w:rFonts w:hint="eastAsia"/>
                      <w:color w:val="FF0000"/>
                      <w:sz w:val="21"/>
                      <w:szCs w:val="21"/>
                      <w:u w:val="wave"/>
                      <w:lang w:eastAsia="zh-CN"/>
                    </w:rPr>
                    <w:t>网带式回火炉</w:t>
                  </w:r>
                  <w:r>
                    <w:rPr>
                      <w:rFonts w:hint="eastAsia"/>
                      <w:color w:val="FF0000"/>
                      <w:sz w:val="21"/>
                      <w:szCs w:val="21"/>
                      <w:u w:val="wave"/>
                    </w:rPr>
                    <w:t>、</w:t>
                  </w:r>
                  <w:r>
                    <w:rPr>
                      <w:color w:val="FF0000"/>
                      <w:sz w:val="21"/>
                      <w:szCs w:val="21"/>
                      <w:u w:val="wave"/>
                    </w:rPr>
                    <w:t>气保焊机</w:t>
                  </w:r>
                  <w:r>
                    <w:rPr>
                      <w:rFonts w:hint="eastAsia"/>
                      <w:color w:val="FF0000"/>
                      <w:sz w:val="21"/>
                      <w:szCs w:val="21"/>
                      <w:u w:val="wave"/>
                      <w:lang w:eastAsia="zh-CN"/>
                    </w:rPr>
                    <w:t>、</w:t>
                  </w:r>
                  <w:r>
                    <w:rPr>
                      <w:color w:val="FF0000"/>
                      <w:sz w:val="21"/>
                      <w:szCs w:val="21"/>
                      <w:u w:val="wave"/>
                    </w:rPr>
                    <w:t>盐雾试验箱等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二车间</w:t>
                  </w:r>
                </w:p>
              </w:tc>
              <w:tc>
                <w:tcPr>
                  <w:tcW w:w="1704"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钢架结构，1F，占地约1920m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w:t>
                  </w:r>
                  <w:r>
                    <w:rPr>
                      <w:rFonts w:ascii="Times New Roman" w:cs="Times New Roman"/>
                      <w:bCs/>
                      <w:color w:val="FF0000"/>
                      <w:sz w:val="21"/>
                      <w:szCs w:val="21"/>
                      <w:u w:val="wave"/>
                    </w:rPr>
                    <w:t>锚具生产区</w:t>
                  </w:r>
                  <w:r>
                    <w:rPr>
                      <w:rFonts w:hint="eastAsia"/>
                      <w:bCs/>
                      <w:color w:val="FF0000"/>
                      <w:sz w:val="21"/>
                      <w:szCs w:val="21"/>
                      <w:u w:val="wave"/>
                    </w:rPr>
                    <w:t>，主要设备包括立钻、车床、铣床、磨床</w:t>
                  </w:r>
                  <w:r>
                    <w:rPr>
                      <w:color w:val="FF0000"/>
                      <w:sz w:val="21"/>
                      <w:szCs w:val="21"/>
                      <w:u w:val="wave"/>
                    </w:rPr>
                    <w:t>等</w:t>
                  </w:r>
                </w:p>
              </w:tc>
              <w:tc>
                <w:tcPr>
                  <w:tcW w:w="953"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tcBorders>
                    <w:tl2br w:val="nil"/>
                    <w:tr2bl w:val="nil"/>
                  </w:tcBorders>
                  <w:vAlign w:val="center"/>
                </w:tcPr>
                <w:p>
                  <w:pPr>
                    <w:jc w:val="center"/>
                    <w:rPr>
                      <w:color w:val="FF0000"/>
                      <w:sz w:val="21"/>
                      <w:szCs w:val="21"/>
                      <w:u w:val="wave"/>
                    </w:rPr>
                  </w:pPr>
                  <w:r>
                    <w:rPr>
                      <w:rFonts w:ascii="Times New Roman" w:cs="Times New Roman"/>
                      <w:color w:val="FF0000"/>
                      <w:sz w:val="21"/>
                      <w:szCs w:val="21"/>
                      <w:u w:val="wave"/>
                    </w:rPr>
                    <w:t>钢架结构，1F，占地约1920m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w:t>
                  </w:r>
                  <w:r>
                    <w:rPr>
                      <w:rFonts w:ascii="Times New Roman" w:cs="Times New Roman"/>
                      <w:bCs/>
                      <w:color w:val="FF0000"/>
                      <w:sz w:val="21"/>
                      <w:szCs w:val="21"/>
                      <w:u w:val="wave"/>
                    </w:rPr>
                    <w:t>锚具生产区</w:t>
                  </w:r>
                  <w:r>
                    <w:rPr>
                      <w:rFonts w:hint="eastAsia"/>
                      <w:bCs/>
                      <w:color w:val="FF0000"/>
                      <w:sz w:val="21"/>
                      <w:szCs w:val="21"/>
                      <w:u w:val="wave"/>
                    </w:rPr>
                    <w:t>，主要设备包括立钻、车床、铣床、磨床</w:t>
                  </w:r>
                  <w:r>
                    <w:rPr>
                      <w:color w:val="FF0000"/>
                      <w:sz w:val="21"/>
                      <w:szCs w:val="21"/>
                      <w:u w:val="wave"/>
                    </w:rPr>
                    <w:t>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三车间</w:t>
                  </w:r>
                </w:p>
              </w:tc>
              <w:tc>
                <w:tcPr>
                  <w:tcW w:w="1704"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钢架结构，1F，占地约2120m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，主要设置下料生产区和热处理区</w:t>
                  </w:r>
                  <w:r>
                    <w:rPr>
                      <w:rFonts w:hint="eastAsia"/>
                      <w:color w:val="FF0000"/>
                      <w:sz w:val="21"/>
                      <w:szCs w:val="21"/>
                      <w:u w:val="wave"/>
                    </w:rPr>
                    <w:t>，主要设备包括卧式带锯床、火焰切割机、</w:t>
                  </w:r>
                  <w:r>
                    <w:rPr>
                      <w:color w:val="FF0000"/>
                      <w:sz w:val="21"/>
                      <w:szCs w:val="21"/>
                      <w:u w:val="wave"/>
                    </w:rPr>
                    <w:t>台车式电阻炉</w:t>
                  </w:r>
                  <w:r>
                    <w:rPr>
                      <w:rFonts w:hint="eastAsia"/>
                      <w:color w:val="FF0000"/>
                      <w:sz w:val="21"/>
                      <w:szCs w:val="21"/>
                      <w:u w:val="wave"/>
                    </w:rPr>
                    <w:t>、</w:t>
                  </w:r>
                  <w:r>
                    <w:rPr>
                      <w:color w:val="FF0000"/>
                      <w:sz w:val="21"/>
                      <w:szCs w:val="21"/>
                      <w:u w:val="wave"/>
                    </w:rPr>
                    <w:t>井式电阻炉</w:t>
                  </w:r>
                  <w:r>
                    <w:rPr>
                      <w:rFonts w:hint="eastAsia"/>
                      <w:color w:val="FF0000"/>
                      <w:sz w:val="21"/>
                      <w:szCs w:val="21"/>
                      <w:u w:val="wave"/>
                    </w:rPr>
                    <w:t>等</w:t>
                  </w:r>
                </w:p>
              </w:tc>
              <w:tc>
                <w:tcPr>
                  <w:tcW w:w="953"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新增1台激光切割机</w:t>
                  </w:r>
                </w:p>
              </w:tc>
              <w:tc>
                <w:tcPr>
                  <w:tcW w:w="1576" w:type="pct"/>
                  <w:tcBorders>
                    <w:tl2br w:val="nil"/>
                    <w:tr2bl w:val="nil"/>
                  </w:tcBorders>
                  <w:vAlign w:val="center"/>
                </w:tcPr>
                <w:p>
                  <w:pPr>
                    <w:jc w:val="center"/>
                    <w:rPr>
                      <w:color w:val="FF0000"/>
                      <w:sz w:val="21"/>
                      <w:szCs w:val="21"/>
                      <w:u w:val="wave"/>
                    </w:rPr>
                  </w:pPr>
                  <w:r>
                    <w:rPr>
                      <w:rFonts w:ascii="Times New Roman" w:cs="Times New Roman"/>
                      <w:color w:val="FF0000"/>
                      <w:sz w:val="21"/>
                      <w:szCs w:val="21"/>
                      <w:u w:val="wave"/>
                    </w:rPr>
                    <w:t>钢架结构，1F，占地约2120m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，主要设置下料生产区和热处理区</w:t>
                  </w:r>
                  <w:r>
                    <w:rPr>
                      <w:rFonts w:hint="eastAsia"/>
                      <w:color w:val="FF0000"/>
                      <w:sz w:val="21"/>
                      <w:szCs w:val="21"/>
                      <w:u w:val="wave"/>
                    </w:rPr>
                    <w:t>，主要设备包括卧式带锯床、火焰切割机、</w:t>
                  </w:r>
                  <w:r>
                    <w:rPr>
                      <w:color w:val="FF0000"/>
                      <w:sz w:val="21"/>
                      <w:szCs w:val="21"/>
                      <w:u w:val="wave"/>
                    </w:rPr>
                    <w:t>台车式电阻炉</w:t>
                  </w:r>
                  <w:r>
                    <w:rPr>
                      <w:rFonts w:hint="eastAsia"/>
                      <w:color w:val="FF0000"/>
                      <w:sz w:val="21"/>
                      <w:szCs w:val="21"/>
                      <w:u w:val="wave"/>
                    </w:rPr>
                    <w:t>、</w:t>
                  </w:r>
                  <w:r>
                    <w:rPr>
                      <w:color w:val="FF0000"/>
                      <w:sz w:val="21"/>
                      <w:szCs w:val="21"/>
                      <w:u w:val="wave"/>
                    </w:rPr>
                    <w:t>井式电阻炉</w:t>
                  </w:r>
                  <w:r>
                    <w:rPr>
                      <w:rFonts w:hint="eastAsia"/>
                      <w:color w:val="FF0000"/>
                      <w:sz w:val="21"/>
                      <w:szCs w:val="21"/>
                      <w:u w:val="wave"/>
                      <w:lang w:eastAsia="zh-CN"/>
                    </w:rPr>
                    <w:t>、</w:t>
                  </w:r>
                  <w:r>
                    <w:rPr>
                      <w:color w:val="FF0000"/>
                      <w:sz w:val="21"/>
                      <w:szCs w:val="21"/>
                      <w:u w:val="wave"/>
                    </w:rPr>
                    <w:t>激光切割机</w:t>
                  </w:r>
                  <w:r>
                    <w:rPr>
                      <w:rFonts w:hint="eastAsia"/>
                      <w:color w:val="FF0000"/>
                      <w:sz w:val="21"/>
                      <w:szCs w:val="21"/>
                      <w:u w:val="wave"/>
                    </w:rPr>
                    <w:t>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四车间</w:t>
                  </w:r>
                </w:p>
              </w:tc>
              <w:tc>
                <w:tcPr>
                  <w:tcW w:w="1704"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钢架结构，1F，占地约1290m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，主要设置渗锌生产区</w:t>
                  </w:r>
                  <w:r>
                    <w:rPr>
                      <w:rFonts w:hint="eastAsia" w:ascii="Times New Roman" w:cs="Times New Roman"/>
                      <w:color w:val="FF0000"/>
                      <w:sz w:val="21"/>
                      <w:szCs w:val="21"/>
                      <w:u w:val="wave"/>
                      <w:lang w:eastAsia="zh-CN"/>
                    </w:rPr>
                    <w:t>、</w:t>
                  </w:r>
                  <w:r>
                    <w:rPr>
                      <w:rFonts w:hint="eastAsia" w:ascii="Times New Roman" w:cs="Times New Roman"/>
                      <w:color w:val="FF0000"/>
                      <w:sz w:val="21"/>
                      <w:szCs w:val="21"/>
                      <w:u w:val="wave"/>
                      <w:lang w:val="en-US" w:eastAsia="zh-CN"/>
                    </w:rPr>
                    <w:t>抛丸区</w:t>
                  </w:r>
                  <w:r>
                    <w:rPr>
                      <w:rFonts w:ascii="Times New Roman" w:cs="Times New Roman"/>
                      <w:color w:val="FF0000"/>
                      <w:sz w:val="21"/>
                      <w:szCs w:val="21"/>
                      <w:u w:val="wave"/>
                    </w:rPr>
                    <w:t>等</w:t>
                  </w:r>
                  <w:r>
                    <w:rPr>
                      <w:rFonts w:hint="eastAsia"/>
                      <w:color w:val="FF0000"/>
                      <w:sz w:val="21"/>
                      <w:szCs w:val="21"/>
                      <w:u w:val="wave"/>
                    </w:rPr>
                    <w:t>，主要设备包括渗锌炉、多元合金共渗炉、履带式抛丸机等</w:t>
                  </w:r>
                </w:p>
              </w:tc>
              <w:tc>
                <w:tcPr>
                  <w:tcW w:w="953" w:type="pct"/>
                  <w:tcBorders>
                    <w:tl2br w:val="nil"/>
                    <w:tr2bl w:val="nil"/>
                  </w:tcBorders>
                  <w:vAlign w:val="center"/>
                </w:tcPr>
                <w:p>
                  <w:pPr>
                    <w:jc w:val="center"/>
                    <w:rPr>
                      <w:rFonts w:hint="default"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淘汰电加热渗锌设备、抛丸设备，抛丸处理依托</w:t>
                  </w:r>
                  <w:r>
                    <w:rPr>
                      <w:rFonts w:ascii="Times New Roman" w:cs="Times New Roman"/>
                      <w:color w:val="FF0000"/>
                      <w:sz w:val="21"/>
                      <w:szCs w:val="21"/>
                      <w:u w:val="wave"/>
                    </w:rPr>
                    <w:t>五车间</w:t>
                  </w:r>
                  <w:r>
                    <w:rPr>
                      <w:rFonts w:hint="eastAsia"/>
                      <w:color w:val="FF0000"/>
                      <w:sz w:val="21"/>
                      <w:szCs w:val="21"/>
                      <w:u w:val="wave"/>
                      <w:lang w:val="en-US" w:eastAsia="zh-CN"/>
                    </w:rPr>
                    <w:t>履带式抛丸机进行</w:t>
                  </w:r>
                </w:p>
              </w:tc>
              <w:tc>
                <w:tcPr>
                  <w:tcW w:w="1576" w:type="pct"/>
                  <w:tcBorders>
                    <w:tl2br w:val="nil"/>
                    <w:tr2bl w:val="nil"/>
                  </w:tcBorders>
                  <w:vAlign w:val="center"/>
                </w:tcPr>
                <w:p>
                  <w:pPr>
                    <w:jc w:val="center"/>
                    <w:rPr>
                      <w:rFonts w:hint="default" w:eastAsia="宋体"/>
                      <w:color w:val="FF0000"/>
                      <w:sz w:val="21"/>
                      <w:szCs w:val="21"/>
                      <w:u w:val="wave"/>
                      <w:lang w:val="en-US" w:eastAsia="zh-CN"/>
                    </w:rPr>
                  </w:pPr>
                  <w:r>
                    <w:rPr>
                      <w:rFonts w:ascii="Times New Roman" w:cs="Times New Roman"/>
                      <w:color w:val="FF0000"/>
                      <w:sz w:val="21"/>
                      <w:szCs w:val="21"/>
                      <w:u w:val="wave"/>
                    </w:rPr>
                    <w:t>钢架结构，1F，占地约1290m</w:t>
                  </w:r>
                  <w:r>
                    <w:rPr>
                      <w:rFonts w:ascii="Times New Roman" w:cs="Times New Roman"/>
                      <w:color w:val="FF0000"/>
                      <w:sz w:val="21"/>
                      <w:szCs w:val="21"/>
                      <w:u w:val="wave"/>
                      <w:vertAlign w:val="superscript"/>
                    </w:rPr>
                    <w:t>2</w:t>
                  </w:r>
                  <w:r>
                    <w:rPr>
                      <w:rFonts w:ascii="Times New Roman" w:cs="Times New Roman"/>
                      <w:color w:val="FF0000"/>
                      <w:sz w:val="21"/>
                      <w:szCs w:val="21"/>
                      <w:u w:val="wave"/>
                    </w:rPr>
                    <w:t>，</w:t>
                  </w:r>
                  <w:r>
                    <w:rPr>
                      <w:rFonts w:hint="eastAsia" w:cs="Times New Roman"/>
                      <w:color w:val="FF0000"/>
                      <w:sz w:val="21"/>
                      <w:szCs w:val="21"/>
                      <w:u w:val="wave"/>
                      <w:lang w:val="en-US" w:eastAsia="zh-CN"/>
                    </w:rPr>
                    <w:t>车间改造为仓库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2"/>
                    <w:jc w:val="center"/>
                    <w:rPr>
                      <w:rFonts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五车间</w:t>
                  </w:r>
                </w:p>
              </w:tc>
              <w:tc>
                <w:tcPr>
                  <w:tcW w:w="1704" w:type="pct"/>
                  <w:tcBorders>
                    <w:tl2br w:val="nil"/>
                    <w:tr2bl w:val="nil"/>
                  </w:tcBorders>
                  <w:vAlign w:val="center"/>
                </w:tcPr>
                <w:p>
                  <w:pPr>
                    <w:pStyle w:val="2"/>
                    <w:jc w:val="center"/>
                    <w:rPr>
                      <w:rFonts w:hint="default" w:ascii="Times New Roman" w:hAnsi="Times New Roman" w:eastAsia="宋体" w:cs="Times New Roman"/>
                      <w:color w:val="FF0000"/>
                      <w:sz w:val="21"/>
                      <w:szCs w:val="21"/>
                      <w:u w:val="wave"/>
                      <w:lang w:val="en-US" w:eastAsia="zh-CN" w:bidi="ar-SA"/>
                    </w:rPr>
                  </w:pPr>
                  <w:r>
                    <w:rPr>
                      <w:rFonts w:ascii="Times New Roman" w:cs="Times New Roman"/>
                      <w:color w:val="FF0000"/>
                      <w:sz w:val="21"/>
                      <w:szCs w:val="21"/>
                      <w:u w:val="wave"/>
                    </w:rPr>
                    <w:t>钢架结构，1F，占地约3400m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，主要设置锚垫板生产区、夹片生产区、螺旋筋</w:t>
                  </w:r>
                  <w:r>
                    <w:rPr>
                      <w:rFonts w:hint="eastAsia" w:ascii="Times New Roman" w:cs="Times New Roman"/>
                      <w:color w:val="FF0000"/>
                      <w:sz w:val="21"/>
                      <w:szCs w:val="21"/>
                      <w:u w:val="wave"/>
                      <w:lang w:eastAsia="zh-CN"/>
                    </w:rPr>
                    <w:t>、</w:t>
                  </w:r>
                  <w:r>
                    <w:rPr>
                      <w:rFonts w:ascii="Times New Roman" w:cs="Times New Roman"/>
                      <w:color w:val="FF0000"/>
                      <w:sz w:val="21"/>
                      <w:szCs w:val="21"/>
                      <w:u w:val="wave"/>
                    </w:rPr>
                    <w:t>角钢生产区</w:t>
                  </w:r>
                  <w:r>
                    <w:rPr>
                      <w:rFonts w:hint="eastAsia" w:ascii="Times New Roman" w:cs="Times New Roman"/>
                      <w:color w:val="FF0000"/>
                      <w:sz w:val="21"/>
                      <w:szCs w:val="21"/>
                      <w:u w:val="wave"/>
                      <w:lang w:eastAsia="zh-CN"/>
                    </w:rPr>
                    <w:t>、</w:t>
                  </w:r>
                  <w:r>
                    <w:rPr>
                      <w:rFonts w:hint="eastAsia" w:ascii="Times New Roman" w:cs="Times New Roman"/>
                      <w:color w:val="FF0000"/>
                      <w:sz w:val="21"/>
                      <w:szCs w:val="21"/>
                      <w:u w:val="wave"/>
                      <w:lang w:val="en-US" w:eastAsia="zh-CN"/>
                    </w:rPr>
                    <w:t>喷漆房及抛丸区，</w:t>
                  </w:r>
                  <w:r>
                    <w:rPr>
                      <w:color w:val="FF0000"/>
                      <w:sz w:val="21"/>
                      <w:szCs w:val="21"/>
                      <w:u w:val="wave"/>
                    </w:rPr>
                    <w:t>主要设备包括摇臂钻床</w:t>
                  </w:r>
                  <w:r>
                    <w:rPr>
                      <w:rFonts w:hint="eastAsia"/>
                      <w:color w:val="FF0000"/>
                      <w:sz w:val="21"/>
                      <w:szCs w:val="21"/>
                      <w:u w:val="wave"/>
                    </w:rPr>
                    <w:t>、</w:t>
                  </w:r>
                  <w:r>
                    <w:rPr>
                      <w:color w:val="FF0000"/>
                      <w:sz w:val="21"/>
                      <w:szCs w:val="21"/>
                      <w:u w:val="wave"/>
                    </w:rPr>
                    <w:t>钢筋弯曲机</w:t>
                  </w:r>
                  <w:r>
                    <w:rPr>
                      <w:rFonts w:hint="eastAsia"/>
                      <w:color w:val="FF0000"/>
                      <w:sz w:val="21"/>
                      <w:szCs w:val="21"/>
                      <w:u w:val="wave"/>
                    </w:rPr>
                    <w:t>、</w:t>
                  </w:r>
                  <w:r>
                    <w:rPr>
                      <w:color w:val="FF0000"/>
                      <w:sz w:val="21"/>
                      <w:szCs w:val="21"/>
                      <w:u w:val="wave"/>
                    </w:rPr>
                    <w:t>套丝机</w:t>
                  </w:r>
                  <w:r>
                    <w:rPr>
                      <w:rFonts w:hint="eastAsia"/>
                      <w:color w:val="FF0000"/>
                      <w:sz w:val="21"/>
                      <w:szCs w:val="21"/>
                      <w:u w:val="wave"/>
                    </w:rPr>
                    <w:t>、</w:t>
                  </w:r>
                  <w:r>
                    <w:rPr>
                      <w:color w:val="FF0000"/>
                      <w:sz w:val="21"/>
                      <w:szCs w:val="21"/>
                      <w:u w:val="wave"/>
                    </w:rPr>
                    <w:t>滚丝机</w:t>
                  </w:r>
                  <w:r>
                    <w:rPr>
                      <w:rFonts w:hint="eastAsia"/>
                      <w:color w:val="FF0000"/>
                      <w:sz w:val="21"/>
                      <w:szCs w:val="21"/>
                      <w:u w:val="wave"/>
                    </w:rPr>
                    <w:t>、卧式带锯床、车床、攻丝机、铣床</w:t>
                  </w:r>
                  <w:r>
                    <w:rPr>
                      <w:rFonts w:hint="eastAsia"/>
                      <w:color w:val="FF0000"/>
                      <w:sz w:val="21"/>
                      <w:szCs w:val="21"/>
                      <w:u w:val="wave"/>
                      <w:lang w:val="en-US" w:eastAsia="zh-CN"/>
                    </w:rPr>
                    <w:t>喷漆房、履带式抛丸机、全自动数控角钢联合冲孔机</w:t>
                  </w:r>
                  <w:r>
                    <w:rPr>
                      <w:color w:val="FF0000"/>
                      <w:sz w:val="21"/>
                      <w:szCs w:val="21"/>
                      <w:u w:val="wave"/>
                    </w:rPr>
                    <w:t>等</w:t>
                  </w:r>
                </w:p>
              </w:tc>
              <w:tc>
                <w:tcPr>
                  <w:tcW w:w="953" w:type="pct"/>
                  <w:tcBorders>
                    <w:tl2br w:val="nil"/>
                    <w:tr2bl w:val="nil"/>
                  </w:tcBorders>
                  <w:vAlign w:val="center"/>
                </w:tcPr>
                <w:p>
                  <w:pPr>
                    <w:jc w:val="center"/>
                    <w:rPr>
                      <w:rFonts w:hint="default"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抛丸处理量有所增大</w:t>
                  </w:r>
                </w:p>
              </w:tc>
              <w:tc>
                <w:tcPr>
                  <w:tcW w:w="1576" w:type="pct"/>
                  <w:tcBorders>
                    <w:tl2br w:val="nil"/>
                    <w:tr2bl w:val="nil"/>
                  </w:tcBorders>
                  <w:vAlign w:val="center"/>
                </w:tcPr>
                <w:p>
                  <w:pPr>
                    <w:jc w:val="center"/>
                    <w:rPr>
                      <w:rFonts w:hint="eastAsia"/>
                      <w:color w:val="FF0000"/>
                      <w:sz w:val="21"/>
                      <w:szCs w:val="21"/>
                      <w:u w:val="wave"/>
                      <w:lang w:val="en-US" w:eastAsia="zh-CN"/>
                    </w:rPr>
                  </w:pPr>
                  <w:r>
                    <w:rPr>
                      <w:rFonts w:ascii="Times New Roman" w:cs="Times New Roman"/>
                      <w:color w:val="FF0000"/>
                      <w:sz w:val="21"/>
                      <w:szCs w:val="21"/>
                      <w:u w:val="wave"/>
                    </w:rPr>
                    <w:t>钢架结构，1F，占地约3400m</w:t>
                  </w:r>
                  <w:r>
                    <w:rPr>
                      <w:rFonts w:ascii="Times New Roman" w:cs="Times New Roman"/>
                      <w:color w:val="FF0000"/>
                      <w:sz w:val="21"/>
                      <w:szCs w:val="21"/>
                      <w:u w:val="wave"/>
                      <w:vertAlign w:val="superscript"/>
                    </w:rPr>
                    <w:t>2</w:t>
                  </w:r>
                  <w:r>
                    <w:rPr>
                      <w:rFonts w:ascii="Times New Roman" w:cs="Times New Roman"/>
                      <w:color w:val="FF0000"/>
                      <w:sz w:val="21"/>
                      <w:szCs w:val="21"/>
                      <w:u w:val="wave"/>
                    </w:rPr>
                    <w:t>，主要设置锚垫板生产区、夹片生产区、螺旋筋</w:t>
                  </w:r>
                  <w:r>
                    <w:rPr>
                      <w:rFonts w:hint="eastAsia" w:ascii="Times New Roman" w:cs="Times New Roman"/>
                      <w:color w:val="FF0000"/>
                      <w:sz w:val="21"/>
                      <w:szCs w:val="21"/>
                      <w:u w:val="wave"/>
                      <w:lang w:eastAsia="zh-CN"/>
                    </w:rPr>
                    <w:t>、</w:t>
                  </w:r>
                  <w:r>
                    <w:rPr>
                      <w:rFonts w:ascii="Times New Roman" w:cs="Times New Roman"/>
                      <w:color w:val="FF0000"/>
                      <w:sz w:val="21"/>
                      <w:szCs w:val="21"/>
                      <w:u w:val="wave"/>
                    </w:rPr>
                    <w:t>角钢生产区</w:t>
                  </w:r>
                  <w:r>
                    <w:rPr>
                      <w:rFonts w:hint="eastAsia" w:ascii="Times New Roman" w:cs="Times New Roman"/>
                      <w:color w:val="FF0000"/>
                      <w:sz w:val="21"/>
                      <w:szCs w:val="21"/>
                      <w:u w:val="wave"/>
                      <w:lang w:eastAsia="zh-CN"/>
                    </w:rPr>
                    <w:t>、</w:t>
                  </w:r>
                  <w:r>
                    <w:rPr>
                      <w:rFonts w:hint="eastAsia" w:ascii="Times New Roman" w:cs="Times New Roman"/>
                      <w:color w:val="FF0000"/>
                      <w:sz w:val="21"/>
                      <w:szCs w:val="21"/>
                      <w:u w:val="wave"/>
                      <w:lang w:val="en-US" w:eastAsia="zh-CN"/>
                    </w:rPr>
                    <w:t>喷漆房及抛丸区，</w:t>
                  </w:r>
                  <w:r>
                    <w:rPr>
                      <w:color w:val="FF0000"/>
                      <w:sz w:val="21"/>
                      <w:szCs w:val="21"/>
                      <w:u w:val="wave"/>
                    </w:rPr>
                    <w:t>主要设备包括摇臂钻床</w:t>
                  </w:r>
                  <w:r>
                    <w:rPr>
                      <w:rFonts w:hint="eastAsia"/>
                      <w:color w:val="FF0000"/>
                      <w:sz w:val="21"/>
                      <w:szCs w:val="21"/>
                      <w:u w:val="wave"/>
                    </w:rPr>
                    <w:t>、</w:t>
                  </w:r>
                  <w:r>
                    <w:rPr>
                      <w:color w:val="FF0000"/>
                      <w:sz w:val="21"/>
                      <w:szCs w:val="21"/>
                      <w:u w:val="wave"/>
                    </w:rPr>
                    <w:t>钢筋弯曲机</w:t>
                  </w:r>
                  <w:r>
                    <w:rPr>
                      <w:rFonts w:hint="eastAsia"/>
                      <w:color w:val="FF0000"/>
                      <w:sz w:val="21"/>
                      <w:szCs w:val="21"/>
                      <w:u w:val="wave"/>
                    </w:rPr>
                    <w:t>、</w:t>
                  </w:r>
                  <w:r>
                    <w:rPr>
                      <w:color w:val="FF0000"/>
                      <w:sz w:val="21"/>
                      <w:szCs w:val="21"/>
                      <w:u w:val="wave"/>
                    </w:rPr>
                    <w:t>套丝机</w:t>
                  </w:r>
                  <w:r>
                    <w:rPr>
                      <w:rFonts w:hint="eastAsia"/>
                      <w:color w:val="FF0000"/>
                      <w:sz w:val="21"/>
                      <w:szCs w:val="21"/>
                      <w:u w:val="wave"/>
                    </w:rPr>
                    <w:t>、</w:t>
                  </w:r>
                  <w:r>
                    <w:rPr>
                      <w:color w:val="FF0000"/>
                      <w:sz w:val="21"/>
                      <w:szCs w:val="21"/>
                      <w:u w:val="wave"/>
                    </w:rPr>
                    <w:t>滚丝机</w:t>
                  </w:r>
                  <w:r>
                    <w:rPr>
                      <w:rFonts w:hint="eastAsia"/>
                      <w:color w:val="FF0000"/>
                      <w:sz w:val="21"/>
                      <w:szCs w:val="21"/>
                      <w:u w:val="wave"/>
                    </w:rPr>
                    <w:t>、卧式带锯床、车床、攻丝机、铣床</w:t>
                  </w:r>
                  <w:r>
                    <w:rPr>
                      <w:rFonts w:hint="eastAsia"/>
                      <w:color w:val="FF0000"/>
                      <w:sz w:val="21"/>
                      <w:szCs w:val="21"/>
                      <w:u w:val="wave"/>
                      <w:lang w:val="en-US" w:eastAsia="zh-CN"/>
                    </w:rPr>
                    <w:t>喷漆房、履带式抛丸机、全自动数控角钢联合冲孔机</w:t>
                  </w:r>
                  <w:r>
                    <w:rPr>
                      <w:color w:val="FF0000"/>
                      <w:sz w:val="21"/>
                      <w:szCs w:val="21"/>
                      <w:u w:val="wave"/>
                    </w:rPr>
                    <w:t>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59"/>
                    <w:jc w:val="center"/>
                    <w:rPr>
                      <w:rFonts w:ascii="Times New Roman" w:hAnsi="Times New Roman" w:eastAsia="宋体" w:cs="Times New Roman"/>
                      <w:color w:val="FF0000"/>
                      <w:sz w:val="21"/>
                      <w:szCs w:val="21"/>
                      <w:u w:val="wave"/>
                      <w:lang w:val="en-US" w:eastAsia="zh-CN" w:bidi="ar-SA"/>
                    </w:rPr>
                  </w:pPr>
                  <w:r>
                    <w:rPr>
                      <w:rFonts w:hint="eastAsia"/>
                      <w:color w:val="FF0000"/>
                      <w:sz w:val="21"/>
                      <w:szCs w:val="21"/>
                      <w:u w:val="wave"/>
                      <w:lang w:val="en-US" w:eastAsia="zh-CN"/>
                    </w:rPr>
                    <w:t>六</w:t>
                  </w:r>
                  <w:r>
                    <w:rPr>
                      <w:color w:val="FF0000"/>
                      <w:sz w:val="21"/>
                      <w:szCs w:val="21"/>
                      <w:u w:val="wave"/>
                    </w:rPr>
                    <w:t>车间</w:t>
                  </w:r>
                </w:p>
              </w:tc>
              <w:tc>
                <w:tcPr>
                  <w:tcW w:w="1704"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，主要设置预埋件多元合金共渗工艺</w:t>
                  </w:r>
                  <w:r>
                    <w:rPr>
                      <w:rFonts w:hint="eastAsia"/>
                      <w:color w:val="FF0000"/>
                      <w:sz w:val="21"/>
                      <w:szCs w:val="21"/>
                      <w:u w:val="wave"/>
                    </w:rPr>
                    <w:t>，主要设备包括四方滚筒燃气渗锌炉、上料环保装置等</w:t>
                  </w:r>
                </w:p>
              </w:tc>
              <w:tc>
                <w:tcPr>
                  <w:tcW w:w="953"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rPr>
                    <w:t>连通六车间与七车间之间的通道，</w:t>
                  </w:r>
                  <w:r>
                    <w:rPr>
                      <w:color w:val="FF0000"/>
                      <w:sz w:val="21"/>
                      <w:szCs w:val="21"/>
                      <w:u w:val="wave"/>
                    </w:rPr>
                    <w:t>新增厂房面积600m</w:t>
                  </w:r>
                  <w:r>
                    <w:rPr>
                      <w:color w:val="FF0000"/>
                      <w:sz w:val="21"/>
                      <w:szCs w:val="21"/>
                      <w:u w:val="wave"/>
                      <w:vertAlign w:val="superscript"/>
                    </w:rPr>
                    <w:t>2</w:t>
                  </w:r>
                  <w:r>
                    <w:rPr>
                      <w:color w:val="FF0000"/>
                      <w:sz w:val="21"/>
                      <w:szCs w:val="21"/>
                      <w:u w:val="wave"/>
                    </w:rPr>
                    <w:t>，新增</w:t>
                  </w:r>
                  <w:r>
                    <w:rPr>
                      <w:rFonts w:hint="eastAsia"/>
                      <w:color w:val="FF0000"/>
                      <w:sz w:val="21"/>
                      <w:szCs w:val="21"/>
                      <w:u w:val="wave"/>
                    </w:rPr>
                    <w:t>1台全自动炉料吸送装置、1台燃气碳化除油炉和2台四方滚筒燃气渗锌炉</w:t>
                  </w:r>
                </w:p>
              </w:tc>
              <w:tc>
                <w:tcPr>
                  <w:tcW w:w="1576" w:type="pct"/>
                  <w:tcBorders>
                    <w:tl2br w:val="nil"/>
                    <w:tr2bl w:val="nil"/>
                  </w:tcBorders>
                  <w:vAlign w:val="center"/>
                </w:tcPr>
                <w:p>
                  <w:pPr>
                    <w:jc w:val="center"/>
                    <w:rPr>
                      <w:rFonts w:hint="eastAsia"/>
                      <w:color w:val="FF0000"/>
                      <w:sz w:val="21"/>
                      <w:szCs w:val="21"/>
                      <w:u w:val="wave"/>
                    </w:rPr>
                  </w:pPr>
                  <w:r>
                    <w:rPr>
                      <w:color w:val="FF0000"/>
                      <w:sz w:val="21"/>
                      <w:szCs w:val="21"/>
                      <w:u w:val="wave"/>
                    </w:rPr>
                    <w:t>钢架结构，1F，占地约1</w:t>
                  </w:r>
                  <w:r>
                    <w:rPr>
                      <w:rFonts w:hint="eastAsia"/>
                      <w:color w:val="FF0000"/>
                      <w:sz w:val="21"/>
                      <w:szCs w:val="21"/>
                      <w:u w:val="wave"/>
                      <w:lang w:val="en-US" w:eastAsia="zh-CN"/>
                    </w:rPr>
                    <w:t>9</w:t>
                  </w:r>
                  <w:r>
                    <w:rPr>
                      <w:color w:val="FF0000"/>
                      <w:sz w:val="21"/>
                      <w:szCs w:val="21"/>
                      <w:u w:val="wave"/>
                    </w:rPr>
                    <w:t>00m</w:t>
                  </w:r>
                  <w:r>
                    <w:rPr>
                      <w:color w:val="FF0000"/>
                      <w:sz w:val="21"/>
                      <w:szCs w:val="21"/>
                      <w:u w:val="wave"/>
                      <w:vertAlign w:val="superscript"/>
                    </w:rPr>
                    <w:t>2</w:t>
                  </w:r>
                  <w:r>
                    <w:rPr>
                      <w:color w:val="FF0000"/>
                      <w:sz w:val="21"/>
                      <w:szCs w:val="21"/>
                      <w:u w:val="wave"/>
                    </w:rPr>
                    <w:t>，主要设置预埋件多元合金共渗</w:t>
                  </w:r>
                  <w:r>
                    <w:rPr>
                      <w:rFonts w:hint="eastAsia"/>
                      <w:color w:val="FF0000"/>
                      <w:sz w:val="21"/>
                      <w:szCs w:val="21"/>
                      <w:u w:val="wave"/>
                      <w:lang w:val="en-US" w:eastAsia="zh-CN"/>
                    </w:rPr>
                    <w:t>和碳化除油</w:t>
                  </w:r>
                  <w:r>
                    <w:rPr>
                      <w:color w:val="FF0000"/>
                      <w:sz w:val="21"/>
                      <w:szCs w:val="21"/>
                      <w:u w:val="wave"/>
                    </w:rPr>
                    <w:t>工艺</w:t>
                  </w:r>
                  <w:r>
                    <w:rPr>
                      <w:rFonts w:hint="eastAsia"/>
                      <w:color w:val="FF0000"/>
                      <w:sz w:val="21"/>
                      <w:szCs w:val="21"/>
                      <w:u w:val="wave"/>
                    </w:rPr>
                    <w:t>，主要设备包括四方滚筒燃气渗锌炉、上料环保装置</w:t>
                  </w:r>
                  <w:r>
                    <w:rPr>
                      <w:rFonts w:hint="eastAsia"/>
                      <w:color w:val="FF0000"/>
                      <w:sz w:val="21"/>
                      <w:szCs w:val="21"/>
                      <w:u w:val="wave"/>
                      <w:lang w:eastAsia="zh-CN"/>
                    </w:rPr>
                    <w:t>、</w:t>
                  </w:r>
                  <w:r>
                    <w:rPr>
                      <w:rFonts w:hint="eastAsia"/>
                      <w:color w:val="FF0000"/>
                      <w:sz w:val="21"/>
                      <w:szCs w:val="21"/>
                      <w:u w:val="wave"/>
                    </w:rPr>
                    <w:t>全自动炉料吸送装置</w:t>
                  </w:r>
                  <w:r>
                    <w:rPr>
                      <w:rFonts w:hint="eastAsia"/>
                      <w:color w:val="FF0000"/>
                      <w:sz w:val="21"/>
                      <w:szCs w:val="21"/>
                      <w:u w:val="wave"/>
                      <w:lang w:eastAsia="zh-CN"/>
                    </w:rPr>
                    <w:t>、</w:t>
                  </w:r>
                  <w:r>
                    <w:rPr>
                      <w:rFonts w:hint="eastAsia"/>
                      <w:color w:val="FF0000"/>
                      <w:sz w:val="21"/>
                      <w:szCs w:val="21"/>
                      <w:u w:val="wave"/>
                    </w:rPr>
                    <w:t>燃气碳化除油炉等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59"/>
                    <w:jc w:val="center"/>
                    <w:rPr>
                      <w:rFonts w:ascii="Times New Roman" w:hAnsi="Times New Roman" w:eastAsia="宋体" w:cs="Times New Roman"/>
                      <w:color w:val="FF0000"/>
                      <w:sz w:val="21"/>
                      <w:szCs w:val="21"/>
                      <w:u w:val="wave"/>
                      <w:lang w:val="en-US" w:eastAsia="zh-CN" w:bidi="ar-SA"/>
                    </w:rPr>
                  </w:pPr>
                  <w:r>
                    <w:rPr>
                      <w:rFonts w:hint="eastAsia"/>
                      <w:color w:val="FF0000"/>
                      <w:sz w:val="21"/>
                      <w:szCs w:val="21"/>
                      <w:u w:val="wave"/>
                      <w:lang w:val="en-US" w:eastAsia="zh-CN"/>
                    </w:rPr>
                    <w:t>七</w:t>
                  </w:r>
                  <w:r>
                    <w:rPr>
                      <w:color w:val="FF0000"/>
                      <w:sz w:val="21"/>
                      <w:szCs w:val="21"/>
                      <w:u w:val="wave"/>
                    </w:rPr>
                    <w:t>车间</w:t>
                  </w:r>
                </w:p>
              </w:tc>
              <w:tc>
                <w:tcPr>
                  <w:tcW w:w="1704" w:type="pct"/>
                  <w:tcBorders>
                    <w:tl2br w:val="nil"/>
                    <w:tr2bl w:val="nil"/>
                  </w:tcBorders>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，主要设置预埋件清洗、烘干</w:t>
                  </w:r>
                  <w:r>
                    <w:rPr>
                      <w:rFonts w:hint="eastAsia"/>
                      <w:color w:val="FF0000"/>
                      <w:sz w:val="21"/>
                      <w:szCs w:val="21"/>
                      <w:u w:val="wave"/>
                      <w:lang w:eastAsia="zh-CN"/>
                    </w:rPr>
                    <w:t>、</w:t>
                  </w:r>
                  <w:r>
                    <w:rPr>
                      <w:color w:val="FF0000"/>
                      <w:sz w:val="21"/>
                      <w:szCs w:val="21"/>
                      <w:u w:val="wave"/>
                    </w:rPr>
                    <w:t>浸漆</w:t>
                  </w:r>
                  <w:r>
                    <w:rPr>
                      <w:rFonts w:hint="eastAsia"/>
                      <w:color w:val="FF0000"/>
                      <w:sz w:val="21"/>
                      <w:szCs w:val="21"/>
                      <w:u w:val="wave"/>
                      <w:lang w:val="en-US" w:eastAsia="zh-CN"/>
                    </w:rPr>
                    <w:t>及固化</w:t>
                  </w:r>
                  <w:r>
                    <w:rPr>
                      <w:color w:val="FF0000"/>
                      <w:sz w:val="21"/>
                      <w:szCs w:val="21"/>
                      <w:u w:val="wave"/>
                    </w:rPr>
                    <w:t>工艺</w:t>
                  </w:r>
                  <w:r>
                    <w:rPr>
                      <w:rFonts w:hint="eastAsia" w:ascii="Times New Roman" w:hAnsi="Times New Roman" w:cs="Times New Roman"/>
                      <w:color w:val="FF0000"/>
                      <w:sz w:val="21"/>
                      <w:szCs w:val="21"/>
                      <w:u w:val="wave"/>
                    </w:rPr>
                    <w:t>，</w:t>
                  </w:r>
                  <w:r>
                    <w:rPr>
                      <w:rFonts w:ascii="Times New Roman" w:hAnsi="Times New Roman" w:cs="Times New Roman"/>
                      <w:color w:val="FF0000"/>
                      <w:sz w:val="21"/>
                      <w:szCs w:val="21"/>
                      <w:u w:val="wave"/>
                    </w:rPr>
                    <w:t>主要设备包括</w:t>
                  </w:r>
                  <w:r>
                    <w:rPr>
                      <w:rFonts w:hint="eastAsia" w:ascii="Times New Roman" w:hAnsi="Times New Roman" w:cs="Times New Roman"/>
                      <w:color w:val="FF0000"/>
                      <w:sz w:val="21"/>
                      <w:szCs w:val="21"/>
                      <w:u w:val="wave"/>
                    </w:rPr>
                    <w:t>全自动悬链钝化封闭线及配套有机废气处理、污水过滤系统等</w:t>
                  </w:r>
                </w:p>
              </w:tc>
              <w:tc>
                <w:tcPr>
                  <w:tcW w:w="953" w:type="pct"/>
                  <w:tcBorders>
                    <w:tl2br w:val="nil"/>
                    <w:tr2bl w:val="nil"/>
                  </w:tcBorders>
                  <w:vAlign w:val="center"/>
                </w:tcPr>
                <w:p>
                  <w:pPr>
                    <w:jc w:val="center"/>
                    <w:rPr>
                      <w:rFonts w:hint="default"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增加1个钝化槽（2m×1.2m×1m）</w:t>
                  </w:r>
                </w:p>
              </w:tc>
              <w:tc>
                <w:tcPr>
                  <w:tcW w:w="1576" w:type="pct"/>
                  <w:tcBorders>
                    <w:tl2br w:val="nil"/>
                    <w:tr2bl w:val="nil"/>
                  </w:tcBorders>
                  <w:vAlign w:val="center"/>
                </w:tcPr>
                <w:p>
                  <w:pPr>
                    <w:jc w:val="center"/>
                    <w:rPr>
                      <w:rFonts w:hint="eastAsia"/>
                      <w:color w:val="FF0000"/>
                      <w:sz w:val="21"/>
                      <w:szCs w:val="21"/>
                      <w:u w:val="wave"/>
                      <w:lang w:val="en-US" w:eastAsia="zh-CN"/>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，主要设置预埋件清洗、</w:t>
                  </w:r>
                  <w:r>
                    <w:rPr>
                      <w:rFonts w:hint="eastAsia"/>
                      <w:color w:val="FF0000"/>
                      <w:sz w:val="21"/>
                      <w:szCs w:val="21"/>
                      <w:u w:val="wave"/>
                      <w:lang w:val="en-US" w:eastAsia="zh-CN"/>
                    </w:rPr>
                    <w:t>钝化、</w:t>
                  </w:r>
                  <w:r>
                    <w:rPr>
                      <w:color w:val="FF0000"/>
                      <w:sz w:val="21"/>
                      <w:szCs w:val="21"/>
                      <w:u w:val="wave"/>
                    </w:rPr>
                    <w:t>烘干</w:t>
                  </w:r>
                  <w:r>
                    <w:rPr>
                      <w:rFonts w:hint="eastAsia"/>
                      <w:color w:val="FF0000"/>
                      <w:sz w:val="21"/>
                      <w:szCs w:val="21"/>
                      <w:u w:val="wave"/>
                      <w:lang w:eastAsia="zh-CN"/>
                    </w:rPr>
                    <w:t>、</w:t>
                  </w:r>
                  <w:r>
                    <w:rPr>
                      <w:color w:val="FF0000"/>
                      <w:sz w:val="21"/>
                      <w:szCs w:val="21"/>
                      <w:u w:val="wave"/>
                    </w:rPr>
                    <w:t>浸漆</w:t>
                  </w:r>
                  <w:r>
                    <w:rPr>
                      <w:rFonts w:hint="eastAsia"/>
                      <w:color w:val="FF0000"/>
                      <w:sz w:val="21"/>
                      <w:szCs w:val="21"/>
                      <w:u w:val="wave"/>
                      <w:lang w:val="en-US" w:eastAsia="zh-CN"/>
                    </w:rPr>
                    <w:t>及固化</w:t>
                  </w:r>
                  <w:r>
                    <w:rPr>
                      <w:color w:val="FF0000"/>
                      <w:sz w:val="21"/>
                      <w:szCs w:val="21"/>
                      <w:u w:val="wave"/>
                    </w:rPr>
                    <w:t>工艺</w:t>
                  </w:r>
                  <w:r>
                    <w:rPr>
                      <w:rFonts w:hint="eastAsia" w:ascii="Times New Roman" w:hAnsi="Times New Roman" w:cs="Times New Roman"/>
                      <w:color w:val="FF0000"/>
                      <w:sz w:val="21"/>
                      <w:szCs w:val="21"/>
                      <w:u w:val="wave"/>
                    </w:rPr>
                    <w:t>，</w:t>
                  </w:r>
                  <w:r>
                    <w:rPr>
                      <w:rFonts w:ascii="Times New Roman" w:hAnsi="Times New Roman" w:cs="Times New Roman"/>
                      <w:color w:val="FF0000"/>
                      <w:sz w:val="21"/>
                      <w:szCs w:val="21"/>
                      <w:u w:val="wave"/>
                    </w:rPr>
                    <w:t>主要设备包括</w:t>
                  </w:r>
                  <w:r>
                    <w:rPr>
                      <w:rFonts w:hint="eastAsia" w:ascii="Times New Roman" w:hAnsi="Times New Roman" w:cs="Times New Roman"/>
                      <w:color w:val="FF0000"/>
                      <w:sz w:val="21"/>
                      <w:szCs w:val="21"/>
                      <w:u w:val="wave"/>
                    </w:rPr>
                    <w:t>全自动悬链钝化封闭线及配套有机废气处理、污水过滤系统等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Borders>
                    <w:tl2br w:val="nil"/>
                    <w:tr2bl w:val="nil"/>
                  </w:tcBorders>
                  <w:vAlign w:val="center"/>
                </w:tcPr>
                <w:p>
                  <w:pPr>
                    <w:pStyle w:val="2"/>
                    <w:jc w:val="center"/>
                    <w:rPr>
                      <w:color w:val="FF0000"/>
                      <w:sz w:val="21"/>
                      <w:szCs w:val="21"/>
                      <w:u w:val="wave"/>
                      <w:vertAlign w:val="baseline"/>
                    </w:rPr>
                  </w:pPr>
                </w:p>
              </w:tc>
              <w:tc>
                <w:tcPr>
                  <w:tcW w:w="411" w:type="pct"/>
                  <w:tcBorders>
                    <w:tl2br w:val="nil"/>
                    <w:tr2bl w:val="nil"/>
                  </w:tcBorders>
                  <w:vAlign w:val="center"/>
                </w:tcPr>
                <w:p>
                  <w:pPr>
                    <w:pStyle w:val="59"/>
                    <w:jc w:val="center"/>
                    <w:rPr>
                      <w:rFonts w:ascii="Times New Roman" w:hAnsi="Times New Roman" w:eastAsia="宋体" w:cs="Times New Roman"/>
                      <w:color w:val="FF0000"/>
                      <w:sz w:val="21"/>
                      <w:szCs w:val="21"/>
                      <w:u w:val="wave"/>
                      <w:lang w:val="en-US" w:eastAsia="zh-CN" w:bidi="ar-SA"/>
                    </w:rPr>
                  </w:pPr>
                  <w:r>
                    <w:rPr>
                      <w:rFonts w:hint="eastAsia"/>
                      <w:color w:val="FF0000"/>
                      <w:sz w:val="21"/>
                      <w:szCs w:val="21"/>
                      <w:u w:val="wave"/>
                      <w:lang w:val="en-US" w:eastAsia="zh-CN"/>
                    </w:rPr>
                    <w:t>八</w:t>
                  </w:r>
                  <w:r>
                    <w:rPr>
                      <w:color w:val="FF0000"/>
                      <w:sz w:val="21"/>
                      <w:szCs w:val="21"/>
                      <w:u w:val="wave"/>
                    </w:rPr>
                    <w:t>车间</w:t>
                  </w:r>
                </w:p>
              </w:tc>
              <w:tc>
                <w:tcPr>
                  <w:tcW w:w="1704" w:type="pct"/>
                  <w:tcBorders>
                    <w:tl2br w:val="nil"/>
                    <w:tr2bl w:val="nil"/>
                  </w:tcBorders>
                  <w:vAlign w:val="center"/>
                </w:tcPr>
                <w:p>
                  <w:pPr>
                    <w:jc w:val="center"/>
                    <w:rPr>
                      <w:rFonts w:hint="default" w:ascii="Times New Roman" w:hAnsi="Times New Roman" w:eastAsia="宋体" w:cs="Times New Roman"/>
                      <w:color w:val="FF0000"/>
                      <w:kern w:val="2"/>
                      <w:sz w:val="21"/>
                      <w:szCs w:val="21"/>
                      <w:u w:val="wave"/>
                      <w:lang w:val="en-US" w:eastAsia="zh-CN" w:bidi="ar-SA"/>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，主要设置聚羧酸减水剂生产线等</w:t>
                  </w:r>
                  <w:r>
                    <w:rPr>
                      <w:rFonts w:hint="eastAsia"/>
                      <w:color w:val="FF0000"/>
                      <w:sz w:val="21"/>
                      <w:szCs w:val="21"/>
                      <w:u w:val="wave"/>
                      <w:lang w:eastAsia="zh-CN"/>
                    </w:rPr>
                    <w:t>，</w:t>
                  </w:r>
                  <w:r>
                    <w:rPr>
                      <w:rFonts w:hint="eastAsia"/>
                      <w:color w:val="FF0000"/>
                      <w:sz w:val="21"/>
                      <w:szCs w:val="21"/>
                      <w:u w:val="wave"/>
                      <w:lang w:val="en-US" w:eastAsia="zh-CN"/>
                    </w:rPr>
                    <w:t>现状停建未投产</w:t>
                  </w:r>
                </w:p>
              </w:tc>
              <w:tc>
                <w:tcPr>
                  <w:tcW w:w="953" w:type="pct"/>
                  <w:tcBorders>
                    <w:tl2br w:val="nil"/>
                    <w:tr2bl w:val="nil"/>
                  </w:tcBorders>
                  <w:vAlign w:val="center"/>
                </w:tcPr>
                <w:p>
                  <w:pPr>
                    <w:jc w:val="center"/>
                    <w:rPr>
                      <w:rFonts w:hint="eastAsia"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tcBorders>
                    <w:tl2br w:val="nil"/>
                    <w:tr2bl w:val="nil"/>
                  </w:tcBorders>
                  <w:vAlign w:val="center"/>
                </w:tcPr>
                <w:p>
                  <w:pPr>
                    <w:jc w:val="center"/>
                    <w:rPr>
                      <w:color w:val="FF0000"/>
                      <w:sz w:val="21"/>
                      <w:szCs w:val="21"/>
                      <w:u w:val="wave"/>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，主要设置聚羧酸减水剂生产线等</w:t>
                  </w:r>
                  <w:r>
                    <w:rPr>
                      <w:rFonts w:hint="eastAsia"/>
                      <w:color w:val="FF0000"/>
                      <w:sz w:val="21"/>
                      <w:szCs w:val="21"/>
                      <w:u w:val="wave"/>
                      <w:lang w:eastAsia="zh-CN"/>
                    </w:rPr>
                    <w:t>，</w:t>
                  </w:r>
                  <w:r>
                    <w:rPr>
                      <w:rFonts w:hint="eastAsia"/>
                      <w:color w:val="FF0000"/>
                      <w:sz w:val="21"/>
                      <w:szCs w:val="21"/>
                      <w:u w:val="wave"/>
                      <w:lang w:val="en-US" w:eastAsia="zh-CN"/>
                    </w:rPr>
                    <w:t>现状停建未投产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vAlign w:val="center"/>
                </w:tcPr>
                <w:p>
                  <w:pPr>
                    <w:pStyle w:val="2"/>
                    <w:jc w:val="center"/>
                    <w:rPr>
                      <w:color w:val="FF0000"/>
                      <w:sz w:val="21"/>
                      <w:szCs w:val="21"/>
                      <w:u w:val="wave"/>
                      <w:vertAlign w:val="baseline"/>
                    </w:rPr>
                  </w:pPr>
                </w:p>
              </w:tc>
              <w:tc>
                <w:tcPr>
                  <w:tcW w:w="411" w:type="pct"/>
                  <w:vAlign w:val="center"/>
                </w:tcPr>
                <w:p>
                  <w:pPr>
                    <w:pStyle w:val="59"/>
                    <w:jc w:val="center"/>
                    <w:rPr>
                      <w:rFonts w:ascii="Times New Roman" w:hAnsi="Times New Roman" w:eastAsia="宋体" w:cs="Times New Roman"/>
                      <w:color w:val="FF0000"/>
                      <w:sz w:val="21"/>
                      <w:szCs w:val="21"/>
                      <w:u w:val="wave"/>
                      <w:lang w:val="en-US" w:eastAsia="zh-CN" w:bidi="ar-SA"/>
                    </w:rPr>
                  </w:pPr>
                  <w:r>
                    <w:rPr>
                      <w:rFonts w:hint="eastAsia"/>
                      <w:color w:val="FF0000"/>
                      <w:sz w:val="21"/>
                      <w:szCs w:val="21"/>
                      <w:u w:val="wave"/>
                      <w:lang w:val="en-US" w:eastAsia="zh-CN"/>
                    </w:rPr>
                    <w:t>九</w:t>
                  </w:r>
                  <w:r>
                    <w:rPr>
                      <w:color w:val="FF0000"/>
                      <w:sz w:val="21"/>
                      <w:szCs w:val="21"/>
                      <w:u w:val="wave"/>
                    </w:rPr>
                    <w:t>车间</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，主要设置预埋件下料、机加工、焊接工序</w:t>
                  </w:r>
                  <w:r>
                    <w:rPr>
                      <w:rFonts w:hint="eastAsia"/>
                      <w:color w:val="FF0000"/>
                      <w:sz w:val="21"/>
                      <w:szCs w:val="21"/>
                      <w:u w:val="wave"/>
                    </w:rPr>
                    <w:t>，主要设备包括数控等离子切割机、液压单头冲孔机、液压板料折弯机、焊接机器人系统等</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color w:val="FF0000"/>
                      <w:sz w:val="21"/>
                      <w:szCs w:val="21"/>
                      <w:u w:val="wave"/>
                    </w:rPr>
                  </w:pPr>
                  <w:r>
                    <w:rPr>
                      <w:color w:val="FF0000"/>
                      <w:sz w:val="21"/>
                      <w:szCs w:val="21"/>
                      <w:u w:val="wave"/>
                    </w:rPr>
                    <w:t>钢架结构，1F，占地约1300m</w:t>
                  </w:r>
                  <w:r>
                    <w:rPr>
                      <w:color w:val="FF0000"/>
                      <w:sz w:val="21"/>
                      <w:szCs w:val="21"/>
                      <w:u w:val="wave"/>
                      <w:vertAlign w:val="superscript"/>
                    </w:rPr>
                    <w:t>2</w:t>
                  </w:r>
                  <w:r>
                    <w:rPr>
                      <w:color w:val="FF0000"/>
                      <w:sz w:val="21"/>
                      <w:szCs w:val="21"/>
                      <w:u w:val="wave"/>
                    </w:rPr>
                    <w:t>，主要设置预埋件下料、机加工、焊接工序</w:t>
                  </w:r>
                  <w:r>
                    <w:rPr>
                      <w:rFonts w:hint="eastAsia"/>
                      <w:color w:val="FF0000"/>
                      <w:sz w:val="21"/>
                      <w:szCs w:val="21"/>
                      <w:u w:val="wave"/>
                    </w:rPr>
                    <w:t>，主要设备包括数控等离子切割机、液压单头冲孔机、液压板料折弯机、焊接机器人系统等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restart"/>
                  <w:vAlign w:val="center"/>
                </w:tcPr>
                <w:p>
                  <w:pPr>
                    <w:pStyle w:val="59"/>
                    <w:rPr>
                      <w:color w:val="FF0000"/>
                      <w:sz w:val="21"/>
                      <w:szCs w:val="21"/>
                      <w:u w:val="wave"/>
                    </w:rPr>
                  </w:pPr>
                  <w:r>
                    <w:rPr>
                      <w:color w:val="FF0000"/>
                      <w:sz w:val="21"/>
                      <w:szCs w:val="21"/>
                      <w:u w:val="wave"/>
                    </w:rPr>
                    <w:t>公用</w:t>
                  </w:r>
                </w:p>
                <w:p>
                  <w:pPr>
                    <w:pStyle w:val="2"/>
                    <w:jc w:val="center"/>
                    <w:rPr>
                      <w:color w:val="FF0000"/>
                      <w:sz w:val="21"/>
                      <w:szCs w:val="21"/>
                      <w:u w:val="wave"/>
                      <w:vertAlign w:val="baseline"/>
                    </w:rPr>
                  </w:pPr>
                  <w:r>
                    <w:rPr>
                      <w:color w:val="FF0000"/>
                      <w:sz w:val="21"/>
                      <w:szCs w:val="21"/>
                      <w:u w:val="wave"/>
                    </w:rPr>
                    <w:t>工程</w:t>
                  </w:r>
                </w:p>
              </w:tc>
              <w:tc>
                <w:tcPr>
                  <w:tcW w:w="411"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供水</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市政供水</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vAlign w:val="center"/>
                </w:tcPr>
                <w:p>
                  <w:pPr>
                    <w:pStyle w:val="2"/>
                    <w:jc w:val="center"/>
                    <w:rPr>
                      <w:color w:val="FF0000"/>
                      <w:sz w:val="21"/>
                      <w:szCs w:val="21"/>
                      <w:u w:val="wave"/>
                      <w:vertAlign w:val="baseline"/>
                    </w:rPr>
                  </w:pPr>
                </w:p>
              </w:tc>
              <w:tc>
                <w:tcPr>
                  <w:tcW w:w="411"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供电</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市政供电</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vAlign w:val="center"/>
                </w:tcPr>
                <w:p>
                  <w:pPr>
                    <w:pStyle w:val="2"/>
                    <w:jc w:val="center"/>
                    <w:rPr>
                      <w:color w:val="FF0000"/>
                      <w:sz w:val="21"/>
                      <w:szCs w:val="21"/>
                      <w:u w:val="wave"/>
                      <w:vertAlign w:val="baseline"/>
                    </w:rPr>
                  </w:pPr>
                </w:p>
              </w:tc>
              <w:tc>
                <w:tcPr>
                  <w:tcW w:w="411"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排水</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雨污分流、污污分流制</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雨污分流、污污分流制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vAlign w:val="center"/>
                </w:tcPr>
                <w:p>
                  <w:pPr>
                    <w:pStyle w:val="2"/>
                    <w:jc w:val="center"/>
                    <w:rPr>
                      <w:color w:val="FF0000"/>
                      <w:sz w:val="21"/>
                      <w:szCs w:val="21"/>
                      <w:u w:val="wave"/>
                      <w:vertAlign w:val="baseline"/>
                    </w:rPr>
                  </w:pPr>
                </w:p>
              </w:tc>
              <w:tc>
                <w:tcPr>
                  <w:tcW w:w="411"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供气</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市政供气</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市政供气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restart"/>
                  <w:vAlign w:val="center"/>
                </w:tcPr>
                <w:p>
                  <w:pPr>
                    <w:pStyle w:val="59"/>
                    <w:rPr>
                      <w:color w:val="FF0000"/>
                      <w:sz w:val="21"/>
                      <w:szCs w:val="21"/>
                      <w:u w:val="wave"/>
                    </w:rPr>
                  </w:pPr>
                  <w:r>
                    <w:rPr>
                      <w:color w:val="FF0000"/>
                      <w:sz w:val="21"/>
                      <w:szCs w:val="21"/>
                      <w:u w:val="wave"/>
                    </w:rPr>
                    <w:t>环保</w:t>
                  </w:r>
                </w:p>
                <w:p>
                  <w:pPr>
                    <w:pStyle w:val="2"/>
                    <w:jc w:val="center"/>
                    <w:rPr>
                      <w:color w:val="FF0000"/>
                      <w:sz w:val="21"/>
                      <w:szCs w:val="21"/>
                      <w:u w:val="wave"/>
                      <w:vertAlign w:val="baseline"/>
                    </w:rPr>
                  </w:pPr>
                  <w:r>
                    <w:rPr>
                      <w:color w:val="FF0000"/>
                      <w:sz w:val="21"/>
                      <w:szCs w:val="21"/>
                      <w:u w:val="wave"/>
                    </w:rPr>
                    <w:t>工程</w:t>
                  </w:r>
                </w:p>
              </w:tc>
              <w:tc>
                <w:tcPr>
                  <w:tcW w:w="411" w:type="pct"/>
                  <w:vAlign w:val="center"/>
                </w:tcPr>
                <w:p>
                  <w:pPr>
                    <w:pStyle w:val="59"/>
                    <w:rPr>
                      <w:color w:val="FF0000"/>
                      <w:sz w:val="21"/>
                      <w:szCs w:val="21"/>
                      <w:u w:val="wave"/>
                    </w:rPr>
                  </w:pPr>
                  <w:r>
                    <w:rPr>
                      <w:color w:val="FF0000"/>
                      <w:sz w:val="21"/>
                      <w:szCs w:val="21"/>
                      <w:u w:val="wave"/>
                    </w:rPr>
                    <w:t>废气</w:t>
                  </w:r>
                </w:p>
                <w:p>
                  <w:pPr>
                    <w:pStyle w:val="59"/>
                    <w:rPr>
                      <w:rFonts w:ascii="Times New Roman" w:hAnsi="Times New Roman" w:eastAsia="宋体" w:cs="Times New Roman"/>
                      <w:color w:val="FF0000"/>
                      <w:sz w:val="21"/>
                      <w:szCs w:val="21"/>
                      <w:u w:val="wave"/>
                      <w:lang w:val="en-US" w:eastAsia="zh-CN" w:bidi="ar-SA"/>
                    </w:rPr>
                  </w:pPr>
                  <w:r>
                    <w:rPr>
                      <w:color w:val="FF0000"/>
                      <w:sz w:val="21"/>
                      <w:szCs w:val="21"/>
                      <w:u w:val="wave"/>
                    </w:rPr>
                    <w:t>治理</w:t>
                  </w:r>
                </w:p>
              </w:tc>
              <w:tc>
                <w:tcPr>
                  <w:tcW w:w="1704" w:type="pct"/>
                  <w:vAlign w:val="center"/>
                </w:tcPr>
                <w:p>
                  <w:pPr>
                    <w:pStyle w:val="2"/>
                    <w:jc w:val="center"/>
                    <w:rPr>
                      <w:rFonts w:ascii="Times New Roman" w:cs="Times New Roman"/>
                      <w:color w:val="FF0000"/>
                      <w:sz w:val="21"/>
                      <w:szCs w:val="21"/>
                      <w:u w:val="wave"/>
                    </w:rPr>
                  </w:pPr>
                  <w:r>
                    <w:rPr>
                      <w:rFonts w:ascii="Times New Roman" w:cs="Times New Roman"/>
                      <w:color w:val="FF0000"/>
                      <w:sz w:val="21"/>
                      <w:szCs w:val="21"/>
                      <w:u w:val="wave"/>
                    </w:rPr>
                    <w:t>①四车间抛丸废气</w:t>
                  </w:r>
                  <w:r>
                    <w:rPr>
                      <w:rFonts w:hint="eastAsia" w:ascii="Times New Roman" w:cs="Times New Roman"/>
                      <w:color w:val="FF0000"/>
                      <w:sz w:val="21"/>
                      <w:szCs w:val="21"/>
                      <w:u w:val="wave"/>
                    </w:rPr>
                    <w:t>：</w:t>
                  </w:r>
                  <w:r>
                    <w:rPr>
                      <w:rFonts w:ascii="Times New Roman" w:cs="Times New Roman"/>
                      <w:color w:val="FF0000"/>
                      <w:sz w:val="21"/>
                      <w:szCs w:val="21"/>
                      <w:u w:val="wave"/>
                    </w:rPr>
                    <w:t>集气罩</w:t>
                  </w:r>
                  <w:r>
                    <w:rPr>
                      <w:rFonts w:hint="eastAsia" w:ascii="Times New Roman" w:cs="Times New Roman"/>
                      <w:color w:val="FF0000"/>
                      <w:sz w:val="21"/>
                      <w:szCs w:val="21"/>
                      <w:u w:val="wave"/>
                    </w:rPr>
                    <w:t>+</w:t>
                  </w:r>
                  <w:r>
                    <w:rPr>
                      <w:rFonts w:ascii="Times New Roman" w:cs="Times New Roman"/>
                      <w:color w:val="FF0000"/>
                      <w:sz w:val="21"/>
                      <w:szCs w:val="21"/>
                      <w:u w:val="wave"/>
                    </w:rPr>
                    <w:t>滤筒式除尘器+15m高排气筒（</w:t>
                  </w:r>
                  <w:r>
                    <w:rPr>
                      <w:rFonts w:hint="eastAsia" w:ascii="Times New Roman" w:cs="Times New Roman"/>
                      <w:color w:val="FF0000"/>
                      <w:sz w:val="21"/>
                      <w:szCs w:val="21"/>
                      <w:u w:val="wave"/>
                    </w:rPr>
                    <w:t>DA001</w:t>
                  </w:r>
                  <w:r>
                    <w:rPr>
                      <w:rFonts w:ascii="Times New Roman" w:cs="Times New Roman"/>
                      <w:color w:val="FF0000"/>
                      <w:sz w:val="21"/>
                      <w:szCs w:val="21"/>
                      <w:u w:val="wave"/>
                    </w:rPr>
                    <w:t>）</w:t>
                  </w:r>
                  <w:r>
                    <w:rPr>
                      <w:rFonts w:hint="eastAsia" w:ascii="Times New Roman" w:cs="Times New Roman"/>
                      <w:color w:val="FF0000"/>
                      <w:sz w:val="21"/>
                      <w:szCs w:val="21"/>
                      <w:u w:val="wave"/>
                      <w:lang w:eastAsia="zh-CN"/>
                    </w:rPr>
                    <w:t>；</w:t>
                  </w:r>
                  <w:r>
                    <w:rPr>
                      <w:rFonts w:hint="eastAsia" w:ascii="Times New Roman" w:cs="Times New Roman"/>
                      <w:color w:val="FF0000"/>
                      <w:sz w:val="21"/>
                      <w:szCs w:val="21"/>
                      <w:u w:val="wave"/>
                      <w:lang w:val="en-US" w:eastAsia="zh-CN"/>
                    </w:rPr>
                    <w:t>五</w:t>
                  </w:r>
                  <w:r>
                    <w:rPr>
                      <w:rFonts w:ascii="Times New Roman" w:cs="Times New Roman"/>
                      <w:color w:val="FF0000"/>
                      <w:sz w:val="21"/>
                      <w:szCs w:val="21"/>
                      <w:u w:val="wave"/>
                    </w:rPr>
                    <w:t>车间抛丸废气</w:t>
                  </w:r>
                  <w:r>
                    <w:rPr>
                      <w:rFonts w:hint="eastAsia" w:ascii="Times New Roman" w:cs="Times New Roman"/>
                      <w:color w:val="FF0000"/>
                      <w:sz w:val="21"/>
                      <w:szCs w:val="21"/>
                      <w:u w:val="wave"/>
                      <w:lang w:eastAsia="zh-CN"/>
                    </w:rPr>
                    <w:t>：</w:t>
                  </w:r>
                  <w:r>
                    <w:rPr>
                      <w:color w:val="FF0000"/>
                      <w:sz w:val="21"/>
                      <w:szCs w:val="21"/>
                      <w:u w:val="wave"/>
                    </w:rPr>
                    <w:t>经抛丸机自带滤筒式除尘器</w:t>
                  </w:r>
                  <w:r>
                    <w:rPr>
                      <w:rFonts w:hint="eastAsia"/>
                      <w:color w:val="FF0000"/>
                      <w:sz w:val="21"/>
                      <w:szCs w:val="21"/>
                      <w:u w:val="wave"/>
                    </w:rPr>
                    <w:t>处理后车间内无组织排放</w:t>
                  </w:r>
                  <w:r>
                    <w:rPr>
                      <w:rFonts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ascii="Times New Roman" w:cs="Times New Roman"/>
                      <w:color w:val="FF0000"/>
                      <w:sz w:val="21"/>
                      <w:szCs w:val="21"/>
                      <w:u w:val="wave"/>
                    </w:rPr>
                    <w:t>②</w:t>
                  </w:r>
                  <w:r>
                    <w:rPr>
                      <w:rFonts w:hint="eastAsia" w:ascii="Times New Roman" w:cs="Times New Roman"/>
                      <w:color w:val="FF0000"/>
                      <w:sz w:val="21"/>
                      <w:szCs w:val="21"/>
                      <w:u w:val="wave"/>
                      <w:lang w:val="en-US" w:eastAsia="zh-CN"/>
                    </w:rPr>
                    <w:t>下料</w:t>
                  </w:r>
                  <w:r>
                    <w:rPr>
                      <w:rFonts w:ascii="Times New Roman" w:cs="Times New Roman"/>
                      <w:color w:val="FF0000"/>
                      <w:sz w:val="21"/>
                      <w:szCs w:val="21"/>
                      <w:u w:val="wave"/>
                    </w:rPr>
                    <w:t>切割烟尘</w:t>
                  </w:r>
                  <w:r>
                    <w:rPr>
                      <w:rFonts w:hint="eastAsia" w:ascii="Times New Roman" w:cs="Times New Roman"/>
                      <w:color w:val="FF0000"/>
                      <w:sz w:val="21"/>
                      <w:szCs w:val="21"/>
                      <w:u w:val="wave"/>
                    </w:rPr>
                    <w:t>：</w:t>
                  </w:r>
                  <w:r>
                    <w:rPr>
                      <w:rFonts w:ascii="Times New Roman" w:cs="Times New Roman"/>
                      <w:color w:val="FF0000"/>
                      <w:sz w:val="21"/>
                      <w:szCs w:val="21"/>
                      <w:u w:val="wave"/>
                    </w:rPr>
                    <w:t>集气罩</w:t>
                  </w:r>
                  <w:r>
                    <w:rPr>
                      <w:rFonts w:hint="eastAsia" w:ascii="Times New Roman" w:cs="Times New Roman"/>
                      <w:color w:val="FF0000"/>
                      <w:sz w:val="21"/>
                      <w:szCs w:val="21"/>
                      <w:u w:val="wave"/>
                    </w:rPr>
                    <w:t>+</w:t>
                  </w:r>
                  <w:r>
                    <w:rPr>
                      <w:rFonts w:ascii="Times New Roman" w:cs="Times New Roman"/>
                      <w:color w:val="FF0000"/>
                      <w:sz w:val="21"/>
                      <w:szCs w:val="21"/>
                      <w:u w:val="wave"/>
                    </w:rPr>
                    <w:t>滤筒式除尘器处理后车间内无组织排放</w:t>
                  </w:r>
                  <w:r>
                    <w:rPr>
                      <w:rFonts w:hint="eastAsia"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③焊接烟尘：移动式焊接烟尘净化器处理后无组织排放；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④</w:t>
                  </w:r>
                  <w:r>
                    <w:rPr>
                      <w:rFonts w:hint="eastAsia" w:ascii="Times New Roman" w:cs="Times New Roman"/>
                      <w:color w:val="FF0000"/>
                      <w:sz w:val="21"/>
                      <w:szCs w:val="21"/>
                      <w:u w:val="wave"/>
                      <w:lang w:val="en-US" w:eastAsia="zh-CN"/>
                    </w:rPr>
                    <w:t>六</w:t>
                  </w:r>
                  <w:r>
                    <w:rPr>
                      <w:rFonts w:hint="eastAsia" w:ascii="Times New Roman" w:cs="Times New Roman"/>
                      <w:color w:val="FF0000"/>
                      <w:sz w:val="21"/>
                      <w:szCs w:val="21"/>
                      <w:u w:val="wave"/>
                    </w:rPr>
                    <w:t>车间渗锌工序</w:t>
                  </w:r>
                  <w:r>
                    <w:rPr>
                      <w:rFonts w:hint="eastAsia" w:ascii="Times New Roman" w:cs="Times New Roman"/>
                      <w:color w:val="FF0000"/>
                      <w:sz w:val="21"/>
                      <w:szCs w:val="21"/>
                      <w:u w:val="wave"/>
                      <w:lang w:val="en-US" w:eastAsia="zh-CN"/>
                    </w:rPr>
                    <w:t>炉料分离</w:t>
                  </w:r>
                  <w:r>
                    <w:rPr>
                      <w:rFonts w:hint="eastAsia" w:ascii="Times New Roman" w:cs="Times New Roman"/>
                      <w:color w:val="FF0000"/>
                      <w:sz w:val="21"/>
                      <w:szCs w:val="21"/>
                      <w:u w:val="wave"/>
                    </w:rPr>
                    <w:t>粉尘：设备自带滤芯除尘器+15m高排气筒（DA002）；</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⑤多元合金共渗天然气燃烧废气：15m高排气筒（DA003、DA004）直接排放；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⑥烘干</w:t>
                  </w:r>
                  <w:r>
                    <w:rPr>
                      <w:rFonts w:hint="eastAsia" w:ascii="Times New Roman" w:cs="Times New Roman"/>
                      <w:color w:val="FF0000"/>
                      <w:sz w:val="21"/>
                      <w:szCs w:val="21"/>
                      <w:u w:val="wave"/>
                      <w:lang w:val="en-US" w:eastAsia="zh-CN"/>
                    </w:rPr>
                    <w:t>固化</w:t>
                  </w:r>
                  <w:r>
                    <w:rPr>
                      <w:rFonts w:ascii="Times New Roman" w:cs="Times New Roman"/>
                      <w:color w:val="FF0000"/>
                      <w:sz w:val="21"/>
                      <w:szCs w:val="21"/>
                      <w:u w:val="wave"/>
                    </w:rPr>
                    <w:t>有机废气</w:t>
                  </w:r>
                  <w:r>
                    <w:rPr>
                      <w:rFonts w:hint="eastAsia" w:ascii="Times New Roman" w:cs="Times New Roman"/>
                      <w:color w:val="FF0000"/>
                      <w:sz w:val="21"/>
                      <w:szCs w:val="21"/>
                      <w:u w:val="wave"/>
                    </w:rPr>
                    <w:t>：</w:t>
                  </w:r>
                  <w:r>
                    <w:rPr>
                      <w:rFonts w:ascii="Times New Roman" w:cs="Times New Roman"/>
                      <w:color w:val="FF0000"/>
                      <w:sz w:val="21"/>
                      <w:szCs w:val="21"/>
                      <w:u w:val="wave"/>
                    </w:rPr>
                    <w:t>UV光解+活性炭吸附装置</w:t>
                  </w:r>
                  <w:r>
                    <w:rPr>
                      <w:rFonts w:hint="eastAsia" w:asciiTheme="majorEastAsia" w:hAnsiTheme="majorEastAsia" w:eastAsiaTheme="majorEastAsia" w:cstheme="majorEastAsia"/>
                      <w:color w:val="FF0000"/>
                      <w:sz w:val="21"/>
                      <w:szCs w:val="21"/>
                      <w:u w:val="wave"/>
                    </w:rPr>
                    <w:t>+</w:t>
                  </w:r>
                  <w:r>
                    <w:rPr>
                      <w:rFonts w:ascii="Times New Roman" w:cs="Times New Roman"/>
                      <w:color w:val="FF0000"/>
                      <w:sz w:val="21"/>
                      <w:szCs w:val="21"/>
                      <w:u w:val="wave"/>
                    </w:rPr>
                    <w:t>15m高排气筒（</w:t>
                  </w:r>
                  <w:r>
                    <w:rPr>
                      <w:rFonts w:hint="eastAsia" w:ascii="Times New Roman" w:cs="Times New Roman"/>
                      <w:color w:val="FF0000"/>
                      <w:sz w:val="21"/>
                      <w:szCs w:val="21"/>
                      <w:u w:val="wave"/>
                    </w:rPr>
                    <w:t>DA005</w:t>
                  </w:r>
                  <w:r>
                    <w:rPr>
                      <w:rFonts w:ascii="Times New Roman" w:cs="Times New Roman"/>
                      <w:color w:val="FF0000"/>
                      <w:sz w:val="21"/>
                      <w:szCs w:val="21"/>
                      <w:u w:val="wave"/>
                    </w:rPr>
                    <w:t>）</w:t>
                  </w:r>
                  <w:r>
                    <w:rPr>
                      <w:rFonts w:hint="eastAsia"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⑦烘干</w:t>
                  </w:r>
                  <w:r>
                    <w:rPr>
                      <w:rFonts w:hint="eastAsia" w:ascii="Times New Roman" w:cs="Times New Roman"/>
                      <w:color w:val="FF0000"/>
                      <w:sz w:val="21"/>
                      <w:szCs w:val="21"/>
                      <w:u w:val="wave"/>
                      <w:lang w:val="en-US" w:eastAsia="zh-CN"/>
                    </w:rPr>
                    <w:t>室</w:t>
                  </w:r>
                  <w:r>
                    <w:rPr>
                      <w:rFonts w:hint="eastAsia" w:ascii="Times New Roman" w:cs="Times New Roman"/>
                      <w:color w:val="FF0000"/>
                      <w:sz w:val="21"/>
                      <w:szCs w:val="21"/>
                      <w:u w:val="wave"/>
                    </w:rPr>
                    <w:t>天然气燃烧</w:t>
                  </w:r>
                  <w:r>
                    <w:rPr>
                      <w:rFonts w:hint="eastAsia" w:ascii="Times New Roman" w:cs="Times New Roman"/>
                      <w:color w:val="FF0000"/>
                      <w:sz w:val="21"/>
                      <w:szCs w:val="21"/>
                      <w:u w:val="wave"/>
                      <w:lang w:val="en-US" w:eastAsia="zh-CN"/>
                    </w:rPr>
                    <w:t>烟气</w:t>
                  </w:r>
                  <w:r>
                    <w:rPr>
                      <w:rFonts w:hint="eastAsia" w:ascii="Times New Roman" w:cs="Times New Roman"/>
                      <w:color w:val="FF0000"/>
                      <w:sz w:val="21"/>
                      <w:szCs w:val="21"/>
                      <w:u w:val="wave"/>
                    </w:rPr>
                    <w:t>：15m高排气筒（DA005）直接排放；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⑧喷漆废气：负压+</w:t>
                  </w:r>
                  <w:r>
                    <w:rPr>
                      <w:rFonts w:hint="eastAsia" w:ascii="Times New Roman" w:cs="Times New Roman"/>
                      <w:color w:val="FF0000"/>
                      <w:sz w:val="21"/>
                      <w:szCs w:val="21"/>
                      <w:u w:val="wave"/>
                      <w:lang w:eastAsia="zh-CN"/>
                    </w:rPr>
                    <w:t>干式过滤+活性炭吸附+催化燃烧脱附（RCO）</w:t>
                  </w:r>
                  <w:r>
                    <w:rPr>
                      <w:rFonts w:hint="eastAsia" w:ascii="Times New Roman" w:cs="Times New Roman"/>
                      <w:color w:val="FF0000"/>
                      <w:sz w:val="21"/>
                      <w:szCs w:val="21"/>
                      <w:u w:val="wave"/>
                    </w:rPr>
                    <w:t>+15m高排气筒（DA006）；</w:t>
                  </w:r>
                </w:p>
                <w:p>
                  <w:pPr>
                    <w:pStyle w:val="2"/>
                    <w:jc w:val="center"/>
                    <w:rPr>
                      <w:rFonts w:ascii="Times New Roman" w:hAnsi="Times New Roman" w:eastAsia="宋体" w:cs="Times New Roman"/>
                      <w:color w:val="FF0000"/>
                      <w:sz w:val="21"/>
                      <w:szCs w:val="21"/>
                      <w:u w:val="wave"/>
                      <w:lang w:val="en-US" w:eastAsia="zh-CN" w:bidi="ar-SA"/>
                    </w:rPr>
                  </w:pPr>
                  <w:r>
                    <w:rPr>
                      <w:rFonts w:hint="eastAsia" w:ascii="Times New Roman" w:cs="Times New Roman"/>
                      <w:color w:val="FF0000"/>
                      <w:sz w:val="21"/>
                      <w:szCs w:val="21"/>
                      <w:u w:val="wave"/>
                    </w:rPr>
                    <w:t>⑨</w:t>
                  </w:r>
                  <w:r>
                    <w:rPr>
                      <w:rFonts w:ascii="Times New Roman" w:cs="Times New Roman"/>
                      <w:color w:val="FF0000"/>
                      <w:sz w:val="21"/>
                      <w:szCs w:val="21"/>
                      <w:u w:val="wave"/>
                    </w:rPr>
                    <w:t>食堂油烟：油烟净化器处理后引至楼面高空排放</w:t>
                  </w:r>
                </w:p>
              </w:tc>
              <w:tc>
                <w:tcPr>
                  <w:tcW w:w="953" w:type="pct"/>
                  <w:vAlign w:val="center"/>
                </w:tcPr>
                <w:p>
                  <w:pPr>
                    <w:pStyle w:val="2"/>
                    <w:jc w:val="center"/>
                    <w:rPr>
                      <w:rFonts w:hint="default" w:ascii="Times New Roman" w:eastAsia="宋体" w:cs="Times New Roman"/>
                      <w:color w:val="FF0000"/>
                      <w:sz w:val="21"/>
                      <w:szCs w:val="21"/>
                      <w:u w:val="wave"/>
                      <w:lang w:val="en-US" w:eastAsia="zh-CN"/>
                    </w:rPr>
                  </w:pPr>
                  <w:r>
                    <w:rPr>
                      <w:rFonts w:hint="eastAsia" w:ascii="Times New Roman" w:cs="Times New Roman"/>
                      <w:color w:val="FF0000"/>
                      <w:sz w:val="21"/>
                      <w:szCs w:val="21"/>
                      <w:u w:val="wave"/>
                    </w:rPr>
                    <w:t>①激光切割粉尘：经设备自带滤芯除尘器处理后无组织排放；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lang w:val="en-US" w:eastAsia="zh-CN"/>
                    </w:rPr>
                    <w:t>②</w:t>
                  </w:r>
                  <w:r>
                    <w:rPr>
                      <w:rFonts w:hint="eastAsia" w:ascii="Times New Roman" w:cs="Times New Roman"/>
                      <w:color w:val="FF0000"/>
                      <w:sz w:val="21"/>
                      <w:szCs w:val="21"/>
                      <w:u w:val="wave"/>
                    </w:rPr>
                    <w:t>碳化除油废气：</w:t>
                  </w:r>
                  <w:r>
                    <w:rPr>
                      <w:rFonts w:hint="eastAsia" w:ascii="Times New Roman" w:cs="Times New Roman"/>
                      <w:color w:val="FF0000"/>
                      <w:sz w:val="21"/>
                      <w:szCs w:val="21"/>
                      <w:u w:val="wave"/>
                      <w:lang w:eastAsia="zh-CN"/>
                    </w:rPr>
                    <w:t>光解式复合油烟净化器</w:t>
                  </w:r>
                  <w:r>
                    <w:rPr>
                      <w:rFonts w:hint="eastAsia" w:ascii="Times New Roman" w:cs="Times New Roman"/>
                      <w:color w:val="FF0000"/>
                      <w:sz w:val="21"/>
                      <w:szCs w:val="21"/>
                      <w:u w:val="wave"/>
                    </w:rPr>
                    <w:t>+15m高排气筒（DA00</w:t>
                  </w:r>
                  <w:r>
                    <w:rPr>
                      <w:rFonts w:hint="eastAsia" w:ascii="Times New Roman" w:cs="Times New Roman"/>
                      <w:color w:val="FF0000"/>
                      <w:sz w:val="21"/>
                      <w:szCs w:val="21"/>
                      <w:u w:val="wave"/>
                      <w:lang w:val="en-US" w:eastAsia="zh-CN"/>
                    </w:rPr>
                    <w:t>7</w:t>
                  </w:r>
                  <w:r>
                    <w:rPr>
                      <w:rFonts w:hint="eastAsia"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lang w:val="en-US" w:eastAsia="zh-CN"/>
                    </w:rPr>
                    <w:t>③</w:t>
                  </w:r>
                  <w:r>
                    <w:rPr>
                      <w:rFonts w:hint="eastAsia" w:ascii="Times New Roman" w:cs="Times New Roman"/>
                      <w:color w:val="FF0000"/>
                      <w:sz w:val="21"/>
                      <w:szCs w:val="21"/>
                      <w:u w:val="wave"/>
                    </w:rPr>
                    <w:t>多元合金共渗天然气燃烧</w:t>
                  </w:r>
                  <w:r>
                    <w:rPr>
                      <w:rFonts w:hint="eastAsia" w:ascii="Times New Roman" w:cs="Times New Roman"/>
                      <w:color w:val="FF0000"/>
                      <w:sz w:val="21"/>
                      <w:szCs w:val="21"/>
                      <w:u w:val="wave"/>
                      <w:lang w:val="en-US" w:eastAsia="zh-CN"/>
                    </w:rPr>
                    <w:t>烟气</w:t>
                  </w:r>
                  <w:r>
                    <w:rPr>
                      <w:rFonts w:hint="eastAsia" w:ascii="Times New Roman" w:cs="Times New Roman"/>
                      <w:color w:val="FF0000"/>
                      <w:sz w:val="21"/>
                      <w:szCs w:val="21"/>
                      <w:u w:val="wave"/>
                    </w:rPr>
                    <w:t>：15m高排气筒（DA00</w:t>
                  </w:r>
                  <w:r>
                    <w:rPr>
                      <w:rFonts w:hint="eastAsia" w:ascii="Times New Roman" w:cs="Times New Roman"/>
                      <w:color w:val="FF0000"/>
                      <w:sz w:val="21"/>
                      <w:szCs w:val="21"/>
                      <w:u w:val="wave"/>
                      <w:lang w:val="en-US" w:eastAsia="zh-CN"/>
                    </w:rPr>
                    <w:t>8</w:t>
                  </w:r>
                  <w:r>
                    <w:rPr>
                      <w:rFonts w:hint="eastAsia" w:ascii="Times New Roman" w:cs="Times New Roman"/>
                      <w:color w:val="FF0000"/>
                      <w:sz w:val="21"/>
                      <w:szCs w:val="21"/>
                      <w:u w:val="wave"/>
                    </w:rPr>
                    <w:t>、DA00</w:t>
                  </w:r>
                  <w:r>
                    <w:rPr>
                      <w:rFonts w:hint="eastAsia" w:ascii="Times New Roman" w:cs="Times New Roman"/>
                      <w:color w:val="FF0000"/>
                      <w:sz w:val="21"/>
                      <w:szCs w:val="21"/>
                      <w:u w:val="wave"/>
                      <w:lang w:val="en-US" w:eastAsia="zh-CN"/>
                    </w:rPr>
                    <w:t>9</w:t>
                  </w:r>
                  <w:r>
                    <w:rPr>
                      <w:rFonts w:hint="eastAsia" w:ascii="Times New Roman" w:cs="Times New Roman"/>
                      <w:color w:val="FF0000"/>
                      <w:sz w:val="21"/>
                      <w:szCs w:val="21"/>
                      <w:u w:val="wave"/>
                    </w:rPr>
                    <w:t>）直接排放；</w:t>
                  </w:r>
                </w:p>
                <w:p>
                  <w:pPr>
                    <w:pStyle w:val="2"/>
                    <w:jc w:val="center"/>
                    <w:rPr>
                      <w:rFonts w:ascii="Times New Roman" w:hAnsi="Times New Roman" w:eastAsia="宋体" w:cs="Times New Roman"/>
                      <w:color w:val="FF0000"/>
                      <w:sz w:val="21"/>
                      <w:szCs w:val="21"/>
                      <w:u w:val="wave"/>
                      <w:lang w:val="en-US" w:eastAsia="zh-CN" w:bidi="ar-SA"/>
                    </w:rPr>
                  </w:pPr>
                  <w:r>
                    <w:rPr>
                      <w:rFonts w:hint="eastAsia" w:ascii="Times New Roman" w:cs="Times New Roman"/>
                      <w:color w:val="FF0000"/>
                      <w:sz w:val="21"/>
                      <w:szCs w:val="21"/>
                      <w:u w:val="wave"/>
                      <w:lang w:val="en-US" w:eastAsia="zh-CN"/>
                    </w:rPr>
                    <w:t>④</w:t>
                  </w:r>
                  <w:r>
                    <w:rPr>
                      <w:rFonts w:hint="eastAsia" w:ascii="Times New Roman" w:cs="Times New Roman"/>
                      <w:color w:val="FF0000"/>
                      <w:sz w:val="21"/>
                      <w:szCs w:val="21"/>
                      <w:u w:val="wave"/>
                    </w:rPr>
                    <w:t>渗锌工序</w:t>
                  </w:r>
                  <w:r>
                    <w:rPr>
                      <w:rFonts w:hint="eastAsia" w:ascii="Times New Roman" w:cs="Times New Roman"/>
                      <w:color w:val="FF0000"/>
                      <w:sz w:val="21"/>
                      <w:szCs w:val="21"/>
                      <w:u w:val="wave"/>
                      <w:lang w:val="en-US" w:eastAsia="zh-CN"/>
                    </w:rPr>
                    <w:t>炉料</w:t>
                  </w:r>
                  <w:r>
                    <w:rPr>
                      <w:rFonts w:hint="eastAsia" w:ascii="Times New Roman" w:cs="Times New Roman"/>
                      <w:color w:val="FF0000"/>
                      <w:sz w:val="21"/>
                      <w:szCs w:val="21"/>
                      <w:u w:val="wave"/>
                    </w:rPr>
                    <w:t>分离粉尘：配套的吸、放料装置（内含除尘器）处理后</w:t>
                  </w:r>
                  <w:r>
                    <w:rPr>
                      <w:rFonts w:hint="eastAsia" w:ascii="Times New Roman" w:cs="Times New Roman"/>
                      <w:color w:val="FF0000"/>
                      <w:sz w:val="21"/>
                      <w:szCs w:val="21"/>
                      <w:u w:val="wave"/>
                      <w:lang w:val="en-US" w:eastAsia="zh-CN"/>
                    </w:rPr>
                    <w:t>车间内无组织排放</w:t>
                  </w:r>
                </w:p>
              </w:tc>
              <w:tc>
                <w:tcPr>
                  <w:tcW w:w="1576" w:type="pct"/>
                  <w:vAlign w:val="center"/>
                </w:tcPr>
                <w:p>
                  <w:pPr>
                    <w:pStyle w:val="2"/>
                    <w:jc w:val="center"/>
                    <w:rPr>
                      <w:rFonts w:ascii="Times New Roman" w:cs="Times New Roman"/>
                      <w:color w:val="FF0000"/>
                      <w:sz w:val="21"/>
                      <w:szCs w:val="21"/>
                      <w:u w:val="wave"/>
                    </w:rPr>
                  </w:pPr>
                  <w:r>
                    <w:rPr>
                      <w:rFonts w:ascii="Times New Roman" w:cs="Times New Roman"/>
                      <w:color w:val="FF0000"/>
                      <w:sz w:val="21"/>
                      <w:szCs w:val="21"/>
                      <w:u w:val="wave"/>
                    </w:rPr>
                    <w:t>①抛丸废气</w:t>
                  </w:r>
                  <w:r>
                    <w:rPr>
                      <w:rFonts w:hint="eastAsia" w:ascii="Times New Roman" w:cs="Times New Roman"/>
                      <w:color w:val="FF0000"/>
                      <w:sz w:val="21"/>
                      <w:szCs w:val="21"/>
                      <w:u w:val="wave"/>
                      <w:lang w:eastAsia="zh-CN"/>
                    </w:rPr>
                    <w:t>：</w:t>
                  </w:r>
                  <w:r>
                    <w:rPr>
                      <w:color w:val="FF0000"/>
                      <w:sz w:val="21"/>
                      <w:szCs w:val="21"/>
                      <w:u w:val="wave"/>
                    </w:rPr>
                    <w:t>经抛丸机自带滤筒式除尘器</w:t>
                  </w:r>
                  <w:r>
                    <w:rPr>
                      <w:rFonts w:hint="eastAsia"/>
                      <w:color w:val="FF0000"/>
                      <w:sz w:val="21"/>
                      <w:szCs w:val="21"/>
                      <w:u w:val="wave"/>
                    </w:rPr>
                    <w:t>处理后车间内无组织排放</w:t>
                  </w:r>
                  <w:r>
                    <w:rPr>
                      <w:rFonts w:ascii="Times New Roman" w:cs="Times New Roman"/>
                      <w:color w:val="FF0000"/>
                      <w:sz w:val="21"/>
                      <w:szCs w:val="21"/>
                      <w:u w:val="wave"/>
                    </w:rPr>
                    <w:t>；</w:t>
                  </w:r>
                </w:p>
                <w:p>
                  <w:pPr>
                    <w:pStyle w:val="2"/>
                    <w:jc w:val="center"/>
                    <w:rPr>
                      <w:rFonts w:hint="eastAsia" w:ascii="Times New Roman" w:eastAsia="宋体" w:cs="Times New Roman"/>
                      <w:color w:val="FF0000"/>
                      <w:sz w:val="21"/>
                      <w:szCs w:val="21"/>
                      <w:u w:val="wave"/>
                      <w:lang w:eastAsia="zh-CN"/>
                    </w:rPr>
                  </w:pPr>
                  <w:r>
                    <w:rPr>
                      <w:rFonts w:ascii="Times New Roman" w:cs="Times New Roman"/>
                      <w:color w:val="FF0000"/>
                      <w:sz w:val="21"/>
                      <w:szCs w:val="21"/>
                      <w:u w:val="wave"/>
                    </w:rPr>
                    <w:t>②</w:t>
                  </w:r>
                  <w:r>
                    <w:rPr>
                      <w:rFonts w:hint="eastAsia" w:ascii="Times New Roman" w:cs="Times New Roman"/>
                      <w:color w:val="FF0000"/>
                      <w:sz w:val="21"/>
                      <w:szCs w:val="21"/>
                      <w:u w:val="wave"/>
                      <w:lang w:val="en-US" w:eastAsia="zh-CN"/>
                    </w:rPr>
                    <w:t>下料</w:t>
                  </w:r>
                  <w:r>
                    <w:rPr>
                      <w:rFonts w:ascii="Times New Roman" w:cs="Times New Roman"/>
                      <w:color w:val="FF0000"/>
                      <w:sz w:val="21"/>
                      <w:szCs w:val="21"/>
                      <w:u w:val="wave"/>
                    </w:rPr>
                    <w:t>切割烟尘</w:t>
                  </w:r>
                  <w:r>
                    <w:rPr>
                      <w:rFonts w:hint="eastAsia" w:ascii="Times New Roman" w:cs="Times New Roman"/>
                      <w:color w:val="FF0000"/>
                      <w:sz w:val="21"/>
                      <w:szCs w:val="21"/>
                      <w:u w:val="wave"/>
                    </w:rPr>
                    <w:t>：</w:t>
                  </w:r>
                  <w:r>
                    <w:rPr>
                      <w:rFonts w:ascii="Times New Roman" w:cs="Times New Roman"/>
                      <w:color w:val="FF0000"/>
                      <w:sz w:val="21"/>
                      <w:szCs w:val="21"/>
                      <w:u w:val="wave"/>
                    </w:rPr>
                    <w:t>滤筒式除尘器处理后车间内无组织排放</w:t>
                  </w:r>
                  <w:r>
                    <w:rPr>
                      <w:rFonts w:hint="eastAsia"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③焊接烟尘：移动式焊接烟尘净化器处理后无组织排放；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④</w:t>
                  </w:r>
                  <w:r>
                    <w:rPr>
                      <w:rFonts w:hint="eastAsia" w:ascii="Times New Roman" w:cs="Times New Roman"/>
                      <w:color w:val="FF0000"/>
                      <w:sz w:val="21"/>
                      <w:szCs w:val="21"/>
                      <w:u w:val="wave"/>
                      <w:lang w:val="en-US" w:eastAsia="zh-CN"/>
                    </w:rPr>
                    <w:t>六</w:t>
                  </w:r>
                  <w:r>
                    <w:rPr>
                      <w:rFonts w:hint="eastAsia" w:ascii="Times New Roman" w:cs="Times New Roman"/>
                      <w:color w:val="FF0000"/>
                      <w:sz w:val="21"/>
                      <w:szCs w:val="21"/>
                      <w:u w:val="wave"/>
                    </w:rPr>
                    <w:t>车间上料环保装置</w:t>
                  </w:r>
                  <w:r>
                    <w:rPr>
                      <w:rFonts w:hint="eastAsia" w:ascii="Times New Roman" w:cs="Times New Roman"/>
                      <w:color w:val="FF0000"/>
                      <w:sz w:val="21"/>
                      <w:szCs w:val="21"/>
                      <w:u w:val="wave"/>
                      <w:lang w:val="en-US" w:eastAsia="zh-CN"/>
                    </w:rPr>
                    <w:t>炉料分离</w:t>
                  </w:r>
                  <w:r>
                    <w:rPr>
                      <w:rFonts w:hint="eastAsia" w:ascii="Times New Roman" w:cs="Times New Roman"/>
                      <w:color w:val="FF0000"/>
                      <w:sz w:val="21"/>
                      <w:szCs w:val="21"/>
                      <w:u w:val="wave"/>
                    </w:rPr>
                    <w:t>粉尘：设备自带滤芯除尘器+15m高排气筒（DA002）；全自动炉料吸送装置</w:t>
                  </w:r>
                  <w:r>
                    <w:rPr>
                      <w:rFonts w:hint="eastAsia" w:ascii="Times New Roman" w:cs="Times New Roman"/>
                      <w:color w:val="FF0000"/>
                      <w:sz w:val="21"/>
                      <w:szCs w:val="21"/>
                      <w:u w:val="wave"/>
                      <w:lang w:val="en-US" w:eastAsia="zh-CN"/>
                    </w:rPr>
                    <w:t>炉料分离</w:t>
                  </w:r>
                  <w:r>
                    <w:rPr>
                      <w:rFonts w:hint="eastAsia" w:ascii="Times New Roman" w:cs="Times New Roman"/>
                      <w:color w:val="FF0000"/>
                      <w:sz w:val="21"/>
                      <w:szCs w:val="21"/>
                      <w:u w:val="wave"/>
                    </w:rPr>
                    <w:t>粉尘：配套的吸、放料装置（内含除尘器）处理后</w:t>
                  </w:r>
                  <w:r>
                    <w:rPr>
                      <w:rFonts w:hint="eastAsia" w:ascii="Times New Roman" w:cs="Times New Roman"/>
                      <w:color w:val="FF0000"/>
                      <w:sz w:val="21"/>
                      <w:szCs w:val="21"/>
                      <w:u w:val="wave"/>
                      <w:lang w:val="en-US" w:eastAsia="zh-CN"/>
                    </w:rPr>
                    <w:t>车间内无组织排放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⑤多元合金共渗天然气燃烧废气：15m高排气筒（DA003、DA004</w:t>
                  </w:r>
                  <w:r>
                    <w:rPr>
                      <w:rFonts w:hint="eastAsia" w:ascii="Times New Roman" w:cs="Times New Roman"/>
                      <w:color w:val="FF0000"/>
                      <w:sz w:val="21"/>
                      <w:szCs w:val="21"/>
                      <w:u w:val="wave"/>
                      <w:lang w:eastAsia="zh-CN"/>
                    </w:rPr>
                    <w:t>、</w:t>
                  </w:r>
                  <w:r>
                    <w:rPr>
                      <w:rFonts w:hint="eastAsia" w:ascii="Times New Roman" w:cs="Times New Roman"/>
                      <w:color w:val="FF0000"/>
                      <w:sz w:val="21"/>
                      <w:szCs w:val="21"/>
                      <w:u w:val="wave"/>
                    </w:rPr>
                    <w:t>DA00</w:t>
                  </w:r>
                  <w:r>
                    <w:rPr>
                      <w:rFonts w:hint="eastAsia" w:ascii="Times New Roman" w:cs="Times New Roman"/>
                      <w:color w:val="FF0000"/>
                      <w:sz w:val="21"/>
                      <w:szCs w:val="21"/>
                      <w:u w:val="wave"/>
                      <w:lang w:val="en-US" w:eastAsia="zh-CN"/>
                    </w:rPr>
                    <w:t>8</w:t>
                  </w:r>
                  <w:r>
                    <w:rPr>
                      <w:rFonts w:hint="eastAsia" w:ascii="Times New Roman" w:cs="Times New Roman"/>
                      <w:color w:val="FF0000"/>
                      <w:sz w:val="21"/>
                      <w:szCs w:val="21"/>
                      <w:u w:val="wave"/>
                    </w:rPr>
                    <w:t>、DA00</w:t>
                  </w:r>
                  <w:r>
                    <w:rPr>
                      <w:rFonts w:hint="eastAsia" w:ascii="Times New Roman" w:cs="Times New Roman"/>
                      <w:color w:val="FF0000"/>
                      <w:sz w:val="21"/>
                      <w:szCs w:val="21"/>
                      <w:u w:val="wave"/>
                      <w:lang w:val="en-US" w:eastAsia="zh-CN"/>
                    </w:rPr>
                    <w:t>9</w:t>
                  </w:r>
                  <w:r>
                    <w:rPr>
                      <w:rFonts w:hint="eastAsia" w:ascii="Times New Roman" w:cs="Times New Roman"/>
                      <w:color w:val="FF0000"/>
                      <w:sz w:val="21"/>
                      <w:szCs w:val="21"/>
                      <w:u w:val="wave"/>
                    </w:rPr>
                    <w:t>）直接排放；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⑥烘干</w:t>
                  </w:r>
                  <w:r>
                    <w:rPr>
                      <w:rFonts w:hint="eastAsia" w:ascii="Times New Roman" w:cs="Times New Roman"/>
                      <w:color w:val="FF0000"/>
                      <w:sz w:val="21"/>
                      <w:szCs w:val="21"/>
                      <w:u w:val="wave"/>
                      <w:lang w:val="en-US" w:eastAsia="zh-CN"/>
                    </w:rPr>
                    <w:t>固化</w:t>
                  </w:r>
                  <w:r>
                    <w:rPr>
                      <w:rFonts w:ascii="Times New Roman" w:cs="Times New Roman"/>
                      <w:color w:val="FF0000"/>
                      <w:sz w:val="21"/>
                      <w:szCs w:val="21"/>
                      <w:u w:val="wave"/>
                    </w:rPr>
                    <w:t>有机废气</w:t>
                  </w:r>
                  <w:r>
                    <w:rPr>
                      <w:rFonts w:hint="eastAsia" w:ascii="Times New Roman" w:cs="Times New Roman"/>
                      <w:color w:val="FF0000"/>
                      <w:sz w:val="21"/>
                      <w:szCs w:val="21"/>
                      <w:u w:val="wave"/>
                    </w:rPr>
                    <w:t>：</w:t>
                  </w:r>
                  <w:r>
                    <w:rPr>
                      <w:rFonts w:ascii="Times New Roman" w:cs="Times New Roman"/>
                      <w:color w:val="FF0000"/>
                      <w:sz w:val="21"/>
                      <w:szCs w:val="21"/>
                      <w:u w:val="wave"/>
                    </w:rPr>
                    <w:t>UV光解+活性炭吸附装置</w:t>
                  </w:r>
                  <w:r>
                    <w:rPr>
                      <w:rFonts w:hint="eastAsia" w:asciiTheme="majorEastAsia" w:hAnsiTheme="majorEastAsia" w:eastAsiaTheme="majorEastAsia" w:cstheme="majorEastAsia"/>
                      <w:color w:val="FF0000"/>
                      <w:sz w:val="21"/>
                      <w:szCs w:val="21"/>
                      <w:u w:val="wave"/>
                    </w:rPr>
                    <w:t>+</w:t>
                  </w:r>
                  <w:r>
                    <w:rPr>
                      <w:rFonts w:ascii="Times New Roman" w:cs="Times New Roman"/>
                      <w:color w:val="FF0000"/>
                      <w:sz w:val="21"/>
                      <w:szCs w:val="21"/>
                      <w:u w:val="wave"/>
                    </w:rPr>
                    <w:t>15m高排气筒（</w:t>
                  </w:r>
                  <w:r>
                    <w:rPr>
                      <w:rFonts w:hint="eastAsia" w:ascii="Times New Roman" w:cs="Times New Roman"/>
                      <w:color w:val="FF0000"/>
                      <w:sz w:val="21"/>
                      <w:szCs w:val="21"/>
                      <w:u w:val="wave"/>
                    </w:rPr>
                    <w:t>DA005</w:t>
                  </w:r>
                  <w:r>
                    <w:rPr>
                      <w:rFonts w:ascii="Times New Roman" w:cs="Times New Roman"/>
                      <w:color w:val="FF0000"/>
                      <w:sz w:val="21"/>
                      <w:szCs w:val="21"/>
                      <w:u w:val="wave"/>
                    </w:rPr>
                    <w:t>）</w:t>
                  </w:r>
                  <w:r>
                    <w:rPr>
                      <w:rFonts w:hint="eastAsia" w:ascii="Times New Roman" w:cs="Times New Roman"/>
                      <w:color w:val="FF0000"/>
                      <w:sz w:val="21"/>
                      <w:szCs w:val="21"/>
                      <w:u w:val="wave"/>
                    </w:rPr>
                    <w:t>；</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⑦烘干</w:t>
                  </w:r>
                  <w:r>
                    <w:rPr>
                      <w:rFonts w:hint="eastAsia" w:ascii="Times New Roman" w:cs="Times New Roman"/>
                      <w:color w:val="FF0000"/>
                      <w:sz w:val="21"/>
                      <w:szCs w:val="21"/>
                      <w:u w:val="wave"/>
                      <w:lang w:val="en-US" w:eastAsia="zh-CN"/>
                    </w:rPr>
                    <w:t>室</w:t>
                  </w:r>
                  <w:r>
                    <w:rPr>
                      <w:rFonts w:hint="eastAsia" w:ascii="Times New Roman" w:cs="Times New Roman"/>
                      <w:color w:val="FF0000"/>
                      <w:sz w:val="21"/>
                      <w:szCs w:val="21"/>
                      <w:u w:val="wave"/>
                    </w:rPr>
                    <w:t>天然气燃烧</w:t>
                  </w:r>
                  <w:r>
                    <w:rPr>
                      <w:rFonts w:hint="eastAsia" w:ascii="Times New Roman" w:cs="Times New Roman"/>
                      <w:color w:val="FF0000"/>
                      <w:sz w:val="21"/>
                      <w:szCs w:val="21"/>
                      <w:u w:val="wave"/>
                      <w:lang w:val="en-US" w:eastAsia="zh-CN"/>
                    </w:rPr>
                    <w:t>烟气</w:t>
                  </w:r>
                  <w:r>
                    <w:rPr>
                      <w:rFonts w:hint="eastAsia" w:ascii="Times New Roman" w:cs="Times New Roman"/>
                      <w:color w:val="FF0000"/>
                      <w:sz w:val="21"/>
                      <w:szCs w:val="21"/>
                      <w:u w:val="wave"/>
                    </w:rPr>
                    <w:t>：15m高排气筒（DA005）直接排放；</w:t>
                  </w:r>
                </w:p>
                <w:p>
                  <w:pPr>
                    <w:pStyle w:val="2"/>
                    <w:jc w:val="center"/>
                    <w:rPr>
                      <w:rFonts w:ascii="Times New Roman" w:cs="Times New Roman"/>
                      <w:color w:val="FF0000"/>
                      <w:sz w:val="21"/>
                      <w:szCs w:val="21"/>
                      <w:u w:val="wave"/>
                    </w:rPr>
                  </w:pPr>
                  <w:r>
                    <w:rPr>
                      <w:rFonts w:hint="eastAsia" w:ascii="Times New Roman" w:cs="Times New Roman"/>
                      <w:color w:val="FF0000"/>
                      <w:sz w:val="21"/>
                      <w:szCs w:val="21"/>
                      <w:u w:val="wave"/>
                    </w:rPr>
                    <w:t>⑧喷漆废气：负压+</w:t>
                  </w:r>
                  <w:r>
                    <w:rPr>
                      <w:rFonts w:hint="eastAsia" w:ascii="Times New Roman" w:cs="Times New Roman"/>
                      <w:color w:val="FF0000"/>
                      <w:sz w:val="21"/>
                      <w:szCs w:val="21"/>
                      <w:u w:val="wave"/>
                      <w:lang w:eastAsia="zh-CN"/>
                    </w:rPr>
                    <w:t>干式过滤+活性炭吸附+催化燃烧脱附（RCO）</w:t>
                  </w:r>
                  <w:r>
                    <w:rPr>
                      <w:rFonts w:hint="eastAsia" w:ascii="Times New Roman" w:cs="Times New Roman"/>
                      <w:color w:val="FF0000"/>
                      <w:sz w:val="21"/>
                      <w:szCs w:val="21"/>
                      <w:u w:val="wave"/>
                    </w:rPr>
                    <w:t>+15m高排气筒（DA006）；</w:t>
                  </w:r>
                </w:p>
                <w:p>
                  <w:pPr>
                    <w:pStyle w:val="2"/>
                    <w:jc w:val="center"/>
                    <w:rPr>
                      <w:rFonts w:hint="eastAsia" w:ascii="Times New Roman" w:eastAsia="宋体" w:cs="Times New Roman"/>
                      <w:color w:val="FF0000"/>
                      <w:sz w:val="21"/>
                      <w:szCs w:val="21"/>
                      <w:u w:val="wave"/>
                      <w:lang w:eastAsia="zh-CN"/>
                    </w:rPr>
                  </w:pPr>
                  <w:r>
                    <w:rPr>
                      <w:rFonts w:hint="eastAsia" w:ascii="Times New Roman" w:cs="Times New Roman"/>
                      <w:color w:val="FF0000"/>
                      <w:sz w:val="21"/>
                      <w:szCs w:val="21"/>
                      <w:u w:val="wave"/>
                    </w:rPr>
                    <w:t>⑨碳化除油废气：</w:t>
                  </w:r>
                  <w:r>
                    <w:rPr>
                      <w:rFonts w:hint="eastAsia" w:ascii="Times New Roman" w:cs="Times New Roman"/>
                      <w:color w:val="FF0000"/>
                      <w:sz w:val="21"/>
                      <w:szCs w:val="21"/>
                      <w:u w:val="wave"/>
                      <w:lang w:eastAsia="zh-CN"/>
                    </w:rPr>
                    <w:t>光解式复合油烟净化器</w:t>
                  </w:r>
                  <w:r>
                    <w:rPr>
                      <w:rFonts w:hint="eastAsia" w:ascii="Times New Roman" w:cs="Times New Roman"/>
                      <w:color w:val="FF0000"/>
                      <w:sz w:val="21"/>
                      <w:szCs w:val="21"/>
                      <w:u w:val="wave"/>
                    </w:rPr>
                    <w:t>+15m高排气筒（DA00</w:t>
                  </w:r>
                  <w:r>
                    <w:rPr>
                      <w:rFonts w:hint="eastAsia" w:ascii="Times New Roman" w:cs="Times New Roman"/>
                      <w:color w:val="FF0000"/>
                      <w:sz w:val="21"/>
                      <w:szCs w:val="21"/>
                      <w:u w:val="wave"/>
                      <w:lang w:val="en-US" w:eastAsia="zh-CN"/>
                    </w:rPr>
                    <w:t>7</w:t>
                  </w:r>
                  <w:r>
                    <w:rPr>
                      <w:rFonts w:hint="eastAsia" w:ascii="Times New Roman" w:cs="Times New Roman"/>
                      <w:color w:val="FF0000"/>
                      <w:sz w:val="21"/>
                      <w:szCs w:val="21"/>
                      <w:u w:val="wave"/>
                    </w:rPr>
                    <w:t>）</w:t>
                  </w:r>
                  <w:r>
                    <w:rPr>
                      <w:rFonts w:hint="eastAsia" w:ascii="Times New Roman" w:cs="Times New Roman"/>
                      <w:color w:val="FF0000"/>
                      <w:sz w:val="21"/>
                      <w:szCs w:val="21"/>
                      <w:u w:val="wave"/>
                      <w:lang w:eastAsia="zh-CN"/>
                    </w:rPr>
                    <w:t>；</w:t>
                  </w:r>
                </w:p>
                <w:p>
                  <w:pPr>
                    <w:pStyle w:val="2"/>
                    <w:jc w:val="center"/>
                    <w:rPr>
                      <w:rFonts w:hint="default" w:ascii="Times New Roman" w:cs="Times New Roman"/>
                      <w:color w:val="FF0000"/>
                      <w:sz w:val="21"/>
                      <w:szCs w:val="21"/>
                      <w:u w:val="wave"/>
                      <w:lang w:val="en-US" w:eastAsia="zh-CN"/>
                    </w:rPr>
                  </w:pPr>
                  <w:r>
                    <w:rPr>
                      <w:rFonts w:hint="eastAsia" w:ascii="Times New Roman" w:cs="Times New Roman"/>
                      <w:color w:val="FF0000"/>
                      <w:sz w:val="21"/>
                      <w:szCs w:val="21"/>
                      <w:u w:val="wave"/>
                      <w:lang w:val="en-US" w:eastAsia="zh-CN"/>
                    </w:rPr>
                    <w:t>⑩</w:t>
                  </w:r>
                  <w:r>
                    <w:rPr>
                      <w:rFonts w:ascii="Times New Roman" w:cs="Times New Roman"/>
                      <w:color w:val="FF0000"/>
                      <w:sz w:val="21"/>
                      <w:szCs w:val="21"/>
                      <w:u w:val="wave"/>
                    </w:rPr>
                    <w:t>食堂油烟：油烟净化器处理后引至楼面高空排放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Pr>
                <w:p>
                  <w:pPr>
                    <w:pStyle w:val="2"/>
                    <w:jc w:val="center"/>
                    <w:rPr>
                      <w:color w:val="FF0000"/>
                      <w:sz w:val="21"/>
                      <w:szCs w:val="21"/>
                      <w:u w:val="wave"/>
                      <w:vertAlign w:val="baseline"/>
                    </w:rPr>
                  </w:pPr>
                </w:p>
              </w:tc>
              <w:tc>
                <w:tcPr>
                  <w:tcW w:w="411" w:type="pct"/>
                  <w:vAlign w:val="center"/>
                </w:tcPr>
                <w:p>
                  <w:pPr>
                    <w:pStyle w:val="59"/>
                    <w:rPr>
                      <w:color w:val="FF0000"/>
                      <w:sz w:val="21"/>
                      <w:szCs w:val="21"/>
                      <w:u w:val="wave"/>
                    </w:rPr>
                  </w:pPr>
                  <w:r>
                    <w:rPr>
                      <w:color w:val="FF0000"/>
                      <w:sz w:val="21"/>
                      <w:szCs w:val="21"/>
                      <w:u w:val="wave"/>
                    </w:rPr>
                    <w:t>废水</w:t>
                  </w:r>
                </w:p>
                <w:p>
                  <w:pPr>
                    <w:pStyle w:val="59"/>
                    <w:rPr>
                      <w:rFonts w:ascii="Times New Roman" w:hAnsi="Times New Roman" w:eastAsia="宋体" w:cs="Times New Roman"/>
                      <w:color w:val="FF0000"/>
                      <w:sz w:val="21"/>
                      <w:szCs w:val="21"/>
                      <w:u w:val="wave"/>
                      <w:lang w:val="en-US" w:eastAsia="zh-CN" w:bidi="ar-SA"/>
                    </w:rPr>
                  </w:pPr>
                  <w:r>
                    <w:rPr>
                      <w:color w:val="FF0000"/>
                      <w:sz w:val="21"/>
                      <w:szCs w:val="21"/>
                      <w:u w:val="wave"/>
                    </w:rPr>
                    <w:t>治理</w:t>
                  </w:r>
                </w:p>
              </w:tc>
              <w:tc>
                <w:tcPr>
                  <w:tcW w:w="1704" w:type="pct"/>
                  <w:vAlign w:val="center"/>
                </w:tcPr>
                <w:p>
                  <w:pPr>
                    <w:jc w:val="center"/>
                    <w:rPr>
                      <w:bCs/>
                      <w:color w:val="FF0000"/>
                      <w:sz w:val="21"/>
                      <w:szCs w:val="21"/>
                      <w:u w:val="wave"/>
                    </w:rPr>
                  </w:pPr>
                  <w:r>
                    <w:rPr>
                      <w:rFonts w:hint="eastAsia"/>
                      <w:bCs/>
                      <w:color w:val="FF0000"/>
                      <w:sz w:val="21"/>
                      <w:szCs w:val="21"/>
                      <w:u w:val="wave"/>
                    </w:rPr>
                    <w:t>①项目经中和隔油+沉淀处理的生产废水（夹片产品喷砂清洗废水、设备清洗废水及车间保洁废水）与生活污水（隔油池+化粪池预处理）一并处理达到《污水综合排放标准》（GB8978-1996）三级标准后，通过市政污水管网排至衡阳县国祯污水处理厂深度处理后排入蒸水；</w:t>
                  </w:r>
                </w:p>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rPr>
                    <w:t>②多元共渗后的工件</w:t>
                  </w:r>
                  <w:r>
                    <w:rPr>
                      <w:rFonts w:hint="eastAsia"/>
                      <w:color w:val="FF0000"/>
                      <w:sz w:val="21"/>
                      <w:szCs w:val="21"/>
                      <w:u w:val="wave"/>
                      <w:lang w:val="en-US" w:eastAsia="zh-CN"/>
                    </w:rPr>
                    <w:t>使用纯水进行</w:t>
                  </w:r>
                  <w:r>
                    <w:rPr>
                      <w:rFonts w:hint="eastAsia"/>
                      <w:color w:val="FF0000"/>
                      <w:sz w:val="21"/>
                      <w:szCs w:val="21"/>
                      <w:u w:val="wave"/>
                    </w:rPr>
                    <w:t>清洗</w:t>
                  </w:r>
                  <w:r>
                    <w:rPr>
                      <w:rFonts w:hint="eastAsia"/>
                      <w:color w:val="FF0000"/>
                      <w:sz w:val="21"/>
                      <w:szCs w:val="21"/>
                      <w:u w:val="wave"/>
                      <w:lang w:eastAsia="zh-CN"/>
                    </w:rPr>
                    <w:t>，</w:t>
                  </w:r>
                  <w:r>
                    <w:rPr>
                      <w:rFonts w:hint="eastAsia"/>
                      <w:color w:val="FF0000"/>
                      <w:sz w:val="21"/>
                      <w:szCs w:val="21"/>
                      <w:u w:val="wave"/>
                      <w:lang w:val="en-US" w:eastAsia="zh-CN"/>
                    </w:rPr>
                    <w:t>清洗</w:t>
                  </w:r>
                  <w:r>
                    <w:rPr>
                      <w:rFonts w:hint="eastAsia"/>
                      <w:color w:val="FF0000"/>
                      <w:sz w:val="21"/>
                      <w:szCs w:val="21"/>
                      <w:u w:val="wave"/>
                    </w:rPr>
                    <w:t>废水经沉淀池沉淀后循环使用，不外排，纯水制备</w:t>
                  </w:r>
                  <w:r>
                    <w:rPr>
                      <w:rFonts w:hint="eastAsia"/>
                      <w:color w:val="FF0000"/>
                      <w:sz w:val="21"/>
                      <w:szCs w:val="21"/>
                      <w:u w:val="wave"/>
                      <w:lang w:val="en-US" w:eastAsia="zh-CN"/>
                    </w:rPr>
                    <w:t>产生的</w:t>
                  </w:r>
                  <w:r>
                    <w:rPr>
                      <w:rFonts w:hint="eastAsia"/>
                      <w:color w:val="FF0000"/>
                      <w:sz w:val="21"/>
                      <w:szCs w:val="21"/>
                      <w:u w:val="wave"/>
                    </w:rPr>
                    <w:t>浓水属清净下水，经雨水管道排放；</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rFonts w:hint="eastAsia"/>
                      <w:color w:val="FF0000"/>
                      <w:sz w:val="21"/>
                      <w:szCs w:val="21"/>
                      <w:u w:val="wave"/>
                      <w:lang w:val="en-US" w:eastAsia="zh-CN"/>
                    </w:rPr>
                    <w:t>/</w:t>
                  </w:r>
                </w:p>
              </w:tc>
              <w:tc>
                <w:tcPr>
                  <w:tcW w:w="1576" w:type="pct"/>
                  <w:vAlign w:val="center"/>
                </w:tcPr>
                <w:p>
                  <w:pPr>
                    <w:jc w:val="center"/>
                    <w:rPr>
                      <w:bCs/>
                      <w:color w:val="FF0000"/>
                      <w:sz w:val="21"/>
                      <w:szCs w:val="21"/>
                      <w:u w:val="wave"/>
                    </w:rPr>
                  </w:pPr>
                  <w:r>
                    <w:rPr>
                      <w:rFonts w:hint="eastAsia"/>
                      <w:bCs/>
                      <w:color w:val="FF0000"/>
                      <w:sz w:val="21"/>
                      <w:szCs w:val="21"/>
                      <w:u w:val="wave"/>
                    </w:rPr>
                    <w:t>①项目经中和隔油+沉淀处理的生产废水（夹片产品喷砂清洗废水、设备清洗废水及车间保洁废水）与生活污水（隔油池+化粪池预处理）一并处理达到《污水综合排放标准》（GB8978-1996）三级标准后，通过市政污水管网排至衡阳县国祯污水处理厂深度处理后排入蒸水；</w:t>
                  </w:r>
                </w:p>
                <w:p>
                  <w:pPr>
                    <w:jc w:val="center"/>
                    <w:rPr>
                      <w:color w:val="FF0000"/>
                      <w:sz w:val="21"/>
                      <w:szCs w:val="21"/>
                      <w:u w:val="wave"/>
                    </w:rPr>
                  </w:pPr>
                  <w:r>
                    <w:rPr>
                      <w:rFonts w:hint="eastAsia"/>
                      <w:color w:val="FF0000"/>
                      <w:sz w:val="21"/>
                      <w:szCs w:val="21"/>
                      <w:u w:val="wave"/>
                    </w:rPr>
                    <w:t>②多元共渗后的工件</w:t>
                  </w:r>
                  <w:r>
                    <w:rPr>
                      <w:rFonts w:hint="eastAsia"/>
                      <w:color w:val="FF0000"/>
                      <w:sz w:val="21"/>
                      <w:szCs w:val="21"/>
                      <w:u w:val="wave"/>
                      <w:lang w:val="en-US" w:eastAsia="zh-CN"/>
                    </w:rPr>
                    <w:t>使用纯水进行</w:t>
                  </w:r>
                  <w:r>
                    <w:rPr>
                      <w:rFonts w:hint="eastAsia"/>
                      <w:color w:val="FF0000"/>
                      <w:sz w:val="21"/>
                      <w:szCs w:val="21"/>
                      <w:u w:val="wave"/>
                    </w:rPr>
                    <w:t>清洗</w:t>
                  </w:r>
                  <w:r>
                    <w:rPr>
                      <w:rFonts w:hint="eastAsia"/>
                      <w:color w:val="FF0000"/>
                      <w:sz w:val="21"/>
                      <w:szCs w:val="21"/>
                      <w:u w:val="wave"/>
                      <w:lang w:eastAsia="zh-CN"/>
                    </w:rPr>
                    <w:t>，</w:t>
                  </w:r>
                  <w:r>
                    <w:rPr>
                      <w:rFonts w:hint="eastAsia"/>
                      <w:color w:val="FF0000"/>
                      <w:sz w:val="21"/>
                      <w:szCs w:val="21"/>
                      <w:u w:val="wave"/>
                      <w:lang w:val="en-US" w:eastAsia="zh-CN"/>
                    </w:rPr>
                    <w:t>清洗</w:t>
                  </w:r>
                  <w:r>
                    <w:rPr>
                      <w:rFonts w:hint="eastAsia"/>
                      <w:color w:val="FF0000"/>
                      <w:sz w:val="21"/>
                      <w:szCs w:val="21"/>
                      <w:u w:val="wave"/>
                    </w:rPr>
                    <w:t>废水经沉淀池沉淀后循环使用，不外排，纯水制备</w:t>
                  </w:r>
                  <w:r>
                    <w:rPr>
                      <w:rFonts w:hint="eastAsia"/>
                      <w:color w:val="FF0000"/>
                      <w:sz w:val="21"/>
                      <w:szCs w:val="21"/>
                      <w:u w:val="wave"/>
                      <w:lang w:val="en-US" w:eastAsia="zh-CN"/>
                    </w:rPr>
                    <w:t>产生的</w:t>
                  </w:r>
                  <w:r>
                    <w:rPr>
                      <w:rFonts w:hint="eastAsia"/>
                      <w:color w:val="FF0000"/>
                      <w:sz w:val="21"/>
                      <w:szCs w:val="21"/>
                      <w:u w:val="wave"/>
                    </w:rPr>
                    <w:t>浓水属清净下水，经雨水管道排放；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Pr>
                <w:p>
                  <w:pPr>
                    <w:pStyle w:val="2"/>
                    <w:jc w:val="center"/>
                    <w:rPr>
                      <w:color w:val="FF0000"/>
                      <w:sz w:val="21"/>
                      <w:szCs w:val="21"/>
                      <w:u w:val="wave"/>
                      <w:vertAlign w:val="baseline"/>
                    </w:rPr>
                  </w:pPr>
                </w:p>
              </w:tc>
              <w:tc>
                <w:tcPr>
                  <w:tcW w:w="411" w:type="pct"/>
                  <w:vAlign w:val="center"/>
                </w:tcPr>
                <w:p>
                  <w:pPr>
                    <w:pStyle w:val="59"/>
                    <w:rPr>
                      <w:color w:val="FF0000"/>
                      <w:sz w:val="21"/>
                      <w:szCs w:val="21"/>
                      <w:u w:val="wave"/>
                    </w:rPr>
                  </w:pPr>
                  <w:r>
                    <w:rPr>
                      <w:color w:val="FF0000"/>
                      <w:sz w:val="21"/>
                      <w:szCs w:val="21"/>
                      <w:u w:val="wave"/>
                    </w:rPr>
                    <w:t>噪声</w:t>
                  </w:r>
                </w:p>
                <w:p>
                  <w:pPr>
                    <w:pStyle w:val="59"/>
                    <w:rPr>
                      <w:rFonts w:ascii="Times New Roman" w:hAnsi="Times New Roman" w:eastAsia="宋体" w:cs="Times New Roman"/>
                      <w:color w:val="FF0000"/>
                      <w:sz w:val="21"/>
                      <w:szCs w:val="21"/>
                      <w:u w:val="wave"/>
                      <w:lang w:val="en-US" w:eastAsia="zh-CN" w:bidi="ar-SA"/>
                    </w:rPr>
                  </w:pPr>
                  <w:r>
                    <w:rPr>
                      <w:color w:val="FF0000"/>
                      <w:sz w:val="21"/>
                      <w:szCs w:val="21"/>
                      <w:u w:val="wave"/>
                    </w:rPr>
                    <w:t>治理</w:t>
                  </w:r>
                </w:p>
              </w:tc>
              <w:tc>
                <w:tcPr>
                  <w:tcW w:w="1704"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选用低噪声设备并合理布局</w:t>
                  </w:r>
                  <w:r>
                    <w:rPr>
                      <w:rFonts w:hint="eastAsia"/>
                      <w:color w:val="FF0000"/>
                      <w:sz w:val="21"/>
                      <w:szCs w:val="21"/>
                      <w:u w:val="wave"/>
                    </w:rPr>
                    <w:t>，</w:t>
                  </w:r>
                  <w:r>
                    <w:rPr>
                      <w:color w:val="FF0000"/>
                      <w:sz w:val="21"/>
                      <w:szCs w:val="21"/>
                      <w:u w:val="wave"/>
                    </w:rPr>
                    <w:t>采用减振</w:t>
                  </w:r>
                  <w:r>
                    <w:rPr>
                      <w:rFonts w:hint="eastAsia"/>
                      <w:color w:val="FF0000"/>
                      <w:sz w:val="21"/>
                      <w:szCs w:val="21"/>
                      <w:u w:val="wave"/>
                    </w:rPr>
                    <w:t>、</w:t>
                  </w:r>
                  <w:r>
                    <w:rPr>
                      <w:color w:val="FF0000"/>
                      <w:sz w:val="21"/>
                      <w:szCs w:val="21"/>
                      <w:u w:val="wave"/>
                    </w:rPr>
                    <w:t>消声</w:t>
                  </w:r>
                  <w:r>
                    <w:rPr>
                      <w:rFonts w:hint="eastAsia"/>
                      <w:color w:val="FF0000"/>
                      <w:sz w:val="21"/>
                      <w:szCs w:val="21"/>
                      <w:u w:val="wave"/>
                    </w:rPr>
                    <w:t>、</w:t>
                  </w:r>
                  <w:r>
                    <w:rPr>
                      <w:color w:val="FF0000"/>
                      <w:sz w:val="21"/>
                      <w:szCs w:val="21"/>
                      <w:u w:val="wave"/>
                    </w:rPr>
                    <w:t>隔声</w:t>
                  </w:r>
                  <w:r>
                    <w:rPr>
                      <w:rFonts w:hint="eastAsia"/>
                      <w:color w:val="FF0000"/>
                      <w:sz w:val="21"/>
                      <w:szCs w:val="21"/>
                      <w:u w:val="wave"/>
                    </w:rPr>
                    <w:t>、</w:t>
                  </w:r>
                  <w:r>
                    <w:rPr>
                      <w:color w:val="FF0000"/>
                      <w:sz w:val="21"/>
                      <w:szCs w:val="21"/>
                      <w:u w:val="wave"/>
                    </w:rPr>
                    <w:t>绿化等措施</w:t>
                  </w:r>
                </w:p>
              </w:tc>
              <w:tc>
                <w:tcPr>
                  <w:tcW w:w="953" w:type="pct"/>
                  <w:vAlign w:val="center"/>
                </w:tcPr>
                <w:p>
                  <w:pPr>
                    <w:jc w:val="center"/>
                    <w:rPr>
                      <w:rFonts w:ascii="Times New Roman" w:hAnsi="Times New Roman" w:eastAsia="宋体" w:cs="Times New Roman"/>
                      <w:color w:val="FF0000"/>
                      <w:kern w:val="2"/>
                      <w:sz w:val="21"/>
                      <w:szCs w:val="21"/>
                      <w:u w:val="wave"/>
                      <w:lang w:val="en-US" w:eastAsia="zh-CN" w:bidi="ar-SA"/>
                    </w:rPr>
                  </w:pPr>
                  <w:r>
                    <w:rPr>
                      <w:color w:val="FF0000"/>
                      <w:sz w:val="21"/>
                      <w:szCs w:val="21"/>
                      <w:u w:val="wave"/>
                    </w:rPr>
                    <w:t>选用低噪声设备并合理布局</w:t>
                  </w:r>
                  <w:r>
                    <w:rPr>
                      <w:rFonts w:hint="eastAsia"/>
                      <w:color w:val="FF0000"/>
                      <w:sz w:val="21"/>
                      <w:szCs w:val="21"/>
                      <w:u w:val="wave"/>
                    </w:rPr>
                    <w:t>，</w:t>
                  </w:r>
                  <w:r>
                    <w:rPr>
                      <w:color w:val="FF0000"/>
                      <w:sz w:val="21"/>
                      <w:szCs w:val="21"/>
                      <w:u w:val="wave"/>
                    </w:rPr>
                    <w:t>采用减振</w:t>
                  </w:r>
                  <w:r>
                    <w:rPr>
                      <w:rFonts w:hint="eastAsia"/>
                      <w:color w:val="FF0000"/>
                      <w:sz w:val="21"/>
                      <w:szCs w:val="21"/>
                      <w:u w:val="wave"/>
                    </w:rPr>
                    <w:t>、</w:t>
                  </w:r>
                  <w:r>
                    <w:rPr>
                      <w:color w:val="FF0000"/>
                      <w:sz w:val="21"/>
                      <w:szCs w:val="21"/>
                      <w:u w:val="wave"/>
                    </w:rPr>
                    <w:t>消声</w:t>
                  </w:r>
                  <w:r>
                    <w:rPr>
                      <w:rFonts w:hint="eastAsia"/>
                      <w:color w:val="FF0000"/>
                      <w:sz w:val="21"/>
                      <w:szCs w:val="21"/>
                      <w:u w:val="wave"/>
                    </w:rPr>
                    <w:t>、</w:t>
                  </w:r>
                  <w:r>
                    <w:rPr>
                      <w:color w:val="FF0000"/>
                      <w:sz w:val="21"/>
                      <w:szCs w:val="21"/>
                      <w:u w:val="wave"/>
                    </w:rPr>
                    <w:t>隔声</w:t>
                  </w:r>
                  <w:r>
                    <w:rPr>
                      <w:rFonts w:hint="eastAsia"/>
                      <w:color w:val="FF0000"/>
                      <w:sz w:val="21"/>
                      <w:szCs w:val="21"/>
                      <w:u w:val="wave"/>
                    </w:rPr>
                    <w:t>、</w:t>
                  </w:r>
                  <w:r>
                    <w:rPr>
                      <w:color w:val="FF0000"/>
                      <w:sz w:val="21"/>
                      <w:szCs w:val="21"/>
                      <w:u w:val="wave"/>
                    </w:rPr>
                    <w:t>绿化等措施</w:t>
                  </w:r>
                </w:p>
              </w:tc>
              <w:tc>
                <w:tcPr>
                  <w:tcW w:w="1576" w:type="pct"/>
                  <w:vAlign w:val="center"/>
                </w:tcPr>
                <w:p>
                  <w:pPr>
                    <w:jc w:val="center"/>
                    <w:rPr>
                      <w:color w:val="FF0000"/>
                      <w:sz w:val="21"/>
                      <w:szCs w:val="21"/>
                      <w:u w:val="wave"/>
                    </w:rPr>
                  </w:pPr>
                  <w:r>
                    <w:rPr>
                      <w:color w:val="FF0000"/>
                      <w:sz w:val="21"/>
                      <w:szCs w:val="21"/>
                      <w:u w:val="wave"/>
                    </w:rPr>
                    <w:t>选用低噪声设备并合理布局</w:t>
                  </w:r>
                  <w:r>
                    <w:rPr>
                      <w:rFonts w:hint="eastAsia"/>
                      <w:color w:val="FF0000"/>
                      <w:sz w:val="21"/>
                      <w:szCs w:val="21"/>
                      <w:u w:val="wave"/>
                    </w:rPr>
                    <w:t>，</w:t>
                  </w:r>
                  <w:r>
                    <w:rPr>
                      <w:color w:val="FF0000"/>
                      <w:sz w:val="21"/>
                      <w:szCs w:val="21"/>
                      <w:u w:val="wave"/>
                    </w:rPr>
                    <w:t>采用减振</w:t>
                  </w:r>
                  <w:r>
                    <w:rPr>
                      <w:rFonts w:hint="eastAsia"/>
                      <w:color w:val="FF0000"/>
                      <w:sz w:val="21"/>
                      <w:szCs w:val="21"/>
                      <w:u w:val="wave"/>
                    </w:rPr>
                    <w:t>、</w:t>
                  </w:r>
                  <w:r>
                    <w:rPr>
                      <w:color w:val="FF0000"/>
                      <w:sz w:val="21"/>
                      <w:szCs w:val="21"/>
                      <w:u w:val="wave"/>
                    </w:rPr>
                    <w:t>消声</w:t>
                  </w:r>
                  <w:r>
                    <w:rPr>
                      <w:rFonts w:hint="eastAsia"/>
                      <w:color w:val="FF0000"/>
                      <w:sz w:val="21"/>
                      <w:szCs w:val="21"/>
                      <w:u w:val="wave"/>
                    </w:rPr>
                    <w:t>、</w:t>
                  </w:r>
                  <w:r>
                    <w:rPr>
                      <w:color w:val="FF0000"/>
                      <w:sz w:val="21"/>
                      <w:szCs w:val="21"/>
                      <w:u w:val="wave"/>
                    </w:rPr>
                    <w:t>隔声</w:t>
                  </w:r>
                  <w:r>
                    <w:rPr>
                      <w:rFonts w:hint="eastAsia"/>
                      <w:color w:val="FF0000"/>
                      <w:sz w:val="21"/>
                      <w:szCs w:val="21"/>
                      <w:u w:val="wave"/>
                    </w:rPr>
                    <w:t>、</w:t>
                  </w:r>
                  <w:r>
                    <w:rPr>
                      <w:color w:val="FF0000"/>
                      <w:sz w:val="21"/>
                      <w:szCs w:val="21"/>
                      <w:u w:val="wave"/>
                    </w:rPr>
                    <w:t>绿化等措施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3" w:type="pct"/>
                  <w:vMerge w:val="continue"/>
                </w:tcPr>
                <w:p>
                  <w:pPr>
                    <w:pStyle w:val="2"/>
                    <w:jc w:val="center"/>
                    <w:rPr>
                      <w:color w:val="FF0000"/>
                      <w:sz w:val="21"/>
                      <w:szCs w:val="21"/>
                      <w:u w:val="wave"/>
                      <w:vertAlign w:val="baseline"/>
                    </w:rPr>
                  </w:pPr>
                </w:p>
              </w:tc>
              <w:tc>
                <w:tcPr>
                  <w:tcW w:w="411" w:type="pct"/>
                  <w:vAlign w:val="center"/>
                </w:tcPr>
                <w:p>
                  <w:pPr>
                    <w:pStyle w:val="59"/>
                    <w:rPr>
                      <w:color w:val="FF0000"/>
                      <w:sz w:val="21"/>
                      <w:szCs w:val="21"/>
                      <w:u w:val="wave"/>
                    </w:rPr>
                  </w:pPr>
                  <w:r>
                    <w:rPr>
                      <w:color w:val="FF0000"/>
                      <w:sz w:val="21"/>
                      <w:szCs w:val="21"/>
                      <w:u w:val="wave"/>
                    </w:rPr>
                    <w:t>固废</w:t>
                  </w:r>
                </w:p>
                <w:p>
                  <w:pPr>
                    <w:pStyle w:val="59"/>
                    <w:rPr>
                      <w:rFonts w:ascii="Times New Roman" w:hAnsi="Times New Roman" w:eastAsia="宋体" w:cs="Times New Roman"/>
                      <w:color w:val="FF0000"/>
                      <w:sz w:val="21"/>
                      <w:szCs w:val="21"/>
                      <w:u w:val="wave"/>
                      <w:lang w:val="en-US" w:eastAsia="zh-CN" w:bidi="ar-SA"/>
                    </w:rPr>
                  </w:pPr>
                  <w:r>
                    <w:rPr>
                      <w:color w:val="FF0000"/>
                      <w:sz w:val="21"/>
                      <w:szCs w:val="21"/>
                      <w:u w:val="wave"/>
                    </w:rPr>
                    <w:t>治理</w:t>
                  </w:r>
                </w:p>
              </w:tc>
              <w:tc>
                <w:tcPr>
                  <w:tcW w:w="1704" w:type="pct"/>
                  <w:vAlign w:val="center"/>
                </w:tcPr>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①边角料</w:t>
                  </w:r>
                  <w:r>
                    <w:rPr>
                      <w:rFonts w:hint="eastAsia" w:ascii="Times New Roman" w:cs="Times New Roman"/>
                      <w:color w:val="FF0000"/>
                      <w:kern w:val="2"/>
                      <w:sz w:val="21"/>
                      <w:szCs w:val="21"/>
                      <w:u w:val="wave"/>
                      <w:lang w:val="en-US" w:eastAsia="zh-CN"/>
                    </w:rPr>
                    <w:t>和</w:t>
                  </w:r>
                  <w:r>
                    <w:rPr>
                      <w:rFonts w:hint="eastAsia" w:ascii="Times New Roman" w:cs="Times New Roman"/>
                      <w:color w:val="FF0000"/>
                      <w:kern w:val="2"/>
                      <w:sz w:val="21"/>
                      <w:szCs w:val="21"/>
                      <w:u w:val="wave"/>
                    </w:rPr>
                    <w:t>废金属屑：交由厂商回收利用；</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②</w:t>
                  </w:r>
                  <w:r>
                    <w:rPr>
                      <w:rFonts w:hint="eastAsia" w:ascii="Times New Roman" w:cs="Times New Roman"/>
                      <w:color w:val="FF0000"/>
                      <w:kern w:val="2"/>
                      <w:sz w:val="21"/>
                      <w:szCs w:val="21"/>
                      <w:u w:val="wave"/>
                      <w:lang w:eastAsia="zh-CN"/>
                    </w:rPr>
                    <w:t>除尘器（机加工、抛丸、焊接）收集尘</w:t>
                  </w:r>
                  <w:r>
                    <w:rPr>
                      <w:rFonts w:hint="eastAsia" w:ascii="Times New Roman" w:cs="Times New Roman"/>
                      <w:color w:val="FF0000"/>
                      <w:kern w:val="2"/>
                      <w:sz w:val="21"/>
                      <w:szCs w:val="21"/>
                      <w:u w:val="wave"/>
                    </w:rPr>
                    <w:t>：交物资回收公司回收利用；</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③</w:t>
                  </w:r>
                  <w:r>
                    <w:rPr>
                      <w:rFonts w:hint="eastAsia" w:ascii="Times New Roman" w:cs="Times New Roman"/>
                      <w:color w:val="FF0000"/>
                      <w:kern w:val="2"/>
                      <w:sz w:val="21"/>
                      <w:szCs w:val="21"/>
                      <w:u w:val="wave"/>
                      <w:lang w:eastAsia="zh-CN"/>
                    </w:rPr>
                    <w:t>除尘器（多元合金共渗）收集尘</w:t>
                  </w:r>
                  <w:r>
                    <w:rPr>
                      <w:rFonts w:hint="eastAsia" w:ascii="Times New Roman" w:cs="Times New Roman"/>
                      <w:color w:val="FF0000"/>
                      <w:kern w:val="2"/>
                      <w:sz w:val="21"/>
                      <w:szCs w:val="21"/>
                      <w:u w:val="wave"/>
                    </w:rPr>
                    <w:t>：作为渗剂回用于渗锌工段；</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④废反渗透膜：由厂家回收处理；</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⑤</w:t>
                  </w:r>
                  <w:r>
                    <w:rPr>
                      <w:rFonts w:hint="eastAsia" w:ascii="Times New Roman" w:cs="Times New Roman"/>
                      <w:color w:val="FF0000"/>
                      <w:kern w:val="2"/>
                      <w:sz w:val="21"/>
                      <w:szCs w:val="21"/>
                      <w:u w:val="wave"/>
                      <w:lang w:eastAsia="zh-CN"/>
                    </w:rPr>
                    <w:t>压滤机压滤泥饼</w:t>
                  </w:r>
                  <w:r>
                    <w:rPr>
                      <w:rFonts w:hint="eastAsia" w:ascii="Times New Roman" w:cs="Times New Roman"/>
                      <w:color w:val="FF0000"/>
                      <w:kern w:val="2"/>
                      <w:sz w:val="21"/>
                      <w:szCs w:val="21"/>
                      <w:u w:val="wave"/>
                    </w:rPr>
                    <w:t>：作为渗剂回用于渗锌工段；</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⑥废乳化液、废润滑油、废液压油、</w:t>
                  </w:r>
                  <w:r>
                    <w:rPr>
                      <w:rFonts w:hint="eastAsia" w:ascii="Times New Roman" w:cs="Times New Roman"/>
                      <w:color w:val="FF0000"/>
                      <w:kern w:val="2"/>
                      <w:sz w:val="21"/>
                      <w:szCs w:val="21"/>
                      <w:u w:val="wave"/>
                      <w:lang w:val="en-US" w:eastAsia="zh-CN"/>
                    </w:rPr>
                    <w:t>废</w:t>
                  </w:r>
                  <w:r>
                    <w:rPr>
                      <w:rFonts w:hint="eastAsia" w:ascii="Times New Roman" w:cs="Times New Roman"/>
                      <w:color w:val="FF0000"/>
                      <w:kern w:val="2"/>
                      <w:sz w:val="21"/>
                      <w:szCs w:val="21"/>
                      <w:u w:val="wave"/>
                    </w:rPr>
                    <w:t>过滤棉、废活性炭、废UV灯管、废包装桶、废含油手套及抹布：危废车间暂存后，交相关危废资质单位代为处置；</w:t>
                  </w:r>
                </w:p>
                <w:p>
                  <w:pPr>
                    <w:pStyle w:val="2"/>
                    <w:jc w:val="center"/>
                    <w:rPr>
                      <w:rFonts w:hint="eastAsia" w:ascii="Times New Roman" w:hAnsi="Times New Roman" w:eastAsia="宋体" w:cs="Times New Roman"/>
                      <w:bCs/>
                      <w:color w:val="FF0000"/>
                      <w:sz w:val="21"/>
                      <w:szCs w:val="21"/>
                      <w:u w:val="wave"/>
                      <w:lang w:val="en-US" w:eastAsia="zh-CN" w:bidi="ar-SA"/>
                    </w:rPr>
                  </w:pPr>
                  <w:r>
                    <w:rPr>
                      <w:rFonts w:hint="eastAsia" w:ascii="Times New Roman" w:cs="Times New Roman"/>
                      <w:color w:val="FF0000"/>
                      <w:kern w:val="2"/>
                      <w:sz w:val="21"/>
                      <w:szCs w:val="21"/>
                      <w:u w:val="wave"/>
                    </w:rPr>
                    <w:t>⑦生活垃圾：垃圾桶收集后委托环卫部门清运处</w:t>
                  </w:r>
                  <w:r>
                    <w:rPr>
                      <w:rFonts w:hint="eastAsia" w:ascii="Times New Roman" w:cs="Times New Roman"/>
                      <w:color w:val="FF0000"/>
                      <w:kern w:val="2"/>
                      <w:sz w:val="21"/>
                      <w:szCs w:val="21"/>
                      <w:u w:val="wave"/>
                      <w:lang w:val="en-US" w:eastAsia="zh-CN"/>
                    </w:rPr>
                    <w:t>理</w:t>
                  </w:r>
                </w:p>
              </w:tc>
              <w:tc>
                <w:tcPr>
                  <w:tcW w:w="953" w:type="pct"/>
                  <w:vAlign w:val="center"/>
                </w:tcPr>
                <w:p>
                  <w:pPr>
                    <w:pStyle w:val="13"/>
                    <w:spacing w:after="0"/>
                    <w:ind w:left="0" w:leftChars="0"/>
                    <w:jc w:val="center"/>
                    <w:rPr>
                      <w:rFonts w:hint="default" w:ascii="Times New Roman" w:hAnsi="Times New Roman" w:eastAsia="宋体" w:cs="Times New Roman"/>
                      <w:bCs/>
                      <w:color w:val="FF0000"/>
                      <w:kern w:val="0"/>
                      <w:sz w:val="21"/>
                      <w:szCs w:val="21"/>
                      <w:u w:val="wave"/>
                      <w:lang w:val="en-US" w:eastAsia="zh-CN" w:bidi="ar-SA"/>
                    </w:rPr>
                  </w:pPr>
                  <w:r>
                    <w:rPr>
                      <w:rFonts w:hint="eastAsia"/>
                      <w:bCs/>
                      <w:color w:val="FF0000"/>
                      <w:sz w:val="21"/>
                      <w:szCs w:val="21"/>
                      <w:u w:val="wave"/>
                      <w:lang w:val="en-US" w:eastAsia="zh-CN"/>
                    </w:rPr>
                    <w:t>部分固废量有所增大，措施不变</w:t>
                  </w:r>
                </w:p>
              </w:tc>
              <w:tc>
                <w:tcPr>
                  <w:tcW w:w="1576" w:type="pct"/>
                  <w:vAlign w:val="center"/>
                </w:tcPr>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①边角料</w:t>
                  </w:r>
                  <w:r>
                    <w:rPr>
                      <w:rFonts w:hint="eastAsia" w:ascii="Times New Roman" w:cs="Times New Roman"/>
                      <w:color w:val="FF0000"/>
                      <w:kern w:val="2"/>
                      <w:sz w:val="21"/>
                      <w:szCs w:val="21"/>
                      <w:u w:val="wave"/>
                      <w:lang w:val="en-US" w:eastAsia="zh-CN"/>
                    </w:rPr>
                    <w:t>和</w:t>
                  </w:r>
                  <w:r>
                    <w:rPr>
                      <w:rFonts w:hint="eastAsia" w:ascii="Times New Roman" w:cs="Times New Roman"/>
                      <w:color w:val="FF0000"/>
                      <w:kern w:val="2"/>
                      <w:sz w:val="21"/>
                      <w:szCs w:val="21"/>
                      <w:u w:val="wave"/>
                    </w:rPr>
                    <w:t>废金属屑：交由厂商回收利用；</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②</w:t>
                  </w:r>
                  <w:r>
                    <w:rPr>
                      <w:rFonts w:hint="eastAsia" w:ascii="Times New Roman" w:cs="Times New Roman"/>
                      <w:color w:val="FF0000"/>
                      <w:kern w:val="2"/>
                      <w:sz w:val="21"/>
                      <w:szCs w:val="21"/>
                      <w:u w:val="wave"/>
                      <w:lang w:eastAsia="zh-CN"/>
                    </w:rPr>
                    <w:t>除尘器（机加工、抛丸、焊接）收集尘</w:t>
                  </w:r>
                  <w:r>
                    <w:rPr>
                      <w:rFonts w:hint="eastAsia" w:ascii="Times New Roman" w:cs="Times New Roman"/>
                      <w:color w:val="FF0000"/>
                      <w:kern w:val="2"/>
                      <w:sz w:val="21"/>
                      <w:szCs w:val="21"/>
                      <w:u w:val="wave"/>
                    </w:rPr>
                    <w:t>：交物资回收公司回收利用；</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③</w:t>
                  </w:r>
                  <w:r>
                    <w:rPr>
                      <w:rFonts w:hint="eastAsia" w:ascii="Times New Roman" w:cs="Times New Roman"/>
                      <w:color w:val="FF0000"/>
                      <w:kern w:val="2"/>
                      <w:sz w:val="21"/>
                      <w:szCs w:val="21"/>
                      <w:u w:val="wave"/>
                      <w:lang w:eastAsia="zh-CN"/>
                    </w:rPr>
                    <w:t>除尘器（多元合金共渗）收集尘</w:t>
                  </w:r>
                  <w:r>
                    <w:rPr>
                      <w:rFonts w:hint="eastAsia" w:ascii="Times New Roman" w:cs="Times New Roman"/>
                      <w:color w:val="FF0000"/>
                      <w:kern w:val="2"/>
                      <w:sz w:val="21"/>
                      <w:szCs w:val="21"/>
                      <w:u w:val="wave"/>
                    </w:rPr>
                    <w:t>：作为渗剂回用于渗锌工段；</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④废反渗透膜：由厂家回收处理；</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⑤</w:t>
                  </w:r>
                  <w:r>
                    <w:rPr>
                      <w:rFonts w:hint="eastAsia" w:ascii="Times New Roman" w:cs="Times New Roman"/>
                      <w:color w:val="FF0000"/>
                      <w:kern w:val="2"/>
                      <w:sz w:val="21"/>
                      <w:szCs w:val="21"/>
                      <w:u w:val="wave"/>
                      <w:lang w:eastAsia="zh-CN"/>
                    </w:rPr>
                    <w:t>压滤机压滤泥饼</w:t>
                  </w:r>
                  <w:r>
                    <w:rPr>
                      <w:rFonts w:hint="eastAsia" w:ascii="Times New Roman" w:cs="Times New Roman"/>
                      <w:color w:val="FF0000"/>
                      <w:kern w:val="2"/>
                      <w:sz w:val="21"/>
                      <w:szCs w:val="21"/>
                      <w:u w:val="wave"/>
                    </w:rPr>
                    <w:t>：作为渗剂回用于渗锌工段；</w:t>
                  </w:r>
                </w:p>
                <w:p>
                  <w:pPr>
                    <w:pStyle w:val="2"/>
                    <w:jc w:val="center"/>
                    <w:rPr>
                      <w:rFonts w:ascii="Times New Roman" w:cs="Times New Roman"/>
                      <w:color w:val="FF0000"/>
                      <w:kern w:val="2"/>
                      <w:sz w:val="21"/>
                      <w:szCs w:val="21"/>
                      <w:u w:val="wave"/>
                    </w:rPr>
                  </w:pPr>
                  <w:r>
                    <w:rPr>
                      <w:rFonts w:hint="eastAsia" w:ascii="Times New Roman" w:cs="Times New Roman"/>
                      <w:color w:val="FF0000"/>
                      <w:kern w:val="2"/>
                      <w:sz w:val="21"/>
                      <w:szCs w:val="21"/>
                      <w:u w:val="wave"/>
                    </w:rPr>
                    <w:t>⑥废乳化液、废润滑油、废液压油、</w:t>
                  </w:r>
                  <w:r>
                    <w:rPr>
                      <w:rFonts w:hint="eastAsia" w:ascii="Times New Roman" w:cs="Times New Roman"/>
                      <w:color w:val="FF0000"/>
                      <w:kern w:val="2"/>
                      <w:sz w:val="21"/>
                      <w:szCs w:val="21"/>
                      <w:u w:val="wave"/>
                      <w:lang w:val="en-US" w:eastAsia="zh-CN"/>
                    </w:rPr>
                    <w:t>废</w:t>
                  </w:r>
                  <w:r>
                    <w:rPr>
                      <w:rFonts w:hint="eastAsia" w:ascii="Times New Roman" w:cs="Times New Roman"/>
                      <w:color w:val="FF0000"/>
                      <w:kern w:val="2"/>
                      <w:sz w:val="21"/>
                      <w:szCs w:val="21"/>
                      <w:u w:val="wave"/>
                    </w:rPr>
                    <w:t>过滤棉、废活性炭、废UV灯管、废包装桶、废含油手套及抹布：危废车间暂存后，交相关危废资质单位代为处置；</w:t>
                  </w:r>
                </w:p>
                <w:p>
                  <w:pPr>
                    <w:pStyle w:val="13"/>
                    <w:spacing w:after="0"/>
                    <w:ind w:left="0" w:leftChars="0"/>
                    <w:jc w:val="center"/>
                    <w:rPr>
                      <w:rFonts w:hint="eastAsia"/>
                      <w:bCs/>
                      <w:color w:val="FF0000"/>
                      <w:sz w:val="21"/>
                      <w:szCs w:val="21"/>
                      <w:u w:val="wave"/>
                      <w:lang w:val="en-US" w:eastAsia="zh-CN"/>
                    </w:rPr>
                  </w:pPr>
                  <w:r>
                    <w:rPr>
                      <w:rFonts w:hint="eastAsia" w:ascii="Times New Roman" w:cs="Times New Roman"/>
                      <w:color w:val="FF0000"/>
                      <w:kern w:val="2"/>
                      <w:sz w:val="21"/>
                      <w:szCs w:val="21"/>
                      <w:u w:val="wave"/>
                    </w:rPr>
                    <w:t>⑦生活垃圾：垃圾桶收集后委托环卫部门清运处</w:t>
                  </w:r>
                  <w:r>
                    <w:rPr>
                      <w:rFonts w:hint="eastAsia" w:ascii="Times New Roman" w:cs="Times New Roman"/>
                      <w:color w:val="FF0000"/>
                      <w:kern w:val="2"/>
                      <w:sz w:val="21"/>
                      <w:szCs w:val="21"/>
                      <w:u w:val="wave"/>
                      <w:lang w:val="en-US" w:eastAsia="zh-CN"/>
                    </w:rPr>
                    <w:t>理</w:t>
                  </w:r>
                </w:p>
              </w:tc>
            </w:tr>
          </w:tbl>
          <w:p>
            <w:pPr>
              <w:adjustRightInd w:val="0"/>
              <w:snapToGrid w:val="0"/>
              <w:spacing w:line="360" w:lineRule="auto"/>
              <w:ind w:firstLine="482" w:firstLineChars="200"/>
              <w:rPr>
                <w:b/>
                <w:bCs/>
                <w:sz w:val="24"/>
              </w:rPr>
            </w:pPr>
            <w:r>
              <w:rPr>
                <w:rFonts w:hint="eastAsia"/>
                <w:b/>
                <w:bCs/>
                <w:sz w:val="24"/>
              </w:rPr>
              <w:t>3</w:t>
            </w:r>
            <w:r>
              <w:rPr>
                <w:b/>
                <w:bCs/>
                <w:sz w:val="24"/>
              </w:rPr>
              <w:t>、产品方案</w:t>
            </w:r>
          </w:p>
          <w:p>
            <w:pPr>
              <w:adjustRightInd w:val="0"/>
              <w:snapToGrid w:val="0"/>
              <w:spacing w:line="360" w:lineRule="auto"/>
              <w:ind w:firstLine="480" w:firstLineChars="200"/>
              <w:rPr>
                <w:sz w:val="24"/>
              </w:rPr>
            </w:pPr>
            <w:r>
              <w:rPr>
                <w:rFonts w:hint="eastAsia"/>
                <w:sz w:val="24"/>
              </w:rPr>
              <w:t>本项目建成后，全厂产品及产能见表2-2。</w:t>
            </w:r>
          </w:p>
          <w:p>
            <w:pPr>
              <w:autoSpaceDE w:val="0"/>
              <w:autoSpaceDN w:val="0"/>
              <w:adjustRightInd w:val="0"/>
              <w:spacing w:beforeLines="50"/>
              <w:jc w:val="center"/>
              <w:rPr>
                <w:b/>
                <w:kern w:val="0"/>
                <w:szCs w:val="21"/>
              </w:rPr>
            </w:pPr>
            <w:r>
              <w:rPr>
                <w:b/>
                <w:kern w:val="0"/>
                <w:szCs w:val="21"/>
              </w:rPr>
              <w:t>表2-</w:t>
            </w:r>
            <w:r>
              <w:rPr>
                <w:rFonts w:hint="eastAsia"/>
                <w:b/>
                <w:kern w:val="0"/>
                <w:szCs w:val="21"/>
              </w:rPr>
              <w:t>2</w:t>
            </w:r>
            <w:r>
              <w:rPr>
                <w:b/>
                <w:kern w:val="0"/>
                <w:szCs w:val="21"/>
              </w:rPr>
              <w:t xml:space="preserve">  </w:t>
            </w:r>
            <w:r>
              <w:rPr>
                <w:rFonts w:hint="eastAsia"/>
                <w:b/>
                <w:kern w:val="0"/>
                <w:szCs w:val="21"/>
              </w:rPr>
              <w:t>产品及产能</w:t>
            </w:r>
            <w:r>
              <w:rPr>
                <w:b/>
                <w:kern w:val="0"/>
                <w:szCs w:val="21"/>
              </w:rPr>
              <w:t>一览表</w:t>
            </w:r>
          </w:p>
          <w:tbl>
            <w:tblPr>
              <w:tblStyle w:val="25"/>
              <w:tblW w:w="4996"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07"/>
              <w:gridCol w:w="1326"/>
              <w:gridCol w:w="1029"/>
              <w:gridCol w:w="1080"/>
              <w:gridCol w:w="1046"/>
              <w:gridCol w:w="989"/>
              <w:gridCol w:w="989"/>
              <w:gridCol w:w="1089"/>
              <w:gridCol w:w="122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273" w:type="pct"/>
                  <w:shd w:val="clear" w:color="auto" w:fill="auto"/>
                  <w:vAlign w:val="center"/>
                </w:tcPr>
                <w:p>
                  <w:pPr>
                    <w:adjustRightInd w:val="0"/>
                    <w:snapToGrid w:val="0"/>
                    <w:jc w:val="center"/>
                    <w:rPr>
                      <w:b/>
                      <w:bCs/>
                      <w:szCs w:val="21"/>
                    </w:rPr>
                  </w:pPr>
                  <w:r>
                    <w:rPr>
                      <w:rFonts w:hint="eastAsia"/>
                      <w:b/>
                      <w:bCs/>
                      <w:szCs w:val="21"/>
                    </w:rPr>
                    <w:t>序号</w:t>
                  </w:r>
                </w:p>
              </w:tc>
              <w:tc>
                <w:tcPr>
                  <w:tcW w:w="714" w:type="pct"/>
                  <w:shd w:val="clear" w:color="auto" w:fill="auto"/>
                  <w:vAlign w:val="center"/>
                </w:tcPr>
                <w:p>
                  <w:pPr>
                    <w:adjustRightInd w:val="0"/>
                    <w:snapToGrid w:val="0"/>
                    <w:jc w:val="center"/>
                    <w:rPr>
                      <w:b/>
                      <w:bCs/>
                      <w:szCs w:val="21"/>
                    </w:rPr>
                  </w:pPr>
                  <w:r>
                    <w:rPr>
                      <w:rFonts w:hint="eastAsia"/>
                      <w:b/>
                      <w:bCs/>
                      <w:szCs w:val="21"/>
                    </w:rPr>
                    <w:t>产品名称</w:t>
                  </w:r>
                </w:p>
              </w:tc>
              <w:tc>
                <w:tcPr>
                  <w:tcW w:w="554" w:type="pct"/>
                  <w:shd w:val="clear" w:color="auto" w:fill="auto"/>
                  <w:vAlign w:val="center"/>
                </w:tcPr>
                <w:p>
                  <w:pPr>
                    <w:adjustRightInd w:val="0"/>
                    <w:snapToGrid w:val="0"/>
                    <w:jc w:val="center"/>
                    <w:rPr>
                      <w:b/>
                      <w:bCs/>
                      <w:szCs w:val="21"/>
                    </w:rPr>
                  </w:pPr>
                  <w:r>
                    <w:rPr>
                      <w:rFonts w:hint="eastAsia"/>
                      <w:b/>
                      <w:bCs/>
                      <w:szCs w:val="21"/>
                    </w:rPr>
                    <w:t>单位</w:t>
                  </w:r>
                </w:p>
              </w:tc>
              <w:tc>
                <w:tcPr>
                  <w:tcW w:w="581" w:type="pct"/>
                  <w:vAlign w:val="center"/>
                </w:tcPr>
                <w:p>
                  <w:pPr>
                    <w:adjustRightInd w:val="0"/>
                    <w:snapToGrid w:val="0"/>
                    <w:jc w:val="center"/>
                    <w:rPr>
                      <w:b/>
                      <w:bCs/>
                      <w:szCs w:val="21"/>
                    </w:rPr>
                  </w:pPr>
                  <w:r>
                    <w:rPr>
                      <w:rFonts w:hint="eastAsia"/>
                      <w:b/>
                      <w:bCs/>
                      <w:szCs w:val="21"/>
                    </w:rPr>
                    <w:t>现有项目审批规模</w:t>
                  </w:r>
                </w:p>
              </w:tc>
              <w:tc>
                <w:tcPr>
                  <w:tcW w:w="563" w:type="pct"/>
                  <w:vAlign w:val="center"/>
                </w:tcPr>
                <w:p>
                  <w:pPr>
                    <w:adjustRightInd w:val="0"/>
                    <w:snapToGrid w:val="0"/>
                    <w:jc w:val="center"/>
                    <w:rPr>
                      <w:b/>
                      <w:bCs/>
                      <w:szCs w:val="21"/>
                    </w:rPr>
                  </w:pPr>
                  <w:r>
                    <w:rPr>
                      <w:rFonts w:hint="eastAsia"/>
                      <w:b/>
                      <w:bCs/>
                      <w:szCs w:val="21"/>
                    </w:rPr>
                    <w:t>现有项目已建规模</w:t>
                  </w:r>
                </w:p>
              </w:tc>
              <w:tc>
                <w:tcPr>
                  <w:tcW w:w="532" w:type="pct"/>
                  <w:vAlign w:val="center"/>
                </w:tcPr>
                <w:p>
                  <w:pPr>
                    <w:adjustRightInd w:val="0"/>
                    <w:snapToGrid w:val="0"/>
                    <w:jc w:val="center"/>
                    <w:rPr>
                      <w:rFonts w:hint="default" w:eastAsia="宋体"/>
                      <w:b/>
                      <w:bCs/>
                      <w:szCs w:val="21"/>
                      <w:lang w:val="en-US" w:eastAsia="zh-CN"/>
                    </w:rPr>
                  </w:pPr>
                  <w:r>
                    <w:rPr>
                      <w:rFonts w:hint="eastAsia"/>
                      <w:b/>
                      <w:bCs/>
                      <w:szCs w:val="21"/>
                      <w:lang w:val="en-US" w:eastAsia="zh-CN"/>
                    </w:rPr>
                    <w:t>2022年实际生产量</w:t>
                  </w:r>
                </w:p>
              </w:tc>
              <w:tc>
                <w:tcPr>
                  <w:tcW w:w="532" w:type="pct"/>
                  <w:vAlign w:val="center"/>
                </w:tcPr>
                <w:p>
                  <w:pPr>
                    <w:adjustRightInd w:val="0"/>
                    <w:snapToGrid w:val="0"/>
                    <w:jc w:val="center"/>
                    <w:rPr>
                      <w:b/>
                      <w:bCs/>
                      <w:szCs w:val="21"/>
                    </w:rPr>
                  </w:pPr>
                  <w:r>
                    <w:rPr>
                      <w:rFonts w:hint="eastAsia"/>
                      <w:b/>
                      <w:bCs/>
                      <w:szCs w:val="21"/>
                      <w:lang w:val="en-US" w:eastAsia="zh-CN"/>
                    </w:rPr>
                    <w:t>改建</w:t>
                  </w:r>
                  <w:r>
                    <w:rPr>
                      <w:rFonts w:hint="eastAsia"/>
                      <w:b/>
                      <w:bCs/>
                      <w:szCs w:val="21"/>
                    </w:rPr>
                    <w:t>项目规模</w:t>
                  </w:r>
                </w:p>
              </w:tc>
              <w:tc>
                <w:tcPr>
                  <w:tcW w:w="586" w:type="pct"/>
                  <w:vAlign w:val="center"/>
                </w:tcPr>
                <w:p>
                  <w:pPr>
                    <w:adjustRightInd w:val="0"/>
                    <w:snapToGrid w:val="0"/>
                    <w:jc w:val="center"/>
                    <w:rPr>
                      <w:b/>
                      <w:bCs/>
                      <w:szCs w:val="21"/>
                    </w:rPr>
                  </w:pPr>
                  <w:r>
                    <w:rPr>
                      <w:rFonts w:hint="eastAsia"/>
                      <w:b/>
                      <w:bCs/>
                      <w:szCs w:val="21"/>
                      <w:lang w:val="en-US" w:eastAsia="zh-CN"/>
                    </w:rPr>
                    <w:t>改建</w:t>
                  </w:r>
                  <w:r>
                    <w:rPr>
                      <w:rFonts w:hint="eastAsia"/>
                      <w:b/>
                      <w:bCs/>
                      <w:szCs w:val="21"/>
                    </w:rPr>
                    <w:t>项目建成后全厂规模</w:t>
                  </w:r>
                </w:p>
              </w:tc>
              <w:tc>
                <w:tcPr>
                  <w:tcW w:w="661" w:type="pct"/>
                  <w:vAlign w:val="center"/>
                </w:tcPr>
                <w:p>
                  <w:pPr>
                    <w:adjustRightInd w:val="0"/>
                    <w:snapToGrid w:val="0"/>
                    <w:jc w:val="center"/>
                    <w:rPr>
                      <w:b/>
                      <w:bCs/>
                      <w:szCs w:val="21"/>
                    </w:rPr>
                  </w:pPr>
                  <w:r>
                    <w:rPr>
                      <w:rFonts w:hint="eastAsia"/>
                      <w:b/>
                      <w:bCs/>
                      <w:szCs w:val="21"/>
                    </w:rPr>
                    <w:t>变化情况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273" w:type="pct"/>
                  <w:shd w:val="clear" w:color="auto" w:fill="auto"/>
                  <w:vAlign w:val="center"/>
                </w:tcPr>
                <w:p>
                  <w:pPr>
                    <w:adjustRightInd w:val="0"/>
                    <w:snapToGrid w:val="0"/>
                    <w:jc w:val="center"/>
                    <w:rPr>
                      <w:bCs/>
                      <w:szCs w:val="21"/>
                    </w:rPr>
                  </w:pPr>
                  <w:r>
                    <w:rPr>
                      <w:rFonts w:hint="eastAsia"/>
                      <w:bCs/>
                      <w:szCs w:val="21"/>
                    </w:rPr>
                    <w:t>1</w:t>
                  </w:r>
                </w:p>
              </w:tc>
              <w:tc>
                <w:tcPr>
                  <w:tcW w:w="714" w:type="pct"/>
                  <w:shd w:val="clear" w:color="auto" w:fill="auto"/>
                  <w:vAlign w:val="center"/>
                </w:tcPr>
                <w:p>
                  <w:pPr>
                    <w:adjustRightInd w:val="0"/>
                    <w:snapToGrid w:val="0"/>
                    <w:jc w:val="center"/>
                    <w:rPr>
                      <w:bCs/>
                      <w:szCs w:val="21"/>
                    </w:rPr>
                  </w:pPr>
                  <w:r>
                    <w:rPr>
                      <w:szCs w:val="21"/>
                    </w:rPr>
                    <w:t>锚具</w:t>
                  </w:r>
                </w:p>
              </w:tc>
              <w:tc>
                <w:tcPr>
                  <w:tcW w:w="554" w:type="pct"/>
                  <w:shd w:val="clear" w:color="auto" w:fill="auto"/>
                  <w:vAlign w:val="center"/>
                </w:tcPr>
                <w:p>
                  <w:pPr>
                    <w:adjustRightInd w:val="0"/>
                    <w:snapToGrid w:val="0"/>
                    <w:jc w:val="center"/>
                    <w:rPr>
                      <w:bCs/>
                      <w:szCs w:val="21"/>
                    </w:rPr>
                  </w:pPr>
                  <w:r>
                    <w:rPr>
                      <w:szCs w:val="21"/>
                    </w:rPr>
                    <w:t>万件/年</w:t>
                  </w:r>
                </w:p>
              </w:tc>
              <w:tc>
                <w:tcPr>
                  <w:tcW w:w="581" w:type="pct"/>
                  <w:vAlign w:val="center"/>
                </w:tcPr>
                <w:p>
                  <w:pPr>
                    <w:adjustRightInd w:val="0"/>
                    <w:snapToGrid w:val="0"/>
                    <w:jc w:val="center"/>
                    <w:rPr>
                      <w:bCs/>
                      <w:szCs w:val="21"/>
                    </w:rPr>
                  </w:pPr>
                  <w:r>
                    <w:rPr>
                      <w:szCs w:val="21"/>
                    </w:rPr>
                    <w:t>250</w:t>
                  </w:r>
                </w:p>
              </w:tc>
              <w:tc>
                <w:tcPr>
                  <w:tcW w:w="563" w:type="pct"/>
                  <w:vAlign w:val="center"/>
                </w:tcPr>
                <w:p>
                  <w:pPr>
                    <w:adjustRightInd w:val="0"/>
                    <w:snapToGrid w:val="0"/>
                    <w:jc w:val="center"/>
                    <w:rPr>
                      <w:bCs/>
                      <w:szCs w:val="21"/>
                    </w:rPr>
                  </w:pPr>
                  <w:r>
                    <w:rPr>
                      <w:szCs w:val="21"/>
                    </w:rPr>
                    <w:t>250</w:t>
                  </w:r>
                </w:p>
              </w:tc>
              <w:tc>
                <w:tcPr>
                  <w:tcW w:w="532" w:type="pct"/>
                  <w:vAlign w:val="center"/>
                </w:tcPr>
                <w:p>
                  <w:pPr>
                    <w:adjustRightInd w:val="0"/>
                    <w:snapToGrid w:val="0"/>
                    <w:jc w:val="center"/>
                    <w:rPr>
                      <w:rFonts w:hint="default" w:eastAsia="宋体"/>
                      <w:szCs w:val="21"/>
                      <w:lang w:val="en-US" w:eastAsia="zh-CN"/>
                    </w:rPr>
                  </w:pPr>
                  <w:r>
                    <w:rPr>
                      <w:rFonts w:hint="eastAsia"/>
                      <w:szCs w:val="21"/>
                      <w:lang w:val="en-US" w:eastAsia="zh-CN"/>
                    </w:rPr>
                    <w:t>250</w:t>
                  </w:r>
                </w:p>
              </w:tc>
              <w:tc>
                <w:tcPr>
                  <w:tcW w:w="532" w:type="pct"/>
                  <w:vAlign w:val="center"/>
                </w:tcPr>
                <w:p>
                  <w:pPr>
                    <w:adjustRightInd w:val="0"/>
                    <w:snapToGrid w:val="0"/>
                    <w:jc w:val="center"/>
                    <w:rPr>
                      <w:bCs/>
                      <w:szCs w:val="21"/>
                    </w:rPr>
                  </w:pPr>
                  <w:r>
                    <w:rPr>
                      <w:rFonts w:hint="eastAsia"/>
                      <w:bCs/>
                      <w:szCs w:val="21"/>
                    </w:rPr>
                    <w:t>0</w:t>
                  </w:r>
                </w:p>
              </w:tc>
              <w:tc>
                <w:tcPr>
                  <w:tcW w:w="586" w:type="pct"/>
                  <w:vAlign w:val="center"/>
                </w:tcPr>
                <w:p>
                  <w:pPr>
                    <w:adjustRightInd w:val="0"/>
                    <w:snapToGrid w:val="0"/>
                    <w:jc w:val="center"/>
                    <w:rPr>
                      <w:bCs/>
                      <w:szCs w:val="21"/>
                    </w:rPr>
                  </w:pPr>
                  <w:r>
                    <w:rPr>
                      <w:szCs w:val="21"/>
                    </w:rPr>
                    <w:t>250</w:t>
                  </w:r>
                </w:p>
              </w:tc>
              <w:tc>
                <w:tcPr>
                  <w:tcW w:w="661" w:type="pct"/>
                  <w:vAlign w:val="center"/>
                </w:tcPr>
                <w:p>
                  <w:pPr>
                    <w:adjustRightInd w:val="0"/>
                    <w:snapToGrid w:val="0"/>
                    <w:jc w:val="center"/>
                    <w:rPr>
                      <w:bCs/>
                      <w:szCs w:val="21"/>
                    </w:rPr>
                  </w:pPr>
                  <w:r>
                    <w:rPr>
                      <w:rFonts w:hint="eastAsia"/>
                      <w:bCs/>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273" w:type="pct"/>
                  <w:shd w:val="clear" w:color="auto" w:fill="auto"/>
                  <w:vAlign w:val="center"/>
                </w:tcPr>
                <w:p>
                  <w:pPr>
                    <w:adjustRightInd w:val="0"/>
                    <w:snapToGrid w:val="0"/>
                    <w:jc w:val="center"/>
                    <w:rPr>
                      <w:bCs/>
                      <w:szCs w:val="21"/>
                    </w:rPr>
                  </w:pPr>
                  <w:r>
                    <w:rPr>
                      <w:rFonts w:hint="eastAsia"/>
                      <w:bCs/>
                      <w:szCs w:val="21"/>
                    </w:rPr>
                    <w:t>2</w:t>
                  </w:r>
                </w:p>
              </w:tc>
              <w:tc>
                <w:tcPr>
                  <w:tcW w:w="714" w:type="pct"/>
                  <w:shd w:val="clear" w:color="auto" w:fill="auto"/>
                  <w:vAlign w:val="center"/>
                </w:tcPr>
                <w:p>
                  <w:pPr>
                    <w:adjustRightInd w:val="0"/>
                    <w:snapToGrid w:val="0"/>
                    <w:jc w:val="center"/>
                    <w:rPr>
                      <w:bCs/>
                      <w:szCs w:val="21"/>
                    </w:rPr>
                  </w:pPr>
                  <w:r>
                    <w:rPr>
                      <w:szCs w:val="21"/>
                    </w:rPr>
                    <w:t>预埋件</w:t>
                  </w:r>
                </w:p>
              </w:tc>
              <w:tc>
                <w:tcPr>
                  <w:tcW w:w="554" w:type="pct"/>
                  <w:shd w:val="clear" w:color="auto" w:fill="auto"/>
                  <w:vAlign w:val="center"/>
                </w:tcPr>
                <w:p>
                  <w:pPr>
                    <w:adjustRightInd w:val="0"/>
                    <w:snapToGrid w:val="0"/>
                    <w:jc w:val="center"/>
                    <w:rPr>
                      <w:bCs/>
                      <w:szCs w:val="21"/>
                    </w:rPr>
                  </w:pPr>
                  <w:r>
                    <w:rPr>
                      <w:szCs w:val="21"/>
                    </w:rPr>
                    <w:t>吨/年</w:t>
                  </w:r>
                </w:p>
              </w:tc>
              <w:tc>
                <w:tcPr>
                  <w:tcW w:w="581" w:type="pct"/>
                  <w:vAlign w:val="center"/>
                </w:tcPr>
                <w:p>
                  <w:pPr>
                    <w:adjustRightInd w:val="0"/>
                    <w:snapToGrid w:val="0"/>
                    <w:jc w:val="center"/>
                    <w:rPr>
                      <w:bCs/>
                      <w:szCs w:val="21"/>
                    </w:rPr>
                  </w:pPr>
                  <w:r>
                    <w:rPr>
                      <w:szCs w:val="21"/>
                    </w:rPr>
                    <w:t>6000</w:t>
                  </w:r>
                </w:p>
              </w:tc>
              <w:tc>
                <w:tcPr>
                  <w:tcW w:w="563" w:type="pct"/>
                  <w:vAlign w:val="center"/>
                </w:tcPr>
                <w:p>
                  <w:pPr>
                    <w:adjustRightInd w:val="0"/>
                    <w:snapToGrid w:val="0"/>
                    <w:jc w:val="center"/>
                    <w:rPr>
                      <w:bCs/>
                      <w:szCs w:val="21"/>
                    </w:rPr>
                  </w:pPr>
                  <w:r>
                    <w:rPr>
                      <w:szCs w:val="21"/>
                    </w:rPr>
                    <w:t>6000</w:t>
                  </w:r>
                </w:p>
              </w:tc>
              <w:tc>
                <w:tcPr>
                  <w:tcW w:w="532" w:type="pct"/>
                  <w:vAlign w:val="center"/>
                </w:tcPr>
                <w:p>
                  <w:pPr>
                    <w:adjustRightInd w:val="0"/>
                    <w:snapToGrid w:val="0"/>
                    <w:jc w:val="center"/>
                    <w:rPr>
                      <w:rFonts w:hint="default" w:eastAsia="宋体"/>
                      <w:szCs w:val="21"/>
                      <w:lang w:val="en-US" w:eastAsia="zh-CN"/>
                    </w:rPr>
                  </w:pPr>
                  <w:r>
                    <w:rPr>
                      <w:rFonts w:hint="eastAsia"/>
                      <w:szCs w:val="21"/>
                      <w:lang w:val="en-US" w:eastAsia="zh-CN"/>
                    </w:rPr>
                    <w:t>6000</w:t>
                  </w:r>
                </w:p>
              </w:tc>
              <w:tc>
                <w:tcPr>
                  <w:tcW w:w="532" w:type="pct"/>
                  <w:vAlign w:val="center"/>
                </w:tcPr>
                <w:p>
                  <w:pPr>
                    <w:adjustRightInd w:val="0"/>
                    <w:snapToGrid w:val="0"/>
                    <w:jc w:val="center"/>
                    <w:rPr>
                      <w:bCs/>
                      <w:szCs w:val="21"/>
                    </w:rPr>
                  </w:pPr>
                  <w:r>
                    <w:rPr>
                      <w:rFonts w:hint="eastAsia"/>
                      <w:bCs/>
                      <w:szCs w:val="21"/>
                    </w:rPr>
                    <w:t>0</w:t>
                  </w:r>
                </w:p>
              </w:tc>
              <w:tc>
                <w:tcPr>
                  <w:tcW w:w="586" w:type="pct"/>
                  <w:vAlign w:val="center"/>
                </w:tcPr>
                <w:p>
                  <w:pPr>
                    <w:adjustRightInd w:val="0"/>
                    <w:snapToGrid w:val="0"/>
                    <w:jc w:val="center"/>
                    <w:rPr>
                      <w:bCs/>
                      <w:szCs w:val="21"/>
                    </w:rPr>
                  </w:pPr>
                  <w:r>
                    <w:rPr>
                      <w:szCs w:val="21"/>
                    </w:rPr>
                    <w:t>6000</w:t>
                  </w:r>
                </w:p>
              </w:tc>
              <w:tc>
                <w:tcPr>
                  <w:tcW w:w="661" w:type="pct"/>
                  <w:vAlign w:val="center"/>
                </w:tcPr>
                <w:p>
                  <w:pPr>
                    <w:adjustRightInd w:val="0"/>
                    <w:snapToGrid w:val="0"/>
                    <w:jc w:val="center"/>
                    <w:rPr>
                      <w:bCs/>
                      <w:szCs w:val="21"/>
                    </w:rPr>
                  </w:pPr>
                  <w:r>
                    <w:rPr>
                      <w:rFonts w:hint="eastAsia"/>
                      <w:bCs/>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273" w:type="pct"/>
                  <w:shd w:val="clear" w:color="auto" w:fill="auto"/>
                  <w:vAlign w:val="center"/>
                </w:tcPr>
                <w:p>
                  <w:pPr>
                    <w:adjustRightInd w:val="0"/>
                    <w:snapToGrid w:val="0"/>
                    <w:jc w:val="center"/>
                    <w:rPr>
                      <w:bCs/>
                      <w:szCs w:val="21"/>
                    </w:rPr>
                  </w:pPr>
                  <w:r>
                    <w:rPr>
                      <w:rFonts w:hint="eastAsia"/>
                      <w:bCs/>
                      <w:szCs w:val="21"/>
                    </w:rPr>
                    <w:t>3</w:t>
                  </w:r>
                </w:p>
              </w:tc>
              <w:tc>
                <w:tcPr>
                  <w:tcW w:w="714" w:type="pct"/>
                  <w:shd w:val="clear" w:color="auto" w:fill="auto"/>
                  <w:vAlign w:val="center"/>
                </w:tcPr>
                <w:p>
                  <w:pPr>
                    <w:adjustRightInd w:val="0"/>
                    <w:snapToGrid w:val="0"/>
                    <w:jc w:val="center"/>
                    <w:rPr>
                      <w:rFonts w:hint="eastAsia" w:eastAsia="宋体"/>
                      <w:bCs/>
                      <w:szCs w:val="21"/>
                      <w:lang w:eastAsia="zh-CN"/>
                    </w:rPr>
                  </w:pPr>
                  <w:r>
                    <w:rPr>
                      <w:szCs w:val="21"/>
                    </w:rPr>
                    <w:t>混凝土高性能聚羧酸减水剂母液</w:t>
                  </w:r>
                  <w:r>
                    <w:rPr>
                      <w:rFonts w:hint="eastAsia"/>
                      <w:szCs w:val="21"/>
                      <w:lang w:eastAsia="zh-CN"/>
                    </w:rPr>
                    <w:t>（可复配外加剂成品）</w:t>
                  </w:r>
                </w:p>
              </w:tc>
              <w:tc>
                <w:tcPr>
                  <w:tcW w:w="554" w:type="pct"/>
                  <w:shd w:val="clear" w:color="auto" w:fill="auto"/>
                  <w:vAlign w:val="center"/>
                </w:tcPr>
                <w:p>
                  <w:pPr>
                    <w:adjustRightInd w:val="0"/>
                    <w:snapToGrid w:val="0"/>
                    <w:jc w:val="center"/>
                    <w:rPr>
                      <w:bCs/>
                      <w:szCs w:val="21"/>
                    </w:rPr>
                  </w:pPr>
                  <w:r>
                    <w:rPr>
                      <w:szCs w:val="21"/>
                    </w:rPr>
                    <w:t>万吨/年</w:t>
                  </w:r>
                </w:p>
              </w:tc>
              <w:tc>
                <w:tcPr>
                  <w:tcW w:w="581" w:type="pct"/>
                  <w:vAlign w:val="center"/>
                </w:tcPr>
                <w:p>
                  <w:pPr>
                    <w:adjustRightInd w:val="0"/>
                    <w:snapToGrid w:val="0"/>
                    <w:jc w:val="center"/>
                    <w:rPr>
                      <w:rFonts w:hint="eastAsia" w:eastAsia="宋体"/>
                      <w:bCs/>
                      <w:szCs w:val="21"/>
                      <w:lang w:eastAsia="zh-CN"/>
                    </w:rPr>
                  </w:pPr>
                  <w:r>
                    <w:rPr>
                      <w:szCs w:val="21"/>
                    </w:rPr>
                    <w:t>3</w:t>
                  </w:r>
                  <w:r>
                    <w:rPr>
                      <w:rFonts w:hint="eastAsia"/>
                      <w:szCs w:val="21"/>
                      <w:lang w:eastAsia="zh-CN"/>
                    </w:rPr>
                    <w:t>（</w:t>
                  </w:r>
                  <w:r>
                    <w:rPr>
                      <w:rFonts w:hint="eastAsia"/>
                      <w:szCs w:val="21"/>
                      <w:lang w:val="en-US" w:eastAsia="zh-CN"/>
                    </w:rPr>
                    <w:t>7</w:t>
                  </w:r>
                  <w:r>
                    <w:rPr>
                      <w:rFonts w:hint="eastAsia"/>
                      <w:szCs w:val="21"/>
                      <w:lang w:eastAsia="zh-CN"/>
                    </w:rPr>
                    <w:t>）</w:t>
                  </w:r>
                </w:p>
              </w:tc>
              <w:tc>
                <w:tcPr>
                  <w:tcW w:w="563" w:type="pct"/>
                  <w:vAlign w:val="center"/>
                </w:tcPr>
                <w:p>
                  <w:pPr>
                    <w:adjustRightInd w:val="0"/>
                    <w:snapToGrid w:val="0"/>
                    <w:jc w:val="center"/>
                    <w:rPr>
                      <w:rFonts w:hint="default" w:eastAsia="宋体"/>
                      <w:bCs/>
                      <w:szCs w:val="21"/>
                      <w:lang w:val="en-US" w:eastAsia="zh-CN"/>
                    </w:rPr>
                  </w:pPr>
                  <w:r>
                    <w:rPr>
                      <w:rFonts w:hint="eastAsia"/>
                      <w:szCs w:val="21"/>
                      <w:lang w:val="en-US" w:eastAsia="zh-CN"/>
                    </w:rPr>
                    <w:t>0，现状停建未投产</w:t>
                  </w:r>
                </w:p>
              </w:tc>
              <w:tc>
                <w:tcPr>
                  <w:tcW w:w="532" w:type="pct"/>
                  <w:vAlign w:val="center"/>
                </w:tcPr>
                <w:p>
                  <w:pPr>
                    <w:adjustRightInd w:val="0"/>
                    <w:snapToGrid w:val="0"/>
                    <w:jc w:val="center"/>
                    <w:rPr>
                      <w:szCs w:val="21"/>
                    </w:rPr>
                  </w:pPr>
                  <w:r>
                    <w:rPr>
                      <w:rFonts w:hint="eastAsia"/>
                      <w:szCs w:val="21"/>
                      <w:lang w:val="en-US" w:eastAsia="zh-CN"/>
                    </w:rPr>
                    <w:t>0，现状停建未投产</w:t>
                  </w:r>
                </w:p>
              </w:tc>
              <w:tc>
                <w:tcPr>
                  <w:tcW w:w="532" w:type="pct"/>
                  <w:vAlign w:val="center"/>
                </w:tcPr>
                <w:p>
                  <w:pPr>
                    <w:adjustRightInd w:val="0"/>
                    <w:snapToGrid w:val="0"/>
                    <w:jc w:val="center"/>
                    <w:rPr>
                      <w:bCs/>
                      <w:szCs w:val="21"/>
                    </w:rPr>
                  </w:pPr>
                  <w:r>
                    <w:rPr>
                      <w:rFonts w:hint="eastAsia"/>
                      <w:bCs/>
                      <w:szCs w:val="21"/>
                    </w:rPr>
                    <w:t>0</w:t>
                  </w:r>
                </w:p>
              </w:tc>
              <w:tc>
                <w:tcPr>
                  <w:tcW w:w="586" w:type="pct"/>
                  <w:vAlign w:val="center"/>
                </w:tcPr>
                <w:p>
                  <w:pPr>
                    <w:adjustRightInd w:val="0"/>
                    <w:snapToGrid w:val="0"/>
                    <w:jc w:val="center"/>
                    <w:rPr>
                      <w:rFonts w:hint="eastAsia" w:eastAsia="宋体"/>
                      <w:bCs/>
                      <w:szCs w:val="21"/>
                      <w:lang w:eastAsia="zh-CN"/>
                    </w:rPr>
                  </w:pPr>
                  <w:r>
                    <w:rPr>
                      <w:rFonts w:hint="eastAsia"/>
                      <w:szCs w:val="21"/>
                      <w:lang w:val="en-US" w:eastAsia="zh-CN"/>
                    </w:rPr>
                    <w:t>0</w:t>
                  </w:r>
                </w:p>
              </w:tc>
              <w:tc>
                <w:tcPr>
                  <w:tcW w:w="661" w:type="pct"/>
                  <w:vAlign w:val="center"/>
                </w:tcPr>
                <w:p>
                  <w:pPr>
                    <w:adjustRightInd w:val="0"/>
                    <w:snapToGrid w:val="0"/>
                    <w:jc w:val="center"/>
                    <w:rPr>
                      <w:bCs/>
                      <w:szCs w:val="21"/>
                    </w:rPr>
                  </w:pPr>
                  <w:r>
                    <w:rPr>
                      <w:rFonts w:hint="eastAsia"/>
                      <w:bCs/>
                      <w:szCs w:val="21"/>
                    </w:rPr>
                    <w:t>不变</w:t>
                  </w:r>
                </w:p>
              </w:tc>
            </w:tr>
          </w:tbl>
          <w:p>
            <w:pPr>
              <w:adjustRightInd w:val="0"/>
              <w:snapToGrid w:val="0"/>
              <w:spacing w:line="360" w:lineRule="auto"/>
              <w:ind w:firstLine="480" w:firstLineChars="200"/>
              <w:rPr>
                <w:rFonts w:hint="eastAsia"/>
                <w:b w:val="0"/>
                <w:bCs w:val="0"/>
                <w:sz w:val="24"/>
                <w:lang w:val="en-US" w:eastAsia="zh-CN"/>
              </w:rPr>
            </w:pPr>
            <w:r>
              <w:rPr>
                <w:rFonts w:hint="eastAsia"/>
                <w:b w:val="0"/>
                <w:bCs w:val="0"/>
                <w:sz w:val="24"/>
                <w:lang w:val="en-US" w:eastAsia="zh-CN"/>
              </w:rPr>
              <w:t>改建前，项目预埋件产品共包含三种类型：共渗+钝化处理预埋件产量3000t/a、共渗+水性漆处理预埋件产量2400t/a、共渗+油性漆处理预埋件产量600t/a；改建后，项目预埋件产品仍包含三种类型：共渗+钝化处理预埋件产量3000t/a、共渗+钝化+水性漆处理预埋件产量2400t/a、共渗+油性漆处理预埋件产量600t/a。</w:t>
            </w:r>
          </w:p>
          <w:p>
            <w:pPr>
              <w:adjustRightInd w:val="0"/>
              <w:snapToGrid w:val="0"/>
              <w:spacing w:line="360" w:lineRule="auto"/>
              <w:ind w:firstLine="482" w:firstLineChars="200"/>
              <w:rPr>
                <w:b/>
                <w:bCs/>
                <w:sz w:val="24"/>
              </w:rPr>
            </w:pPr>
            <w:r>
              <w:rPr>
                <w:rFonts w:hint="eastAsia"/>
                <w:b/>
                <w:bCs/>
                <w:sz w:val="24"/>
              </w:rPr>
              <w:t>4、原辅材料</w:t>
            </w:r>
          </w:p>
          <w:p>
            <w:pPr>
              <w:adjustRightInd w:val="0"/>
              <w:snapToGrid w:val="0"/>
              <w:spacing w:line="360" w:lineRule="auto"/>
              <w:ind w:firstLine="480" w:firstLineChars="200"/>
              <w:rPr>
                <w:bCs/>
                <w:sz w:val="24"/>
              </w:rPr>
            </w:pPr>
            <w:r>
              <w:rPr>
                <w:rFonts w:hint="eastAsia"/>
                <w:sz w:val="24"/>
              </w:rPr>
              <w:t>本项目建成后，全厂</w:t>
            </w:r>
            <w:r>
              <w:rPr>
                <w:rFonts w:hint="eastAsia"/>
                <w:bCs/>
                <w:sz w:val="24"/>
              </w:rPr>
              <w:t>主要原辅材料及能源消耗用量见表2-3：</w:t>
            </w:r>
          </w:p>
          <w:p>
            <w:pPr>
              <w:autoSpaceDE w:val="0"/>
              <w:autoSpaceDN w:val="0"/>
              <w:adjustRightInd w:val="0"/>
              <w:spacing w:beforeLines="50"/>
              <w:jc w:val="center"/>
              <w:rPr>
                <w:b/>
                <w:kern w:val="0"/>
                <w:szCs w:val="21"/>
              </w:rPr>
            </w:pPr>
            <w:r>
              <w:rPr>
                <w:b/>
                <w:kern w:val="0"/>
                <w:szCs w:val="21"/>
              </w:rPr>
              <w:t>表2-</w:t>
            </w:r>
            <w:r>
              <w:rPr>
                <w:rFonts w:hint="eastAsia"/>
                <w:b/>
                <w:kern w:val="0"/>
                <w:szCs w:val="21"/>
              </w:rPr>
              <w:t xml:space="preserve">3 </w:t>
            </w:r>
            <w:r>
              <w:rPr>
                <w:b/>
                <w:kern w:val="0"/>
                <w:szCs w:val="21"/>
              </w:rPr>
              <w:t xml:space="preserve"> 主要原辅材料及能源消耗一览表</w:t>
            </w:r>
          </w:p>
          <w:tbl>
            <w:tblPr>
              <w:tblStyle w:val="26"/>
              <w:tblW w:w="4993"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33"/>
              <w:gridCol w:w="2100"/>
              <w:gridCol w:w="1185"/>
              <w:gridCol w:w="1200"/>
              <w:gridCol w:w="1140"/>
              <w:gridCol w:w="1080"/>
              <w:gridCol w:w="1170"/>
              <w:gridCol w:w="86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tcBorders>
                    <w:tl2br w:val="nil"/>
                    <w:tr2bl w:val="nil"/>
                  </w:tcBorders>
                  <w:vAlign w:val="center"/>
                </w:tcPr>
                <w:p>
                  <w:pPr>
                    <w:adjustRightInd w:val="0"/>
                    <w:snapToGrid w:val="0"/>
                    <w:jc w:val="center"/>
                    <w:rPr>
                      <w:b/>
                      <w:bCs/>
                      <w:szCs w:val="21"/>
                    </w:rPr>
                  </w:pPr>
                  <w:r>
                    <w:rPr>
                      <w:b/>
                      <w:bCs/>
                      <w:szCs w:val="21"/>
                    </w:rPr>
                    <w:t>序号</w:t>
                  </w:r>
                </w:p>
              </w:tc>
              <w:tc>
                <w:tcPr>
                  <w:tcW w:w="1131" w:type="pct"/>
                  <w:tcBorders>
                    <w:tl2br w:val="nil"/>
                    <w:tr2bl w:val="nil"/>
                  </w:tcBorders>
                  <w:vAlign w:val="center"/>
                </w:tcPr>
                <w:p>
                  <w:pPr>
                    <w:adjustRightInd w:val="0"/>
                    <w:snapToGrid w:val="0"/>
                    <w:jc w:val="center"/>
                    <w:rPr>
                      <w:b/>
                      <w:bCs/>
                      <w:szCs w:val="21"/>
                    </w:rPr>
                  </w:pPr>
                  <w:r>
                    <w:rPr>
                      <w:b/>
                      <w:bCs/>
                      <w:szCs w:val="21"/>
                    </w:rPr>
                    <w:t>原辅材料名称</w:t>
                  </w:r>
                </w:p>
              </w:tc>
              <w:tc>
                <w:tcPr>
                  <w:tcW w:w="638" w:type="pct"/>
                  <w:tcBorders>
                    <w:tl2br w:val="nil"/>
                    <w:tr2bl w:val="nil"/>
                  </w:tcBorders>
                  <w:vAlign w:val="center"/>
                </w:tcPr>
                <w:p>
                  <w:pPr>
                    <w:adjustRightInd w:val="0"/>
                    <w:snapToGrid w:val="0"/>
                    <w:jc w:val="center"/>
                    <w:rPr>
                      <w:b/>
                      <w:bCs/>
                      <w:szCs w:val="21"/>
                    </w:rPr>
                  </w:pPr>
                  <w:r>
                    <w:rPr>
                      <w:b/>
                      <w:szCs w:val="21"/>
                    </w:rPr>
                    <w:t>单位</w:t>
                  </w:r>
                </w:p>
              </w:tc>
              <w:tc>
                <w:tcPr>
                  <w:tcW w:w="646" w:type="pct"/>
                  <w:tcBorders>
                    <w:tl2br w:val="nil"/>
                    <w:tr2bl w:val="nil"/>
                  </w:tcBorders>
                  <w:vAlign w:val="center"/>
                </w:tcPr>
                <w:p>
                  <w:pPr>
                    <w:adjustRightInd w:val="0"/>
                    <w:snapToGrid w:val="0"/>
                    <w:jc w:val="center"/>
                    <w:rPr>
                      <w:b/>
                      <w:bCs/>
                      <w:szCs w:val="21"/>
                    </w:rPr>
                  </w:pPr>
                  <w:r>
                    <w:rPr>
                      <w:b/>
                      <w:bCs/>
                      <w:szCs w:val="21"/>
                    </w:rPr>
                    <w:t>已建项目达产用量</w:t>
                  </w:r>
                </w:p>
              </w:tc>
              <w:tc>
                <w:tcPr>
                  <w:tcW w:w="614" w:type="pct"/>
                  <w:tcBorders>
                    <w:tl2br w:val="nil"/>
                    <w:tr2bl w:val="nil"/>
                  </w:tcBorders>
                  <w:vAlign w:val="center"/>
                </w:tcPr>
                <w:p>
                  <w:pPr>
                    <w:adjustRightInd w:val="0"/>
                    <w:snapToGrid w:val="0"/>
                    <w:jc w:val="center"/>
                    <w:rPr>
                      <w:rFonts w:hint="default" w:eastAsia="宋体"/>
                      <w:b/>
                      <w:bCs/>
                      <w:szCs w:val="21"/>
                      <w:lang w:val="en-US" w:eastAsia="zh-CN"/>
                    </w:rPr>
                  </w:pPr>
                  <w:r>
                    <w:rPr>
                      <w:rFonts w:hint="eastAsia"/>
                      <w:b/>
                      <w:bCs/>
                      <w:szCs w:val="21"/>
                      <w:lang w:val="en-US" w:eastAsia="zh-CN"/>
                    </w:rPr>
                    <w:t>2022年实际用量</w:t>
                  </w:r>
                </w:p>
              </w:tc>
              <w:tc>
                <w:tcPr>
                  <w:tcW w:w="582" w:type="pct"/>
                  <w:tcBorders>
                    <w:tl2br w:val="nil"/>
                    <w:tr2bl w:val="nil"/>
                  </w:tcBorders>
                  <w:vAlign w:val="center"/>
                </w:tcPr>
                <w:p>
                  <w:pPr>
                    <w:adjustRightInd w:val="0"/>
                    <w:snapToGrid w:val="0"/>
                    <w:jc w:val="center"/>
                    <w:rPr>
                      <w:b/>
                      <w:bCs/>
                      <w:szCs w:val="21"/>
                    </w:rPr>
                  </w:pPr>
                  <w:r>
                    <w:rPr>
                      <w:rFonts w:hint="eastAsia"/>
                      <w:b/>
                      <w:bCs/>
                      <w:szCs w:val="21"/>
                      <w:lang w:val="en-US" w:eastAsia="zh-CN"/>
                    </w:rPr>
                    <w:t>改建</w:t>
                  </w:r>
                  <w:r>
                    <w:rPr>
                      <w:b/>
                      <w:bCs/>
                      <w:szCs w:val="21"/>
                    </w:rPr>
                    <w:t>项目用量</w:t>
                  </w:r>
                </w:p>
              </w:tc>
              <w:tc>
                <w:tcPr>
                  <w:tcW w:w="630" w:type="pct"/>
                  <w:tcBorders>
                    <w:tl2br w:val="nil"/>
                    <w:tr2bl w:val="nil"/>
                  </w:tcBorders>
                  <w:vAlign w:val="center"/>
                </w:tcPr>
                <w:p>
                  <w:pPr>
                    <w:adjustRightInd w:val="0"/>
                    <w:snapToGrid w:val="0"/>
                    <w:jc w:val="center"/>
                    <w:rPr>
                      <w:b/>
                      <w:bCs/>
                      <w:szCs w:val="21"/>
                    </w:rPr>
                  </w:pPr>
                  <w:r>
                    <w:rPr>
                      <w:rFonts w:hint="eastAsia"/>
                      <w:b/>
                      <w:bCs/>
                      <w:szCs w:val="21"/>
                      <w:lang w:val="en-US" w:eastAsia="zh-CN"/>
                    </w:rPr>
                    <w:t>改建</w:t>
                  </w:r>
                  <w:r>
                    <w:rPr>
                      <w:b/>
                      <w:bCs/>
                      <w:szCs w:val="21"/>
                    </w:rPr>
                    <w:t>项目建成后全厂用量</w:t>
                  </w:r>
                </w:p>
              </w:tc>
              <w:tc>
                <w:tcPr>
                  <w:tcW w:w="467" w:type="pct"/>
                  <w:tcBorders>
                    <w:tl2br w:val="nil"/>
                    <w:tr2bl w:val="nil"/>
                  </w:tcBorders>
                  <w:vAlign w:val="center"/>
                </w:tcPr>
                <w:p>
                  <w:pPr>
                    <w:adjustRightInd w:val="0"/>
                    <w:snapToGrid w:val="0"/>
                    <w:jc w:val="center"/>
                    <w:rPr>
                      <w:b/>
                      <w:bCs/>
                      <w:szCs w:val="21"/>
                    </w:rPr>
                  </w:pPr>
                  <w:r>
                    <w:rPr>
                      <w:b/>
                      <w:bCs/>
                      <w:szCs w:val="21"/>
                    </w:rPr>
                    <w:t>变化</w:t>
                  </w:r>
                </w:p>
                <w:p>
                  <w:pPr>
                    <w:adjustRightInd w:val="0"/>
                    <w:snapToGrid w:val="0"/>
                    <w:jc w:val="center"/>
                    <w:rPr>
                      <w:b/>
                      <w:bCs/>
                      <w:szCs w:val="21"/>
                    </w:rPr>
                  </w:pPr>
                  <w:r>
                    <w:rPr>
                      <w:b/>
                      <w:bCs/>
                      <w:szCs w:val="21"/>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000" w:type="pct"/>
                  <w:gridSpan w:val="8"/>
                  <w:tcBorders>
                    <w:tl2br w:val="nil"/>
                    <w:tr2bl w:val="nil"/>
                  </w:tcBorders>
                  <w:vAlign w:val="center"/>
                </w:tcPr>
                <w:p>
                  <w:pPr>
                    <w:adjustRightInd w:val="0"/>
                    <w:snapToGrid w:val="0"/>
                    <w:jc w:val="center"/>
                    <w:rPr>
                      <w:rFonts w:hint="eastAsia" w:eastAsia="宋体"/>
                      <w:bCs/>
                      <w:szCs w:val="21"/>
                      <w:lang w:val="en-US" w:eastAsia="zh-CN"/>
                    </w:rPr>
                  </w:pPr>
                  <w:r>
                    <w:rPr>
                      <w:rFonts w:hint="eastAsia"/>
                      <w:b/>
                      <w:bCs/>
                      <w:sz w:val="21"/>
                      <w:szCs w:val="21"/>
                    </w:rPr>
                    <w:t>锚具500万件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Merge w:val="restart"/>
                  <w:tcBorders>
                    <w:tl2br w:val="nil"/>
                    <w:tr2bl w:val="nil"/>
                  </w:tcBorders>
                  <w:vAlign w:val="center"/>
                </w:tcPr>
                <w:p>
                  <w:pPr>
                    <w:adjustRightInd w:val="0"/>
                    <w:snapToGrid w:val="0"/>
                    <w:jc w:val="center"/>
                    <w:rPr>
                      <w:szCs w:val="21"/>
                    </w:rPr>
                  </w:pPr>
                  <w:r>
                    <w:rPr>
                      <w:szCs w:val="21"/>
                    </w:rPr>
                    <w:t>1</w:t>
                  </w: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45#圆钢</w:t>
                  </w:r>
                </w:p>
              </w:tc>
              <w:tc>
                <w:tcPr>
                  <w:tcW w:w="638" w:type="pct"/>
                  <w:vMerge w:val="restar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Merge w:val="restar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2100</w:t>
                  </w:r>
                </w:p>
              </w:tc>
              <w:tc>
                <w:tcPr>
                  <w:tcW w:w="614" w:type="pct"/>
                  <w:vMerge w:val="restart"/>
                  <w:tcBorders>
                    <w:tl2br w:val="nil"/>
                    <w:tr2bl w:val="nil"/>
                  </w:tcBorders>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2100</w:t>
                  </w:r>
                </w:p>
              </w:tc>
              <w:tc>
                <w:tcPr>
                  <w:tcW w:w="582" w:type="pct"/>
                  <w:vMerge w:val="restart"/>
                  <w:tcBorders>
                    <w:tl2br w:val="nil"/>
                    <w:tr2bl w:val="nil"/>
                  </w:tcBorders>
                  <w:vAlign w:val="center"/>
                </w:tcPr>
                <w:p>
                  <w:pPr>
                    <w:adjustRightInd w:val="0"/>
                    <w:snapToGrid w:val="0"/>
                    <w:jc w:val="center"/>
                    <w:rPr>
                      <w:szCs w:val="21"/>
                    </w:rPr>
                  </w:pPr>
                  <w:r>
                    <w:rPr>
                      <w:szCs w:val="21"/>
                    </w:rPr>
                    <w:t>0</w:t>
                  </w:r>
                </w:p>
              </w:tc>
              <w:tc>
                <w:tcPr>
                  <w:tcW w:w="630" w:type="pct"/>
                  <w:vMerge w:val="restart"/>
                  <w:tcBorders>
                    <w:tl2br w:val="nil"/>
                    <w:tr2bl w:val="nil"/>
                  </w:tcBorders>
                  <w:vAlign w:val="center"/>
                </w:tcPr>
                <w:p>
                  <w:pPr>
                    <w:pStyle w:val="2"/>
                    <w:jc w:val="center"/>
                    <w:rPr>
                      <w:szCs w:val="21"/>
                    </w:rPr>
                  </w:pPr>
                  <w:r>
                    <w:rPr>
                      <w:rFonts w:ascii="Times New Roman" w:cs="Times New Roman"/>
                      <w:color w:val="auto"/>
                      <w:sz w:val="21"/>
                      <w:szCs w:val="21"/>
                    </w:rPr>
                    <w:t>2100</w:t>
                  </w:r>
                </w:p>
              </w:tc>
              <w:tc>
                <w:tcPr>
                  <w:tcW w:w="467" w:type="pct"/>
                  <w:vMerge w:val="restart"/>
                  <w:tcBorders>
                    <w:tl2br w:val="nil"/>
                    <w:tr2bl w:val="nil"/>
                  </w:tcBorders>
                  <w:vAlign w:val="center"/>
                </w:tcPr>
                <w:p>
                  <w:pPr>
                    <w:adjustRightInd w:val="0"/>
                    <w:snapToGrid w:val="0"/>
                    <w:jc w:val="center"/>
                    <w:rPr>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Merge w:val="continue"/>
                  <w:tcBorders>
                    <w:tl2br w:val="nil"/>
                    <w:tr2bl w:val="nil"/>
                  </w:tcBorders>
                  <w:vAlign w:val="center"/>
                </w:tcPr>
                <w:p>
                  <w:pPr>
                    <w:adjustRightInd w:val="0"/>
                    <w:snapToGrid w:val="0"/>
                    <w:jc w:val="center"/>
                    <w:rPr>
                      <w:szCs w:val="21"/>
                    </w:rPr>
                  </w:pP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HPB300（圆钢）</w:t>
                  </w:r>
                </w:p>
              </w:tc>
              <w:tc>
                <w:tcPr>
                  <w:tcW w:w="638" w:type="pct"/>
                  <w:vMerge w:val="continue"/>
                  <w:tcBorders>
                    <w:tl2br w:val="nil"/>
                    <w:tr2bl w:val="nil"/>
                  </w:tcBorders>
                  <w:vAlign w:val="center"/>
                </w:tcPr>
                <w:p>
                  <w:pPr>
                    <w:pStyle w:val="2"/>
                    <w:jc w:val="center"/>
                    <w:rPr>
                      <w:rFonts w:ascii="Times New Roman" w:cs="Times New Roman"/>
                      <w:color w:val="auto"/>
                      <w:sz w:val="21"/>
                      <w:szCs w:val="21"/>
                    </w:rPr>
                  </w:pPr>
                </w:p>
              </w:tc>
              <w:tc>
                <w:tcPr>
                  <w:tcW w:w="646" w:type="pct"/>
                  <w:vMerge w:val="continue"/>
                  <w:tcBorders>
                    <w:tl2br w:val="nil"/>
                    <w:tr2bl w:val="nil"/>
                  </w:tcBorders>
                  <w:vAlign w:val="center"/>
                </w:tcPr>
                <w:p>
                  <w:pPr>
                    <w:adjustRightInd w:val="0"/>
                    <w:snapToGrid w:val="0"/>
                    <w:jc w:val="center"/>
                    <w:rPr>
                      <w:szCs w:val="21"/>
                    </w:rPr>
                  </w:pPr>
                </w:p>
              </w:tc>
              <w:tc>
                <w:tcPr>
                  <w:tcW w:w="614" w:type="pct"/>
                  <w:vMerge w:val="continue"/>
                  <w:tcBorders>
                    <w:tl2br w:val="nil"/>
                    <w:tr2bl w:val="nil"/>
                  </w:tcBorders>
                  <w:vAlign w:val="center"/>
                </w:tcPr>
                <w:p>
                  <w:pPr>
                    <w:adjustRightInd w:val="0"/>
                    <w:snapToGrid w:val="0"/>
                    <w:jc w:val="center"/>
                    <w:rPr>
                      <w:szCs w:val="21"/>
                    </w:rPr>
                  </w:pPr>
                </w:p>
              </w:tc>
              <w:tc>
                <w:tcPr>
                  <w:tcW w:w="582" w:type="pct"/>
                  <w:vMerge w:val="continue"/>
                  <w:tcBorders>
                    <w:tl2br w:val="nil"/>
                    <w:tr2bl w:val="nil"/>
                  </w:tcBorders>
                  <w:vAlign w:val="center"/>
                </w:tcPr>
                <w:p>
                  <w:pPr>
                    <w:adjustRightInd w:val="0"/>
                    <w:snapToGrid w:val="0"/>
                    <w:jc w:val="center"/>
                    <w:rPr>
                      <w:szCs w:val="21"/>
                    </w:rPr>
                  </w:pPr>
                </w:p>
              </w:tc>
              <w:tc>
                <w:tcPr>
                  <w:tcW w:w="630" w:type="pct"/>
                  <w:vMerge w:val="continue"/>
                  <w:tcBorders>
                    <w:tl2br w:val="nil"/>
                    <w:tr2bl w:val="nil"/>
                  </w:tcBorders>
                  <w:vAlign w:val="center"/>
                </w:tcPr>
                <w:p>
                  <w:pPr>
                    <w:adjustRightInd w:val="0"/>
                    <w:snapToGrid w:val="0"/>
                    <w:jc w:val="center"/>
                    <w:rPr>
                      <w:szCs w:val="21"/>
                    </w:rPr>
                  </w:pPr>
                </w:p>
              </w:tc>
              <w:tc>
                <w:tcPr>
                  <w:tcW w:w="467" w:type="pct"/>
                  <w:vMerge w:val="continue"/>
                  <w:tcBorders>
                    <w:tl2br w:val="nil"/>
                    <w:tr2bl w:val="nil"/>
                  </w:tcBorders>
                  <w:vAlign w:val="center"/>
                </w:tcPr>
                <w:p>
                  <w:pPr>
                    <w:adjustRightInd w:val="0"/>
                    <w:snapToGri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Merge w:val="continue"/>
                  <w:tcBorders>
                    <w:tl2br w:val="nil"/>
                    <w:tr2bl w:val="nil"/>
                  </w:tcBorders>
                  <w:vAlign w:val="center"/>
                </w:tcPr>
                <w:p>
                  <w:pPr>
                    <w:adjustRightInd w:val="0"/>
                    <w:snapToGrid w:val="0"/>
                    <w:jc w:val="center"/>
                    <w:rPr>
                      <w:szCs w:val="21"/>
                    </w:rPr>
                  </w:pP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20CrMnTi（圆钢）</w:t>
                  </w:r>
                </w:p>
              </w:tc>
              <w:tc>
                <w:tcPr>
                  <w:tcW w:w="638" w:type="pct"/>
                  <w:vMerge w:val="continue"/>
                  <w:tcBorders>
                    <w:tl2br w:val="nil"/>
                    <w:tr2bl w:val="nil"/>
                  </w:tcBorders>
                  <w:vAlign w:val="center"/>
                </w:tcPr>
                <w:p>
                  <w:pPr>
                    <w:pStyle w:val="2"/>
                    <w:jc w:val="center"/>
                    <w:rPr>
                      <w:rFonts w:ascii="Times New Roman" w:cs="Times New Roman"/>
                      <w:color w:val="auto"/>
                      <w:sz w:val="21"/>
                      <w:szCs w:val="21"/>
                    </w:rPr>
                  </w:pPr>
                </w:p>
              </w:tc>
              <w:tc>
                <w:tcPr>
                  <w:tcW w:w="646" w:type="pct"/>
                  <w:vMerge w:val="continue"/>
                  <w:tcBorders>
                    <w:tl2br w:val="nil"/>
                    <w:tr2bl w:val="nil"/>
                  </w:tcBorders>
                  <w:vAlign w:val="center"/>
                </w:tcPr>
                <w:p>
                  <w:pPr>
                    <w:adjustRightInd w:val="0"/>
                    <w:snapToGrid w:val="0"/>
                    <w:jc w:val="center"/>
                    <w:rPr>
                      <w:szCs w:val="21"/>
                    </w:rPr>
                  </w:pPr>
                </w:p>
              </w:tc>
              <w:tc>
                <w:tcPr>
                  <w:tcW w:w="614" w:type="pct"/>
                  <w:vMerge w:val="continue"/>
                  <w:tcBorders>
                    <w:tl2br w:val="nil"/>
                    <w:tr2bl w:val="nil"/>
                  </w:tcBorders>
                  <w:vAlign w:val="center"/>
                </w:tcPr>
                <w:p>
                  <w:pPr>
                    <w:adjustRightInd w:val="0"/>
                    <w:snapToGrid w:val="0"/>
                    <w:jc w:val="center"/>
                    <w:rPr>
                      <w:szCs w:val="21"/>
                    </w:rPr>
                  </w:pPr>
                </w:p>
              </w:tc>
              <w:tc>
                <w:tcPr>
                  <w:tcW w:w="582" w:type="pct"/>
                  <w:vMerge w:val="continue"/>
                  <w:tcBorders>
                    <w:tl2br w:val="nil"/>
                    <w:tr2bl w:val="nil"/>
                  </w:tcBorders>
                  <w:vAlign w:val="center"/>
                </w:tcPr>
                <w:p>
                  <w:pPr>
                    <w:adjustRightInd w:val="0"/>
                    <w:snapToGrid w:val="0"/>
                    <w:jc w:val="center"/>
                    <w:rPr>
                      <w:szCs w:val="21"/>
                    </w:rPr>
                  </w:pPr>
                </w:p>
              </w:tc>
              <w:tc>
                <w:tcPr>
                  <w:tcW w:w="630" w:type="pct"/>
                  <w:vMerge w:val="continue"/>
                  <w:tcBorders>
                    <w:tl2br w:val="nil"/>
                    <w:tr2bl w:val="nil"/>
                  </w:tcBorders>
                  <w:vAlign w:val="center"/>
                </w:tcPr>
                <w:p>
                  <w:pPr>
                    <w:adjustRightInd w:val="0"/>
                    <w:snapToGrid w:val="0"/>
                    <w:jc w:val="center"/>
                    <w:rPr>
                      <w:szCs w:val="21"/>
                    </w:rPr>
                  </w:pPr>
                </w:p>
              </w:tc>
              <w:tc>
                <w:tcPr>
                  <w:tcW w:w="467" w:type="pct"/>
                  <w:vMerge w:val="continue"/>
                  <w:tcBorders>
                    <w:tl2br w:val="nil"/>
                    <w:tr2bl w:val="nil"/>
                  </w:tcBorders>
                  <w:vAlign w:val="center"/>
                </w:tcPr>
                <w:p>
                  <w:pPr>
                    <w:adjustRightInd w:val="0"/>
                    <w:snapToGri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Merge w:val="continue"/>
                  <w:tcBorders>
                    <w:tl2br w:val="nil"/>
                    <w:tr2bl w:val="nil"/>
                  </w:tcBorders>
                  <w:vAlign w:val="center"/>
                </w:tcPr>
                <w:p>
                  <w:pPr>
                    <w:adjustRightInd w:val="0"/>
                    <w:snapToGrid w:val="0"/>
                    <w:jc w:val="center"/>
                    <w:rPr>
                      <w:szCs w:val="21"/>
                    </w:rPr>
                  </w:pP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HT200（铸铁）</w:t>
                  </w:r>
                </w:p>
              </w:tc>
              <w:tc>
                <w:tcPr>
                  <w:tcW w:w="638" w:type="pct"/>
                  <w:vMerge w:val="continue"/>
                  <w:tcBorders>
                    <w:tl2br w:val="nil"/>
                    <w:tr2bl w:val="nil"/>
                  </w:tcBorders>
                  <w:vAlign w:val="center"/>
                </w:tcPr>
                <w:p>
                  <w:pPr>
                    <w:pStyle w:val="2"/>
                    <w:jc w:val="center"/>
                    <w:rPr>
                      <w:rFonts w:ascii="Times New Roman" w:cs="Times New Roman"/>
                      <w:color w:val="auto"/>
                      <w:sz w:val="21"/>
                      <w:szCs w:val="21"/>
                    </w:rPr>
                  </w:pPr>
                </w:p>
              </w:tc>
              <w:tc>
                <w:tcPr>
                  <w:tcW w:w="646" w:type="pct"/>
                  <w:vMerge w:val="continue"/>
                  <w:tcBorders>
                    <w:tl2br w:val="nil"/>
                    <w:tr2bl w:val="nil"/>
                  </w:tcBorders>
                  <w:vAlign w:val="center"/>
                </w:tcPr>
                <w:p>
                  <w:pPr>
                    <w:adjustRightInd w:val="0"/>
                    <w:snapToGrid w:val="0"/>
                    <w:jc w:val="center"/>
                    <w:rPr>
                      <w:szCs w:val="21"/>
                    </w:rPr>
                  </w:pPr>
                </w:p>
              </w:tc>
              <w:tc>
                <w:tcPr>
                  <w:tcW w:w="614" w:type="pct"/>
                  <w:vMerge w:val="continue"/>
                  <w:tcBorders>
                    <w:tl2br w:val="nil"/>
                    <w:tr2bl w:val="nil"/>
                  </w:tcBorders>
                  <w:vAlign w:val="center"/>
                </w:tcPr>
                <w:p>
                  <w:pPr>
                    <w:adjustRightInd w:val="0"/>
                    <w:snapToGrid w:val="0"/>
                    <w:jc w:val="center"/>
                    <w:rPr>
                      <w:szCs w:val="21"/>
                    </w:rPr>
                  </w:pPr>
                </w:p>
              </w:tc>
              <w:tc>
                <w:tcPr>
                  <w:tcW w:w="582" w:type="pct"/>
                  <w:vMerge w:val="continue"/>
                  <w:tcBorders>
                    <w:tl2br w:val="nil"/>
                    <w:tr2bl w:val="nil"/>
                  </w:tcBorders>
                  <w:vAlign w:val="center"/>
                </w:tcPr>
                <w:p>
                  <w:pPr>
                    <w:adjustRightInd w:val="0"/>
                    <w:snapToGrid w:val="0"/>
                    <w:jc w:val="center"/>
                    <w:rPr>
                      <w:szCs w:val="21"/>
                    </w:rPr>
                  </w:pPr>
                </w:p>
              </w:tc>
              <w:tc>
                <w:tcPr>
                  <w:tcW w:w="630" w:type="pct"/>
                  <w:vMerge w:val="continue"/>
                  <w:tcBorders>
                    <w:tl2br w:val="nil"/>
                    <w:tr2bl w:val="nil"/>
                  </w:tcBorders>
                  <w:vAlign w:val="center"/>
                </w:tcPr>
                <w:p>
                  <w:pPr>
                    <w:adjustRightInd w:val="0"/>
                    <w:snapToGrid w:val="0"/>
                    <w:jc w:val="center"/>
                    <w:rPr>
                      <w:szCs w:val="21"/>
                    </w:rPr>
                  </w:pPr>
                </w:p>
              </w:tc>
              <w:tc>
                <w:tcPr>
                  <w:tcW w:w="467" w:type="pct"/>
                  <w:vMerge w:val="continue"/>
                  <w:tcBorders>
                    <w:tl2br w:val="nil"/>
                    <w:tr2bl w:val="nil"/>
                  </w:tcBorders>
                  <w:vAlign w:val="center"/>
                </w:tcPr>
                <w:p>
                  <w:pPr>
                    <w:adjustRightInd w:val="0"/>
                    <w:snapToGri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tcBorders>
                    <w:tl2br w:val="nil"/>
                    <w:tr2bl w:val="nil"/>
                  </w:tcBorders>
                  <w:vAlign w:val="center"/>
                </w:tcPr>
                <w:p>
                  <w:pPr>
                    <w:adjustRightInd w:val="0"/>
                    <w:snapToGrid w:val="0"/>
                    <w:jc w:val="center"/>
                    <w:rPr>
                      <w:szCs w:val="21"/>
                    </w:rPr>
                  </w:pPr>
                  <w:r>
                    <w:rPr>
                      <w:szCs w:val="21"/>
                    </w:rPr>
                    <w:t>2</w:t>
                  </w: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发黑剂</w:t>
                  </w:r>
                </w:p>
              </w:tc>
              <w:tc>
                <w:tcPr>
                  <w:tcW w:w="638"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5.0</w:t>
                  </w:r>
                </w:p>
              </w:tc>
              <w:tc>
                <w:tcPr>
                  <w:tcW w:w="614" w:type="pct"/>
                  <w:tcBorders>
                    <w:tl2br w:val="nil"/>
                    <w:tr2bl w:val="nil"/>
                  </w:tcBorders>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5.0</w:t>
                  </w:r>
                </w:p>
              </w:tc>
              <w:tc>
                <w:tcPr>
                  <w:tcW w:w="582" w:type="pct"/>
                  <w:tcBorders>
                    <w:tl2br w:val="nil"/>
                    <w:tr2bl w:val="nil"/>
                  </w:tcBorders>
                  <w:vAlign w:val="center"/>
                </w:tcPr>
                <w:p>
                  <w:pPr>
                    <w:adjustRightInd w:val="0"/>
                    <w:snapToGrid w:val="0"/>
                    <w:jc w:val="center"/>
                    <w:rPr>
                      <w:szCs w:val="21"/>
                    </w:rPr>
                  </w:pPr>
                  <w:r>
                    <w:rPr>
                      <w:szCs w:val="21"/>
                    </w:rPr>
                    <w:t>0</w:t>
                  </w:r>
                </w:p>
              </w:tc>
              <w:tc>
                <w:tcPr>
                  <w:tcW w:w="630"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5.0</w:t>
                  </w:r>
                </w:p>
              </w:tc>
              <w:tc>
                <w:tcPr>
                  <w:tcW w:w="467" w:type="pct"/>
                  <w:tcBorders>
                    <w:tl2br w:val="nil"/>
                    <w:tr2bl w:val="nil"/>
                  </w:tcBorders>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tcBorders>
                    <w:tl2br w:val="nil"/>
                    <w:tr2bl w:val="nil"/>
                  </w:tcBorders>
                  <w:vAlign w:val="center"/>
                </w:tcPr>
                <w:p>
                  <w:pPr>
                    <w:adjustRightInd w:val="0"/>
                    <w:snapToGrid w:val="0"/>
                    <w:jc w:val="center"/>
                    <w:rPr>
                      <w:szCs w:val="21"/>
                    </w:rPr>
                  </w:pPr>
                  <w:r>
                    <w:rPr>
                      <w:szCs w:val="21"/>
                    </w:rPr>
                    <w:t>3</w:t>
                  </w: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乳化液</w:t>
                  </w:r>
                </w:p>
              </w:tc>
              <w:tc>
                <w:tcPr>
                  <w:tcW w:w="638"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2.5</w:t>
                  </w:r>
                </w:p>
              </w:tc>
              <w:tc>
                <w:tcPr>
                  <w:tcW w:w="614" w:type="pct"/>
                  <w:tcBorders>
                    <w:tl2br w:val="nil"/>
                    <w:tr2bl w:val="nil"/>
                  </w:tcBorders>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2.5</w:t>
                  </w:r>
                </w:p>
              </w:tc>
              <w:tc>
                <w:tcPr>
                  <w:tcW w:w="582" w:type="pct"/>
                  <w:tcBorders>
                    <w:tl2br w:val="nil"/>
                    <w:tr2bl w:val="nil"/>
                  </w:tcBorders>
                  <w:vAlign w:val="center"/>
                </w:tcPr>
                <w:p>
                  <w:pPr>
                    <w:adjustRightInd w:val="0"/>
                    <w:snapToGrid w:val="0"/>
                    <w:jc w:val="center"/>
                    <w:rPr>
                      <w:szCs w:val="21"/>
                    </w:rPr>
                  </w:pPr>
                  <w:r>
                    <w:rPr>
                      <w:szCs w:val="21"/>
                    </w:rPr>
                    <w:t>0</w:t>
                  </w:r>
                </w:p>
              </w:tc>
              <w:tc>
                <w:tcPr>
                  <w:tcW w:w="630"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2.5</w:t>
                  </w:r>
                </w:p>
              </w:tc>
              <w:tc>
                <w:tcPr>
                  <w:tcW w:w="467" w:type="pct"/>
                  <w:tcBorders>
                    <w:tl2br w:val="nil"/>
                    <w:tr2bl w:val="nil"/>
                  </w:tcBorders>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tcBorders>
                    <w:tl2br w:val="nil"/>
                    <w:tr2bl w:val="nil"/>
                  </w:tcBorders>
                  <w:vAlign w:val="center"/>
                </w:tcPr>
                <w:p>
                  <w:pPr>
                    <w:adjustRightInd w:val="0"/>
                    <w:snapToGrid w:val="0"/>
                    <w:jc w:val="center"/>
                    <w:rPr>
                      <w:szCs w:val="21"/>
                    </w:rPr>
                  </w:pPr>
                  <w:r>
                    <w:rPr>
                      <w:szCs w:val="21"/>
                    </w:rPr>
                    <w:t>4</w:t>
                  </w:r>
                </w:p>
              </w:tc>
              <w:tc>
                <w:tcPr>
                  <w:tcW w:w="1131"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淬火油</w:t>
                  </w:r>
                </w:p>
              </w:tc>
              <w:tc>
                <w:tcPr>
                  <w:tcW w:w="638"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1.25</w:t>
                  </w:r>
                </w:p>
              </w:tc>
              <w:tc>
                <w:tcPr>
                  <w:tcW w:w="614" w:type="pct"/>
                  <w:tcBorders>
                    <w:tl2br w:val="nil"/>
                    <w:tr2bl w:val="nil"/>
                  </w:tcBorders>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1.25</w:t>
                  </w:r>
                </w:p>
              </w:tc>
              <w:tc>
                <w:tcPr>
                  <w:tcW w:w="582" w:type="pct"/>
                  <w:tcBorders>
                    <w:tl2br w:val="nil"/>
                    <w:tr2bl w:val="nil"/>
                  </w:tcBorders>
                  <w:vAlign w:val="center"/>
                </w:tcPr>
                <w:p>
                  <w:pPr>
                    <w:adjustRightInd w:val="0"/>
                    <w:snapToGrid w:val="0"/>
                    <w:jc w:val="center"/>
                    <w:rPr>
                      <w:szCs w:val="21"/>
                    </w:rPr>
                  </w:pPr>
                  <w:r>
                    <w:rPr>
                      <w:szCs w:val="21"/>
                    </w:rPr>
                    <w:t>0</w:t>
                  </w:r>
                </w:p>
              </w:tc>
              <w:tc>
                <w:tcPr>
                  <w:tcW w:w="630" w:type="pct"/>
                  <w:tcBorders>
                    <w:tl2br w:val="nil"/>
                    <w:tr2bl w:val="nil"/>
                  </w:tcBorders>
                  <w:vAlign w:val="center"/>
                </w:tcPr>
                <w:p>
                  <w:pPr>
                    <w:pStyle w:val="2"/>
                    <w:jc w:val="center"/>
                    <w:rPr>
                      <w:rFonts w:ascii="Times New Roman" w:cs="Times New Roman"/>
                      <w:color w:val="auto"/>
                      <w:sz w:val="21"/>
                      <w:szCs w:val="21"/>
                    </w:rPr>
                  </w:pPr>
                  <w:r>
                    <w:rPr>
                      <w:rFonts w:ascii="Times New Roman" w:cs="Times New Roman"/>
                      <w:color w:val="auto"/>
                      <w:sz w:val="21"/>
                      <w:szCs w:val="21"/>
                    </w:rPr>
                    <w:t>1.25</w:t>
                  </w:r>
                </w:p>
              </w:tc>
              <w:tc>
                <w:tcPr>
                  <w:tcW w:w="467" w:type="pct"/>
                  <w:tcBorders>
                    <w:tl2br w:val="nil"/>
                    <w:tr2bl w:val="nil"/>
                  </w:tcBorders>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tcBorders>
                    <w:tl2br w:val="nil"/>
                    <w:tr2bl w:val="nil"/>
                  </w:tcBorders>
                  <w:vAlign w:val="center"/>
                </w:tcPr>
                <w:p>
                  <w:pPr>
                    <w:adjustRightInd w:val="0"/>
                    <w:snapToGrid w:val="0"/>
                    <w:jc w:val="center"/>
                    <w:rPr>
                      <w:szCs w:val="21"/>
                    </w:rPr>
                  </w:pPr>
                  <w:r>
                    <w:rPr>
                      <w:rFonts w:hint="eastAsia"/>
                      <w:szCs w:val="21"/>
                    </w:rPr>
                    <w:t>5</w:t>
                  </w:r>
                </w:p>
              </w:tc>
              <w:tc>
                <w:tcPr>
                  <w:tcW w:w="1131" w:type="pct"/>
                  <w:tcBorders>
                    <w:tl2br w:val="nil"/>
                    <w:tr2bl w:val="nil"/>
                  </w:tcBorders>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焊丝</w:t>
                  </w:r>
                </w:p>
              </w:tc>
              <w:tc>
                <w:tcPr>
                  <w:tcW w:w="638" w:type="pct"/>
                  <w:tcBorders>
                    <w:tl2br w:val="nil"/>
                    <w:tr2bl w:val="nil"/>
                  </w:tcBorders>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t/a</w:t>
                  </w:r>
                </w:p>
              </w:tc>
              <w:tc>
                <w:tcPr>
                  <w:tcW w:w="646" w:type="pct"/>
                  <w:tcBorders>
                    <w:tl2br w:val="nil"/>
                    <w:tr2bl w:val="nil"/>
                  </w:tcBorders>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2</w:t>
                  </w:r>
                </w:p>
              </w:tc>
              <w:tc>
                <w:tcPr>
                  <w:tcW w:w="614" w:type="pct"/>
                  <w:tcBorders>
                    <w:tl2br w:val="nil"/>
                    <w:tr2bl w:val="nil"/>
                  </w:tcBorders>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2</w:t>
                  </w:r>
                </w:p>
              </w:tc>
              <w:tc>
                <w:tcPr>
                  <w:tcW w:w="582" w:type="pct"/>
                  <w:tcBorders>
                    <w:tl2br w:val="nil"/>
                    <w:tr2bl w:val="nil"/>
                  </w:tcBorders>
                  <w:vAlign w:val="center"/>
                </w:tcPr>
                <w:p>
                  <w:pPr>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Cs w:val="21"/>
                      <w:lang w:val="en-US" w:eastAsia="zh-CN"/>
                    </w:rPr>
                    <w:t>0</w:t>
                  </w:r>
                </w:p>
              </w:tc>
              <w:tc>
                <w:tcPr>
                  <w:tcW w:w="630" w:type="pct"/>
                  <w:tcBorders>
                    <w:tl2br w:val="nil"/>
                    <w:tr2bl w:val="nil"/>
                  </w:tcBorders>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2</w:t>
                  </w:r>
                </w:p>
              </w:tc>
              <w:tc>
                <w:tcPr>
                  <w:tcW w:w="467" w:type="pct"/>
                  <w:tcBorders>
                    <w:tl2br w:val="nil"/>
                    <w:tr2bl w:val="nil"/>
                  </w:tcBorders>
                  <w:vAlign w:val="center"/>
                </w:tcPr>
                <w:p>
                  <w:pPr>
                    <w:adjustRightInd w:val="0"/>
                    <w:snapToGrid w:val="0"/>
                    <w:jc w:val="center"/>
                    <w:rPr>
                      <w:rFonts w:ascii="Times New Roman" w:hAnsi="Times New Roman" w:eastAsia="宋体" w:cs="Times New Roman"/>
                      <w:bCs/>
                      <w:kern w:val="2"/>
                      <w:sz w:val="21"/>
                      <w:szCs w:val="21"/>
                      <w:lang w:val="en-US" w:eastAsia="zh-CN" w:bidi="ar-SA"/>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000" w:type="pct"/>
                  <w:gridSpan w:val="8"/>
                  <w:tcBorders>
                    <w:tl2br w:val="nil"/>
                    <w:tr2bl w:val="nil"/>
                  </w:tcBorders>
                  <w:vAlign w:val="center"/>
                </w:tcPr>
                <w:p>
                  <w:pPr>
                    <w:adjustRightInd w:val="0"/>
                    <w:snapToGrid w:val="0"/>
                    <w:jc w:val="center"/>
                    <w:rPr>
                      <w:bCs/>
                      <w:szCs w:val="21"/>
                    </w:rPr>
                  </w:pPr>
                  <w:r>
                    <w:rPr>
                      <w:rFonts w:hint="eastAsia"/>
                      <w:b/>
                      <w:bCs/>
                      <w:sz w:val="21"/>
                      <w:szCs w:val="21"/>
                    </w:rPr>
                    <w:t>预埋件</w:t>
                  </w:r>
                  <w:r>
                    <w:rPr>
                      <w:rFonts w:hint="eastAsia"/>
                      <w:b/>
                      <w:bCs/>
                      <w:sz w:val="21"/>
                      <w:szCs w:val="21"/>
                      <w:lang w:val="en-US" w:eastAsia="zh-CN"/>
                    </w:rPr>
                    <w:t>6</w:t>
                  </w:r>
                  <w:r>
                    <w:rPr>
                      <w:rFonts w:hint="eastAsia"/>
                      <w:b/>
                      <w:bCs/>
                      <w:sz w:val="21"/>
                      <w:szCs w:val="21"/>
                    </w:rPr>
                    <w:t>000吨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eastAsia" w:ascii="Times New Roman" w:hAnsi="Times New Roman" w:eastAsia="宋体" w:cs="Times New Roman"/>
                      <w:kern w:val="2"/>
                      <w:sz w:val="21"/>
                      <w:szCs w:val="21"/>
                      <w:lang w:val="en-US" w:eastAsia="zh-CN" w:bidi="ar-SA"/>
                    </w:rPr>
                  </w:pPr>
                  <w:r>
                    <w:rPr>
                      <w:rFonts w:hint="eastAsia"/>
                      <w:szCs w:val="21"/>
                      <w:lang w:val="en-US" w:eastAsia="zh-CN"/>
                    </w:rPr>
                    <w:t>6</w:t>
                  </w:r>
                </w:p>
              </w:tc>
              <w:tc>
                <w:tcPr>
                  <w:tcW w:w="1131"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圆钢</w:t>
                  </w:r>
                </w:p>
              </w:tc>
              <w:tc>
                <w:tcPr>
                  <w:tcW w:w="638"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t/a</w:t>
                  </w:r>
                </w:p>
              </w:tc>
              <w:tc>
                <w:tcPr>
                  <w:tcW w:w="646"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588</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588</w:t>
                  </w:r>
                </w:p>
              </w:tc>
              <w:tc>
                <w:tcPr>
                  <w:tcW w:w="582"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szCs w:val="21"/>
                    </w:rPr>
                    <w:t>0</w:t>
                  </w:r>
                </w:p>
              </w:tc>
              <w:tc>
                <w:tcPr>
                  <w:tcW w:w="630"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588</w:t>
                  </w:r>
                </w:p>
              </w:tc>
              <w:tc>
                <w:tcPr>
                  <w:tcW w:w="467" w:type="pct"/>
                  <w:vAlign w:val="center"/>
                </w:tcPr>
                <w:p>
                  <w:pPr>
                    <w:adjustRightInd w:val="0"/>
                    <w:snapToGrid w:val="0"/>
                    <w:jc w:val="center"/>
                    <w:rPr>
                      <w:rFonts w:ascii="Times New Roman" w:hAnsi="Times New Roman" w:eastAsia="宋体" w:cs="Times New Roman"/>
                      <w:bCs/>
                      <w:kern w:val="2"/>
                      <w:sz w:val="21"/>
                      <w:szCs w:val="21"/>
                      <w:lang w:val="en-US" w:eastAsia="zh-CN" w:bidi="ar-SA"/>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7</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HPB300（圆钢）</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32.4</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32.4</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32.4</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8</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HRB400（螺纹钢）</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156</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156</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156</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9</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中厚板</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3600</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3600</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3600</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10</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H型钢</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432</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432</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432</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11</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角铁</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1320</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1320</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1320</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szCs w:val="21"/>
                    </w:rPr>
                  </w:pPr>
                  <w:r>
                    <w:rPr>
                      <w:rFonts w:hint="eastAsia"/>
                      <w:szCs w:val="21"/>
                    </w:rPr>
                    <w:t>12</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锌粉</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32</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32</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32</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13</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石英砂</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10</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10</w:t>
                  </w:r>
                </w:p>
              </w:tc>
              <w:tc>
                <w:tcPr>
                  <w:tcW w:w="582" w:type="pct"/>
                  <w:vAlign w:val="center"/>
                </w:tcPr>
                <w:p>
                  <w:pPr>
                    <w:adjustRightInd w:val="0"/>
                    <w:snapToGrid w:val="0"/>
                    <w:jc w:val="center"/>
                    <w:rPr>
                      <w:rFonts w:hint="eastAsia" w:eastAsia="宋体"/>
                      <w:szCs w:val="21"/>
                      <w:lang w:eastAsia="zh-CN"/>
                    </w:rPr>
                  </w:pPr>
                  <w:r>
                    <w:rPr>
                      <w:rFonts w:hint="eastAsia"/>
                      <w:szCs w:val="21"/>
                      <w:lang w:val="en-US" w:eastAsia="zh-CN"/>
                    </w:rPr>
                    <w:t>4</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10</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14</w:t>
                  </w:r>
                </w:p>
              </w:tc>
              <w:tc>
                <w:tcPr>
                  <w:tcW w:w="1131" w:type="pct"/>
                  <w:vAlign w:val="center"/>
                </w:tcPr>
                <w:p>
                  <w:pPr>
                    <w:pStyle w:val="2"/>
                    <w:jc w:val="center"/>
                    <w:rPr>
                      <w:rFonts w:ascii="Times New Roman" w:cs="Times New Roman"/>
                      <w:color w:val="auto"/>
                      <w:sz w:val="21"/>
                      <w:szCs w:val="21"/>
                    </w:rPr>
                  </w:pPr>
                  <w:r>
                    <w:rPr>
                      <w:rFonts w:hint="eastAsia" w:ascii="Times New Roman" w:cs="Times New Roman"/>
                      <w:color w:val="auto"/>
                      <w:sz w:val="21"/>
                      <w:szCs w:val="21"/>
                    </w:rPr>
                    <w:t>水性环保钝化液（D205）</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2.5</w:t>
                  </w:r>
                </w:p>
              </w:tc>
              <w:tc>
                <w:tcPr>
                  <w:tcW w:w="614" w:type="pct"/>
                  <w:vAlign w:val="center"/>
                </w:tcPr>
                <w:p>
                  <w:pPr>
                    <w:pStyle w:val="2"/>
                    <w:jc w:val="center"/>
                    <w:rPr>
                      <w:rFonts w:hint="default"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2.5</w:t>
                  </w:r>
                </w:p>
              </w:tc>
              <w:tc>
                <w:tcPr>
                  <w:tcW w:w="582" w:type="pct"/>
                  <w:vAlign w:val="center"/>
                </w:tcPr>
                <w:p>
                  <w:pPr>
                    <w:adjustRightInd w:val="0"/>
                    <w:snapToGrid w:val="0"/>
                    <w:jc w:val="center"/>
                    <w:rPr>
                      <w:rFonts w:hint="default" w:eastAsia="宋体"/>
                      <w:szCs w:val="21"/>
                      <w:lang w:val="en-US" w:eastAsia="zh-CN"/>
                    </w:rPr>
                  </w:pPr>
                  <w:r>
                    <w:rPr>
                      <w:rFonts w:hint="eastAsia"/>
                      <w:szCs w:val="21"/>
                      <w:lang w:val="en-US" w:eastAsia="zh-CN"/>
                    </w:rPr>
                    <w:t>2.0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4.5</w:t>
                  </w:r>
                </w:p>
              </w:tc>
              <w:tc>
                <w:tcPr>
                  <w:tcW w:w="467" w:type="pct"/>
                  <w:vAlign w:val="center"/>
                </w:tcPr>
                <w:p>
                  <w:pPr>
                    <w:adjustRightInd w:val="0"/>
                    <w:snapToGrid w:val="0"/>
                    <w:jc w:val="center"/>
                    <w:rPr>
                      <w:rFonts w:hint="default" w:eastAsia="宋体"/>
                      <w:bCs/>
                      <w:szCs w:val="21"/>
                      <w:lang w:val="en-US" w:eastAsia="zh-CN"/>
                    </w:rPr>
                  </w:pPr>
                  <w:r>
                    <w:rPr>
                      <w:rFonts w:hint="eastAsia"/>
                      <w:bCs/>
                      <w:szCs w:val="21"/>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15</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水性油漆</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4.377</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4.377</w:t>
                  </w:r>
                </w:p>
              </w:tc>
              <w:tc>
                <w:tcPr>
                  <w:tcW w:w="582" w:type="pct"/>
                  <w:vAlign w:val="center"/>
                </w:tcPr>
                <w:p>
                  <w:pPr>
                    <w:adjustRightInd w:val="0"/>
                    <w:snapToGrid w:val="0"/>
                    <w:jc w:val="center"/>
                    <w:rPr>
                      <w:rFonts w:hint="default" w:eastAsia="宋体"/>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cs="Times New Roman"/>
                      <w:color w:val="FF0000"/>
                      <w:sz w:val="21"/>
                      <w:szCs w:val="21"/>
                      <w:lang w:val="en-US"/>
                    </w:rPr>
                  </w:pPr>
                  <w:r>
                    <w:rPr>
                      <w:rFonts w:hint="eastAsia" w:ascii="Times New Roman" w:cs="Times New Roman"/>
                      <w:color w:val="auto"/>
                      <w:sz w:val="21"/>
                      <w:szCs w:val="21"/>
                      <w:u w:val="none"/>
                      <w:lang w:val="en-US" w:eastAsia="zh-CN"/>
                    </w:rPr>
                    <w:t>4.377</w:t>
                  </w:r>
                </w:p>
              </w:tc>
              <w:tc>
                <w:tcPr>
                  <w:tcW w:w="467" w:type="pct"/>
                  <w:vAlign w:val="center"/>
                </w:tcPr>
                <w:p>
                  <w:pPr>
                    <w:pStyle w:val="2"/>
                    <w:jc w:val="center"/>
                    <w:rPr>
                      <w:bCs/>
                      <w:color w:val="FF0000"/>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16</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油性油漆</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0.754</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0.754</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0.754</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rFonts w:hint="eastAsia"/>
                      <w:szCs w:val="21"/>
                    </w:rPr>
                    <w:t>17</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固化剂</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0.121</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0.121</w:t>
                  </w:r>
                </w:p>
              </w:tc>
              <w:tc>
                <w:tcPr>
                  <w:tcW w:w="582" w:type="pct"/>
                  <w:vAlign w:val="center"/>
                </w:tcPr>
                <w:p>
                  <w:pPr>
                    <w:adjustRightInd w:val="0"/>
                    <w:snapToGrid w:val="0"/>
                    <w:jc w:val="center"/>
                    <w:rPr>
                      <w:szCs w:val="21"/>
                    </w:rPr>
                  </w:pPr>
                  <w:r>
                    <w:rPr>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0.121</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18</w:t>
                  </w:r>
                </w:p>
              </w:tc>
              <w:tc>
                <w:tcPr>
                  <w:tcW w:w="1131"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稀释剂</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0.151</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0.151</w:t>
                  </w:r>
                </w:p>
              </w:tc>
              <w:tc>
                <w:tcPr>
                  <w:tcW w:w="582" w:type="pct"/>
                  <w:vAlign w:val="center"/>
                </w:tcPr>
                <w:p>
                  <w:pPr>
                    <w:adjustRightInd w:val="0"/>
                    <w:snapToGrid w:val="0"/>
                    <w:jc w:val="center"/>
                    <w:rPr>
                      <w:szCs w:val="21"/>
                    </w:rPr>
                  </w:pPr>
                  <w:r>
                    <w:rPr>
                      <w:rFonts w:hint="eastAsia"/>
                      <w:szCs w:val="21"/>
                    </w:rPr>
                    <w:t>0</w:t>
                  </w:r>
                </w:p>
              </w:tc>
              <w:tc>
                <w:tcPr>
                  <w:tcW w:w="630"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0.151</w:t>
                  </w:r>
                </w:p>
              </w:tc>
              <w:tc>
                <w:tcPr>
                  <w:tcW w:w="467" w:type="pct"/>
                  <w:vAlign w:val="center"/>
                </w:tcPr>
                <w:p>
                  <w:pPr>
                    <w:adjustRightInd w:val="0"/>
                    <w:snapToGrid w:val="0"/>
                    <w:jc w:val="center"/>
                    <w:rPr>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19</w:t>
                  </w:r>
                </w:p>
              </w:tc>
              <w:tc>
                <w:tcPr>
                  <w:tcW w:w="1131" w:type="pct"/>
                  <w:vAlign w:val="center"/>
                </w:tcPr>
                <w:p>
                  <w:pPr>
                    <w:pStyle w:val="2"/>
                    <w:jc w:val="center"/>
                    <w:rPr>
                      <w:rFonts w:hint="eastAsia"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乳化液</w:t>
                  </w:r>
                </w:p>
              </w:tc>
              <w:tc>
                <w:tcPr>
                  <w:tcW w:w="638"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t/a</w:t>
                  </w:r>
                </w:p>
              </w:tc>
              <w:tc>
                <w:tcPr>
                  <w:tcW w:w="646"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0.6</w:t>
                  </w:r>
                </w:p>
              </w:tc>
              <w:tc>
                <w:tcPr>
                  <w:tcW w:w="614" w:type="pct"/>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0.6</w:t>
                  </w:r>
                </w:p>
              </w:tc>
              <w:tc>
                <w:tcPr>
                  <w:tcW w:w="582" w:type="pct"/>
                  <w:vAlign w:val="center"/>
                </w:tcPr>
                <w:p>
                  <w:pPr>
                    <w:adjustRightInd w:val="0"/>
                    <w:snapToGrid w:val="0"/>
                    <w:jc w:val="center"/>
                    <w:rPr>
                      <w:rFonts w:hint="eastAsia" w:eastAsia="宋体"/>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0.6</w:t>
                  </w:r>
                </w:p>
              </w:tc>
              <w:tc>
                <w:tcPr>
                  <w:tcW w:w="467" w:type="pct"/>
                  <w:vAlign w:val="center"/>
                </w:tcPr>
                <w:p>
                  <w:pPr>
                    <w:adjustRightInd w:val="0"/>
                    <w:snapToGrid w:val="0"/>
                    <w:jc w:val="center"/>
                    <w:rPr>
                      <w:rFonts w:ascii="Times New Roman" w:hAnsi="Times New Roman" w:eastAsia="宋体" w:cs="Times New Roman"/>
                      <w:bCs/>
                      <w:kern w:val="2"/>
                      <w:sz w:val="21"/>
                      <w:szCs w:val="21"/>
                      <w:lang w:val="en-US" w:eastAsia="zh-CN" w:bidi="ar-SA"/>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20</w:t>
                  </w:r>
                </w:p>
              </w:tc>
              <w:tc>
                <w:tcPr>
                  <w:tcW w:w="1131" w:type="pct"/>
                  <w:vAlign w:val="center"/>
                </w:tcPr>
                <w:p>
                  <w:pPr>
                    <w:pStyle w:val="2"/>
                    <w:jc w:val="center"/>
                    <w:rPr>
                      <w:rFonts w:hint="eastAsia"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润滑油</w:t>
                  </w:r>
                </w:p>
              </w:tc>
              <w:tc>
                <w:tcPr>
                  <w:tcW w:w="638"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t/a</w:t>
                  </w:r>
                </w:p>
              </w:tc>
              <w:tc>
                <w:tcPr>
                  <w:tcW w:w="646"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0.12</w:t>
                  </w:r>
                </w:p>
              </w:tc>
              <w:tc>
                <w:tcPr>
                  <w:tcW w:w="614" w:type="pct"/>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0.12</w:t>
                  </w:r>
                </w:p>
              </w:tc>
              <w:tc>
                <w:tcPr>
                  <w:tcW w:w="582" w:type="pct"/>
                  <w:vAlign w:val="center"/>
                </w:tcPr>
                <w:p>
                  <w:pPr>
                    <w:adjustRightInd w:val="0"/>
                    <w:snapToGrid w:val="0"/>
                    <w:jc w:val="center"/>
                    <w:rPr>
                      <w:rFonts w:hint="eastAsia" w:eastAsia="宋体"/>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0.12</w:t>
                  </w:r>
                </w:p>
              </w:tc>
              <w:tc>
                <w:tcPr>
                  <w:tcW w:w="467" w:type="pct"/>
                  <w:vAlign w:val="center"/>
                </w:tcPr>
                <w:p>
                  <w:pPr>
                    <w:adjustRightInd w:val="0"/>
                    <w:snapToGrid w:val="0"/>
                    <w:jc w:val="center"/>
                    <w:rPr>
                      <w:rFonts w:ascii="Times New Roman" w:hAnsi="Times New Roman" w:eastAsia="宋体" w:cs="Times New Roman"/>
                      <w:bCs/>
                      <w:kern w:val="2"/>
                      <w:sz w:val="21"/>
                      <w:szCs w:val="21"/>
                      <w:lang w:val="en-US" w:eastAsia="zh-CN" w:bidi="ar-SA"/>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szCs w:val="21"/>
                      <w:lang w:val="en-US" w:eastAsia="zh-CN"/>
                    </w:rPr>
                  </w:pPr>
                  <w:r>
                    <w:rPr>
                      <w:rFonts w:hint="eastAsia"/>
                      <w:szCs w:val="21"/>
                      <w:lang w:val="en-US" w:eastAsia="zh-CN"/>
                    </w:rPr>
                    <w:t>21</w:t>
                  </w:r>
                </w:p>
              </w:tc>
              <w:tc>
                <w:tcPr>
                  <w:tcW w:w="1131" w:type="pct"/>
                  <w:vAlign w:val="center"/>
                </w:tcPr>
                <w:p>
                  <w:pPr>
                    <w:pStyle w:val="2"/>
                    <w:jc w:val="center"/>
                    <w:rPr>
                      <w:rFonts w:hint="default" w:ascii="Times New Roman" w:cs="Times New Roman"/>
                      <w:color w:val="auto"/>
                      <w:sz w:val="21"/>
                      <w:szCs w:val="21"/>
                      <w:lang w:val="en-US" w:eastAsia="zh-CN"/>
                    </w:rPr>
                  </w:pPr>
                  <w:r>
                    <w:rPr>
                      <w:rFonts w:hint="eastAsia" w:ascii="Times New Roman" w:cs="Times New Roman"/>
                      <w:color w:val="auto"/>
                      <w:sz w:val="21"/>
                      <w:szCs w:val="21"/>
                      <w:lang w:val="en-US" w:eastAsia="zh-CN"/>
                    </w:rPr>
                    <w:t>液压油</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0.12</w:t>
                  </w:r>
                </w:p>
              </w:tc>
              <w:tc>
                <w:tcPr>
                  <w:tcW w:w="614" w:type="pct"/>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0.12</w:t>
                  </w:r>
                </w:p>
              </w:tc>
              <w:tc>
                <w:tcPr>
                  <w:tcW w:w="582" w:type="pct"/>
                  <w:vAlign w:val="center"/>
                </w:tcPr>
                <w:p>
                  <w:pPr>
                    <w:adjustRightInd w:val="0"/>
                    <w:snapToGrid w:val="0"/>
                    <w:jc w:val="center"/>
                    <w:rPr>
                      <w:rFonts w:hint="eastAsia" w:eastAsia="宋体"/>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0.12</w:t>
                  </w:r>
                </w:p>
              </w:tc>
              <w:tc>
                <w:tcPr>
                  <w:tcW w:w="467" w:type="pct"/>
                  <w:vAlign w:val="center"/>
                </w:tcPr>
                <w:p>
                  <w:pPr>
                    <w:adjustRightInd w:val="0"/>
                    <w:snapToGrid w:val="0"/>
                    <w:jc w:val="center"/>
                    <w:rPr>
                      <w:rFonts w:ascii="Times New Roman" w:hAnsi="Times New Roman" w:eastAsia="宋体" w:cs="Times New Roman"/>
                      <w:kern w:val="2"/>
                      <w:sz w:val="21"/>
                      <w:szCs w:val="21"/>
                      <w:lang w:val="en-US" w:eastAsia="zh-CN" w:bidi="ar-SA"/>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szCs w:val="21"/>
                      <w:lang w:val="en-US" w:eastAsia="zh-CN"/>
                    </w:rPr>
                  </w:pPr>
                  <w:r>
                    <w:rPr>
                      <w:rFonts w:hint="eastAsia"/>
                      <w:szCs w:val="21"/>
                      <w:lang w:val="en-US" w:eastAsia="zh-CN"/>
                    </w:rPr>
                    <w:t>22</w:t>
                  </w:r>
                </w:p>
              </w:tc>
              <w:tc>
                <w:tcPr>
                  <w:tcW w:w="1131" w:type="pct"/>
                  <w:vAlign w:val="center"/>
                </w:tcPr>
                <w:p>
                  <w:pPr>
                    <w:pStyle w:val="2"/>
                    <w:jc w:val="center"/>
                    <w:rPr>
                      <w:rFonts w:hint="default" w:ascii="Times New Roman" w:cs="Times New Roman"/>
                      <w:color w:val="auto"/>
                      <w:sz w:val="21"/>
                      <w:szCs w:val="21"/>
                      <w:lang w:val="en-US" w:eastAsia="zh-CN"/>
                    </w:rPr>
                  </w:pPr>
                  <w:r>
                    <w:rPr>
                      <w:rFonts w:hint="eastAsia" w:ascii="Times New Roman" w:cs="Times New Roman"/>
                      <w:color w:val="auto"/>
                      <w:sz w:val="21"/>
                      <w:szCs w:val="21"/>
                      <w:lang w:val="en-US" w:eastAsia="zh-CN"/>
                    </w:rPr>
                    <w:t>焊丝</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hint="default" w:ascii="Times New Roman" w:cs="Times New Roman"/>
                      <w:color w:val="auto"/>
                      <w:sz w:val="21"/>
                      <w:szCs w:val="21"/>
                      <w:lang w:val="en-US" w:eastAsia="zh-CN"/>
                    </w:rPr>
                  </w:pPr>
                  <w:r>
                    <w:rPr>
                      <w:rFonts w:hint="eastAsia" w:ascii="Times New Roman" w:cs="Times New Roman"/>
                      <w:color w:val="auto"/>
                      <w:sz w:val="21"/>
                      <w:szCs w:val="21"/>
                      <w:lang w:val="en-US" w:eastAsia="zh-CN"/>
                    </w:rPr>
                    <w:t>3</w:t>
                  </w:r>
                </w:p>
              </w:tc>
              <w:tc>
                <w:tcPr>
                  <w:tcW w:w="614" w:type="pct"/>
                  <w:vAlign w:val="center"/>
                </w:tcPr>
                <w:p>
                  <w:pPr>
                    <w:pStyle w:val="2"/>
                    <w:jc w:val="center"/>
                    <w:rPr>
                      <w:rFonts w:hint="default" w:ascii="Times New Roman" w:cs="Times New Roman"/>
                      <w:color w:val="auto"/>
                      <w:sz w:val="21"/>
                      <w:szCs w:val="21"/>
                      <w:lang w:val="en-US" w:eastAsia="zh-CN"/>
                    </w:rPr>
                  </w:pPr>
                  <w:r>
                    <w:rPr>
                      <w:rFonts w:hint="eastAsia" w:ascii="Times New Roman" w:cs="Times New Roman"/>
                      <w:color w:val="auto"/>
                      <w:sz w:val="21"/>
                      <w:szCs w:val="21"/>
                      <w:lang w:val="en-US" w:eastAsia="zh-CN"/>
                    </w:rPr>
                    <w:t>3</w:t>
                  </w:r>
                </w:p>
              </w:tc>
              <w:tc>
                <w:tcPr>
                  <w:tcW w:w="582" w:type="pct"/>
                  <w:vAlign w:val="center"/>
                </w:tcPr>
                <w:p>
                  <w:pPr>
                    <w:adjustRightInd w:val="0"/>
                    <w:snapToGrid w:val="0"/>
                    <w:jc w:val="center"/>
                    <w:rPr>
                      <w:rFonts w:hint="default"/>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cs="Times New Roman"/>
                      <w:color w:val="auto"/>
                      <w:sz w:val="21"/>
                      <w:szCs w:val="21"/>
                      <w:lang w:val="en-US" w:eastAsia="zh-CN"/>
                    </w:rPr>
                  </w:pPr>
                  <w:r>
                    <w:rPr>
                      <w:rFonts w:hint="eastAsia" w:ascii="Times New Roman" w:cs="Times New Roman"/>
                      <w:color w:val="auto"/>
                      <w:sz w:val="21"/>
                      <w:szCs w:val="21"/>
                      <w:lang w:val="en-US" w:eastAsia="zh-CN"/>
                    </w:rPr>
                    <w:t>3</w:t>
                  </w:r>
                </w:p>
              </w:tc>
              <w:tc>
                <w:tcPr>
                  <w:tcW w:w="467" w:type="pct"/>
                  <w:vAlign w:val="center"/>
                </w:tcPr>
                <w:p>
                  <w:pPr>
                    <w:adjustRightInd w:val="0"/>
                    <w:snapToGrid w:val="0"/>
                    <w:jc w:val="center"/>
                    <w:rPr>
                      <w:bCs/>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bCs/>
                      <w:szCs w:val="21"/>
                    </w:rPr>
                  </w:pPr>
                  <w:r>
                    <w:rPr>
                      <w:rFonts w:hint="eastAsia"/>
                      <w:b/>
                      <w:sz w:val="21"/>
                      <w:szCs w:val="21"/>
                    </w:rPr>
                    <w:t>主要</w:t>
                  </w:r>
                  <w:r>
                    <w:rPr>
                      <w:b/>
                      <w:sz w:val="21"/>
                      <w:szCs w:val="21"/>
                    </w:rPr>
                    <w:t>能源消耗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eastAsia="宋体"/>
                      <w:szCs w:val="21"/>
                      <w:lang w:val="en-US" w:eastAsia="zh-CN"/>
                    </w:rPr>
                  </w:pPr>
                  <w:r>
                    <w:rPr>
                      <w:rFonts w:hint="eastAsia"/>
                      <w:szCs w:val="21"/>
                      <w:lang w:val="en-US" w:eastAsia="zh-CN"/>
                    </w:rPr>
                    <w:t>23</w:t>
                  </w:r>
                </w:p>
              </w:tc>
              <w:tc>
                <w:tcPr>
                  <w:tcW w:w="1131" w:type="pct"/>
                  <w:vAlign w:val="center"/>
                </w:tcPr>
                <w:p>
                  <w:pPr>
                    <w:pStyle w:val="38"/>
                    <w:spacing w:beforeLines="0" w:afterLines="0" w:line="240" w:lineRule="auto"/>
                    <w:ind w:firstLine="0"/>
                    <w:rPr>
                      <w:rFonts w:ascii="Times New Roman"/>
                      <w:szCs w:val="21"/>
                    </w:rPr>
                  </w:pPr>
                  <w:r>
                    <w:rPr>
                      <w:rFonts w:ascii="Times New Roman"/>
                      <w:szCs w:val="21"/>
                    </w:rPr>
                    <w:t>生活用水</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t/a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5400</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5400</w:t>
                  </w:r>
                </w:p>
              </w:tc>
              <w:tc>
                <w:tcPr>
                  <w:tcW w:w="582" w:type="pct"/>
                  <w:vAlign w:val="center"/>
                </w:tcPr>
                <w:p>
                  <w:pPr>
                    <w:adjustRightInd w:val="0"/>
                    <w:snapToGrid w:val="0"/>
                    <w:jc w:val="center"/>
                    <w:rPr>
                      <w:rFonts w:hint="eastAsia" w:eastAsia="宋体"/>
                      <w:szCs w:val="21"/>
                      <w:lang w:val="en-US" w:eastAsia="zh-CN"/>
                    </w:rPr>
                  </w:pPr>
                  <w:r>
                    <w:rPr>
                      <w:rFonts w:hint="eastAsia"/>
                      <w:szCs w:val="21"/>
                      <w:lang w:val="en-US" w:eastAsia="zh-CN"/>
                    </w:rPr>
                    <w:t>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5400</w:t>
                  </w:r>
                </w:p>
              </w:tc>
              <w:tc>
                <w:tcPr>
                  <w:tcW w:w="467" w:type="pct"/>
                  <w:vAlign w:val="center"/>
                </w:tcPr>
                <w:p>
                  <w:pPr>
                    <w:adjustRightInd w:val="0"/>
                    <w:snapToGrid w:val="0"/>
                    <w:jc w:val="center"/>
                    <w:rPr>
                      <w:szCs w:val="21"/>
                    </w:rPr>
                  </w:pPr>
                  <w:r>
                    <w:rPr>
                      <w:bCs/>
                      <w:szCs w:val="21"/>
                    </w:rPr>
                    <w:t>不变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eastAsia="宋体"/>
                      <w:szCs w:val="21"/>
                      <w:lang w:val="en-US" w:eastAsia="zh-CN"/>
                    </w:rPr>
                  </w:pPr>
                  <w:r>
                    <w:rPr>
                      <w:rFonts w:hint="eastAsia"/>
                      <w:szCs w:val="21"/>
                      <w:lang w:val="en-US" w:eastAsia="zh-CN"/>
                    </w:rPr>
                    <w:t>24</w:t>
                  </w:r>
                </w:p>
              </w:tc>
              <w:tc>
                <w:tcPr>
                  <w:tcW w:w="1131" w:type="pct"/>
                  <w:vAlign w:val="center"/>
                </w:tcPr>
                <w:p>
                  <w:pPr>
                    <w:pStyle w:val="38"/>
                    <w:spacing w:beforeLines="0" w:afterLines="0" w:line="240" w:lineRule="auto"/>
                    <w:ind w:firstLine="0"/>
                    <w:rPr>
                      <w:rFonts w:ascii="Times New Roman"/>
                      <w:szCs w:val="21"/>
                    </w:rPr>
                  </w:pPr>
                  <w:r>
                    <w:rPr>
                      <w:rFonts w:ascii="Times New Roman"/>
                      <w:szCs w:val="21"/>
                    </w:rPr>
                    <w:t>电</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万kWh/a</w:t>
                  </w:r>
                </w:p>
              </w:tc>
              <w:tc>
                <w:tcPr>
                  <w:tcW w:w="646"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190</w:t>
                  </w:r>
                </w:p>
              </w:tc>
              <w:tc>
                <w:tcPr>
                  <w:tcW w:w="614" w:type="pct"/>
                  <w:vAlign w:val="center"/>
                </w:tcPr>
                <w:p>
                  <w:pPr>
                    <w:pStyle w:val="2"/>
                    <w:jc w:val="center"/>
                    <w:rPr>
                      <w:rFonts w:ascii="Times New Roman" w:hAnsi="Times New Roman" w:eastAsia="宋体" w:cs="Times New Roman"/>
                      <w:color w:val="auto"/>
                      <w:sz w:val="21"/>
                      <w:szCs w:val="21"/>
                      <w:lang w:val="en-US" w:eastAsia="zh-CN" w:bidi="ar-SA"/>
                    </w:rPr>
                  </w:pPr>
                  <w:r>
                    <w:rPr>
                      <w:rFonts w:ascii="Times New Roman" w:cs="Times New Roman"/>
                      <w:color w:val="auto"/>
                      <w:sz w:val="21"/>
                      <w:szCs w:val="21"/>
                    </w:rPr>
                    <w:t>190</w:t>
                  </w:r>
                </w:p>
              </w:tc>
              <w:tc>
                <w:tcPr>
                  <w:tcW w:w="582" w:type="pct"/>
                  <w:vAlign w:val="center"/>
                </w:tcPr>
                <w:p>
                  <w:pPr>
                    <w:adjustRightInd w:val="0"/>
                    <w:snapToGrid w:val="0"/>
                    <w:jc w:val="center"/>
                    <w:rPr>
                      <w:rFonts w:hint="default" w:eastAsia="宋体"/>
                      <w:szCs w:val="21"/>
                      <w:lang w:val="en-US" w:eastAsia="zh-CN"/>
                    </w:rPr>
                  </w:pPr>
                  <w:r>
                    <w:rPr>
                      <w:rFonts w:hint="eastAsia"/>
                      <w:szCs w:val="21"/>
                      <w:lang w:val="en-US" w:eastAsia="zh-CN"/>
                    </w:rPr>
                    <w:t>-80</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110</w:t>
                  </w:r>
                </w:p>
              </w:tc>
              <w:tc>
                <w:tcPr>
                  <w:tcW w:w="467" w:type="pct"/>
                  <w:vAlign w:val="center"/>
                </w:tcPr>
                <w:p>
                  <w:pPr>
                    <w:adjustRightInd w:val="0"/>
                    <w:snapToGrid w:val="0"/>
                    <w:jc w:val="center"/>
                    <w:rPr>
                      <w:rFonts w:hint="default" w:eastAsia="宋体"/>
                      <w:szCs w:val="21"/>
                      <w:lang w:val="en-US" w:eastAsia="zh-CN"/>
                    </w:rPr>
                  </w:pPr>
                  <w:r>
                    <w:rPr>
                      <w:rFonts w:hint="eastAsia"/>
                      <w:szCs w:val="21"/>
                      <w:lang w:val="en-US" w:eastAsia="zh-CN"/>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7" w:type="pct"/>
                  <w:vAlign w:val="center"/>
                </w:tcPr>
                <w:p>
                  <w:pPr>
                    <w:adjustRightInd w:val="0"/>
                    <w:snapToGrid w:val="0"/>
                    <w:jc w:val="center"/>
                    <w:rPr>
                      <w:rFonts w:hint="default" w:eastAsia="宋体"/>
                      <w:szCs w:val="21"/>
                      <w:lang w:val="en-US" w:eastAsia="zh-CN"/>
                    </w:rPr>
                  </w:pPr>
                  <w:r>
                    <w:rPr>
                      <w:rFonts w:hint="eastAsia"/>
                      <w:szCs w:val="21"/>
                      <w:lang w:val="en-US" w:eastAsia="zh-CN"/>
                    </w:rPr>
                    <w:t>25</w:t>
                  </w:r>
                </w:p>
              </w:tc>
              <w:tc>
                <w:tcPr>
                  <w:tcW w:w="1131" w:type="pct"/>
                  <w:vAlign w:val="center"/>
                </w:tcPr>
                <w:p>
                  <w:pPr>
                    <w:pStyle w:val="38"/>
                    <w:spacing w:beforeLines="0" w:afterLines="0" w:line="240" w:lineRule="auto"/>
                    <w:ind w:firstLine="0"/>
                    <w:rPr>
                      <w:rFonts w:ascii="Times New Roman"/>
                      <w:szCs w:val="21"/>
                    </w:rPr>
                  </w:pPr>
                  <w:r>
                    <w:rPr>
                      <w:rFonts w:ascii="Times New Roman"/>
                      <w:szCs w:val="21"/>
                    </w:rPr>
                    <w:t>天然气</w:t>
                  </w:r>
                </w:p>
              </w:tc>
              <w:tc>
                <w:tcPr>
                  <w:tcW w:w="638" w:type="pct"/>
                  <w:vAlign w:val="center"/>
                </w:tcPr>
                <w:p>
                  <w:pPr>
                    <w:pStyle w:val="2"/>
                    <w:jc w:val="center"/>
                    <w:rPr>
                      <w:rFonts w:ascii="Times New Roman" w:cs="Times New Roman"/>
                      <w:color w:val="auto"/>
                      <w:sz w:val="21"/>
                      <w:szCs w:val="21"/>
                    </w:rPr>
                  </w:pPr>
                  <w:r>
                    <w:rPr>
                      <w:rFonts w:ascii="Times New Roman" w:cs="Times New Roman"/>
                      <w:color w:val="auto"/>
                      <w:sz w:val="21"/>
                      <w:szCs w:val="21"/>
                    </w:rPr>
                    <w:t>万m</w:t>
                  </w:r>
                  <w:r>
                    <w:rPr>
                      <w:rFonts w:ascii="Times New Roman" w:cs="Times New Roman"/>
                      <w:color w:val="auto"/>
                      <w:sz w:val="21"/>
                      <w:szCs w:val="21"/>
                      <w:vertAlign w:val="superscript"/>
                    </w:rPr>
                    <w:t>3</w:t>
                  </w:r>
                  <w:r>
                    <w:rPr>
                      <w:rFonts w:ascii="Times New Roman" w:cs="Times New Roman"/>
                      <w:color w:val="auto"/>
                      <w:sz w:val="21"/>
                      <w:szCs w:val="21"/>
                    </w:rPr>
                    <w:t>/a</w:t>
                  </w:r>
                </w:p>
              </w:tc>
              <w:tc>
                <w:tcPr>
                  <w:tcW w:w="646" w:type="pct"/>
                  <w:vAlign w:val="center"/>
                </w:tcPr>
                <w:p>
                  <w:pPr>
                    <w:pStyle w:val="2"/>
                    <w:jc w:val="center"/>
                    <w:rPr>
                      <w:rFonts w:hint="eastAsia" w:ascii="Times New Roman" w:eastAsia="宋体" w:cs="Times New Roman"/>
                      <w:color w:val="auto"/>
                      <w:sz w:val="21"/>
                      <w:szCs w:val="21"/>
                      <w:lang w:eastAsia="zh-CN"/>
                    </w:rPr>
                  </w:pPr>
                  <w:r>
                    <w:rPr>
                      <w:rFonts w:hint="eastAsia" w:ascii="Times New Roman" w:cs="Times New Roman"/>
                      <w:color w:val="auto"/>
                      <w:sz w:val="21"/>
                      <w:szCs w:val="21"/>
                      <w:lang w:val="en-US" w:eastAsia="zh-CN"/>
                    </w:rPr>
                    <w:t>9</w:t>
                  </w:r>
                </w:p>
              </w:tc>
              <w:tc>
                <w:tcPr>
                  <w:tcW w:w="614" w:type="pct"/>
                  <w:vAlign w:val="center"/>
                </w:tcPr>
                <w:p>
                  <w:pPr>
                    <w:pStyle w:val="2"/>
                    <w:jc w:val="center"/>
                    <w:rPr>
                      <w:rFonts w:hint="eastAsia" w:ascii="Times New Roman" w:hAnsi="Times New Roman" w:eastAsia="宋体" w:cs="Times New Roman"/>
                      <w:color w:val="auto"/>
                      <w:sz w:val="21"/>
                      <w:szCs w:val="21"/>
                      <w:lang w:val="en-US" w:eastAsia="zh-CN" w:bidi="ar-SA"/>
                    </w:rPr>
                  </w:pPr>
                  <w:r>
                    <w:rPr>
                      <w:rFonts w:hint="eastAsia" w:ascii="Times New Roman" w:cs="Times New Roman"/>
                      <w:color w:val="auto"/>
                      <w:sz w:val="21"/>
                      <w:szCs w:val="21"/>
                      <w:lang w:val="en-US" w:eastAsia="zh-CN"/>
                    </w:rPr>
                    <w:t>9</w:t>
                  </w:r>
                </w:p>
              </w:tc>
              <w:tc>
                <w:tcPr>
                  <w:tcW w:w="582" w:type="pct"/>
                  <w:vAlign w:val="center"/>
                </w:tcPr>
                <w:p>
                  <w:pPr>
                    <w:adjustRightInd w:val="0"/>
                    <w:snapToGrid w:val="0"/>
                    <w:jc w:val="center"/>
                    <w:rPr>
                      <w:rFonts w:hint="eastAsia" w:eastAsia="宋体"/>
                      <w:szCs w:val="21"/>
                      <w:lang w:val="en-US" w:eastAsia="zh-CN"/>
                    </w:rPr>
                  </w:pPr>
                  <w:r>
                    <w:rPr>
                      <w:rFonts w:hint="eastAsia"/>
                      <w:szCs w:val="21"/>
                      <w:lang w:val="en-US" w:eastAsia="zh-CN"/>
                    </w:rPr>
                    <w:t>9</w:t>
                  </w:r>
                </w:p>
              </w:tc>
              <w:tc>
                <w:tcPr>
                  <w:tcW w:w="630" w:type="pct"/>
                  <w:vAlign w:val="center"/>
                </w:tcPr>
                <w:p>
                  <w:pPr>
                    <w:pStyle w:val="2"/>
                    <w:jc w:val="center"/>
                    <w:rPr>
                      <w:rFonts w:hint="default" w:ascii="Times New Roman" w:eastAsia="宋体" w:cs="Times New Roman"/>
                      <w:color w:val="auto"/>
                      <w:sz w:val="21"/>
                      <w:szCs w:val="21"/>
                      <w:lang w:val="en-US" w:eastAsia="zh-CN"/>
                    </w:rPr>
                  </w:pPr>
                  <w:r>
                    <w:rPr>
                      <w:rFonts w:hint="eastAsia" w:ascii="Times New Roman" w:cs="Times New Roman"/>
                      <w:color w:val="auto"/>
                      <w:sz w:val="21"/>
                      <w:szCs w:val="21"/>
                      <w:lang w:val="en-US" w:eastAsia="zh-CN"/>
                    </w:rPr>
                    <w:t>18</w:t>
                  </w:r>
                </w:p>
              </w:tc>
              <w:tc>
                <w:tcPr>
                  <w:tcW w:w="467" w:type="pct"/>
                  <w:vAlign w:val="center"/>
                </w:tcPr>
                <w:p>
                  <w:pPr>
                    <w:adjustRightInd w:val="0"/>
                    <w:snapToGrid w:val="0"/>
                    <w:jc w:val="center"/>
                    <w:rPr>
                      <w:rFonts w:hint="default" w:eastAsia="宋体"/>
                      <w:szCs w:val="21"/>
                      <w:lang w:val="en-US" w:eastAsia="zh-CN"/>
                    </w:rPr>
                  </w:pPr>
                  <w:r>
                    <w:rPr>
                      <w:rFonts w:hint="eastAsia"/>
                      <w:szCs w:val="21"/>
                      <w:lang w:val="en-US" w:eastAsia="zh-CN"/>
                    </w:rPr>
                    <w:t>+9</w:t>
                  </w:r>
                </w:p>
              </w:tc>
            </w:tr>
          </w:tbl>
          <w:p>
            <w:pPr>
              <w:pStyle w:val="2"/>
              <w:spacing w:line="360" w:lineRule="auto"/>
              <w:ind w:firstLine="482" w:firstLineChars="200"/>
              <w:jc w:val="both"/>
              <w:rPr>
                <w:b/>
              </w:rPr>
            </w:pPr>
            <w:r>
              <w:rPr>
                <w:rFonts w:hint="eastAsia"/>
                <w:b/>
              </w:rPr>
              <w:t>主要原辅材料理化性质：</w:t>
            </w:r>
          </w:p>
          <w:p>
            <w:pPr>
              <w:pStyle w:val="2"/>
              <w:spacing w:line="360" w:lineRule="auto"/>
              <w:ind w:firstLine="480" w:firstLineChars="200"/>
              <w:jc w:val="both"/>
              <w:rPr>
                <w:rFonts w:ascii="Times New Roman" w:cs="Times New Roman"/>
              </w:rPr>
            </w:pPr>
            <w:r>
              <w:rPr>
                <w:rFonts w:ascii="Times New Roman" w:cs="Times New Roman"/>
              </w:rPr>
              <w:t>（1）发黑剂：发黑剂是一种制剂，具有与基体结合力强、耐腐蚀、生产简单、常温使用、不污染环境等特点，应用于钢铁表面保护。本项目所用发黑剂主要成分为：丙烯酸树脂30~40%、表面活性剂0.5~1%、炭黑5~10%、杀菌剂2~5%、水50~60%。</w:t>
            </w:r>
          </w:p>
          <w:p>
            <w:pPr>
              <w:pStyle w:val="2"/>
              <w:spacing w:line="360" w:lineRule="auto"/>
              <w:ind w:firstLine="480" w:firstLineChars="200"/>
              <w:jc w:val="both"/>
              <w:rPr>
                <w:rFonts w:ascii="Times New Roman" w:cs="Times New Roman"/>
              </w:rPr>
            </w:pPr>
            <w:r>
              <w:rPr>
                <w:rFonts w:ascii="Times New Roman" w:cs="Times New Roman"/>
              </w:rPr>
              <w:t>（2）乳化液：乳化液是一种高性能的半合成</w:t>
            </w:r>
            <w:r>
              <w:fldChar w:fldCharType="begin"/>
            </w:r>
            <w:r>
              <w:instrText xml:space="preserve"> HYPERLINK "https://baike.baidu.com/item/%E9%87%91%E5%B1%9E%E5%8A%A0%E5%B7%A5%E6%B6%B2" \t "_blank" </w:instrText>
            </w:r>
            <w:r>
              <w:fldChar w:fldCharType="separate"/>
            </w:r>
            <w:r>
              <w:rPr>
                <w:rFonts w:ascii="Times New Roman" w:cs="Times New Roman"/>
              </w:rPr>
              <w:t>金属加工液</w:t>
            </w:r>
            <w:r>
              <w:rPr>
                <w:rFonts w:ascii="Times New Roman" w:cs="Times New Roman"/>
              </w:rPr>
              <w:fldChar w:fldCharType="end"/>
            </w:r>
            <w:r>
              <w:rPr>
                <w:rFonts w:ascii="Times New Roman" w:cs="Times New Roman"/>
              </w:rPr>
              <w:t>，特别适用于铝金属及其合金的加工，但不适用于含铅的材料，比如一些黄铜和锡类金属。产品使用寿命很长，完全不受渗漏油、混入油的影响，最好用软水进行调配。乳化液采用不含氯的特制配方，专门用于解决铝金属及其合金加工时出现的种种问题（比如：切屑粘结、刀具磨损、工件表面精度差以及表面受到污染等）。它能应用于包括绞孔在内的所有操作。乳化液亦能有效地防止加工工件生锈或受到化学腐蚀，还能有效的防止细菌侵蚀感染。</w:t>
            </w:r>
          </w:p>
          <w:p>
            <w:pPr>
              <w:pStyle w:val="2"/>
              <w:spacing w:line="360" w:lineRule="auto"/>
              <w:ind w:firstLine="480" w:firstLineChars="200"/>
              <w:jc w:val="both"/>
              <w:rPr>
                <w:rFonts w:ascii="Times New Roman" w:cs="Times New Roman"/>
              </w:rPr>
            </w:pPr>
            <w:r>
              <w:rPr>
                <w:rFonts w:ascii="Times New Roman" w:cs="Times New Roman"/>
              </w:rPr>
              <w:t>（3）淬火油：一种工艺用油，用做</w:t>
            </w:r>
            <w:r>
              <w:fldChar w:fldCharType="begin"/>
            </w:r>
            <w:r>
              <w:instrText xml:space="preserve"> HYPERLINK "https://baike.baidu.com/item/%E6%B7%AC%E7%81%AB%E4%BB%8B%E8%B4%A8/3776038" \t "_blank" </w:instrText>
            </w:r>
            <w:r>
              <w:fldChar w:fldCharType="separate"/>
            </w:r>
            <w:r>
              <w:rPr>
                <w:rFonts w:ascii="Times New Roman" w:cs="Times New Roman"/>
              </w:rPr>
              <w:t>淬火介质</w:t>
            </w:r>
            <w:r>
              <w:rPr>
                <w:rFonts w:ascii="Times New Roman" w:cs="Times New Roman"/>
              </w:rPr>
              <w:fldChar w:fldCharType="end"/>
            </w:r>
            <w:r>
              <w:rPr>
                <w:rFonts w:ascii="Times New Roman" w:cs="Times New Roman"/>
              </w:rPr>
              <w:t>。淬火油用于合金钢及小截面碳钢淬火，既可以得到满意的淬硬性和淬透性，又可防止开裂和减少变形。</w:t>
            </w:r>
          </w:p>
          <w:p>
            <w:pPr>
              <w:pStyle w:val="2"/>
              <w:spacing w:line="360" w:lineRule="auto"/>
              <w:ind w:firstLine="480" w:firstLineChars="200"/>
              <w:jc w:val="both"/>
              <w:rPr>
                <w:rFonts w:ascii="Times New Roman" w:cs="Times New Roman"/>
              </w:rPr>
            </w:pPr>
            <w:r>
              <w:rPr>
                <w:rFonts w:ascii="Times New Roman" w:cs="Times New Roman"/>
              </w:rPr>
              <w:t>（4）</w:t>
            </w:r>
            <w:r>
              <w:rPr>
                <w:rFonts w:hint="eastAsia" w:ascii="Times New Roman" w:cs="Times New Roman"/>
                <w:lang w:val="en-US" w:eastAsia="zh-CN"/>
              </w:rPr>
              <w:t>水性环保</w:t>
            </w:r>
            <w:r>
              <w:rPr>
                <w:rFonts w:ascii="Times New Roman" w:cs="Times New Roman"/>
              </w:rPr>
              <w:t>钝化液</w:t>
            </w:r>
            <w:r>
              <w:rPr>
                <w:rFonts w:hint="eastAsia" w:ascii="Times New Roman" w:cs="Times New Roman"/>
                <w:lang w:eastAsia="zh-CN"/>
              </w:rPr>
              <w:t>（</w:t>
            </w:r>
            <w:r>
              <w:rPr>
                <w:rFonts w:hint="eastAsia" w:ascii="Times New Roman" w:cs="Times New Roman"/>
                <w:lang w:val="en-US" w:eastAsia="zh-CN"/>
              </w:rPr>
              <w:t>D205</w:t>
            </w:r>
            <w:r>
              <w:rPr>
                <w:rFonts w:hint="eastAsia" w:ascii="Times New Roman" w:cs="Times New Roman"/>
                <w:lang w:eastAsia="zh-CN"/>
              </w:rPr>
              <w:t>）</w:t>
            </w:r>
            <w:r>
              <w:rPr>
                <w:rFonts w:ascii="Times New Roman" w:cs="Times New Roman"/>
              </w:rPr>
              <w:t>：</w:t>
            </w:r>
            <w:r>
              <w:rPr>
                <w:rFonts w:hint="eastAsia" w:ascii="Times New Roman" w:cs="Times New Roman"/>
              </w:rPr>
              <w:t>钝化液能使金属表面呈钝态的溶液，目的是在镀层表面形成能阻止金属正常反应的表面状态，提高其抗蚀性，并增加产品美观</w:t>
            </w:r>
            <w:r>
              <w:rPr>
                <w:rFonts w:hint="eastAsia" w:ascii="Times New Roman" w:cs="Times New Roman"/>
                <w:lang w:eastAsia="zh-CN"/>
              </w:rPr>
              <w:t>。</w:t>
            </w:r>
            <w:r>
              <w:rPr>
                <w:rFonts w:hint="eastAsia" w:ascii="Times New Roman" w:cs="Times New Roman"/>
                <w:lang w:val="en-US" w:eastAsia="zh-CN"/>
              </w:rPr>
              <w:t>本项目使用水性环保</w:t>
            </w:r>
            <w:r>
              <w:rPr>
                <w:rFonts w:ascii="Times New Roman" w:cs="Times New Roman"/>
              </w:rPr>
              <w:t>钝化液</w:t>
            </w:r>
            <w:r>
              <w:rPr>
                <w:rFonts w:hint="eastAsia" w:ascii="Times New Roman" w:cs="Times New Roman"/>
                <w:lang w:eastAsia="zh-CN"/>
              </w:rPr>
              <w:t>（</w:t>
            </w:r>
            <w:r>
              <w:rPr>
                <w:rFonts w:hint="eastAsia" w:ascii="Times New Roman" w:cs="Times New Roman"/>
                <w:lang w:val="en-US" w:eastAsia="zh-CN"/>
              </w:rPr>
              <w:t>D205</w:t>
            </w:r>
            <w:r>
              <w:rPr>
                <w:rFonts w:hint="eastAsia" w:ascii="Times New Roman" w:cs="Times New Roman"/>
                <w:lang w:eastAsia="zh-CN"/>
              </w:rPr>
              <w:t>），</w:t>
            </w:r>
            <w:r>
              <w:rPr>
                <w:rFonts w:hint="eastAsia" w:ascii="Times New Roman" w:cs="Times New Roman"/>
                <w:lang w:val="en-US" w:eastAsia="zh-CN"/>
              </w:rPr>
              <w:t>该</w:t>
            </w:r>
            <w:r>
              <w:rPr>
                <w:rFonts w:hint="eastAsia" w:ascii="Times New Roman" w:cs="Times New Roman"/>
              </w:rPr>
              <w:t>钝化液为纳米级无机材料和高分子材料复合制成，为水性环保单组份产品。外观透明或乳白色液体，理论重量：0.11~0.13g</w:t>
            </w:r>
            <w:r>
              <w:rPr>
                <w:rFonts w:hint="eastAsia" w:ascii="Times New Roman" w:cs="Times New Roman"/>
                <w:lang w:val="en-US" w:eastAsia="zh-CN"/>
              </w:rPr>
              <w:t>/m</w:t>
            </w:r>
            <w:r>
              <w:rPr>
                <w:rFonts w:hint="eastAsia" w:ascii="Times New Roman" w:cs="Times New Roman"/>
                <w:vertAlign w:val="superscript"/>
                <w:lang w:val="en-US" w:eastAsia="zh-CN"/>
              </w:rPr>
              <w:t>2</w:t>
            </w:r>
            <w:r>
              <w:rPr>
                <w:rFonts w:hint="eastAsia" w:ascii="Times New Roman" w:cs="Times New Roman"/>
              </w:rPr>
              <w:t>（干膜厚度约30</w:t>
            </w:r>
            <w:r>
              <w:rPr>
                <w:rFonts w:hint="default" w:ascii="Times New Roman" w:hAnsi="Times New Roman" w:cs="Times New Roman"/>
              </w:rPr>
              <w:t>μ</w:t>
            </w:r>
            <w:r>
              <w:rPr>
                <w:rFonts w:hint="eastAsia" w:ascii="Times New Roman" w:cs="Times New Roman"/>
              </w:rPr>
              <w:t>m），干燥温度（常温）：10～30min，pH：10-12，比重1.18-1.22（25℃），主要成分为：10%碳酸钠、50%硅溶胶、15%高分子聚合物、25%水</w:t>
            </w:r>
            <w:r>
              <w:rPr>
                <w:rFonts w:ascii="Times New Roman" w:cs="Times New Roman"/>
              </w:rPr>
              <w:t>。</w:t>
            </w:r>
          </w:p>
          <w:p>
            <w:pPr>
              <w:pStyle w:val="2"/>
              <w:spacing w:line="360" w:lineRule="auto"/>
              <w:ind w:firstLine="480" w:firstLineChars="200"/>
              <w:jc w:val="both"/>
              <w:rPr>
                <w:rFonts w:ascii="Times New Roman" w:cs="Times New Roman"/>
              </w:rPr>
            </w:pPr>
            <w:r>
              <w:rPr>
                <w:rFonts w:ascii="Times New Roman" w:cs="Times New Roman"/>
              </w:rPr>
              <w:t>（5）水性油漆：是以水做为</w:t>
            </w:r>
            <w:r>
              <w:rPr>
                <w:rFonts w:ascii="Times New Roman" w:cs="Times New Roman"/>
              </w:rPr>
              <w:fldChar w:fldCharType="begin"/>
            </w:r>
            <w:r>
              <w:rPr>
                <w:rFonts w:ascii="Times New Roman" w:cs="Times New Roman"/>
              </w:rPr>
              <w:instrText xml:space="preserve"> HYPERLINK "https://baike.baidu.com/item/%E7%A8%80%E9%87%8A%E5%89%82" \t "_blank" </w:instrText>
            </w:r>
            <w:r>
              <w:rPr>
                <w:rFonts w:ascii="Times New Roman" w:cs="Times New Roman"/>
              </w:rPr>
              <w:fldChar w:fldCharType="separate"/>
            </w:r>
            <w:r>
              <w:rPr>
                <w:rFonts w:ascii="Times New Roman" w:cs="Times New Roman"/>
              </w:rPr>
              <w:t>稀释剂</w:t>
            </w:r>
            <w:r>
              <w:rPr>
                <w:rFonts w:ascii="Times New Roman" w:cs="Times New Roman"/>
              </w:rPr>
              <w:fldChar w:fldCharType="end"/>
            </w:r>
            <w:r>
              <w:rPr>
                <w:rFonts w:ascii="Times New Roman" w:cs="Times New Roman"/>
              </w:rPr>
              <w:t>、不含</w:t>
            </w:r>
            <w:r>
              <w:fldChar w:fldCharType="begin"/>
            </w:r>
            <w:r>
              <w:instrText xml:space="preserve"> HYPERLINK "https://baike.baidu.com/item/%E6%9C%89%E6%9C%BA%E6%BA%B6%E5%89%82" \t "_blank" </w:instrText>
            </w:r>
            <w:r>
              <w:fldChar w:fldCharType="separate"/>
            </w:r>
            <w:r>
              <w:rPr>
                <w:rFonts w:ascii="Times New Roman" w:cs="Times New Roman"/>
              </w:rPr>
              <w:t>有机溶剂</w:t>
            </w:r>
            <w:r>
              <w:rPr>
                <w:rFonts w:ascii="Times New Roman" w:cs="Times New Roman"/>
              </w:rPr>
              <w:fldChar w:fldCharType="end"/>
            </w:r>
            <w:r>
              <w:rPr>
                <w:rFonts w:ascii="Times New Roman" w:cs="Times New Roman"/>
              </w:rPr>
              <w:t>的</w:t>
            </w:r>
            <w:r>
              <w:fldChar w:fldCharType="begin"/>
            </w:r>
            <w:r>
              <w:instrText xml:space="preserve"> HYPERLINK "https://baike.baidu.com/item/%E6%B6%82%E6%96%99" \t "_blank" </w:instrText>
            </w:r>
            <w:r>
              <w:fldChar w:fldCharType="separate"/>
            </w:r>
            <w:r>
              <w:rPr>
                <w:rFonts w:ascii="Times New Roman" w:cs="Times New Roman"/>
              </w:rPr>
              <w:t>涂料</w:t>
            </w:r>
            <w:r>
              <w:rPr>
                <w:rFonts w:ascii="Times New Roman" w:cs="Times New Roman"/>
              </w:rPr>
              <w:fldChar w:fldCharType="end"/>
            </w:r>
            <w:r>
              <w:rPr>
                <w:rFonts w:ascii="Times New Roman" w:cs="Times New Roman"/>
              </w:rPr>
              <w:t>，不含苯、甲苯、二甲苯、甲醛、游离TDI有毒重金属，无毒无刺激气味，对人体</w:t>
            </w:r>
            <w:r>
              <w:fldChar w:fldCharType="begin"/>
            </w:r>
            <w:r>
              <w:instrText xml:space="preserve"> HYPERLINK "https://baike.baidu.com/item/%E6%97%A0%E5%AE%B3" \t "_blank" </w:instrText>
            </w:r>
            <w:r>
              <w:fldChar w:fldCharType="separate"/>
            </w:r>
            <w:r>
              <w:rPr>
                <w:rFonts w:ascii="Times New Roman" w:cs="Times New Roman"/>
              </w:rPr>
              <w:t>无害</w:t>
            </w:r>
            <w:r>
              <w:rPr>
                <w:rFonts w:ascii="Times New Roman" w:cs="Times New Roman"/>
              </w:rPr>
              <w:fldChar w:fldCharType="end"/>
            </w:r>
            <w:r>
              <w:rPr>
                <w:rFonts w:ascii="Times New Roman" w:cs="Times New Roman"/>
              </w:rPr>
              <w:t>，不污染环境，</w:t>
            </w:r>
            <w:r>
              <w:fldChar w:fldCharType="begin"/>
            </w:r>
            <w:r>
              <w:instrText xml:space="preserve"> HYPERLINK "https://baike.baidu.com/item/%E6%BC%86%E8%86%9C" \t "_blank" </w:instrText>
            </w:r>
            <w:r>
              <w:fldChar w:fldCharType="separate"/>
            </w:r>
            <w:r>
              <w:rPr>
                <w:rFonts w:ascii="Times New Roman" w:cs="Times New Roman"/>
              </w:rPr>
              <w:t>漆膜</w:t>
            </w:r>
            <w:r>
              <w:rPr>
                <w:rFonts w:ascii="Times New Roman" w:cs="Times New Roman"/>
              </w:rPr>
              <w:fldChar w:fldCharType="end"/>
            </w:r>
            <w:r>
              <w:rPr>
                <w:rFonts w:ascii="Times New Roman" w:cs="Times New Roman"/>
              </w:rPr>
              <w:t>丰满、晶莹透亮、</w:t>
            </w:r>
            <w:r>
              <w:fldChar w:fldCharType="begin"/>
            </w:r>
            <w:r>
              <w:instrText xml:space="preserve"> HYPERLINK "https://baike.baidu.com/item/%E6%9F%94%E9%9F%A7%E6%80%A7" \t "_blank" </w:instrText>
            </w:r>
            <w:r>
              <w:fldChar w:fldCharType="separate"/>
            </w:r>
            <w:r>
              <w:rPr>
                <w:rFonts w:ascii="Times New Roman" w:cs="Times New Roman"/>
              </w:rPr>
              <w:t>柔韧性</w:t>
            </w:r>
            <w:r>
              <w:rPr>
                <w:rFonts w:ascii="Times New Roman" w:cs="Times New Roman"/>
              </w:rPr>
              <w:fldChar w:fldCharType="end"/>
            </w:r>
            <w:r>
              <w:rPr>
                <w:rFonts w:ascii="Times New Roman" w:cs="Times New Roman"/>
              </w:rPr>
              <w:t>好并且具有耐水、耐磨、耐老化、耐黄变、干燥快、使用方便等特点。项目所用水性油漆主要成分为：水性树脂35%、乳液8%、钛白粉38%、防腐颜料8%、水10.8%、水性助剂0.2%。水性漆中挥发性有机物主要为乳液和水性助剂中未聚合的脂类单体，以VOCs计。依据建设单位提供资料，项目拟使用的水性油漆属于低挥发性有机物含量涂料，依据《低挥发性有机化合物含量涂料产品技术要求》（GB/T38597-2020），单组分漆挥发性有机物含量≤200g/L。</w:t>
            </w:r>
          </w:p>
          <w:p>
            <w:pPr>
              <w:pStyle w:val="2"/>
              <w:spacing w:line="360" w:lineRule="auto"/>
              <w:ind w:firstLine="480" w:firstLineChars="200"/>
              <w:jc w:val="both"/>
              <w:rPr>
                <w:rFonts w:ascii="Times New Roman" w:cs="Times New Roman"/>
              </w:rPr>
            </w:pPr>
            <w:r>
              <w:rPr>
                <w:rFonts w:ascii="Times New Roman" w:cs="Times New Roman"/>
              </w:rPr>
              <w:t>（6）油性油漆：以</w:t>
            </w:r>
            <w:r>
              <w:fldChar w:fldCharType="begin"/>
            </w:r>
            <w:r>
              <w:instrText xml:space="preserve"> HYPERLINK "https://baike.baidu.com/item/%E5%B9%B2%E6%80%A7%E6%B2%B9/2250316" \t "_blank" </w:instrText>
            </w:r>
            <w:r>
              <w:fldChar w:fldCharType="separate"/>
            </w:r>
            <w:r>
              <w:rPr>
                <w:rFonts w:ascii="Times New Roman" w:cs="Times New Roman"/>
              </w:rPr>
              <w:t>干性油</w:t>
            </w:r>
            <w:r>
              <w:rPr>
                <w:rFonts w:ascii="Times New Roman" w:cs="Times New Roman"/>
              </w:rPr>
              <w:fldChar w:fldCharType="end"/>
            </w:r>
            <w:r>
              <w:rPr>
                <w:rFonts w:ascii="Times New Roman" w:cs="Times New Roman"/>
              </w:rPr>
              <w:t>为主要</w:t>
            </w:r>
            <w:r>
              <w:fldChar w:fldCharType="begin"/>
            </w:r>
            <w:r>
              <w:instrText xml:space="preserve"> HYPERLINK "https://baike.baidu.com/item/%E6%88%90%E8%86%9C%E7%89%A9%E8%B4%A8" \t "_blank" </w:instrText>
            </w:r>
            <w:r>
              <w:fldChar w:fldCharType="separate"/>
            </w:r>
            <w:r>
              <w:rPr>
                <w:rFonts w:ascii="Times New Roman" w:cs="Times New Roman"/>
              </w:rPr>
              <w:t>成膜物质</w:t>
            </w:r>
            <w:r>
              <w:rPr>
                <w:rFonts w:ascii="Times New Roman" w:cs="Times New Roman"/>
              </w:rPr>
              <w:fldChar w:fldCharType="end"/>
            </w:r>
            <w:r>
              <w:rPr>
                <w:rFonts w:ascii="Times New Roman" w:cs="Times New Roman"/>
              </w:rPr>
              <w:t>的一类涂料，主要有</w:t>
            </w:r>
            <w:r>
              <w:fldChar w:fldCharType="begin"/>
            </w:r>
            <w:r>
              <w:instrText xml:space="preserve"> HYPERLINK "https://baike.baidu.com/item/%E6%B8%85%E6%B2%B9/7381420" \t "_blank" </w:instrText>
            </w:r>
            <w:r>
              <w:fldChar w:fldCharType="separate"/>
            </w:r>
            <w:r>
              <w:rPr>
                <w:rFonts w:ascii="Times New Roman" w:cs="Times New Roman"/>
              </w:rPr>
              <w:t>清油</w:t>
            </w:r>
            <w:r>
              <w:rPr>
                <w:rFonts w:ascii="Times New Roman" w:cs="Times New Roman"/>
              </w:rPr>
              <w:fldChar w:fldCharType="end"/>
            </w:r>
            <w:r>
              <w:rPr>
                <w:rFonts w:ascii="Times New Roman" w:cs="Times New Roman"/>
              </w:rPr>
              <w:t>，</w:t>
            </w:r>
            <w:r>
              <w:fldChar w:fldCharType="begin"/>
            </w:r>
            <w:r>
              <w:instrText xml:space="preserve"> HYPERLINK "https://baike.baidu.com/item/%E5%8E%9A%E6%BC%86/5180328" \t "_blank" </w:instrText>
            </w:r>
            <w:r>
              <w:fldChar w:fldCharType="separate"/>
            </w:r>
            <w:r>
              <w:rPr>
                <w:rFonts w:ascii="Times New Roman" w:cs="Times New Roman"/>
              </w:rPr>
              <w:t>厚漆</w:t>
            </w:r>
            <w:r>
              <w:rPr>
                <w:rFonts w:ascii="Times New Roman" w:cs="Times New Roman"/>
              </w:rPr>
              <w:fldChar w:fldCharType="end"/>
            </w:r>
            <w:r>
              <w:rPr>
                <w:rFonts w:ascii="Times New Roman" w:cs="Times New Roman"/>
              </w:rPr>
              <w:t>，油性调合漆、油性防锈漆和</w:t>
            </w:r>
            <w:r>
              <w:fldChar w:fldCharType="begin"/>
            </w:r>
            <w:r>
              <w:instrText xml:space="preserve"> HYPERLINK "https://baike.baidu.com/item/%E8%85%BB%E5%AD%90/3606576" \t "_blank" </w:instrText>
            </w:r>
            <w:r>
              <w:fldChar w:fldCharType="separate"/>
            </w:r>
            <w:r>
              <w:rPr>
                <w:rFonts w:ascii="Times New Roman" w:cs="Times New Roman"/>
              </w:rPr>
              <w:t>腻子</w:t>
            </w:r>
            <w:r>
              <w:rPr>
                <w:rFonts w:ascii="Times New Roman" w:cs="Times New Roman"/>
              </w:rPr>
              <w:fldChar w:fldCharType="end"/>
            </w:r>
            <w:r>
              <w:rPr>
                <w:rFonts w:ascii="Times New Roman" w:cs="Times New Roman"/>
              </w:rPr>
              <w:t>、</w:t>
            </w:r>
            <w:r>
              <w:fldChar w:fldCharType="begin"/>
            </w:r>
            <w:r>
              <w:instrText xml:space="preserve"> HYPERLINK "https://baike.baidu.com/item/%E6%B2%B9%E7%81%B0/9769469" \t "_blank" </w:instrText>
            </w:r>
            <w:r>
              <w:fldChar w:fldCharType="separate"/>
            </w:r>
            <w:r>
              <w:rPr>
                <w:rFonts w:ascii="Times New Roman" w:cs="Times New Roman"/>
              </w:rPr>
              <w:t>油灰</w:t>
            </w:r>
            <w:r>
              <w:rPr>
                <w:rFonts w:ascii="Times New Roman" w:cs="Times New Roman"/>
              </w:rPr>
              <w:fldChar w:fldCharType="end"/>
            </w:r>
            <w:r>
              <w:rPr>
                <w:rFonts w:ascii="Times New Roman" w:cs="Times New Roman"/>
              </w:rPr>
              <w:t>等。本项目所用油性油漆主要成分为：丙烯酸树脂48%、钛白粉35%、防腐颜料12%、醋酸丁酯4.9%、助剂0.01%。</w:t>
            </w:r>
          </w:p>
          <w:p>
            <w:pPr>
              <w:pStyle w:val="2"/>
              <w:spacing w:line="360" w:lineRule="auto"/>
              <w:ind w:firstLine="480" w:firstLineChars="200"/>
              <w:jc w:val="both"/>
              <w:rPr>
                <w:rFonts w:ascii="Times New Roman" w:cs="Times New Roman"/>
              </w:rPr>
            </w:pPr>
            <w:r>
              <w:rPr>
                <w:rFonts w:ascii="Times New Roman" w:cs="Times New Roman"/>
              </w:rPr>
              <w:t>（7）固化剂：一类增进或控制固化反应的物质或混合物。本项目所用固化剂主要成分为：聚氨酯树脂85%、醋酸丁酯15%。</w:t>
            </w:r>
          </w:p>
          <w:p>
            <w:pPr>
              <w:pStyle w:val="2"/>
              <w:spacing w:line="360" w:lineRule="auto"/>
              <w:ind w:firstLine="480" w:firstLineChars="200"/>
              <w:jc w:val="both"/>
              <w:rPr>
                <w:rFonts w:ascii="Times New Roman" w:cs="Times New Roman"/>
              </w:rPr>
            </w:pPr>
            <w:r>
              <w:rPr>
                <w:rFonts w:ascii="Times New Roman" w:cs="Times New Roman"/>
              </w:rPr>
              <w:t>（8）稀释剂：是一种为了降低树脂粘度，改善其工艺性能而加入的与树脂混溶性良好的液体溶剂。本项目所用稀释剂主要成分为：醋酸丁酯100%。无色透明液体，挥发性极强，易燃易爆有毒。</w:t>
            </w:r>
          </w:p>
          <w:p>
            <w:pPr>
              <w:pStyle w:val="2"/>
              <w:spacing w:line="360" w:lineRule="auto"/>
              <w:ind w:firstLine="480" w:firstLineChars="200"/>
              <w:jc w:val="both"/>
              <w:rPr>
                <w:rFonts w:ascii="Times New Roman" w:cs="Times New Roman"/>
              </w:rPr>
            </w:pPr>
            <w:r>
              <w:rPr>
                <w:rFonts w:ascii="Times New Roman" w:cs="Times New Roman"/>
              </w:rPr>
              <w:t>（9）丙烯酸树脂：由丙烯酸酯类和甲基丙烯酸酯类及其它烯属单体共聚制成的树脂，通过选用不同的树脂结构、不同的配方、生产工艺及溶剂组成，可合成不同类型、不同性能和不同应用场合的丙烯酸树脂，丙烯酸树脂根据结构和成膜机理的差异又可分为热塑性丙烯酸树脂和热固性丙烯酸树脂。热塑性丙烯酸树脂在成膜过程中不发生进一步交联，因此它的相对分子量较大，具有良好的保光保色性、耐水耐化学性、干燥快、施工方便，易于施工重涂和返工，制备铝粉漆时铝粉的白度、定位性好。热塑性丙烯酸树脂在汽车、电器、机械、建筑等领域应用广泛。热固性丙烯酸树脂是指在结构中带有一定的官能团，在制漆时通过和加入的氨基树脂、环氧树脂、聚氨酯等中的官能团反应形成网状结构，热固性树脂一般相对分子量较低。热固性丙烯酸涂料有优异的丰满度、光泽、硬度、耐溶剂性、耐侯性、在高温烘烤时不变色、不返黄。</w:t>
            </w:r>
          </w:p>
          <w:p>
            <w:pPr>
              <w:adjustRightInd w:val="0"/>
              <w:snapToGrid w:val="0"/>
              <w:spacing w:line="360" w:lineRule="auto"/>
              <w:ind w:firstLine="480" w:firstLineChars="200"/>
              <w:rPr>
                <w:rFonts w:hint="eastAsia"/>
                <w:sz w:val="24"/>
              </w:rPr>
            </w:pPr>
            <w:r>
              <w:rPr>
                <w:sz w:val="24"/>
              </w:rPr>
              <w:t>（10）醋酸丁酯：即乙酸正丁酯，简称乙酸丁酯。无色透明有愉快果香气味的液体。能与乙醇和乙醚混溶，溶于大多数烃类化合物，25℃时溶于约120份水。相对密度</w:t>
            </w:r>
            <w:r>
              <w:rPr>
                <w:rFonts w:hint="eastAsia"/>
                <w:sz w:val="24"/>
                <w:lang w:eastAsia="zh-CN"/>
              </w:rPr>
              <w:t>（</w:t>
            </w:r>
            <w:r>
              <w:rPr>
                <w:sz w:val="24"/>
              </w:rPr>
              <w:t>20℃/4℃</w:t>
            </w:r>
            <w:r>
              <w:rPr>
                <w:rFonts w:hint="eastAsia"/>
                <w:sz w:val="24"/>
                <w:lang w:eastAsia="zh-CN"/>
              </w:rPr>
              <w:t>）</w:t>
            </w:r>
            <w:r>
              <w:rPr>
                <w:sz w:val="24"/>
              </w:rPr>
              <w:t>0.8826。凝固点-77℃。沸点125～126℃。折光率</w:t>
            </w:r>
            <w:r>
              <w:rPr>
                <w:rFonts w:hint="eastAsia"/>
                <w:sz w:val="24"/>
                <w:lang w:eastAsia="zh-CN"/>
              </w:rPr>
              <w:t>（</w:t>
            </w:r>
            <w:r>
              <w:rPr>
                <w:sz w:val="24"/>
              </w:rPr>
              <w:t>n20D</w:t>
            </w:r>
            <w:r>
              <w:rPr>
                <w:rFonts w:hint="eastAsia"/>
                <w:sz w:val="24"/>
                <w:lang w:eastAsia="zh-CN"/>
              </w:rPr>
              <w:t>）</w:t>
            </w:r>
            <w:r>
              <w:rPr>
                <w:sz w:val="24"/>
              </w:rPr>
              <w:t>1.3951。闪点</w:t>
            </w:r>
            <w:r>
              <w:rPr>
                <w:rFonts w:hint="eastAsia"/>
                <w:sz w:val="24"/>
                <w:lang w:eastAsia="zh-CN"/>
              </w:rPr>
              <w:t>（</w:t>
            </w:r>
            <w:r>
              <w:rPr>
                <w:sz w:val="24"/>
              </w:rPr>
              <w:t>闭杯</w:t>
            </w:r>
            <w:r>
              <w:rPr>
                <w:rFonts w:hint="eastAsia"/>
                <w:sz w:val="24"/>
                <w:lang w:eastAsia="zh-CN"/>
              </w:rPr>
              <w:t>）</w:t>
            </w:r>
            <w:r>
              <w:rPr>
                <w:sz w:val="24"/>
              </w:rPr>
              <w:t>22℃。易燃，蒸气能与空气形成爆炸性混合物，爆炸极限1.4%～8.0%</w:t>
            </w:r>
            <w:r>
              <w:rPr>
                <w:rFonts w:hint="eastAsia"/>
                <w:sz w:val="24"/>
                <w:lang w:eastAsia="zh-CN"/>
              </w:rPr>
              <w:t>（</w:t>
            </w:r>
            <w:r>
              <w:rPr>
                <w:sz w:val="24"/>
              </w:rPr>
              <w:t>体积</w:t>
            </w:r>
            <w:r>
              <w:rPr>
                <w:rFonts w:hint="eastAsia"/>
                <w:sz w:val="24"/>
                <w:lang w:eastAsia="zh-CN"/>
              </w:rPr>
              <w:t>）</w:t>
            </w:r>
            <w:r>
              <w:rPr>
                <w:sz w:val="24"/>
              </w:rPr>
              <w:t>。有刺激性。急性毒性较小，但对眼鼻有较强的刺激性，而且在高浓度下会引起麻醉。乙酸正丁酯是一种优良的有机溶剂，对乙基纤维素、醋酸丁酸纤维素、聚苯乙烯、甲基丙烯酸树脂、氯化橡胶以及多种天然树胶均有较好的溶解性能。</w:t>
            </w:r>
          </w:p>
          <w:p>
            <w:pPr>
              <w:adjustRightInd w:val="0"/>
              <w:snapToGrid w:val="0"/>
              <w:spacing w:line="360" w:lineRule="auto"/>
              <w:ind w:firstLine="482" w:firstLineChars="200"/>
              <w:rPr>
                <w:b/>
                <w:bCs/>
                <w:sz w:val="24"/>
              </w:rPr>
            </w:pPr>
            <w:r>
              <w:rPr>
                <w:rFonts w:hint="eastAsia"/>
                <w:b/>
                <w:bCs/>
                <w:sz w:val="24"/>
              </w:rPr>
              <w:t>5、</w:t>
            </w:r>
            <w:r>
              <w:rPr>
                <w:b/>
                <w:bCs/>
                <w:sz w:val="24"/>
              </w:rPr>
              <w:t>主要</w:t>
            </w:r>
            <w:r>
              <w:rPr>
                <w:rFonts w:hint="eastAsia"/>
                <w:b/>
                <w:bCs/>
                <w:sz w:val="24"/>
              </w:rPr>
              <w:t>生产</w:t>
            </w:r>
            <w:r>
              <w:rPr>
                <w:b/>
                <w:bCs/>
                <w:sz w:val="24"/>
              </w:rPr>
              <w:t>设备</w:t>
            </w:r>
          </w:p>
          <w:p>
            <w:pPr>
              <w:adjustRightInd w:val="0"/>
              <w:snapToGrid w:val="0"/>
              <w:spacing w:line="360" w:lineRule="auto"/>
              <w:ind w:firstLine="480" w:firstLineChars="200"/>
              <w:rPr>
                <w:sz w:val="24"/>
              </w:rPr>
            </w:pPr>
            <w:r>
              <w:rPr>
                <w:rFonts w:hint="eastAsia"/>
                <w:sz w:val="24"/>
              </w:rPr>
              <w:t>本项目建成后，全厂主要生产设备及数量详见表2-</w:t>
            </w:r>
            <w:r>
              <w:rPr>
                <w:rFonts w:hint="eastAsia"/>
                <w:sz w:val="24"/>
                <w:lang w:val="en-US" w:eastAsia="zh-CN"/>
              </w:rPr>
              <w:t>4</w:t>
            </w:r>
            <w:r>
              <w:rPr>
                <w:rFonts w:hint="eastAsia"/>
                <w:sz w:val="24"/>
              </w:rPr>
              <w:t>。</w:t>
            </w:r>
          </w:p>
          <w:p>
            <w:pPr>
              <w:autoSpaceDE w:val="0"/>
              <w:autoSpaceDN w:val="0"/>
              <w:adjustRightInd w:val="0"/>
              <w:spacing w:beforeLines="50"/>
              <w:jc w:val="center"/>
              <w:rPr>
                <w:b/>
                <w:kern w:val="0"/>
                <w:szCs w:val="21"/>
              </w:rPr>
            </w:pPr>
            <w:r>
              <w:rPr>
                <w:b/>
                <w:kern w:val="0"/>
                <w:szCs w:val="21"/>
              </w:rPr>
              <w:t>表2-</w:t>
            </w:r>
            <w:r>
              <w:rPr>
                <w:rFonts w:hint="eastAsia"/>
                <w:b/>
                <w:kern w:val="0"/>
                <w:szCs w:val="21"/>
                <w:lang w:val="en-US" w:eastAsia="zh-CN"/>
              </w:rPr>
              <w:t>4</w:t>
            </w:r>
            <w:r>
              <w:rPr>
                <w:rFonts w:hint="eastAsia"/>
                <w:b/>
                <w:kern w:val="0"/>
                <w:szCs w:val="21"/>
              </w:rPr>
              <w:t xml:space="preserve"> </w:t>
            </w:r>
            <w:r>
              <w:rPr>
                <w:b/>
                <w:kern w:val="0"/>
                <w:szCs w:val="21"/>
              </w:rPr>
              <w:t xml:space="preserve"> 主要生产设备</w:t>
            </w:r>
            <w:r>
              <w:rPr>
                <w:rFonts w:hint="eastAsia"/>
                <w:b/>
                <w:kern w:val="0"/>
                <w:szCs w:val="21"/>
              </w:rPr>
              <w:t>及数量</w:t>
            </w:r>
            <w:r>
              <w:rPr>
                <w:b/>
                <w:kern w:val="0"/>
                <w:szCs w:val="21"/>
              </w:rPr>
              <w:t>一览表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15"/>
              <w:gridCol w:w="1341"/>
              <w:gridCol w:w="1980"/>
              <w:gridCol w:w="1176"/>
              <w:gridCol w:w="1005"/>
              <w:gridCol w:w="993"/>
              <w:gridCol w:w="1146"/>
              <w:gridCol w:w="113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b/>
                      <w:szCs w:val="21"/>
                    </w:rPr>
                  </w:pPr>
                  <w:r>
                    <w:rPr>
                      <w:b/>
                      <w:szCs w:val="21"/>
                    </w:rPr>
                    <w:t>序号</w:t>
                  </w:r>
                </w:p>
              </w:tc>
              <w:tc>
                <w:tcPr>
                  <w:tcW w:w="721" w:type="pct"/>
                  <w:vAlign w:val="center"/>
                </w:tcPr>
                <w:p>
                  <w:pPr>
                    <w:adjustRightInd w:val="0"/>
                    <w:snapToGrid w:val="0"/>
                    <w:jc w:val="center"/>
                    <w:rPr>
                      <w:b/>
                      <w:szCs w:val="21"/>
                    </w:rPr>
                  </w:pPr>
                  <w:r>
                    <w:rPr>
                      <w:b/>
                      <w:szCs w:val="21"/>
                    </w:rPr>
                    <w:t>设备名称</w:t>
                  </w:r>
                </w:p>
              </w:tc>
              <w:tc>
                <w:tcPr>
                  <w:tcW w:w="1065" w:type="pct"/>
                  <w:vAlign w:val="center"/>
                </w:tcPr>
                <w:p>
                  <w:pPr>
                    <w:adjustRightInd w:val="0"/>
                    <w:snapToGrid w:val="0"/>
                    <w:jc w:val="center"/>
                    <w:rPr>
                      <w:b/>
                      <w:szCs w:val="21"/>
                    </w:rPr>
                  </w:pPr>
                  <w:r>
                    <w:rPr>
                      <w:b/>
                      <w:bCs/>
                      <w:szCs w:val="21"/>
                    </w:rPr>
                    <w:t>规格型号</w:t>
                  </w:r>
                </w:p>
              </w:tc>
              <w:tc>
                <w:tcPr>
                  <w:tcW w:w="633" w:type="pct"/>
                  <w:vAlign w:val="center"/>
                </w:tcPr>
                <w:p>
                  <w:pPr>
                    <w:adjustRightInd w:val="0"/>
                    <w:snapToGrid w:val="0"/>
                    <w:jc w:val="center"/>
                    <w:rPr>
                      <w:b/>
                      <w:szCs w:val="21"/>
                    </w:rPr>
                  </w:pPr>
                  <w:r>
                    <w:rPr>
                      <w:b/>
                      <w:szCs w:val="21"/>
                    </w:rPr>
                    <w:t>现有项目审批数量</w:t>
                  </w:r>
                  <w:r>
                    <w:rPr>
                      <w:b/>
                      <w:bCs/>
                      <w:szCs w:val="21"/>
                    </w:rPr>
                    <w:t>（台/套）</w:t>
                  </w:r>
                </w:p>
              </w:tc>
              <w:tc>
                <w:tcPr>
                  <w:tcW w:w="541" w:type="pct"/>
                  <w:vAlign w:val="center"/>
                </w:tcPr>
                <w:p>
                  <w:pPr>
                    <w:adjustRightInd w:val="0"/>
                    <w:snapToGrid w:val="0"/>
                    <w:jc w:val="center"/>
                    <w:rPr>
                      <w:b/>
                      <w:szCs w:val="21"/>
                    </w:rPr>
                  </w:pPr>
                  <w:r>
                    <w:rPr>
                      <w:b/>
                      <w:szCs w:val="21"/>
                    </w:rPr>
                    <w:t>已建项目数量</w:t>
                  </w:r>
                  <w:r>
                    <w:rPr>
                      <w:b/>
                      <w:bCs/>
                      <w:szCs w:val="21"/>
                    </w:rPr>
                    <w:t>（台/套）</w:t>
                  </w:r>
                </w:p>
              </w:tc>
              <w:tc>
                <w:tcPr>
                  <w:tcW w:w="534" w:type="pct"/>
                  <w:vAlign w:val="center"/>
                </w:tcPr>
                <w:p>
                  <w:pPr>
                    <w:adjustRightInd w:val="0"/>
                    <w:snapToGrid w:val="0"/>
                    <w:jc w:val="center"/>
                    <w:rPr>
                      <w:b/>
                      <w:szCs w:val="21"/>
                    </w:rPr>
                  </w:pPr>
                  <w:r>
                    <w:rPr>
                      <w:b/>
                      <w:szCs w:val="21"/>
                    </w:rPr>
                    <w:t>本项目数量</w:t>
                  </w:r>
                  <w:r>
                    <w:rPr>
                      <w:b/>
                      <w:bCs/>
                      <w:szCs w:val="21"/>
                    </w:rPr>
                    <w:t>（台/套）</w:t>
                  </w:r>
                </w:p>
              </w:tc>
              <w:tc>
                <w:tcPr>
                  <w:tcW w:w="616" w:type="pct"/>
                  <w:vAlign w:val="center"/>
                </w:tcPr>
                <w:p>
                  <w:pPr>
                    <w:adjustRightInd w:val="0"/>
                    <w:snapToGrid w:val="0"/>
                    <w:jc w:val="center"/>
                    <w:rPr>
                      <w:b/>
                      <w:bCs/>
                      <w:szCs w:val="21"/>
                    </w:rPr>
                  </w:pPr>
                  <w:r>
                    <w:rPr>
                      <w:b/>
                      <w:bCs/>
                      <w:szCs w:val="21"/>
                    </w:rPr>
                    <w:t>本项目建成后全厂数量（台/套）</w:t>
                  </w:r>
                </w:p>
              </w:tc>
              <w:tc>
                <w:tcPr>
                  <w:tcW w:w="609" w:type="pct"/>
                  <w:vAlign w:val="center"/>
                </w:tcPr>
                <w:p>
                  <w:pPr>
                    <w:adjustRightInd w:val="0"/>
                    <w:snapToGrid w:val="0"/>
                    <w:jc w:val="center"/>
                    <w:rPr>
                      <w:b/>
                      <w:bCs/>
                      <w:szCs w:val="21"/>
                    </w:rPr>
                  </w:pPr>
                  <w:r>
                    <w:rPr>
                      <w:b/>
                      <w:bCs/>
                      <w:szCs w:val="21"/>
                    </w:rPr>
                    <w:t>本项目建成后变化情况（台/套）</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widowControl/>
                    <w:jc w:val="center"/>
                    <w:rPr>
                      <w:b/>
                      <w:bCs/>
                      <w:szCs w:val="21"/>
                    </w:rPr>
                  </w:pPr>
                  <w:r>
                    <w:rPr>
                      <w:b/>
                      <w:bCs/>
                      <w:szCs w:val="21"/>
                    </w:rPr>
                    <w:t>一车间（预埋件生产区、弹条热处理区）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摇臂钻床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Z3050*16/Z3040*16/ZQ3080*20/Z3032*8/ZA32K/Z32K</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落地式砂轮机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JB4143-58/GT2-223</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电气焊机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KH500/NB-500KR</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压力机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QCX5-32/QCX512</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六角车床</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行车</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5T</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网带式回火炉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NS2014-6101</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rFonts w:hint="eastAsia"/>
                      <w:szCs w:val="21"/>
                    </w:rPr>
                    <w:t>8</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气保焊机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KH-500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adjustRightInd w:val="0"/>
                    <w:snapToGrid w:val="0"/>
                    <w:jc w:val="center"/>
                    <w:rPr>
                      <w:szCs w:val="21"/>
                    </w:rPr>
                  </w:pPr>
                  <w:r>
                    <w:rPr>
                      <w:rFonts w:hint="eastAsia"/>
                      <w:szCs w:val="21"/>
                    </w:rPr>
                    <w:t>9</w:t>
                  </w:r>
                </w:p>
              </w:tc>
              <w:tc>
                <w:tcPr>
                  <w:tcW w:w="721"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盐雾试验箱</w:t>
                  </w:r>
                </w:p>
              </w:tc>
              <w:tc>
                <w:tcPr>
                  <w:tcW w:w="1065"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ASR-160BS</w:t>
                  </w:r>
                </w:p>
              </w:tc>
              <w:tc>
                <w:tcPr>
                  <w:tcW w:w="633"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541"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534" w:type="pct"/>
                  <w:vAlign w:val="center"/>
                </w:tcPr>
                <w:p>
                  <w:pPr>
                    <w:adjustRightInd w:val="0"/>
                    <w:snapToGrid w:val="0"/>
                    <w:jc w:val="center"/>
                    <w:rPr>
                      <w:szCs w:val="21"/>
                    </w:rPr>
                  </w:pPr>
                  <w:r>
                    <w:rPr>
                      <w:rFonts w:hint="eastAsia"/>
                      <w:szCs w:val="21"/>
                    </w:rPr>
                    <w:t>2</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2</w:t>
                  </w:r>
                </w:p>
              </w:tc>
              <w:tc>
                <w:tcPr>
                  <w:tcW w:w="609" w:type="pct"/>
                  <w:vAlign w:val="center"/>
                </w:tcPr>
                <w:p>
                  <w:pPr>
                    <w:adjustRightInd w:val="0"/>
                    <w:snapToGrid w:val="0"/>
                    <w:jc w:val="center"/>
                    <w:rPr>
                      <w:szCs w:val="21"/>
                    </w:rPr>
                  </w:pPr>
                  <w:r>
                    <w:rPr>
                      <w:rFonts w:hint="eastAsia"/>
                      <w:szCs w:val="21"/>
                    </w:rPr>
                    <w:t>+2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b/>
                      <w:bCs/>
                      <w:szCs w:val="21"/>
                    </w:rPr>
                    <w:t>二车间（锚具生产车间）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数控立钻</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ZK5140C</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12</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摇臂钻床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Z3040*16/Z32K/Z3725*8</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30</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30</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30</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立钻</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Z535/Z140A</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车床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CDE6140A</w:t>
                  </w:r>
                  <w:r>
                    <w:rPr>
                      <w:rFonts w:ascii="Times New Roman" w:cs="Times New Roman"/>
                      <w:sz w:val="21"/>
                      <w:szCs w:val="21"/>
                    </w:rPr>
                    <w:t>/</w:t>
                  </w:r>
                  <w:r>
                    <w:rPr>
                      <w:rFonts w:ascii="Times New Roman" w:cs="Times New Roman"/>
                      <w:bCs/>
                      <w:color w:val="auto"/>
                      <w:kern w:val="2"/>
                      <w:sz w:val="21"/>
                      <w:szCs w:val="21"/>
                    </w:rPr>
                    <w:t>CA6140A/C30-1/C618/C6140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20</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20</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20</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数控车床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CK6140/C336/CK6150/CJK6140-750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铣床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X61</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万能工具磨</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M6025/M6020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外圆磨床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M1320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9</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带锯条磨齿机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WF</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带锯条对焊退火两用机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HX100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台式多用钻床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Z525-2A</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台式钻床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Z512-21</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方柱立式钻床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Z5132</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立式钻床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Z5125A</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落地砂轮机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M3025</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b/>
                      <w:bCs/>
                      <w:szCs w:val="21"/>
                    </w:rPr>
                    <w:t>三车间（下料、热处理车间）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卧式带锯床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GY4035/GZ4228</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数控火焰、等离子切割机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ZLQ-CNC-CCM3</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数控火焰切割机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ZLQ-4A</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仿形气割机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CG2-150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龙门行车</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10T</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闸式剪板机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QC11Y-20X2500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滴控箱式多用炉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N888-921</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widowControl/>
                    <w:jc w:val="center"/>
                    <w:rPr>
                      <w:color w:val="000000"/>
                      <w:kern w:val="0"/>
                      <w:szCs w:val="21"/>
                    </w:rPr>
                  </w:pPr>
                  <w:r>
                    <w:rPr>
                      <w:rFonts w:hint="eastAsia"/>
                      <w:color w:val="000000"/>
                      <w:kern w:val="0"/>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台车式电阻炉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RT3-105-10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9</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井式电阻炉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RJ2-75-6</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10</w:t>
                  </w:r>
                </w:p>
              </w:tc>
              <w:tc>
                <w:tcPr>
                  <w:tcW w:w="721"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激光切割机</w:t>
                  </w:r>
                </w:p>
              </w:tc>
              <w:tc>
                <w:tcPr>
                  <w:tcW w:w="1065"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MARVEL 12000-12025</w:t>
                  </w:r>
                </w:p>
              </w:tc>
              <w:tc>
                <w:tcPr>
                  <w:tcW w:w="633"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541"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534" w:type="pct"/>
                  <w:vAlign w:val="center"/>
                </w:tcPr>
                <w:p>
                  <w:pPr>
                    <w:adjustRightInd w:val="0"/>
                    <w:snapToGrid w:val="0"/>
                    <w:jc w:val="center"/>
                    <w:rPr>
                      <w:szCs w:val="21"/>
                    </w:rPr>
                  </w:pPr>
                  <w:r>
                    <w:rPr>
                      <w:rFonts w:hint="eastAsia"/>
                      <w:szCs w:val="21"/>
                    </w:rPr>
                    <w:t>1</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1</w:t>
                  </w:r>
                </w:p>
              </w:tc>
              <w:tc>
                <w:tcPr>
                  <w:tcW w:w="609" w:type="pct"/>
                  <w:vAlign w:val="center"/>
                </w:tcPr>
                <w:p>
                  <w:pPr>
                    <w:adjustRightInd w:val="0"/>
                    <w:snapToGrid w:val="0"/>
                    <w:jc w:val="center"/>
                    <w:rPr>
                      <w:szCs w:val="21"/>
                    </w:rPr>
                  </w:pPr>
                  <w:r>
                    <w:rPr>
                      <w:rFonts w:hint="eastAsia"/>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b/>
                      <w:bCs/>
                      <w:szCs w:val="21"/>
                    </w:rPr>
                    <w:t>四车间（渗锌</w:t>
                  </w:r>
                  <w:r>
                    <w:rPr>
                      <w:rFonts w:hint="eastAsia"/>
                      <w:b/>
                      <w:bCs/>
                      <w:szCs w:val="21"/>
                      <w:lang w:val="en-US" w:eastAsia="zh-CN"/>
                    </w:rPr>
                    <w:t>一</w:t>
                  </w:r>
                  <w:r>
                    <w:rPr>
                      <w:b/>
                      <w:bCs/>
                      <w:szCs w:val="21"/>
                    </w:rPr>
                    <w:t>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2"/>
                    <w:jc w:val="center"/>
                    <w:rPr>
                      <w:rFonts w:hint="eastAsia" w:ascii="Times New Roman" w:eastAsia="宋体" w:cs="Times New Roman"/>
                      <w:bCs/>
                      <w:color w:val="auto"/>
                      <w:kern w:val="2"/>
                      <w:sz w:val="21"/>
                      <w:szCs w:val="21"/>
                      <w:lang w:eastAsia="zh-CN"/>
                    </w:rPr>
                  </w:pPr>
                  <w:r>
                    <w:rPr>
                      <w:rFonts w:ascii="Times New Roman" w:cs="Times New Roman"/>
                      <w:bCs/>
                      <w:color w:val="auto"/>
                      <w:kern w:val="2"/>
                      <w:sz w:val="21"/>
                      <w:szCs w:val="21"/>
                    </w:rPr>
                    <w:t>真空渗锌炉</w:t>
                  </w:r>
                </w:p>
              </w:tc>
              <w:tc>
                <w:tcPr>
                  <w:tcW w:w="1065" w:type="pct"/>
                  <w:vAlign w:val="center"/>
                </w:tcPr>
                <w:p>
                  <w:pPr>
                    <w:pStyle w:val="2"/>
                    <w:jc w:val="center"/>
                    <w:rPr>
                      <w:rFonts w:hint="default" w:ascii="Times New Roman" w:eastAsia="宋体" w:cs="Times New Roman"/>
                      <w:bCs/>
                      <w:color w:val="auto"/>
                      <w:kern w:val="2"/>
                      <w:sz w:val="21"/>
                      <w:szCs w:val="21"/>
                      <w:lang w:val="en-US" w:eastAsia="zh-CN"/>
                    </w:rPr>
                  </w:pPr>
                  <w:r>
                    <w:rPr>
                      <w:rFonts w:ascii="Times New Roman" w:cs="Times New Roman"/>
                      <w:bCs/>
                      <w:color w:val="auto"/>
                      <w:kern w:val="2"/>
                      <w:sz w:val="21"/>
                      <w:szCs w:val="21"/>
                    </w:rPr>
                    <w:t>Modelsx-25</w:t>
                  </w:r>
                  <w:r>
                    <w:rPr>
                      <w:rFonts w:hint="eastAsia" w:ascii="Times New Roman" w:cs="Times New Roman"/>
                      <w:bCs/>
                      <w:color w:val="auto"/>
                      <w:kern w:val="2"/>
                      <w:sz w:val="21"/>
                      <w:szCs w:val="21"/>
                      <w:lang w:eastAsia="zh-CN"/>
                    </w:rPr>
                    <w:t>，</w:t>
                  </w:r>
                  <w:r>
                    <w:rPr>
                      <w:rFonts w:hint="eastAsia" w:ascii="Times New Roman" w:cs="Times New Roman"/>
                      <w:bCs/>
                      <w:color w:val="auto"/>
                      <w:kern w:val="2"/>
                      <w:sz w:val="21"/>
                      <w:szCs w:val="21"/>
                      <w:lang w:val="en-US" w:eastAsia="zh-CN"/>
                    </w:rPr>
                    <w:t>电加热</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rFonts w:hint="eastAsia" w:eastAsia="宋体"/>
                      <w:szCs w:val="21"/>
                      <w:lang w:eastAsia="zh-CN"/>
                    </w:rPr>
                  </w:pPr>
                  <w:r>
                    <w:rPr>
                      <w:rFonts w:hint="eastAsia"/>
                      <w:szCs w:val="21"/>
                      <w:lang w:val="en-US" w:eastAsia="zh-CN"/>
                    </w:rPr>
                    <w:t>0</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609" w:type="pct"/>
                  <w:vAlign w:val="center"/>
                </w:tcPr>
                <w:p>
                  <w:pPr>
                    <w:adjustRightInd w:val="0"/>
                    <w:snapToGrid w:val="0"/>
                    <w:jc w:val="center"/>
                    <w:rPr>
                      <w:szCs w:val="21"/>
                    </w:rPr>
                  </w:pPr>
                  <w:r>
                    <w:rPr>
                      <w:rFonts w:hint="eastAsia"/>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多元合金共渗炉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KA-SX-150/SDSX-75</w:t>
                  </w:r>
                  <w:r>
                    <w:rPr>
                      <w:rFonts w:hint="eastAsia" w:ascii="Times New Roman" w:cs="Times New Roman"/>
                      <w:bCs/>
                      <w:color w:val="auto"/>
                      <w:kern w:val="2"/>
                      <w:sz w:val="21"/>
                      <w:szCs w:val="21"/>
                      <w:lang w:eastAsia="zh-CN"/>
                    </w:rPr>
                    <w:t>，</w:t>
                  </w:r>
                  <w:r>
                    <w:rPr>
                      <w:rFonts w:hint="eastAsia" w:ascii="Times New Roman" w:cs="Times New Roman"/>
                      <w:bCs/>
                      <w:color w:val="auto"/>
                      <w:kern w:val="2"/>
                      <w:sz w:val="21"/>
                      <w:szCs w:val="21"/>
                      <w:lang w:val="en-US" w:eastAsia="zh-CN"/>
                    </w:rPr>
                    <w:t>电加热</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rFonts w:hint="eastAsia" w:eastAsia="宋体"/>
                      <w:szCs w:val="21"/>
                      <w:lang w:eastAsia="zh-CN"/>
                    </w:rPr>
                  </w:pPr>
                  <w:r>
                    <w:rPr>
                      <w:rFonts w:hint="eastAsia"/>
                      <w:szCs w:val="21"/>
                      <w:lang w:val="en-US" w:eastAsia="zh-CN"/>
                    </w:rPr>
                    <w:t>0</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609" w:type="pct"/>
                  <w:vAlign w:val="center"/>
                </w:tcPr>
                <w:p>
                  <w:pPr>
                    <w:adjustRightInd w:val="0"/>
                    <w:snapToGrid w:val="0"/>
                    <w:jc w:val="center"/>
                    <w:rPr>
                      <w:szCs w:val="21"/>
                    </w:rPr>
                  </w:pPr>
                  <w:r>
                    <w:rPr>
                      <w:rFonts w:hint="eastAsia"/>
                      <w:szCs w:val="21"/>
                    </w:rPr>
                    <w:t>-2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履带式抛丸机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Q-328</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0</w:t>
                  </w:r>
                </w:p>
              </w:tc>
              <w:tc>
                <w:tcPr>
                  <w:tcW w:w="616" w:type="pct"/>
                  <w:vAlign w:val="center"/>
                </w:tcPr>
                <w:p>
                  <w:pPr>
                    <w:adjustRightInd w:val="0"/>
                    <w:snapToGrid w:val="0"/>
                    <w:jc w:val="center"/>
                    <w:rPr>
                      <w:rFonts w:hint="eastAsia" w:ascii="Times New Roman" w:hAnsi="Times New Roman" w:eastAsia="宋体" w:cs="Times New Roman"/>
                      <w:szCs w:val="21"/>
                      <w:lang w:eastAsia="zh-CN"/>
                    </w:rPr>
                  </w:pPr>
                  <w:r>
                    <w:rPr>
                      <w:rFonts w:hint="eastAsia" w:cs="Times New Roman"/>
                      <w:szCs w:val="21"/>
                      <w:lang w:val="en-US" w:eastAsia="zh-CN"/>
                    </w:rPr>
                    <w:t>0</w:t>
                  </w:r>
                </w:p>
              </w:tc>
              <w:tc>
                <w:tcPr>
                  <w:tcW w:w="609" w:type="pct"/>
                  <w:vAlign w:val="center"/>
                </w:tcPr>
                <w:p>
                  <w:pPr>
                    <w:adjustRightInd w:val="0"/>
                    <w:snapToGrid w:val="0"/>
                    <w:jc w:val="center"/>
                    <w:rPr>
                      <w:rFonts w:hint="default" w:ascii="Times New Roman" w:hAnsi="Times New Roman" w:eastAsia="宋体" w:cs="Times New Roman"/>
                      <w:szCs w:val="21"/>
                      <w:lang w:val="en-US" w:eastAsia="zh-CN"/>
                    </w:rPr>
                  </w:pPr>
                  <w:r>
                    <w:rPr>
                      <w:rFonts w:hint="eastAsia" w:cs="Times New Roman"/>
                      <w:szCs w:val="21"/>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抛丸清理机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Y2-160M1-2</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rFonts w:hint="eastAsia"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616" w:type="pct"/>
                  <w:vAlign w:val="center"/>
                </w:tcPr>
                <w:p>
                  <w:pPr>
                    <w:adjustRightInd w:val="0"/>
                    <w:snapToGrid w:val="0"/>
                    <w:jc w:val="center"/>
                    <w:rPr>
                      <w:rFonts w:hint="eastAsia" w:ascii="Times New Roman" w:hAnsi="Times New Roman" w:eastAsia="宋体" w:cs="Times New Roman"/>
                      <w:szCs w:val="21"/>
                      <w:lang w:eastAsia="zh-CN"/>
                    </w:rPr>
                  </w:pPr>
                  <w:r>
                    <w:rPr>
                      <w:rFonts w:hint="eastAsia" w:cs="Times New Roman"/>
                      <w:szCs w:val="21"/>
                      <w:lang w:val="en-US" w:eastAsia="zh-CN"/>
                    </w:rPr>
                    <w:t>0</w:t>
                  </w:r>
                </w:p>
              </w:tc>
              <w:tc>
                <w:tcPr>
                  <w:tcW w:w="609" w:type="pct"/>
                  <w:vAlign w:val="center"/>
                </w:tcPr>
                <w:p>
                  <w:pPr>
                    <w:adjustRightInd w:val="0"/>
                    <w:snapToGrid w:val="0"/>
                    <w:jc w:val="center"/>
                    <w:rPr>
                      <w:rFonts w:hint="default" w:ascii="Times New Roman" w:hAnsi="Times New Roman" w:eastAsia="宋体" w:cs="Times New Roman"/>
                      <w:szCs w:val="21"/>
                      <w:lang w:val="en-US" w:eastAsia="zh-CN"/>
                    </w:rPr>
                  </w:pPr>
                  <w:r>
                    <w:rPr>
                      <w:rFonts w:hint="eastAsia" w:cs="Times New Roman"/>
                      <w:szCs w:val="21"/>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空气压缩机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HW15007</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rFonts w:hint="eastAsia"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616" w:type="pct"/>
                  <w:vAlign w:val="center"/>
                </w:tcPr>
                <w:p>
                  <w:pPr>
                    <w:adjustRightInd w:val="0"/>
                    <w:snapToGrid w:val="0"/>
                    <w:jc w:val="center"/>
                    <w:rPr>
                      <w:rFonts w:hint="eastAsia" w:ascii="Times New Roman" w:hAnsi="Times New Roman" w:eastAsia="宋体" w:cs="Times New Roman"/>
                      <w:szCs w:val="21"/>
                    </w:rPr>
                  </w:pPr>
                  <w:r>
                    <w:rPr>
                      <w:rFonts w:hint="eastAsia" w:cs="Times New Roman"/>
                      <w:szCs w:val="21"/>
                      <w:lang w:val="en-US" w:eastAsia="zh-CN"/>
                    </w:rPr>
                    <w:t>0</w:t>
                  </w:r>
                </w:p>
              </w:tc>
              <w:tc>
                <w:tcPr>
                  <w:tcW w:w="609" w:type="pct"/>
                  <w:vAlign w:val="center"/>
                </w:tcPr>
                <w:p>
                  <w:pPr>
                    <w:adjustRightInd w:val="0"/>
                    <w:snapToGrid w:val="0"/>
                    <w:jc w:val="center"/>
                    <w:rPr>
                      <w:rFonts w:hint="default" w:ascii="Times New Roman" w:hAnsi="Times New Roman" w:eastAsia="宋体" w:cs="Times New Roman"/>
                      <w:szCs w:val="21"/>
                      <w:lang w:val="en-US" w:eastAsia="zh-CN"/>
                    </w:rPr>
                  </w:pPr>
                  <w:r>
                    <w:rPr>
                      <w:rFonts w:hint="eastAsia" w:cs="Times New Roman"/>
                      <w:szCs w:val="21"/>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渗锌炉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KA-SX01-150</w:t>
                  </w:r>
                  <w:r>
                    <w:rPr>
                      <w:rFonts w:hint="eastAsia" w:ascii="Times New Roman" w:cs="Times New Roman"/>
                      <w:bCs/>
                      <w:color w:val="auto"/>
                      <w:kern w:val="2"/>
                      <w:sz w:val="21"/>
                      <w:szCs w:val="21"/>
                      <w:lang w:eastAsia="zh-CN"/>
                    </w:rPr>
                    <w:t>，</w:t>
                  </w:r>
                  <w:r>
                    <w:rPr>
                      <w:rFonts w:hint="eastAsia" w:ascii="Times New Roman" w:cs="Times New Roman"/>
                      <w:bCs/>
                      <w:color w:val="auto"/>
                      <w:kern w:val="2"/>
                      <w:sz w:val="21"/>
                      <w:szCs w:val="21"/>
                      <w:lang w:val="en-US" w:eastAsia="zh-CN"/>
                    </w:rPr>
                    <w:t>电加热</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rFonts w:hint="eastAsia" w:eastAsia="宋体"/>
                      <w:szCs w:val="21"/>
                      <w:lang w:eastAsia="zh-CN"/>
                    </w:rPr>
                  </w:pPr>
                  <w:r>
                    <w:rPr>
                      <w:rFonts w:hint="eastAsia"/>
                      <w:szCs w:val="21"/>
                      <w:lang w:val="en-US" w:eastAsia="zh-CN"/>
                    </w:rPr>
                    <w:t>0</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0</w:t>
                  </w:r>
                </w:p>
              </w:tc>
              <w:tc>
                <w:tcPr>
                  <w:tcW w:w="609" w:type="pct"/>
                  <w:vAlign w:val="center"/>
                </w:tcPr>
                <w:p>
                  <w:pPr>
                    <w:adjustRightInd w:val="0"/>
                    <w:snapToGrid w:val="0"/>
                    <w:jc w:val="center"/>
                    <w:rPr>
                      <w:szCs w:val="21"/>
                    </w:rPr>
                  </w:pPr>
                  <w:r>
                    <w:rPr>
                      <w:rFonts w:hint="eastAsia"/>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行车</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5T</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1</w:t>
                  </w:r>
                </w:p>
              </w:tc>
              <w:tc>
                <w:tcPr>
                  <w:tcW w:w="609" w:type="pct"/>
                  <w:vAlign w:val="center"/>
                </w:tcPr>
                <w:p>
                  <w:pPr>
                    <w:adjustRightInd w:val="0"/>
                    <w:snapToGrid w:val="0"/>
                    <w:jc w:val="center"/>
                    <w:rPr>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b/>
                      <w:bCs/>
                      <w:szCs w:val="21"/>
                    </w:rPr>
                    <w:t>五车间（锚垫板、夹片、螺旋筋、角钢加工车间）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摇臂钻床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Z32K</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钢筋弯曲机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GW/GF20/GW40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滚丝机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ZA28-20</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双盘摩擦压力机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J53</w:t>
                  </w:r>
                  <w:r>
                    <w:rPr>
                      <w:rFonts w:ascii="Times New Roman" w:cs="Times New Roman"/>
                      <w:bCs/>
                      <w:color w:val="auto"/>
                      <w:kern w:val="2"/>
                      <w:sz w:val="21"/>
                      <w:szCs w:val="21"/>
                    </w:rPr>
                    <w:cr/>
                  </w:r>
                  <w:r>
                    <w:rPr>
                      <w:rFonts w:ascii="Times New Roman" w:cs="Times New Roman"/>
                      <w:bCs/>
                      <w:color w:val="auto"/>
                      <w:kern w:val="2"/>
                      <w:sz w:val="21"/>
                      <w:szCs w:val="21"/>
                    </w:rPr>
                    <w:t>300A</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直螺纹套丝机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Z1T-M33</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卧式带锯床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GY4228</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数控车床</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CJK0620-II</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8</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攻丝机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台钻改</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15</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15</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15</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9</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卧式铣床</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10</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铣开机</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高精度干燥炉</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HG-4</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缩径机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SJ-32</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滚丝机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Z28-40B</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辊道通过式抛丸清理机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Q6915-6</w:t>
                  </w:r>
                </w:p>
              </w:tc>
              <w:tc>
                <w:tcPr>
                  <w:tcW w:w="633"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4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履带式抛丸清理机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Q3210</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全自动数控角钢联合冲孔机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JBC1410</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rFonts w:hint="eastAsia"/>
                      <w:b/>
                      <w:bCs/>
                      <w:szCs w:val="21"/>
                      <w:lang w:val="en-US" w:eastAsia="zh-CN"/>
                    </w:rPr>
                    <w:t>六</w:t>
                  </w:r>
                  <w:r>
                    <w:rPr>
                      <w:b/>
                      <w:bCs/>
                      <w:szCs w:val="21"/>
                    </w:rPr>
                    <w:t>车间（渗锌</w:t>
                  </w:r>
                  <w:r>
                    <w:rPr>
                      <w:rFonts w:hint="eastAsia"/>
                      <w:b/>
                      <w:bCs/>
                      <w:szCs w:val="21"/>
                      <w:lang w:val="en-US" w:eastAsia="zh-CN"/>
                    </w:rPr>
                    <w:t>二</w:t>
                  </w:r>
                  <w:r>
                    <w:rPr>
                      <w:b/>
                      <w:bCs/>
                      <w:szCs w:val="21"/>
                    </w:rPr>
                    <w:t>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38"/>
                    <w:spacing w:beforeLines="0" w:afterLines="0" w:line="240" w:lineRule="auto"/>
                    <w:ind w:firstLine="0"/>
                    <w:rPr>
                      <w:rFonts w:hint="eastAsia" w:ascii="Times New Roman" w:eastAsia="宋体"/>
                      <w:bCs/>
                      <w:kern w:val="2"/>
                      <w:szCs w:val="21"/>
                      <w:lang w:eastAsia="zh-CN"/>
                    </w:rPr>
                  </w:pPr>
                  <w:r>
                    <w:rPr>
                      <w:rFonts w:ascii="Times New Roman"/>
                      <w:szCs w:val="21"/>
                    </w:rPr>
                    <w:t>四方滚筒燃气渗锌炉</w:t>
                  </w:r>
                </w:p>
              </w:tc>
              <w:tc>
                <w:tcPr>
                  <w:tcW w:w="1065" w:type="pct"/>
                  <w:vAlign w:val="center"/>
                </w:tcPr>
                <w:p>
                  <w:pPr>
                    <w:pStyle w:val="2"/>
                    <w:jc w:val="center"/>
                    <w:rPr>
                      <w:rFonts w:ascii="Times New Roman" w:cs="Times New Roman"/>
                      <w:bCs/>
                      <w:color w:val="FF0000"/>
                      <w:kern w:val="2"/>
                      <w:sz w:val="21"/>
                      <w:szCs w:val="21"/>
                      <w:u w:val="wave"/>
                    </w:rPr>
                  </w:pPr>
                  <w:r>
                    <w:rPr>
                      <w:rFonts w:ascii="Times New Roman" w:cs="Times New Roman"/>
                      <w:bCs/>
                      <w:color w:val="FF0000"/>
                      <w:kern w:val="2"/>
                      <w:sz w:val="21"/>
                      <w:szCs w:val="21"/>
                      <w:u w:val="wave"/>
                    </w:rPr>
                    <w:t>SX38-17-B-Q-S</w:t>
                  </w:r>
                </w:p>
                <w:p>
                  <w:pPr>
                    <w:pStyle w:val="2"/>
                    <w:jc w:val="center"/>
                    <w:rPr>
                      <w:rFonts w:hint="default" w:ascii="Times New Roman" w:eastAsia="宋体" w:cs="Times New Roman"/>
                      <w:bCs/>
                      <w:color w:val="auto"/>
                      <w:kern w:val="2"/>
                      <w:sz w:val="21"/>
                      <w:szCs w:val="21"/>
                      <w:lang w:val="en-US" w:eastAsia="zh-CN"/>
                    </w:rPr>
                  </w:pPr>
                  <w:r>
                    <w:rPr>
                      <w:rFonts w:hint="eastAsia" w:ascii="Times New Roman" w:cs="Times New Roman"/>
                      <w:bCs/>
                      <w:color w:val="FF0000"/>
                      <w:kern w:val="2"/>
                      <w:sz w:val="21"/>
                      <w:szCs w:val="21"/>
                      <w:u w:val="wave"/>
                      <w:lang w:val="en-US" w:eastAsia="zh-CN"/>
                    </w:rPr>
                    <w:t>炉膛尺寸：4m×1.2m×1.2m</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炉料分离+除尘</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SX-17</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上料环保装置</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4</w:t>
                  </w:r>
                </w:p>
              </w:tc>
              <w:tc>
                <w:tcPr>
                  <w:tcW w:w="721" w:type="pct"/>
                  <w:vAlign w:val="center"/>
                </w:tcPr>
                <w:p>
                  <w:pPr>
                    <w:pStyle w:val="38"/>
                    <w:spacing w:beforeLines="0" w:afterLines="0" w:line="240" w:lineRule="auto"/>
                    <w:ind w:firstLine="0"/>
                    <w:rPr>
                      <w:rFonts w:ascii="Times New Roman"/>
                      <w:szCs w:val="21"/>
                    </w:rPr>
                  </w:pPr>
                  <w:r>
                    <w:rPr>
                      <w:rFonts w:hint="eastAsia" w:ascii="Times New Roman"/>
                      <w:szCs w:val="21"/>
                    </w:rPr>
                    <w:t>自动配料吸送装置</w:t>
                  </w:r>
                </w:p>
              </w:tc>
              <w:tc>
                <w:tcPr>
                  <w:tcW w:w="1065"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KA-PGL-01</w:t>
                  </w:r>
                </w:p>
              </w:tc>
              <w:tc>
                <w:tcPr>
                  <w:tcW w:w="633"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41"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34" w:type="pct"/>
                  <w:vAlign w:val="center"/>
                </w:tcPr>
                <w:p>
                  <w:pPr>
                    <w:adjustRightInd w:val="0"/>
                    <w:snapToGrid w:val="0"/>
                    <w:jc w:val="center"/>
                    <w:rPr>
                      <w:szCs w:val="21"/>
                    </w:rPr>
                  </w:pPr>
                  <w:r>
                    <w:rPr>
                      <w:rFonts w:hint="eastAsia"/>
                      <w:szCs w:val="21"/>
                    </w:rPr>
                    <w:t>1</w:t>
                  </w:r>
                </w:p>
              </w:tc>
              <w:tc>
                <w:tcPr>
                  <w:tcW w:w="616" w:type="pct"/>
                  <w:vAlign w:val="center"/>
                </w:tcPr>
                <w:p>
                  <w:pPr>
                    <w:pStyle w:val="38"/>
                    <w:spacing w:beforeLines="0" w:afterLines="0" w:line="240" w:lineRule="auto"/>
                    <w:ind w:firstLine="0"/>
                    <w:rPr>
                      <w:rFonts w:ascii="Times New Roman"/>
                      <w:szCs w:val="21"/>
                    </w:rPr>
                  </w:pPr>
                  <w:r>
                    <w:rPr>
                      <w:rFonts w:hint="eastAsia"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5</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四方滚筒燃气渗锌炉</w:t>
                  </w:r>
                </w:p>
              </w:tc>
              <w:tc>
                <w:tcPr>
                  <w:tcW w:w="1065" w:type="pct"/>
                  <w:vAlign w:val="center"/>
                </w:tcPr>
                <w:p>
                  <w:pPr>
                    <w:pStyle w:val="2"/>
                    <w:jc w:val="center"/>
                    <w:rPr>
                      <w:rFonts w:hint="eastAsia" w:ascii="Times New Roman" w:cs="Times New Roman"/>
                      <w:bCs/>
                      <w:color w:val="FF0000"/>
                      <w:kern w:val="2"/>
                      <w:sz w:val="21"/>
                      <w:szCs w:val="21"/>
                      <w:u w:val="wave"/>
                    </w:rPr>
                  </w:pPr>
                  <w:r>
                    <w:rPr>
                      <w:rFonts w:hint="eastAsia" w:ascii="Times New Roman" w:cs="Times New Roman"/>
                      <w:bCs/>
                      <w:color w:val="FF0000"/>
                      <w:kern w:val="2"/>
                      <w:sz w:val="21"/>
                      <w:szCs w:val="21"/>
                      <w:u w:val="wave"/>
                    </w:rPr>
                    <w:t>KA-SXQ3-1250</w:t>
                  </w:r>
                </w:p>
                <w:p>
                  <w:pPr>
                    <w:pStyle w:val="2"/>
                    <w:jc w:val="center"/>
                    <w:rPr>
                      <w:rFonts w:ascii="Times New Roman" w:cs="Times New Roman"/>
                      <w:bCs/>
                      <w:color w:val="FF0000"/>
                      <w:kern w:val="2"/>
                      <w:sz w:val="21"/>
                      <w:szCs w:val="21"/>
                      <w:u w:val="wave"/>
                    </w:rPr>
                  </w:pPr>
                  <w:r>
                    <w:rPr>
                      <w:rFonts w:hint="eastAsia" w:ascii="Times New Roman" w:cs="Times New Roman"/>
                      <w:bCs/>
                      <w:color w:val="FF0000"/>
                      <w:kern w:val="2"/>
                      <w:sz w:val="21"/>
                      <w:szCs w:val="21"/>
                      <w:u w:val="wave"/>
                      <w:lang w:val="en-US" w:eastAsia="zh-CN"/>
                    </w:rPr>
                    <w:t>炉膛尺寸：5m×1.2m×1.2m</w:t>
                  </w:r>
                </w:p>
              </w:tc>
              <w:tc>
                <w:tcPr>
                  <w:tcW w:w="633"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41"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34" w:type="pct"/>
                  <w:vAlign w:val="center"/>
                </w:tcPr>
                <w:p>
                  <w:pPr>
                    <w:adjustRightInd w:val="0"/>
                    <w:snapToGrid w:val="0"/>
                    <w:jc w:val="center"/>
                    <w:rPr>
                      <w:szCs w:val="21"/>
                    </w:rPr>
                  </w:pPr>
                  <w:r>
                    <w:rPr>
                      <w:rFonts w:hint="eastAsia"/>
                      <w:szCs w:val="21"/>
                    </w:rPr>
                    <w:t>1</w:t>
                  </w:r>
                </w:p>
              </w:tc>
              <w:tc>
                <w:tcPr>
                  <w:tcW w:w="616" w:type="pct"/>
                  <w:vAlign w:val="center"/>
                </w:tcPr>
                <w:p>
                  <w:pPr>
                    <w:pStyle w:val="38"/>
                    <w:spacing w:beforeLines="0" w:afterLines="0" w:line="240" w:lineRule="auto"/>
                    <w:ind w:firstLine="0"/>
                    <w:rPr>
                      <w:rFonts w:ascii="Times New Roman"/>
                      <w:szCs w:val="21"/>
                    </w:rPr>
                  </w:pPr>
                  <w:r>
                    <w:rPr>
                      <w:rFonts w:hint="eastAsia"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6</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四方滚筒燃气渗锌炉</w:t>
                  </w:r>
                </w:p>
              </w:tc>
              <w:tc>
                <w:tcPr>
                  <w:tcW w:w="1065" w:type="pct"/>
                  <w:vAlign w:val="center"/>
                </w:tcPr>
                <w:p>
                  <w:pPr>
                    <w:pStyle w:val="2"/>
                    <w:jc w:val="center"/>
                    <w:rPr>
                      <w:rFonts w:hint="eastAsia" w:ascii="Times New Roman" w:cs="Times New Roman"/>
                      <w:bCs/>
                      <w:color w:val="FF0000"/>
                      <w:kern w:val="2"/>
                      <w:sz w:val="21"/>
                      <w:szCs w:val="21"/>
                      <w:u w:val="wave"/>
                    </w:rPr>
                  </w:pPr>
                  <w:r>
                    <w:rPr>
                      <w:rFonts w:hint="eastAsia" w:ascii="Times New Roman" w:cs="Times New Roman"/>
                      <w:bCs/>
                      <w:color w:val="FF0000"/>
                      <w:kern w:val="2"/>
                      <w:sz w:val="21"/>
                      <w:szCs w:val="21"/>
                      <w:u w:val="wave"/>
                    </w:rPr>
                    <w:t>KA-SXQ3-1265</w:t>
                  </w:r>
                </w:p>
                <w:p>
                  <w:pPr>
                    <w:pStyle w:val="2"/>
                    <w:jc w:val="center"/>
                    <w:rPr>
                      <w:rFonts w:ascii="Times New Roman" w:cs="Times New Roman"/>
                      <w:bCs/>
                      <w:color w:val="FF0000"/>
                      <w:kern w:val="2"/>
                      <w:sz w:val="21"/>
                      <w:szCs w:val="21"/>
                      <w:u w:val="wave"/>
                    </w:rPr>
                  </w:pPr>
                  <w:r>
                    <w:rPr>
                      <w:rFonts w:hint="eastAsia" w:ascii="Times New Roman" w:cs="Times New Roman"/>
                      <w:bCs/>
                      <w:color w:val="FF0000"/>
                      <w:kern w:val="2"/>
                      <w:sz w:val="21"/>
                      <w:szCs w:val="21"/>
                      <w:u w:val="wave"/>
                      <w:lang w:val="en-US" w:eastAsia="zh-CN"/>
                    </w:rPr>
                    <w:t>炉膛尺寸：6.5m×1.2m×1.2m</w:t>
                  </w:r>
                </w:p>
              </w:tc>
              <w:tc>
                <w:tcPr>
                  <w:tcW w:w="633"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41"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34" w:type="pct"/>
                  <w:vAlign w:val="center"/>
                </w:tcPr>
                <w:p>
                  <w:pPr>
                    <w:adjustRightInd w:val="0"/>
                    <w:snapToGrid w:val="0"/>
                    <w:jc w:val="center"/>
                    <w:rPr>
                      <w:szCs w:val="21"/>
                    </w:rPr>
                  </w:pPr>
                  <w:r>
                    <w:rPr>
                      <w:rFonts w:hint="eastAsia"/>
                      <w:szCs w:val="21"/>
                    </w:rPr>
                    <w:t>1</w:t>
                  </w:r>
                </w:p>
              </w:tc>
              <w:tc>
                <w:tcPr>
                  <w:tcW w:w="616" w:type="pct"/>
                  <w:vAlign w:val="center"/>
                </w:tcPr>
                <w:p>
                  <w:pPr>
                    <w:pStyle w:val="38"/>
                    <w:spacing w:beforeLines="0" w:afterLines="0" w:line="240" w:lineRule="auto"/>
                    <w:ind w:firstLine="0"/>
                    <w:rPr>
                      <w:rFonts w:ascii="Times New Roman"/>
                      <w:szCs w:val="21"/>
                    </w:rPr>
                  </w:pPr>
                  <w:r>
                    <w:rPr>
                      <w:rFonts w:hint="eastAsia"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7</w:t>
                  </w:r>
                </w:p>
              </w:tc>
              <w:tc>
                <w:tcPr>
                  <w:tcW w:w="721" w:type="pct"/>
                  <w:vAlign w:val="center"/>
                </w:tcPr>
                <w:p>
                  <w:pPr>
                    <w:pStyle w:val="38"/>
                    <w:spacing w:beforeLines="0" w:afterLines="0" w:line="240" w:lineRule="auto"/>
                    <w:ind w:firstLine="0"/>
                    <w:rPr>
                      <w:rFonts w:ascii="Times New Roman"/>
                      <w:szCs w:val="21"/>
                    </w:rPr>
                  </w:pPr>
                  <w:r>
                    <w:rPr>
                      <w:rFonts w:hint="eastAsia" w:ascii="Times New Roman"/>
                      <w:szCs w:val="21"/>
                    </w:rPr>
                    <w:t>碳化除油炉</w:t>
                  </w:r>
                </w:p>
              </w:tc>
              <w:tc>
                <w:tcPr>
                  <w:tcW w:w="1065" w:type="pct"/>
                  <w:vAlign w:val="center"/>
                </w:tcPr>
                <w:p>
                  <w:pPr>
                    <w:pStyle w:val="2"/>
                    <w:jc w:val="center"/>
                    <w:rPr>
                      <w:rFonts w:ascii="Times New Roman" w:cs="Times New Roman"/>
                      <w:bCs/>
                      <w:color w:val="auto"/>
                      <w:kern w:val="2"/>
                      <w:sz w:val="21"/>
                      <w:szCs w:val="21"/>
                    </w:rPr>
                  </w:pPr>
                  <w:r>
                    <w:rPr>
                      <w:rFonts w:hint="eastAsia" w:ascii="Times New Roman" w:cs="Times New Roman"/>
                      <w:bCs/>
                      <w:color w:val="auto"/>
                      <w:kern w:val="2"/>
                      <w:sz w:val="21"/>
                      <w:szCs w:val="21"/>
                    </w:rPr>
                    <w:t>KA-THLQ-20</w:t>
                  </w:r>
                </w:p>
              </w:tc>
              <w:tc>
                <w:tcPr>
                  <w:tcW w:w="633"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41" w:type="pct"/>
                  <w:vAlign w:val="center"/>
                </w:tcPr>
                <w:p>
                  <w:pPr>
                    <w:pStyle w:val="38"/>
                    <w:spacing w:beforeLines="0" w:afterLines="0" w:line="240" w:lineRule="auto"/>
                    <w:ind w:firstLine="0"/>
                    <w:rPr>
                      <w:rFonts w:ascii="Times New Roman"/>
                      <w:szCs w:val="21"/>
                    </w:rPr>
                  </w:pPr>
                  <w:r>
                    <w:rPr>
                      <w:rFonts w:hint="eastAsia" w:ascii="Times New Roman"/>
                      <w:szCs w:val="21"/>
                    </w:rPr>
                    <w:t>0</w:t>
                  </w:r>
                </w:p>
              </w:tc>
              <w:tc>
                <w:tcPr>
                  <w:tcW w:w="534" w:type="pct"/>
                  <w:vAlign w:val="center"/>
                </w:tcPr>
                <w:p>
                  <w:pPr>
                    <w:adjustRightInd w:val="0"/>
                    <w:snapToGrid w:val="0"/>
                    <w:jc w:val="center"/>
                    <w:rPr>
                      <w:szCs w:val="21"/>
                    </w:rPr>
                  </w:pPr>
                  <w:r>
                    <w:rPr>
                      <w:rFonts w:hint="eastAsia"/>
                      <w:szCs w:val="21"/>
                    </w:rPr>
                    <w:t>1</w:t>
                  </w:r>
                </w:p>
              </w:tc>
              <w:tc>
                <w:tcPr>
                  <w:tcW w:w="616" w:type="pct"/>
                  <w:vAlign w:val="center"/>
                </w:tcPr>
                <w:p>
                  <w:pPr>
                    <w:pStyle w:val="38"/>
                    <w:spacing w:beforeLines="0" w:afterLines="0" w:line="240" w:lineRule="auto"/>
                    <w:ind w:firstLine="0"/>
                    <w:rPr>
                      <w:rFonts w:ascii="Times New Roman"/>
                      <w:szCs w:val="21"/>
                    </w:rPr>
                  </w:pPr>
                  <w:r>
                    <w:rPr>
                      <w:rFonts w:hint="eastAsia"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eastAsia" w:ascii="Times New Roman" w:eastAsia="宋体" w:cs="Times New Roman"/>
                      <w:bCs/>
                      <w:color w:val="FF0000"/>
                      <w:kern w:val="2"/>
                      <w:sz w:val="21"/>
                      <w:szCs w:val="21"/>
                      <w:u w:val="wave"/>
                      <w:lang w:val="en-US" w:eastAsia="zh-CN"/>
                    </w:rPr>
                  </w:pPr>
                  <w:r>
                    <w:rPr>
                      <w:rFonts w:hint="eastAsia" w:ascii="Times New Roman" w:cs="Times New Roman"/>
                      <w:bCs/>
                      <w:color w:val="FF0000"/>
                      <w:kern w:val="2"/>
                      <w:sz w:val="21"/>
                      <w:szCs w:val="21"/>
                      <w:u w:val="wave"/>
                      <w:lang w:val="en-US" w:eastAsia="zh-CN"/>
                    </w:rPr>
                    <w:t>8</w:t>
                  </w:r>
                </w:p>
              </w:tc>
              <w:tc>
                <w:tcPr>
                  <w:tcW w:w="721" w:type="pct"/>
                  <w:vAlign w:val="center"/>
                </w:tcPr>
                <w:p>
                  <w:pPr>
                    <w:pStyle w:val="38"/>
                    <w:spacing w:beforeLines="0" w:afterLines="0" w:line="240" w:lineRule="auto"/>
                    <w:ind w:firstLine="0"/>
                    <w:rPr>
                      <w:rFonts w:hint="default" w:ascii="Times New Roman" w:eastAsia="宋体"/>
                      <w:color w:val="FF0000"/>
                      <w:szCs w:val="21"/>
                      <w:u w:val="wave"/>
                      <w:lang w:val="en-US" w:eastAsia="zh-CN"/>
                    </w:rPr>
                  </w:pPr>
                  <w:r>
                    <w:rPr>
                      <w:rFonts w:hint="eastAsia" w:ascii="Times New Roman"/>
                      <w:color w:val="FF0000"/>
                      <w:szCs w:val="21"/>
                      <w:u w:val="wave"/>
                      <w:lang w:val="en-US" w:eastAsia="zh-CN"/>
                    </w:rPr>
                    <w:t>钝化槽</w:t>
                  </w:r>
                </w:p>
              </w:tc>
              <w:tc>
                <w:tcPr>
                  <w:tcW w:w="1065" w:type="pct"/>
                  <w:vAlign w:val="center"/>
                </w:tcPr>
                <w:p>
                  <w:pPr>
                    <w:pStyle w:val="2"/>
                    <w:jc w:val="center"/>
                    <w:rPr>
                      <w:rFonts w:hint="eastAsia" w:ascii="Times New Roman" w:cs="Times New Roman"/>
                      <w:bCs/>
                      <w:color w:val="FF0000"/>
                      <w:kern w:val="2"/>
                      <w:sz w:val="21"/>
                      <w:szCs w:val="21"/>
                      <w:u w:val="wave"/>
                    </w:rPr>
                  </w:pPr>
                  <w:r>
                    <w:rPr>
                      <w:rFonts w:hint="eastAsia" w:ascii="Times New Roman" w:cs="Times New Roman"/>
                      <w:bCs/>
                      <w:color w:val="FF0000"/>
                      <w:kern w:val="2"/>
                      <w:sz w:val="21"/>
                      <w:szCs w:val="21"/>
                      <w:u w:val="wave"/>
                      <w:lang w:val="en-US" w:eastAsia="zh-CN"/>
                    </w:rPr>
                    <w:t>2m×1.2m×1m</w:t>
                  </w:r>
                </w:p>
              </w:tc>
              <w:tc>
                <w:tcPr>
                  <w:tcW w:w="633"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0</w:t>
                  </w:r>
                </w:p>
              </w:tc>
              <w:tc>
                <w:tcPr>
                  <w:tcW w:w="541"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0</w:t>
                  </w:r>
                </w:p>
              </w:tc>
              <w:tc>
                <w:tcPr>
                  <w:tcW w:w="534" w:type="pct"/>
                  <w:vAlign w:val="center"/>
                </w:tcPr>
                <w:p>
                  <w:pPr>
                    <w:adjustRightInd w:val="0"/>
                    <w:snapToGrid w:val="0"/>
                    <w:jc w:val="center"/>
                    <w:rPr>
                      <w:rFonts w:hint="eastAsia" w:eastAsia="宋体"/>
                      <w:color w:val="FF0000"/>
                      <w:szCs w:val="21"/>
                      <w:u w:val="wave"/>
                      <w:lang w:val="en-US" w:eastAsia="zh-CN"/>
                    </w:rPr>
                  </w:pPr>
                  <w:r>
                    <w:rPr>
                      <w:rFonts w:hint="eastAsia"/>
                      <w:color w:val="FF0000"/>
                      <w:szCs w:val="21"/>
                      <w:u w:val="wave"/>
                      <w:lang w:val="en-US" w:eastAsia="zh-CN"/>
                    </w:rPr>
                    <w:t>1</w:t>
                  </w:r>
                </w:p>
              </w:tc>
              <w:tc>
                <w:tcPr>
                  <w:tcW w:w="616"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1</w:t>
                  </w:r>
                </w:p>
              </w:tc>
              <w:tc>
                <w:tcPr>
                  <w:tcW w:w="609" w:type="pct"/>
                  <w:vAlign w:val="center"/>
                </w:tcPr>
                <w:p>
                  <w:pPr>
                    <w:widowControl/>
                    <w:jc w:val="center"/>
                    <w:rPr>
                      <w:rFonts w:hint="default" w:eastAsia="宋体"/>
                      <w:color w:val="FF0000"/>
                      <w:kern w:val="0"/>
                      <w:szCs w:val="21"/>
                      <w:u w:val="wave"/>
                      <w:lang w:val="en-US" w:eastAsia="zh-CN"/>
                    </w:rPr>
                  </w:pPr>
                  <w:r>
                    <w:rPr>
                      <w:rFonts w:hint="eastAsia"/>
                      <w:color w:val="FF0000"/>
                      <w:kern w:val="0"/>
                      <w:szCs w:val="21"/>
                      <w:u w:val="wave"/>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eastAsia" w:ascii="Times New Roman" w:eastAsia="宋体" w:cs="Times New Roman"/>
                      <w:bCs/>
                      <w:color w:val="FF0000"/>
                      <w:kern w:val="2"/>
                      <w:sz w:val="21"/>
                      <w:szCs w:val="21"/>
                      <w:u w:val="wave"/>
                      <w:lang w:val="en-US" w:eastAsia="zh-CN"/>
                    </w:rPr>
                  </w:pPr>
                  <w:r>
                    <w:rPr>
                      <w:rFonts w:hint="eastAsia" w:ascii="Times New Roman" w:cs="Times New Roman"/>
                      <w:bCs/>
                      <w:color w:val="FF0000"/>
                      <w:kern w:val="2"/>
                      <w:sz w:val="21"/>
                      <w:szCs w:val="21"/>
                      <w:u w:val="wave"/>
                      <w:lang w:val="en-US" w:eastAsia="zh-CN"/>
                    </w:rPr>
                    <w:t>9</w:t>
                  </w:r>
                </w:p>
              </w:tc>
              <w:tc>
                <w:tcPr>
                  <w:tcW w:w="721" w:type="pct"/>
                  <w:vAlign w:val="center"/>
                </w:tcPr>
                <w:p>
                  <w:pPr>
                    <w:pStyle w:val="38"/>
                    <w:spacing w:beforeLines="0" w:afterLines="0" w:line="240" w:lineRule="auto"/>
                    <w:ind w:firstLine="0"/>
                    <w:rPr>
                      <w:rFonts w:hint="default" w:ascii="Times New Roman" w:eastAsia="宋体"/>
                      <w:color w:val="FF0000"/>
                      <w:szCs w:val="21"/>
                      <w:u w:val="wave"/>
                      <w:lang w:val="en-US" w:eastAsia="zh-CN"/>
                    </w:rPr>
                  </w:pPr>
                  <w:r>
                    <w:rPr>
                      <w:rFonts w:hint="eastAsia" w:ascii="Times New Roman"/>
                      <w:color w:val="FF0000"/>
                      <w:szCs w:val="21"/>
                      <w:u w:val="wave"/>
                      <w:lang w:val="en-US" w:eastAsia="zh-CN"/>
                    </w:rPr>
                    <w:t>水性漆槽</w:t>
                  </w:r>
                </w:p>
              </w:tc>
              <w:tc>
                <w:tcPr>
                  <w:tcW w:w="1065" w:type="pct"/>
                  <w:vAlign w:val="center"/>
                </w:tcPr>
                <w:p>
                  <w:pPr>
                    <w:pStyle w:val="2"/>
                    <w:jc w:val="center"/>
                    <w:rPr>
                      <w:rFonts w:hint="default" w:ascii="Times New Roman" w:eastAsia="宋体" w:cs="Times New Roman"/>
                      <w:bCs/>
                      <w:color w:val="FF0000"/>
                      <w:kern w:val="2"/>
                      <w:sz w:val="21"/>
                      <w:szCs w:val="21"/>
                      <w:u w:val="wave"/>
                      <w:lang w:val="en-US" w:eastAsia="zh-CN"/>
                    </w:rPr>
                  </w:pPr>
                  <w:r>
                    <w:rPr>
                      <w:rFonts w:hint="eastAsia" w:ascii="Times New Roman" w:cs="Times New Roman"/>
                      <w:bCs/>
                      <w:color w:val="FF0000"/>
                      <w:kern w:val="2"/>
                      <w:sz w:val="21"/>
                      <w:szCs w:val="21"/>
                      <w:u w:val="wave"/>
                      <w:lang w:val="en-US" w:eastAsia="zh-CN"/>
                    </w:rPr>
                    <w:t>2.5m×1.2m×1m</w:t>
                  </w:r>
                </w:p>
              </w:tc>
              <w:tc>
                <w:tcPr>
                  <w:tcW w:w="633"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1</w:t>
                  </w:r>
                </w:p>
              </w:tc>
              <w:tc>
                <w:tcPr>
                  <w:tcW w:w="541"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1</w:t>
                  </w:r>
                </w:p>
              </w:tc>
              <w:tc>
                <w:tcPr>
                  <w:tcW w:w="534" w:type="pct"/>
                  <w:vAlign w:val="center"/>
                </w:tcPr>
                <w:p>
                  <w:pPr>
                    <w:adjustRightInd w:val="0"/>
                    <w:snapToGrid w:val="0"/>
                    <w:jc w:val="center"/>
                    <w:rPr>
                      <w:rFonts w:hint="eastAsia" w:eastAsia="宋体"/>
                      <w:color w:val="FF0000"/>
                      <w:szCs w:val="21"/>
                      <w:u w:val="wave"/>
                      <w:lang w:val="en-US" w:eastAsia="zh-CN"/>
                    </w:rPr>
                  </w:pPr>
                  <w:r>
                    <w:rPr>
                      <w:rFonts w:hint="eastAsia"/>
                      <w:color w:val="FF0000"/>
                      <w:szCs w:val="21"/>
                      <w:u w:val="wave"/>
                      <w:lang w:val="en-US" w:eastAsia="zh-CN"/>
                    </w:rPr>
                    <w:t>0</w:t>
                  </w:r>
                </w:p>
              </w:tc>
              <w:tc>
                <w:tcPr>
                  <w:tcW w:w="616" w:type="pct"/>
                  <w:vAlign w:val="center"/>
                </w:tcPr>
                <w:p>
                  <w:pPr>
                    <w:pStyle w:val="38"/>
                    <w:spacing w:beforeLines="0" w:afterLines="0" w:line="240" w:lineRule="auto"/>
                    <w:ind w:firstLine="0"/>
                    <w:rPr>
                      <w:rFonts w:hint="eastAsia" w:ascii="Times New Roman" w:eastAsia="宋体"/>
                      <w:color w:val="FF0000"/>
                      <w:szCs w:val="21"/>
                      <w:u w:val="wave"/>
                      <w:lang w:val="en-US" w:eastAsia="zh-CN"/>
                    </w:rPr>
                  </w:pPr>
                  <w:r>
                    <w:rPr>
                      <w:rFonts w:hint="eastAsia" w:ascii="Times New Roman"/>
                      <w:color w:val="FF0000"/>
                      <w:szCs w:val="21"/>
                      <w:u w:val="wave"/>
                      <w:lang w:val="en-US" w:eastAsia="zh-CN"/>
                    </w:rPr>
                    <w:t>1</w:t>
                  </w:r>
                </w:p>
              </w:tc>
              <w:tc>
                <w:tcPr>
                  <w:tcW w:w="609" w:type="pct"/>
                  <w:vAlign w:val="center"/>
                </w:tcPr>
                <w:p>
                  <w:pPr>
                    <w:widowControl/>
                    <w:jc w:val="center"/>
                    <w:rPr>
                      <w:rFonts w:hint="eastAsia" w:eastAsia="宋体"/>
                      <w:color w:val="FF0000"/>
                      <w:kern w:val="0"/>
                      <w:szCs w:val="21"/>
                      <w:u w:val="wave"/>
                      <w:lang w:val="en-US" w:eastAsia="zh-CN"/>
                    </w:rPr>
                  </w:pPr>
                  <w:r>
                    <w:rPr>
                      <w:rFonts w:hint="eastAsia"/>
                      <w:color w:val="FF0000"/>
                      <w:kern w:val="0"/>
                      <w:szCs w:val="21"/>
                      <w:u w:val="wave"/>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szCs w:val="21"/>
                    </w:rPr>
                  </w:pPr>
                  <w:r>
                    <w:rPr>
                      <w:rFonts w:hint="eastAsia"/>
                      <w:b/>
                      <w:bCs/>
                      <w:szCs w:val="21"/>
                      <w:lang w:val="en-US" w:eastAsia="zh-CN"/>
                    </w:rPr>
                    <w:t>七</w:t>
                  </w:r>
                  <w:r>
                    <w:rPr>
                      <w:b/>
                      <w:bCs/>
                      <w:szCs w:val="21"/>
                    </w:rPr>
                    <w:t>车间（</w:t>
                  </w:r>
                  <w:r>
                    <w:rPr>
                      <w:rFonts w:hint="eastAsia"/>
                      <w:b/>
                      <w:bCs/>
                      <w:szCs w:val="21"/>
                      <w:lang w:val="en-US" w:eastAsia="zh-CN"/>
                    </w:rPr>
                    <w:t>浸漆</w:t>
                  </w:r>
                  <w:r>
                    <w:rPr>
                      <w:b/>
                      <w:bCs/>
                      <w:szCs w:val="21"/>
                    </w:rPr>
                    <w:t>车间）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全自动悬链钝化封闭线</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XLX-100</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有机废气处理设备</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悬链线配套</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38"/>
                    <w:spacing w:beforeLines="0" w:afterLines="0" w:line="240" w:lineRule="auto"/>
                    <w:ind w:firstLine="0"/>
                    <w:rPr>
                      <w:rFonts w:ascii="Times New Roman"/>
                      <w:szCs w:val="21"/>
                    </w:rPr>
                  </w:pPr>
                  <w:r>
                    <w:rPr>
                      <w:rFonts w:ascii="Times New Roman"/>
                      <w:szCs w:val="21"/>
                    </w:rPr>
                    <w:t>污水过滤系统</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悬链线配套</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rFonts w:hint="eastAsia" w:eastAsia="宋体"/>
                      <w:szCs w:val="21"/>
                      <w:lang w:eastAsia="zh-CN"/>
                    </w:rPr>
                  </w:pPr>
                  <w:r>
                    <w:rPr>
                      <w:rFonts w:hint="eastAsia"/>
                      <w:b/>
                      <w:bCs/>
                      <w:szCs w:val="21"/>
                      <w:lang w:val="en-US" w:eastAsia="zh-CN"/>
                    </w:rPr>
                    <w:t>九</w:t>
                  </w:r>
                  <w:r>
                    <w:rPr>
                      <w:b/>
                      <w:bCs/>
                      <w:szCs w:val="21"/>
                    </w:rPr>
                    <w:t>车间</w:t>
                  </w:r>
                  <w:r>
                    <w:rPr>
                      <w:rFonts w:hint="eastAsia"/>
                      <w:b/>
                      <w:bCs/>
                      <w:szCs w:val="21"/>
                      <w:lang w:eastAsia="zh-CN"/>
                    </w:rPr>
                    <w:t>（</w:t>
                  </w:r>
                  <w:r>
                    <w:rPr>
                      <w:rFonts w:hint="eastAsia"/>
                      <w:b/>
                      <w:bCs/>
                      <w:szCs w:val="21"/>
                      <w:lang w:val="en-US" w:eastAsia="zh-CN"/>
                    </w:rPr>
                    <w:t>下料二车间</w:t>
                  </w:r>
                  <w:r>
                    <w:rPr>
                      <w:rFonts w:hint="eastAsia"/>
                      <w:b/>
                      <w:bCs/>
                      <w:szCs w:val="21"/>
                      <w:lang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1</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液压单头冲孔机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20Y-100T</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自动送料机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与冲孔机配套</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3</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液压板料折弯机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WC67Y-100/3200</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4</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焊接机器人系统</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TKB-1900SE</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5</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液压闸式剪板机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QC11Y-</w:t>
                  </w:r>
                  <w:r>
                    <w:rPr>
                      <w:rFonts w:hint="eastAsia" w:ascii="Times New Roman" w:cs="Times New Roman"/>
                      <w:bCs/>
                      <w:color w:val="auto"/>
                      <w:kern w:val="2"/>
                      <w:sz w:val="21"/>
                      <w:szCs w:val="21"/>
                      <w:lang w:eastAsia="zh-CN"/>
                    </w:rPr>
                    <w:t>（</w:t>
                  </w:r>
                  <w:r>
                    <w:rPr>
                      <w:rFonts w:ascii="Times New Roman" w:cs="Times New Roman"/>
                      <w:bCs/>
                      <w:color w:val="auto"/>
                      <w:kern w:val="2"/>
                      <w:sz w:val="21"/>
                      <w:szCs w:val="21"/>
                    </w:rPr>
                    <w:t>20×2500</w:t>
                  </w:r>
                  <w:r>
                    <w:rPr>
                      <w:rFonts w:hint="eastAsia" w:ascii="Times New Roman" w:cs="Times New Roman"/>
                      <w:bCs/>
                      <w:color w:val="auto"/>
                      <w:kern w:val="2"/>
                      <w:sz w:val="21"/>
                      <w:szCs w:val="21"/>
                      <w:lang w:eastAsia="zh-CN"/>
                    </w:rPr>
                    <w:t>）</w:t>
                  </w:r>
                </w:p>
              </w:tc>
              <w:tc>
                <w:tcPr>
                  <w:tcW w:w="633"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41"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szCs w:val="21"/>
                    </w:rPr>
                  </w:pPr>
                  <w:r>
                    <w:rPr>
                      <w:rFonts w:ascii="Times New Roman"/>
                      <w:szCs w:val="21"/>
                    </w:rPr>
                    <w:t>2</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6</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数控等离子切割机</w:t>
                  </w:r>
                </w:p>
              </w:tc>
              <w:tc>
                <w:tcPr>
                  <w:tcW w:w="1065"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ZLQ-10A</w:t>
                  </w:r>
                </w:p>
              </w:tc>
              <w:tc>
                <w:tcPr>
                  <w:tcW w:w="633"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609" w:type="pct"/>
                  <w:vAlign w:val="center"/>
                </w:tcPr>
                <w:p>
                  <w:pPr>
                    <w:widowControl/>
                    <w:jc w:val="center"/>
                    <w:rPr>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7</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bCs/>
                      <w:color w:val="auto"/>
                      <w:kern w:val="2"/>
                      <w:sz w:val="21"/>
                      <w:szCs w:val="21"/>
                    </w:rPr>
                    <w:t>砂轮机</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541"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534" w:type="pct"/>
                  <w:vAlign w:val="center"/>
                </w:tcPr>
                <w:p>
                  <w:pPr>
                    <w:adjustRightInd w:val="0"/>
                    <w:snapToGrid w:val="0"/>
                    <w:jc w:val="center"/>
                    <w:rPr>
                      <w:szCs w:val="21"/>
                    </w:rPr>
                  </w:pPr>
                  <w:r>
                    <w:rPr>
                      <w:rFonts w:hint="eastAsia"/>
                      <w:szCs w:val="21"/>
                    </w:rPr>
                    <w:t>0</w:t>
                  </w:r>
                </w:p>
              </w:tc>
              <w:tc>
                <w:tcPr>
                  <w:tcW w:w="616" w:type="pct"/>
                  <w:vAlign w:val="center"/>
                </w:tcPr>
                <w:p>
                  <w:pPr>
                    <w:pStyle w:val="38"/>
                    <w:spacing w:beforeLines="0" w:afterLines="0" w:line="240" w:lineRule="auto"/>
                    <w:ind w:firstLine="0"/>
                    <w:rPr>
                      <w:rFonts w:ascii="Times New Roman"/>
                      <w:kern w:val="2"/>
                      <w:szCs w:val="21"/>
                    </w:rPr>
                  </w:pPr>
                  <w:r>
                    <w:rPr>
                      <w:rFonts w:ascii="Times New Roman"/>
                      <w:szCs w:val="21"/>
                    </w:rPr>
                    <w:t>1</w:t>
                  </w:r>
                </w:p>
              </w:tc>
              <w:tc>
                <w:tcPr>
                  <w:tcW w:w="609" w:type="pct"/>
                  <w:vAlign w:val="center"/>
                </w:tcPr>
                <w:p>
                  <w:pPr>
                    <w:adjustRightInd w:val="0"/>
                    <w:snapToGrid w:val="0"/>
                    <w:jc w:val="center"/>
                    <w:rPr>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000" w:type="pct"/>
                  <w:gridSpan w:val="8"/>
                  <w:vAlign w:val="center"/>
                </w:tcPr>
                <w:p>
                  <w:pPr>
                    <w:adjustRightInd w:val="0"/>
                    <w:snapToGrid w:val="0"/>
                    <w:jc w:val="center"/>
                    <w:rPr>
                      <w:rFonts w:hint="default" w:eastAsia="宋体"/>
                      <w:color w:val="000000"/>
                      <w:kern w:val="0"/>
                      <w:szCs w:val="21"/>
                      <w:lang w:val="en-US" w:eastAsia="zh-CN"/>
                    </w:rPr>
                  </w:pPr>
                  <w:r>
                    <w:rPr>
                      <w:rFonts w:hint="eastAsia"/>
                      <w:b/>
                      <w:bCs/>
                      <w:color w:val="000000"/>
                      <w:kern w:val="0"/>
                      <w:szCs w:val="21"/>
                      <w:lang w:val="en-US" w:eastAsia="zh-CN"/>
                    </w:rPr>
                    <w:t>环保设施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eastAsia" w:ascii="Times New Roman" w:eastAsia="宋体"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1</w:t>
                  </w:r>
                </w:p>
              </w:tc>
              <w:tc>
                <w:tcPr>
                  <w:tcW w:w="721" w:type="pct"/>
                  <w:vAlign w:val="center"/>
                </w:tcPr>
                <w:p>
                  <w:pPr>
                    <w:pStyle w:val="2"/>
                    <w:jc w:val="center"/>
                    <w:rPr>
                      <w:rFonts w:hint="eastAsia" w:ascii="Times New Roman" w:eastAsia="宋体"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排气筒</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6</w:t>
                  </w:r>
                </w:p>
              </w:tc>
              <w:tc>
                <w:tcPr>
                  <w:tcW w:w="541"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6</w:t>
                  </w:r>
                </w:p>
              </w:tc>
              <w:tc>
                <w:tcPr>
                  <w:tcW w:w="534" w:type="pct"/>
                  <w:vAlign w:val="center"/>
                </w:tcPr>
                <w:p>
                  <w:pPr>
                    <w:adjustRightInd w:val="0"/>
                    <w:snapToGrid w:val="0"/>
                    <w:jc w:val="center"/>
                    <w:rPr>
                      <w:rFonts w:hint="eastAsia" w:eastAsia="宋体"/>
                      <w:szCs w:val="21"/>
                      <w:lang w:val="en-US" w:eastAsia="zh-CN"/>
                    </w:rPr>
                  </w:pPr>
                  <w:r>
                    <w:rPr>
                      <w:rFonts w:hint="eastAsia"/>
                      <w:szCs w:val="21"/>
                      <w:lang w:val="en-US" w:eastAsia="zh-CN"/>
                    </w:rPr>
                    <w:t>3</w:t>
                  </w:r>
                </w:p>
              </w:tc>
              <w:tc>
                <w:tcPr>
                  <w:tcW w:w="616"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8</w:t>
                  </w:r>
                </w:p>
              </w:tc>
              <w:tc>
                <w:tcPr>
                  <w:tcW w:w="609" w:type="pct"/>
                  <w:vAlign w:val="center"/>
                </w:tcPr>
                <w:p>
                  <w:pPr>
                    <w:adjustRightInd w:val="0"/>
                    <w:snapToGrid w:val="0"/>
                    <w:jc w:val="center"/>
                    <w:rPr>
                      <w:rFonts w:hint="default" w:eastAsia="宋体"/>
                      <w:color w:val="000000"/>
                      <w:kern w:val="0"/>
                      <w:szCs w:val="21"/>
                      <w:lang w:val="en-US" w:eastAsia="zh-CN"/>
                    </w:rPr>
                  </w:pPr>
                  <w:r>
                    <w:rPr>
                      <w:rFonts w:hint="eastAsia"/>
                      <w:color w:val="000000"/>
                      <w:kern w:val="0"/>
                      <w:szCs w:val="21"/>
                      <w:lang w:val="en-US" w:eastAsia="zh-CN"/>
                    </w:rPr>
                    <w:t>停用DA001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default" w:ascii="Times New Roman"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2</w:t>
                  </w:r>
                </w:p>
              </w:tc>
              <w:tc>
                <w:tcPr>
                  <w:tcW w:w="721" w:type="pct"/>
                  <w:vAlign w:val="center"/>
                </w:tcPr>
                <w:p>
                  <w:pPr>
                    <w:pStyle w:val="2"/>
                    <w:jc w:val="center"/>
                    <w:rPr>
                      <w:rFonts w:ascii="Times New Roman" w:cs="Times New Roman"/>
                      <w:bCs/>
                      <w:color w:val="auto"/>
                      <w:kern w:val="2"/>
                      <w:sz w:val="21"/>
                      <w:szCs w:val="21"/>
                    </w:rPr>
                  </w:pPr>
                  <w:r>
                    <w:rPr>
                      <w:rFonts w:ascii="Times New Roman" w:cs="Times New Roman"/>
                      <w:sz w:val="21"/>
                      <w:szCs w:val="21"/>
                    </w:rPr>
                    <w:t>UV光解+活性炭吸附装置</w:t>
                  </w:r>
                </w:p>
              </w:tc>
              <w:tc>
                <w:tcPr>
                  <w:tcW w:w="1065" w:type="pct"/>
                  <w:vAlign w:val="center"/>
                </w:tcPr>
                <w:p>
                  <w:pPr>
                    <w:pStyle w:val="2"/>
                    <w:jc w:val="center"/>
                    <w:rPr>
                      <w:rFonts w:ascii="Times New Roman" w:cs="Times New Roman"/>
                      <w:bCs/>
                      <w:color w:val="auto"/>
                      <w:kern w:val="2"/>
                      <w:sz w:val="21"/>
                      <w:szCs w:val="21"/>
                    </w:rPr>
                  </w:pPr>
                </w:p>
              </w:tc>
              <w:tc>
                <w:tcPr>
                  <w:tcW w:w="633"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1</w:t>
                  </w:r>
                </w:p>
              </w:tc>
              <w:tc>
                <w:tcPr>
                  <w:tcW w:w="541"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1</w:t>
                  </w:r>
                </w:p>
              </w:tc>
              <w:tc>
                <w:tcPr>
                  <w:tcW w:w="534" w:type="pct"/>
                  <w:vAlign w:val="center"/>
                </w:tcPr>
                <w:p>
                  <w:pPr>
                    <w:adjustRightInd w:val="0"/>
                    <w:snapToGrid w:val="0"/>
                    <w:jc w:val="center"/>
                    <w:rPr>
                      <w:rFonts w:hint="eastAsia" w:eastAsia="宋体"/>
                      <w:szCs w:val="21"/>
                      <w:lang w:val="en-US" w:eastAsia="zh-CN"/>
                    </w:rPr>
                  </w:pPr>
                  <w:r>
                    <w:rPr>
                      <w:rFonts w:hint="eastAsia"/>
                      <w:szCs w:val="21"/>
                      <w:lang w:val="en-US" w:eastAsia="zh-CN"/>
                    </w:rPr>
                    <w:t>0</w:t>
                  </w:r>
                </w:p>
              </w:tc>
              <w:tc>
                <w:tcPr>
                  <w:tcW w:w="616" w:type="pct"/>
                  <w:vAlign w:val="center"/>
                </w:tcPr>
                <w:p>
                  <w:pPr>
                    <w:pStyle w:val="38"/>
                    <w:spacing w:beforeLines="0" w:afterLines="0" w:line="240" w:lineRule="auto"/>
                    <w:ind w:firstLine="0"/>
                    <w:rPr>
                      <w:rFonts w:hint="eastAsia" w:ascii="Times New Roman" w:eastAsia="宋体"/>
                      <w:szCs w:val="21"/>
                      <w:lang w:val="en-US" w:eastAsia="zh-CN"/>
                    </w:rPr>
                  </w:pPr>
                  <w:r>
                    <w:rPr>
                      <w:rFonts w:hint="eastAsia" w:ascii="Times New Roman"/>
                      <w:szCs w:val="21"/>
                      <w:lang w:val="en-US" w:eastAsia="zh-CN"/>
                    </w:rPr>
                    <w:t>1</w:t>
                  </w:r>
                </w:p>
              </w:tc>
              <w:tc>
                <w:tcPr>
                  <w:tcW w:w="609" w:type="pct"/>
                  <w:vAlign w:val="center"/>
                </w:tcPr>
                <w:p>
                  <w:pPr>
                    <w:adjustRightInd w:val="0"/>
                    <w:snapToGrid w:val="0"/>
                    <w:jc w:val="center"/>
                    <w:rPr>
                      <w:rFonts w:hint="eastAsia"/>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064" w:hRule="atLeast"/>
              </w:trPr>
              <w:tc>
                <w:tcPr>
                  <w:tcW w:w="277" w:type="pct"/>
                  <w:vAlign w:val="center"/>
                </w:tcPr>
                <w:p>
                  <w:pPr>
                    <w:pStyle w:val="2"/>
                    <w:jc w:val="center"/>
                    <w:rPr>
                      <w:rFonts w:hint="default" w:ascii="Times New Roman"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3</w:t>
                  </w:r>
                </w:p>
              </w:tc>
              <w:tc>
                <w:tcPr>
                  <w:tcW w:w="721" w:type="pct"/>
                  <w:vAlign w:val="center"/>
                </w:tcPr>
                <w:p>
                  <w:pPr>
                    <w:pStyle w:val="2"/>
                    <w:jc w:val="center"/>
                    <w:rPr>
                      <w:rFonts w:hint="eastAsia" w:ascii="Times New Roman" w:eastAsia="宋体" w:cs="Times New Roman"/>
                      <w:sz w:val="21"/>
                      <w:szCs w:val="21"/>
                      <w:lang w:eastAsia="zh-CN"/>
                    </w:rPr>
                  </w:pPr>
                  <w:r>
                    <w:rPr>
                      <w:rFonts w:hint="eastAsia" w:ascii="Times New Roman" w:cs="Times New Roman"/>
                      <w:sz w:val="21"/>
                      <w:szCs w:val="21"/>
                      <w:lang w:eastAsia="zh-CN"/>
                    </w:rPr>
                    <w:t>干式过滤+活性炭吸附+催化燃烧脱附（RCO）</w:t>
                  </w:r>
                </w:p>
              </w:tc>
              <w:tc>
                <w:tcPr>
                  <w:tcW w:w="1065" w:type="pct"/>
                  <w:vAlign w:val="center"/>
                </w:tcPr>
                <w:p>
                  <w:pPr>
                    <w:pStyle w:val="2"/>
                    <w:jc w:val="center"/>
                    <w:rPr>
                      <w:rFonts w:hint="default" w:ascii="Times New Roman" w:eastAsia="宋体"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30000m</w:t>
                  </w:r>
                  <w:r>
                    <w:rPr>
                      <w:rFonts w:hint="eastAsia" w:ascii="Times New Roman" w:cs="Times New Roman"/>
                      <w:bCs/>
                      <w:color w:val="auto"/>
                      <w:kern w:val="2"/>
                      <w:sz w:val="21"/>
                      <w:szCs w:val="21"/>
                      <w:vertAlign w:val="superscript"/>
                      <w:lang w:val="en-US" w:eastAsia="zh-CN"/>
                    </w:rPr>
                    <w:t>3</w:t>
                  </w:r>
                  <w:r>
                    <w:rPr>
                      <w:rFonts w:hint="eastAsia" w:ascii="Times New Roman" w:cs="Times New Roman"/>
                      <w:bCs/>
                      <w:color w:val="auto"/>
                      <w:kern w:val="2"/>
                      <w:sz w:val="21"/>
                      <w:szCs w:val="21"/>
                      <w:lang w:val="en-US" w:eastAsia="zh-CN"/>
                    </w:rPr>
                    <w:t>/h</w:t>
                  </w:r>
                </w:p>
              </w:tc>
              <w:tc>
                <w:tcPr>
                  <w:tcW w:w="633" w:type="pct"/>
                  <w:vAlign w:val="center"/>
                </w:tcPr>
                <w:p>
                  <w:pPr>
                    <w:pStyle w:val="38"/>
                    <w:spacing w:beforeLines="0" w:afterLines="0" w:line="240" w:lineRule="auto"/>
                    <w:ind w:firstLine="0"/>
                    <w:rPr>
                      <w:rFonts w:hint="default" w:ascii="Times New Roman"/>
                      <w:szCs w:val="21"/>
                      <w:lang w:val="en-US" w:eastAsia="zh-CN"/>
                    </w:rPr>
                  </w:pPr>
                  <w:r>
                    <w:rPr>
                      <w:rFonts w:hint="eastAsia" w:ascii="Times New Roman"/>
                      <w:szCs w:val="21"/>
                      <w:lang w:val="en-US" w:eastAsia="zh-CN"/>
                    </w:rPr>
                    <w:t>1</w:t>
                  </w:r>
                </w:p>
              </w:tc>
              <w:tc>
                <w:tcPr>
                  <w:tcW w:w="541" w:type="pct"/>
                  <w:vAlign w:val="center"/>
                </w:tcPr>
                <w:p>
                  <w:pPr>
                    <w:pStyle w:val="38"/>
                    <w:spacing w:beforeLines="0" w:afterLines="0" w:line="240" w:lineRule="auto"/>
                    <w:ind w:firstLine="0"/>
                    <w:rPr>
                      <w:rFonts w:hint="default" w:ascii="Times New Roman"/>
                      <w:szCs w:val="21"/>
                      <w:lang w:val="en-US" w:eastAsia="zh-CN"/>
                    </w:rPr>
                  </w:pPr>
                  <w:r>
                    <w:rPr>
                      <w:rFonts w:hint="eastAsia" w:ascii="Times New Roman"/>
                      <w:szCs w:val="21"/>
                      <w:lang w:val="en-US" w:eastAsia="zh-CN"/>
                    </w:rPr>
                    <w:t>1</w:t>
                  </w:r>
                </w:p>
              </w:tc>
              <w:tc>
                <w:tcPr>
                  <w:tcW w:w="534" w:type="pct"/>
                  <w:vAlign w:val="center"/>
                </w:tcPr>
                <w:p>
                  <w:pPr>
                    <w:adjustRightInd w:val="0"/>
                    <w:snapToGrid w:val="0"/>
                    <w:jc w:val="center"/>
                    <w:rPr>
                      <w:rFonts w:hint="default"/>
                      <w:szCs w:val="21"/>
                      <w:lang w:val="en-US" w:eastAsia="zh-CN"/>
                    </w:rPr>
                  </w:pPr>
                  <w:r>
                    <w:rPr>
                      <w:rFonts w:hint="eastAsia"/>
                      <w:szCs w:val="21"/>
                      <w:lang w:val="en-US" w:eastAsia="zh-CN"/>
                    </w:rPr>
                    <w:t>0</w:t>
                  </w:r>
                </w:p>
              </w:tc>
              <w:tc>
                <w:tcPr>
                  <w:tcW w:w="616" w:type="pct"/>
                  <w:vAlign w:val="center"/>
                </w:tcPr>
                <w:p>
                  <w:pPr>
                    <w:pStyle w:val="38"/>
                    <w:spacing w:beforeLines="0" w:afterLines="0" w:line="240" w:lineRule="auto"/>
                    <w:ind w:firstLine="0"/>
                    <w:rPr>
                      <w:rFonts w:hint="default" w:ascii="Times New Roman"/>
                      <w:szCs w:val="21"/>
                      <w:lang w:val="en-US" w:eastAsia="zh-CN"/>
                    </w:rPr>
                  </w:pPr>
                  <w:r>
                    <w:rPr>
                      <w:rFonts w:hint="eastAsia" w:ascii="Times New Roman"/>
                      <w:szCs w:val="21"/>
                      <w:lang w:val="en-US" w:eastAsia="zh-CN"/>
                    </w:rPr>
                    <w:t>1</w:t>
                  </w:r>
                </w:p>
              </w:tc>
              <w:tc>
                <w:tcPr>
                  <w:tcW w:w="609" w:type="pct"/>
                  <w:vAlign w:val="center"/>
                </w:tcPr>
                <w:p>
                  <w:pPr>
                    <w:adjustRightInd w:val="0"/>
                    <w:snapToGrid w:val="0"/>
                    <w:jc w:val="center"/>
                    <w:rPr>
                      <w:rFonts w:hint="eastAsia"/>
                      <w:color w:val="000000"/>
                      <w:kern w:val="0"/>
                      <w:szCs w:val="21"/>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default" w:ascii="Times New Roman"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4</w:t>
                  </w:r>
                </w:p>
              </w:tc>
              <w:tc>
                <w:tcPr>
                  <w:tcW w:w="721" w:type="pct"/>
                  <w:vAlign w:val="center"/>
                </w:tcPr>
                <w:p>
                  <w:pPr>
                    <w:pStyle w:val="2"/>
                    <w:jc w:val="center"/>
                    <w:rPr>
                      <w:rFonts w:hint="eastAsia" w:ascii="Times New Roman" w:hAnsi="Times New Roman" w:eastAsia="宋体" w:cs="Times New Roman"/>
                      <w:color w:val="000000"/>
                      <w:sz w:val="21"/>
                      <w:szCs w:val="21"/>
                      <w:lang w:val="en-US" w:eastAsia="zh-CN" w:bidi="ar-SA"/>
                    </w:rPr>
                  </w:pPr>
                  <w:r>
                    <w:rPr>
                      <w:rFonts w:hint="eastAsia" w:ascii="Times New Roman" w:cs="Times New Roman"/>
                      <w:sz w:val="21"/>
                      <w:szCs w:val="21"/>
                      <w:lang w:val="en-US" w:eastAsia="zh-CN"/>
                    </w:rPr>
                    <w:t>压滤机</w:t>
                  </w:r>
                </w:p>
              </w:tc>
              <w:tc>
                <w:tcPr>
                  <w:tcW w:w="1065" w:type="pct"/>
                  <w:vAlign w:val="center"/>
                </w:tcPr>
                <w:p>
                  <w:pPr>
                    <w:pStyle w:val="2"/>
                    <w:jc w:val="center"/>
                    <w:rPr>
                      <w:rFonts w:ascii="Times New Roman" w:hAnsi="Times New Roman" w:eastAsia="宋体" w:cs="Times New Roman"/>
                      <w:bCs/>
                      <w:color w:val="auto"/>
                      <w:kern w:val="2"/>
                      <w:sz w:val="21"/>
                      <w:szCs w:val="21"/>
                      <w:lang w:val="en-US" w:eastAsia="zh-CN" w:bidi="ar-SA"/>
                    </w:rPr>
                  </w:pPr>
                </w:p>
              </w:tc>
              <w:tc>
                <w:tcPr>
                  <w:tcW w:w="633"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1</w:t>
                  </w:r>
                </w:p>
              </w:tc>
              <w:tc>
                <w:tcPr>
                  <w:tcW w:w="541"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1</w:t>
                  </w:r>
                </w:p>
              </w:tc>
              <w:tc>
                <w:tcPr>
                  <w:tcW w:w="534" w:type="pct"/>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0</w:t>
                  </w:r>
                </w:p>
              </w:tc>
              <w:tc>
                <w:tcPr>
                  <w:tcW w:w="616"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1</w:t>
                  </w:r>
                </w:p>
              </w:tc>
              <w:tc>
                <w:tcPr>
                  <w:tcW w:w="609" w:type="pct"/>
                  <w:vAlign w:val="center"/>
                </w:tcPr>
                <w:p>
                  <w:pPr>
                    <w:adjustRightInd w:val="0"/>
                    <w:snapToGrid w:val="0"/>
                    <w:jc w:val="center"/>
                    <w:rPr>
                      <w:rFonts w:hint="default" w:ascii="Times New Roman" w:hAnsi="Times New Roman" w:eastAsia="宋体" w:cs="Times New Roman"/>
                      <w:color w:val="000000"/>
                      <w:kern w:val="0"/>
                      <w:sz w:val="21"/>
                      <w:szCs w:val="21"/>
                      <w:lang w:val="en-US" w:eastAsia="zh-CN" w:bidi="ar-SA"/>
                    </w:rPr>
                  </w:pPr>
                  <w:r>
                    <w:rPr>
                      <w:rFonts w:hint="eastAsia"/>
                      <w:color w:val="000000"/>
                      <w:kern w:val="0"/>
                      <w:szCs w:val="21"/>
                    </w:rPr>
                    <w:t>不变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277" w:type="pct"/>
                  <w:vAlign w:val="center"/>
                </w:tcPr>
                <w:p>
                  <w:pPr>
                    <w:pStyle w:val="2"/>
                    <w:jc w:val="center"/>
                    <w:rPr>
                      <w:rFonts w:hint="default" w:ascii="Times New Roman" w:cs="Times New Roman"/>
                      <w:bCs/>
                      <w:color w:val="auto"/>
                      <w:kern w:val="2"/>
                      <w:sz w:val="21"/>
                      <w:szCs w:val="21"/>
                      <w:lang w:val="en-US" w:eastAsia="zh-CN"/>
                    </w:rPr>
                  </w:pPr>
                  <w:r>
                    <w:rPr>
                      <w:rFonts w:hint="eastAsia" w:ascii="Times New Roman" w:cs="Times New Roman"/>
                      <w:bCs/>
                      <w:color w:val="auto"/>
                      <w:kern w:val="2"/>
                      <w:sz w:val="21"/>
                      <w:szCs w:val="21"/>
                      <w:lang w:val="en-US" w:eastAsia="zh-CN"/>
                    </w:rPr>
                    <w:t>5</w:t>
                  </w:r>
                </w:p>
              </w:tc>
              <w:tc>
                <w:tcPr>
                  <w:tcW w:w="721" w:type="pct"/>
                  <w:vAlign w:val="center"/>
                </w:tcPr>
                <w:p>
                  <w:pPr>
                    <w:pStyle w:val="2"/>
                    <w:jc w:val="center"/>
                    <w:rPr>
                      <w:rFonts w:hint="eastAsia" w:ascii="Times New Roman" w:hAnsi="Times New Roman" w:eastAsia="宋体" w:cs="Times New Roman"/>
                      <w:color w:val="000000"/>
                      <w:sz w:val="21"/>
                      <w:szCs w:val="21"/>
                      <w:lang w:val="en-US" w:eastAsia="zh-CN" w:bidi="ar-SA"/>
                    </w:rPr>
                  </w:pPr>
                  <w:r>
                    <w:rPr>
                      <w:rFonts w:hint="eastAsia" w:ascii="Times New Roman" w:cs="Times New Roman"/>
                      <w:sz w:val="21"/>
                      <w:szCs w:val="21"/>
                      <w:lang w:eastAsia="zh-CN"/>
                    </w:rPr>
                    <w:t>光解式复合油烟净化器</w:t>
                  </w:r>
                </w:p>
              </w:tc>
              <w:tc>
                <w:tcPr>
                  <w:tcW w:w="1065" w:type="pct"/>
                  <w:vAlign w:val="center"/>
                </w:tcPr>
                <w:p>
                  <w:pPr>
                    <w:pStyle w:val="2"/>
                    <w:jc w:val="center"/>
                    <w:rPr>
                      <w:rFonts w:ascii="Times New Roman" w:hAnsi="Times New Roman" w:eastAsia="宋体" w:cs="Times New Roman"/>
                      <w:bCs/>
                      <w:color w:val="auto"/>
                      <w:kern w:val="2"/>
                      <w:sz w:val="21"/>
                      <w:szCs w:val="21"/>
                      <w:lang w:val="en-US" w:eastAsia="zh-CN" w:bidi="ar-SA"/>
                    </w:rPr>
                  </w:pPr>
                </w:p>
              </w:tc>
              <w:tc>
                <w:tcPr>
                  <w:tcW w:w="633"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0</w:t>
                  </w:r>
                </w:p>
              </w:tc>
              <w:tc>
                <w:tcPr>
                  <w:tcW w:w="541"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0</w:t>
                  </w:r>
                </w:p>
              </w:tc>
              <w:tc>
                <w:tcPr>
                  <w:tcW w:w="534" w:type="pct"/>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w:t>
                  </w:r>
                </w:p>
              </w:tc>
              <w:tc>
                <w:tcPr>
                  <w:tcW w:w="616" w:type="pct"/>
                  <w:vAlign w:val="center"/>
                </w:tcPr>
                <w:p>
                  <w:pPr>
                    <w:pStyle w:val="38"/>
                    <w:spacing w:beforeLines="0" w:afterLines="0" w:line="240" w:lineRule="auto"/>
                    <w:ind w:firstLine="0" w:firstLineChars="0"/>
                    <w:rPr>
                      <w:rFonts w:hint="default" w:ascii="Times New Roman" w:hAnsi="Times New Roman" w:eastAsia="宋体" w:cs="Times New Roman"/>
                      <w:kern w:val="0"/>
                      <w:sz w:val="21"/>
                      <w:szCs w:val="21"/>
                      <w:lang w:val="en-US" w:eastAsia="zh-CN" w:bidi="ar-SA"/>
                    </w:rPr>
                  </w:pPr>
                  <w:r>
                    <w:rPr>
                      <w:rFonts w:hint="eastAsia" w:ascii="Times New Roman"/>
                      <w:szCs w:val="21"/>
                      <w:lang w:val="en-US" w:eastAsia="zh-CN"/>
                    </w:rPr>
                    <w:t>1</w:t>
                  </w:r>
                </w:p>
              </w:tc>
              <w:tc>
                <w:tcPr>
                  <w:tcW w:w="609" w:type="pct"/>
                  <w:vAlign w:val="center"/>
                </w:tcPr>
                <w:p>
                  <w:pPr>
                    <w:adjustRightInd w:val="0"/>
                    <w:snapToGrid w:val="0"/>
                    <w:jc w:val="center"/>
                    <w:rPr>
                      <w:rFonts w:hint="eastAsia" w:ascii="Times New Roman" w:hAnsi="Times New Roman" w:eastAsia="宋体" w:cs="Times New Roman"/>
                      <w:color w:val="000000"/>
                      <w:kern w:val="0"/>
                      <w:sz w:val="21"/>
                      <w:szCs w:val="21"/>
                      <w:lang w:val="en-US" w:eastAsia="zh-CN" w:bidi="ar-SA"/>
                    </w:rPr>
                  </w:pPr>
                  <w:r>
                    <w:rPr>
                      <w:rFonts w:hint="eastAsia"/>
                      <w:color w:val="000000"/>
                      <w:kern w:val="0"/>
                      <w:szCs w:val="21"/>
                      <w:lang w:val="en-US" w:eastAsia="zh-CN"/>
                    </w:rPr>
                    <w:t>+1</w:t>
                  </w:r>
                </w:p>
              </w:tc>
            </w:tr>
          </w:tbl>
          <w:p>
            <w:pPr>
              <w:adjustRightInd w:val="0"/>
              <w:snapToGrid w:val="0"/>
              <w:spacing w:line="360" w:lineRule="auto"/>
              <w:ind w:firstLine="482" w:firstLineChars="200"/>
              <w:rPr>
                <w:rFonts w:hint="eastAsia"/>
                <w:b/>
                <w:bCs/>
                <w:color w:val="FF0000"/>
                <w:sz w:val="24"/>
                <w:u w:val="wave"/>
                <w:lang w:val="en-US" w:eastAsia="zh-CN"/>
              </w:rPr>
            </w:pPr>
            <w:r>
              <w:rPr>
                <w:rFonts w:hint="eastAsia"/>
                <w:b/>
                <w:bCs/>
                <w:color w:val="FF0000"/>
                <w:sz w:val="24"/>
                <w:u w:val="wave"/>
                <w:lang w:val="en-US" w:eastAsia="zh-CN"/>
              </w:rPr>
              <w:t>增设的2台四方滚筒燃气渗锌炉生产能力与替代的4台</w:t>
            </w:r>
            <w:r>
              <w:rPr>
                <w:rFonts w:hint="eastAsia" w:eastAsiaTheme="minorEastAsia"/>
                <w:b/>
                <w:bCs/>
                <w:color w:val="FF0000"/>
                <w:spacing w:val="-2"/>
                <w:sz w:val="24"/>
                <w:u w:val="wave"/>
                <w:lang w:val="en-US" w:eastAsia="zh-CN"/>
              </w:rPr>
              <w:t>电加热渗锌设备生产能力</w:t>
            </w:r>
            <w:r>
              <w:rPr>
                <w:rFonts w:hint="eastAsia"/>
                <w:b/>
                <w:bCs/>
                <w:color w:val="FF0000"/>
                <w:sz w:val="24"/>
                <w:u w:val="wave"/>
                <w:lang w:val="en-US" w:eastAsia="zh-CN"/>
              </w:rPr>
              <w:t>匹配性分析：</w:t>
            </w:r>
          </w:p>
          <w:p>
            <w:pPr>
              <w:adjustRightInd w:val="0"/>
              <w:snapToGrid w:val="0"/>
              <w:spacing w:line="360" w:lineRule="auto"/>
              <w:ind w:firstLine="480" w:firstLineChars="200"/>
              <w:rPr>
                <w:rFonts w:hint="default"/>
                <w:b w:val="0"/>
                <w:bCs w:val="0"/>
                <w:color w:val="FF0000"/>
                <w:sz w:val="24"/>
                <w:u w:val="wave"/>
                <w:lang w:val="en-US" w:eastAsia="zh-CN"/>
              </w:rPr>
            </w:pPr>
            <w:r>
              <w:rPr>
                <w:rFonts w:hint="eastAsia"/>
                <w:b w:val="0"/>
                <w:bCs w:val="0"/>
                <w:color w:val="FF0000"/>
                <w:sz w:val="24"/>
                <w:u w:val="wave"/>
                <w:lang w:val="en-US" w:eastAsia="zh-CN"/>
              </w:rPr>
              <w:t>改建前，项目渗锌二车间4台电加热渗锌每炉预埋件处理量约为1~4t/批次，平均2.5t/批次，每日工作2台，每日渗锌2批次，年工作总批次1200批次，预埋件处理量3000t/a；改建后，项目增设的2台四方滚筒燃气渗锌炉每炉预埋件处理量约为8~10t/批次，平均9t/批次，每日工作1台，每日渗锌2批次，年工作总批次600批次，预埋件渗锌量可达5400t/a，项目设计产能为3000t/a，因此。本项目增设的2台四方滚筒燃气渗锌炉生产能力可与替代的4台</w:t>
            </w:r>
            <w:r>
              <w:rPr>
                <w:rFonts w:hint="eastAsia" w:eastAsiaTheme="minorEastAsia"/>
                <w:color w:val="FF0000"/>
                <w:spacing w:val="-2"/>
                <w:sz w:val="24"/>
                <w:u w:val="wave"/>
                <w:lang w:val="en-US" w:eastAsia="zh-CN"/>
              </w:rPr>
              <w:t>电加热渗锌设备生产能力相当。</w:t>
            </w:r>
          </w:p>
          <w:p>
            <w:pPr>
              <w:adjustRightInd w:val="0"/>
              <w:snapToGrid w:val="0"/>
              <w:spacing w:line="360" w:lineRule="auto"/>
              <w:ind w:firstLine="482" w:firstLineChars="200"/>
              <w:rPr>
                <w:b/>
                <w:bCs/>
                <w:sz w:val="24"/>
              </w:rPr>
            </w:pPr>
            <w:r>
              <w:rPr>
                <w:rFonts w:hint="eastAsia"/>
                <w:b/>
                <w:bCs/>
                <w:sz w:val="24"/>
              </w:rPr>
              <w:t>6</w:t>
            </w:r>
            <w:r>
              <w:rPr>
                <w:b/>
                <w:bCs/>
                <w:sz w:val="24"/>
              </w:rPr>
              <w:t>、公用工程</w:t>
            </w:r>
          </w:p>
          <w:p>
            <w:pPr>
              <w:adjustRightInd w:val="0"/>
              <w:snapToGrid w:val="0"/>
              <w:spacing w:line="360" w:lineRule="auto"/>
              <w:ind w:firstLine="480" w:firstLineChars="200"/>
              <w:rPr>
                <w:sz w:val="24"/>
              </w:rPr>
            </w:pPr>
            <w:r>
              <w:rPr>
                <w:sz w:val="24"/>
              </w:rPr>
              <w:t>（1）给排水工程</w:t>
            </w:r>
          </w:p>
          <w:p>
            <w:pPr>
              <w:adjustRightInd w:val="0"/>
              <w:snapToGrid w:val="0"/>
              <w:spacing w:line="360" w:lineRule="auto"/>
              <w:ind w:firstLine="480" w:firstLineChars="200"/>
              <w:rPr>
                <w:rFonts w:hint="eastAsia"/>
                <w:sz w:val="24"/>
              </w:rPr>
            </w:pPr>
            <w:r>
              <w:rPr>
                <w:rFonts w:hint="eastAsia"/>
                <w:sz w:val="24"/>
              </w:rPr>
              <w:t>本</w:t>
            </w:r>
            <w:r>
              <w:rPr>
                <w:rFonts w:hint="eastAsia"/>
                <w:sz w:val="24"/>
                <w:lang w:val="en-US" w:eastAsia="zh-CN"/>
              </w:rPr>
              <w:t>次改建</w:t>
            </w:r>
            <w:r>
              <w:rPr>
                <w:rFonts w:hint="eastAsia"/>
                <w:sz w:val="24"/>
              </w:rPr>
              <w:t>项目不新增</w:t>
            </w:r>
            <w:r>
              <w:rPr>
                <w:rFonts w:hint="eastAsia"/>
                <w:sz w:val="24"/>
                <w:lang w:val="en-US" w:eastAsia="zh-CN"/>
              </w:rPr>
              <w:t>员工、不新增车间面积、清洗设备类型及台（套）数不变、产品及产量也不变，故不新增</w:t>
            </w:r>
            <w:r>
              <w:rPr>
                <w:rFonts w:hint="eastAsia"/>
                <w:sz w:val="24"/>
              </w:rPr>
              <w:t>用水及排水，目前阶段全厂水平衡见下图。</w:t>
            </w:r>
          </w:p>
          <w:p>
            <w:pPr>
              <w:pStyle w:val="2"/>
              <w:jc w:val="center"/>
              <w:rPr>
                <w:rFonts w:hint="eastAsia"/>
                <w:sz w:val="24"/>
              </w:rPr>
            </w:pPr>
            <w:r>
              <w:rPr>
                <w:rFonts w:hint="eastAsia"/>
                <w:sz w:val="24"/>
              </w:rPr>
              <w:object>
                <v:shape id="_x0000_i1025" o:spt="75" type="#_x0000_t75" style="height:261.05pt;width:431.6pt;" o:ole="t" filled="f" o:preferrelative="t" stroked="f" coordsize="21600,21600">
                  <v:path/>
                  <v:fill on="f" focussize="0,0"/>
                  <v:stroke on="f"/>
                  <v:imagedata r:id="rId9" o:title=""/>
                  <o:lock v:ext="edit" aspectratio="f"/>
                  <w10:wrap type="none"/>
                  <w10:anchorlock/>
                </v:shape>
                <o:OLEObject Type="Embed" ProgID="Visio.Drawing.11" ShapeID="_x0000_i1025" DrawAspect="Content" ObjectID="_1468075725" r:id="rId8">
                  <o:LockedField>false</o:LockedField>
                </o:OLEObject>
              </w:object>
            </w:r>
          </w:p>
          <w:p>
            <w:pPr>
              <w:widowControl/>
              <w:spacing w:line="360" w:lineRule="auto"/>
              <w:ind w:firstLine="422" w:firstLineChars="200"/>
              <w:jc w:val="center"/>
              <w:rPr>
                <w:b/>
                <w:bCs/>
                <w:szCs w:val="21"/>
              </w:rPr>
            </w:pPr>
            <w:r>
              <w:rPr>
                <w:rFonts w:hint="eastAsia"/>
                <w:b/>
                <w:bCs/>
                <w:szCs w:val="21"/>
              </w:rPr>
              <w:t>图2-1  目前阶段全厂水平衡图  单位：m</w:t>
            </w:r>
            <w:r>
              <w:rPr>
                <w:rFonts w:hint="eastAsia"/>
                <w:b/>
                <w:bCs/>
                <w:szCs w:val="21"/>
                <w:vertAlign w:val="superscript"/>
              </w:rPr>
              <w:t>3</w:t>
            </w:r>
            <w:r>
              <w:rPr>
                <w:rFonts w:hint="eastAsia"/>
                <w:b/>
                <w:bCs/>
                <w:szCs w:val="21"/>
              </w:rPr>
              <w:t>/d</w:t>
            </w:r>
          </w:p>
          <w:p>
            <w:pPr>
              <w:adjustRightInd w:val="0"/>
              <w:snapToGrid w:val="0"/>
              <w:spacing w:line="360" w:lineRule="auto"/>
              <w:ind w:firstLine="480" w:firstLineChars="200"/>
              <w:rPr>
                <w:sz w:val="24"/>
              </w:rPr>
            </w:pPr>
            <w:r>
              <w:rPr>
                <w:sz w:val="24"/>
              </w:rPr>
              <w:t>（2）供配电</w:t>
            </w:r>
          </w:p>
          <w:p>
            <w:pPr>
              <w:adjustRightInd w:val="0"/>
              <w:snapToGrid w:val="0"/>
              <w:spacing w:line="360" w:lineRule="auto"/>
              <w:ind w:firstLine="480" w:firstLineChars="200"/>
              <w:rPr>
                <w:sz w:val="24"/>
              </w:rPr>
            </w:pPr>
            <w:r>
              <w:rPr>
                <w:sz w:val="24"/>
              </w:rPr>
              <w:t>项目供电由市政电网</w:t>
            </w:r>
            <w:r>
              <w:rPr>
                <w:rFonts w:hint="eastAsia"/>
                <w:sz w:val="24"/>
              </w:rPr>
              <w:t>供给</w:t>
            </w:r>
            <w:r>
              <w:rPr>
                <w:sz w:val="24"/>
              </w:rPr>
              <w:t>，</w:t>
            </w:r>
            <w:r>
              <w:rPr>
                <w:rFonts w:hint="eastAsia"/>
                <w:sz w:val="24"/>
              </w:rPr>
              <w:t>现有项目</w:t>
            </w:r>
            <w:r>
              <w:rPr>
                <w:sz w:val="24"/>
              </w:rPr>
              <w:t>年用电量约</w:t>
            </w:r>
            <w:r>
              <w:rPr>
                <w:rFonts w:hint="eastAsia"/>
                <w:sz w:val="24"/>
                <w:lang w:val="en-US" w:eastAsia="zh-CN"/>
              </w:rPr>
              <w:t>190</w:t>
            </w:r>
            <w:r>
              <w:rPr>
                <w:rFonts w:hint="eastAsia"/>
                <w:sz w:val="24"/>
              </w:rPr>
              <w:t>万kW</w:t>
            </w:r>
            <w:r>
              <w:rPr>
                <w:sz w:val="24"/>
              </w:rPr>
              <w:t>·</w:t>
            </w:r>
            <w:r>
              <w:rPr>
                <w:rFonts w:hint="eastAsia"/>
                <w:sz w:val="24"/>
              </w:rPr>
              <w:t>h/a，</w:t>
            </w:r>
            <w:r>
              <w:rPr>
                <w:rFonts w:hint="eastAsia"/>
                <w:sz w:val="24"/>
                <w:lang w:val="en-US" w:eastAsia="zh-CN"/>
              </w:rPr>
              <w:t>改建完成后</w:t>
            </w:r>
            <w:r>
              <w:rPr>
                <w:rFonts w:hint="eastAsia"/>
                <w:sz w:val="24"/>
              </w:rPr>
              <w:t>，</w:t>
            </w:r>
            <w:r>
              <w:rPr>
                <w:sz w:val="24"/>
              </w:rPr>
              <w:t>年用电量约</w:t>
            </w:r>
            <w:r>
              <w:rPr>
                <w:rFonts w:hint="eastAsia"/>
                <w:sz w:val="24"/>
                <w:lang w:val="en-US" w:eastAsia="zh-CN"/>
              </w:rPr>
              <w:t>110</w:t>
            </w:r>
            <w:r>
              <w:rPr>
                <w:rFonts w:hint="eastAsia"/>
                <w:sz w:val="24"/>
              </w:rPr>
              <w:t>万kW</w:t>
            </w:r>
            <w:r>
              <w:rPr>
                <w:sz w:val="24"/>
              </w:rPr>
              <w:t>·</w:t>
            </w:r>
            <w:r>
              <w:rPr>
                <w:rFonts w:hint="eastAsia"/>
                <w:sz w:val="24"/>
              </w:rPr>
              <w:t>h/a</w:t>
            </w:r>
            <w:r>
              <w:rPr>
                <w:sz w:val="24"/>
              </w:rPr>
              <w:t>。</w:t>
            </w:r>
          </w:p>
          <w:p>
            <w:pPr>
              <w:adjustRightInd w:val="0"/>
              <w:snapToGrid w:val="0"/>
              <w:spacing w:line="360" w:lineRule="auto"/>
              <w:ind w:firstLine="480" w:firstLineChars="200"/>
              <w:rPr>
                <w:bCs/>
                <w:sz w:val="24"/>
              </w:rPr>
            </w:pPr>
            <w:r>
              <w:rPr>
                <w:rFonts w:hint="eastAsia"/>
                <w:bCs/>
                <w:sz w:val="24"/>
              </w:rPr>
              <w:t>（3）供气</w:t>
            </w:r>
          </w:p>
          <w:p>
            <w:pPr>
              <w:adjustRightInd w:val="0"/>
              <w:snapToGrid w:val="0"/>
              <w:spacing w:line="360" w:lineRule="auto"/>
              <w:ind w:firstLine="480" w:firstLineChars="200"/>
              <w:rPr>
                <w:bCs/>
                <w:color w:val="auto"/>
                <w:sz w:val="24"/>
              </w:rPr>
            </w:pPr>
            <w:r>
              <w:rPr>
                <w:rFonts w:hint="eastAsia"/>
                <w:bCs/>
                <w:color w:val="auto"/>
                <w:sz w:val="24"/>
              </w:rPr>
              <w:t>现有项目年消耗天然气量约为</w:t>
            </w:r>
            <w:r>
              <w:rPr>
                <w:rFonts w:hint="eastAsia"/>
                <w:bCs/>
                <w:color w:val="auto"/>
                <w:sz w:val="24"/>
                <w:lang w:val="en-US" w:eastAsia="zh-CN"/>
              </w:rPr>
              <w:t>3</w:t>
            </w:r>
            <w:r>
              <w:rPr>
                <w:rFonts w:hint="eastAsia"/>
                <w:bCs/>
                <w:color w:val="auto"/>
                <w:sz w:val="24"/>
              </w:rPr>
              <w:t>00m</w:t>
            </w:r>
            <w:r>
              <w:rPr>
                <w:rFonts w:hint="eastAsia"/>
                <w:bCs/>
                <w:color w:val="auto"/>
                <w:sz w:val="24"/>
                <w:vertAlign w:val="superscript"/>
              </w:rPr>
              <w:t>3</w:t>
            </w:r>
            <w:r>
              <w:rPr>
                <w:rFonts w:hint="eastAsia"/>
                <w:bCs/>
                <w:color w:val="auto"/>
                <w:sz w:val="24"/>
              </w:rPr>
              <w:t>/d（</w:t>
            </w:r>
            <w:r>
              <w:rPr>
                <w:rFonts w:hint="eastAsia"/>
                <w:bCs/>
                <w:color w:val="auto"/>
                <w:sz w:val="24"/>
                <w:lang w:val="en-US" w:eastAsia="zh-CN"/>
              </w:rPr>
              <w:t>9</w:t>
            </w:r>
            <w:r>
              <w:rPr>
                <w:rFonts w:hint="eastAsia"/>
                <w:bCs/>
                <w:color w:val="auto"/>
                <w:sz w:val="24"/>
              </w:rPr>
              <w:t>万m</w:t>
            </w:r>
            <w:r>
              <w:rPr>
                <w:rFonts w:hint="eastAsia"/>
                <w:bCs/>
                <w:color w:val="auto"/>
                <w:sz w:val="24"/>
                <w:vertAlign w:val="superscript"/>
              </w:rPr>
              <w:t>3</w:t>
            </w:r>
            <w:r>
              <w:rPr>
                <w:rFonts w:hint="eastAsia"/>
                <w:bCs/>
                <w:color w:val="auto"/>
                <w:sz w:val="24"/>
              </w:rPr>
              <w:t>/a），</w:t>
            </w:r>
            <w:r>
              <w:rPr>
                <w:rFonts w:hint="eastAsia"/>
                <w:color w:val="auto"/>
                <w:sz w:val="24"/>
                <w:lang w:val="en-US" w:eastAsia="zh-CN"/>
              </w:rPr>
              <w:t>改建完成后</w:t>
            </w:r>
            <w:r>
              <w:rPr>
                <w:rFonts w:hint="eastAsia"/>
                <w:color w:val="auto"/>
                <w:sz w:val="24"/>
              </w:rPr>
              <w:t>，</w:t>
            </w:r>
            <w:r>
              <w:rPr>
                <w:rFonts w:hint="eastAsia"/>
                <w:bCs/>
                <w:color w:val="auto"/>
                <w:sz w:val="24"/>
              </w:rPr>
              <w:t>年消耗天然气量约为</w:t>
            </w:r>
            <w:r>
              <w:rPr>
                <w:rFonts w:hint="eastAsia"/>
                <w:bCs/>
                <w:color w:val="auto"/>
                <w:sz w:val="24"/>
                <w:lang w:val="en-US" w:eastAsia="zh-CN"/>
              </w:rPr>
              <w:t>6</w:t>
            </w:r>
            <w:r>
              <w:rPr>
                <w:rFonts w:hint="eastAsia"/>
                <w:bCs/>
                <w:color w:val="auto"/>
                <w:sz w:val="24"/>
              </w:rPr>
              <w:t>00m</w:t>
            </w:r>
            <w:r>
              <w:rPr>
                <w:rFonts w:hint="eastAsia"/>
                <w:bCs/>
                <w:color w:val="auto"/>
                <w:sz w:val="24"/>
                <w:vertAlign w:val="superscript"/>
              </w:rPr>
              <w:t>3</w:t>
            </w:r>
            <w:r>
              <w:rPr>
                <w:rFonts w:hint="eastAsia"/>
                <w:bCs/>
                <w:color w:val="auto"/>
                <w:sz w:val="24"/>
              </w:rPr>
              <w:t>/d（</w:t>
            </w:r>
            <w:r>
              <w:rPr>
                <w:rFonts w:hint="eastAsia"/>
                <w:bCs/>
                <w:color w:val="auto"/>
                <w:sz w:val="24"/>
                <w:lang w:val="en-US" w:eastAsia="zh-CN"/>
              </w:rPr>
              <w:t>18</w:t>
            </w:r>
            <w:r>
              <w:rPr>
                <w:rFonts w:hint="eastAsia"/>
                <w:bCs/>
                <w:color w:val="auto"/>
                <w:sz w:val="24"/>
              </w:rPr>
              <w:t>万m</w:t>
            </w:r>
            <w:r>
              <w:rPr>
                <w:rFonts w:hint="eastAsia"/>
                <w:bCs/>
                <w:color w:val="auto"/>
                <w:sz w:val="24"/>
                <w:vertAlign w:val="superscript"/>
              </w:rPr>
              <w:t>3</w:t>
            </w:r>
            <w:r>
              <w:rPr>
                <w:rFonts w:hint="eastAsia"/>
                <w:bCs/>
                <w:color w:val="auto"/>
                <w:sz w:val="24"/>
              </w:rPr>
              <w:t>/a）。</w:t>
            </w:r>
          </w:p>
          <w:p>
            <w:pPr>
              <w:adjustRightInd w:val="0"/>
              <w:snapToGrid w:val="0"/>
              <w:spacing w:line="360" w:lineRule="auto"/>
              <w:ind w:firstLine="482" w:firstLineChars="200"/>
              <w:rPr>
                <w:b/>
                <w:bCs/>
                <w:sz w:val="24"/>
              </w:rPr>
            </w:pPr>
            <w:r>
              <w:rPr>
                <w:rFonts w:hint="eastAsia"/>
                <w:b/>
                <w:bCs/>
                <w:sz w:val="24"/>
              </w:rPr>
              <w:t>7</w:t>
            </w:r>
            <w:r>
              <w:rPr>
                <w:b/>
                <w:bCs/>
                <w:sz w:val="24"/>
              </w:rPr>
              <w:t>、劳动定员及工作制度</w:t>
            </w:r>
          </w:p>
          <w:p>
            <w:pPr>
              <w:adjustRightInd w:val="0"/>
              <w:snapToGrid w:val="0"/>
              <w:spacing w:line="360" w:lineRule="auto"/>
              <w:ind w:firstLine="480" w:firstLineChars="200"/>
              <w:rPr>
                <w:rFonts w:asciiTheme="minorEastAsia" w:hAnsiTheme="minorEastAsia" w:eastAsiaTheme="minorEastAsia"/>
                <w:bCs/>
                <w:kern w:val="0"/>
                <w:sz w:val="24"/>
              </w:rPr>
            </w:pPr>
            <w:r>
              <w:rPr>
                <w:rFonts w:hint="eastAsia"/>
                <w:sz w:val="24"/>
              </w:rPr>
              <w:t>本项目不新增劳动定员。厂区内设置食堂，不设宿舍。</w:t>
            </w:r>
            <w:r>
              <w:rPr>
                <w:rFonts w:hint="eastAsia"/>
                <w:color w:val="auto"/>
                <w:sz w:val="24"/>
                <w:lang w:val="en-US" w:eastAsia="zh-CN"/>
              </w:rPr>
              <w:t>改建完成</w:t>
            </w:r>
            <w:r>
              <w:rPr>
                <w:rFonts w:hint="eastAsia"/>
                <w:sz w:val="24"/>
              </w:rPr>
              <w:t>后，</w:t>
            </w:r>
            <w:r>
              <w:rPr>
                <w:bCs/>
                <w:sz w:val="24"/>
              </w:rPr>
              <w:t>劳动定员</w:t>
            </w:r>
            <w:r>
              <w:rPr>
                <w:rFonts w:hint="eastAsia"/>
                <w:bCs/>
                <w:sz w:val="24"/>
              </w:rPr>
              <w:t>仍</w:t>
            </w:r>
            <w:r>
              <w:rPr>
                <w:bCs/>
                <w:sz w:val="24"/>
              </w:rPr>
              <w:t>为</w:t>
            </w:r>
            <w:r>
              <w:rPr>
                <w:rFonts w:hint="eastAsia"/>
                <w:bCs/>
                <w:sz w:val="24"/>
              </w:rPr>
              <w:t>120</w:t>
            </w:r>
            <w:r>
              <w:rPr>
                <w:bCs/>
                <w:sz w:val="24"/>
              </w:rPr>
              <w:t>人，</w:t>
            </w:r>
            <w:r>
              <w:rPr>
                <w:rFonts w:hint="eastAsia"/>
                <w:bCs/>
                <w:sz w:val="24"/>
              </w:rPr>
              <w:t>实行</w:t>
            </w:r>
            <w:r>
              <w:rPr>
                <w:rFonts w:hint="eastAsia"/>
                <w:sz w:val="24"/>
              </w:rPr>
              <w:t>一班制，</w:t>
            </w:r>
            <w:r>
              <w:rPr>
                <w:bCs/>
                <w:sz w:val="24"/>
              </w:rPr>
              <w:t>年工作</w:t>
            </w:r>
            <w:r>
              <w:rPr>
                <w:rFonts w:hint="eastAsia"/>
                <w:bCs/>
                <w:sz w:val="24"/>
              </w:rPr>
              <w:t>300</w:t>
            </w:r>
            <w:r>
              <w:rPr>
                <w:bCs/>
                <w:sz w:val="24"/>
              </w:rPr>
              <w:t>天，每天工作</w:t>
            </w:r>
            <w:r>
              <w:rPr>
                <w:rFonts w:hint="eastAsia"/>
                <w:bCs/>
                <w:sz w:val="24"/>
              </w:rPr>
              <w:t>8</w:t>
            </w:r>
            <w:r>
              <w:rPr>
                <w:bCs/>
                <w:sz w:val="24"/>
              </w:rPr>
              <w:t>小时</w:t>
            </w:r>
            <w:r>
              <w:rPr>
                <w:rFonts w:hint="eastAsia"/>
                <w:bCs/>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1" w:type="dxa"/>
            <w:vAlign w:val="center"/>
          </w:tcPr>
          <w:p>
            <w:pPr>
              <w:pStyle w:val="21"/>
              <w:adjustRightInd w:val="0"/>
              <w:snapToGrid w:val="0"/>
              <w:spacing w:before="0" w:beforeAutospacing="0" w:after="0" w:afterAutospacing="0"/>
              <w:jc w:val="center"/>
              <w:rPr>
                <w:rFonts w:cs="宋体"/>
                <w:b/>
                <w:szCs w:val="24"/>
              </w:rPr>
            </w:pPr>
            <w:r>
              <w:rPr>
                <w:rFonts w:hint="eastAsia" w:cs="宋体"/>
                <w:b/>
                <w:szCs w:val="24"/>
              </w:rPr>
              <w:t>工艺流程和产排污环节</w:t>
            </w:r>
          </w:p>
        </w:tc>
        <w:tc>
          <w:tcPr>
            <w:tcW w:w="9534" w:type="dxa"/>
          </w:tcPr>
          <w:p>
            <w:pPr>
              <w:adjustRightInd w:val="0"/>
              <w:snapToGrid w:val="0"/>
              <w:spacing w:line="360" w:lineRule="auto"/>
              <w:ind w:firstLine="482" w:firstLineChars="200"/>
              <w:rPr>
                <w:rFonts w:eastAsiaTheme="minorEastAsia"/>
                <w:b/>
                <w:bCs/>
                <w:kern w:val="0"/>
                <w:sz w:val="24"/>
              </w:rPr>
            </w:pPr>
            <w:r>
              <w:rPr>
                <w:rFonts w:eastAsiaTheme="minorEastAsia"/>
                <w:b/>
                <w:bCs/>
                <w:kern w:val="0"/>
                <w:sz w:val="24"/>
              </w:rPr>
              <w:t>1</w:t>
            </w:r>
            <w:r>
              <w:rPr>
                <w:rFonts w:hAnsiTheme="minorEastAsia" w:eastAsiaTheme="minorEastAsia"/>
                <w:b/>
                <w:bCs/>
                <w:kern w:val="0"/>
                <w:sz w:val="24"/>
              </w:rPr>
              <w:t>、施工期</w:t>
            </w:r>
          </w:p>
          <w:p>
            <w:pPr>
              <w:adjustRightInd w:val="0"/>
              <w:snapToGrid w:val="0"/>
              <w:spacing w:line="360" w:lineRule="auto"/>
              <w:ind w:firstLine="480" w:firstLineChars="200"/>
              <w:rPr>
                <w:rFonts w:eastAsiaTheme="minorEastAsia"/>
                <w:bCs/>
                <w:kern w:val="0"/>
                <w:sz w:val="24"/>
              </w:rPr>
            </w:pPr>
            <w:r>
              <w:rPr>
                <w:rFonts w:hint="eastAsia"/>
                <w:sz w:val="24"/>
              </w:rPr>
              <w:t>本次</w:t>
            </w:r>
            <w:r>
              <w:rPr>
                <w:rFonts w:hint="eastAsia"/>
                <w:color w:val="auto"/>
                <w:sz w:val="24"/>
                <w:lang w:val="en-US" w:eastAsia="zh-CN"/>
              </w:rPr>
              <w:t>改建</w:t>
            </w:r>
            <w:r>
              <w:rPr>
                <w:rFonts w:hint="eastAsia" w:hAnsiTheme="minorEastAsia" w:eastAsiaTheme="minorEastAsia"/>
                <w:bCs/>
                <w:kern w:val="0"/>
                <w:sz w:val="24"/>
              </w:rPr>
              <w:t>项目在衡阳市新德力交通材料有限公司现有厂房内建设，建设过程中主要是设备及环保设施安装，不涉及主体厂房土建工程，项目施工及环境影响局限在厂房内，本次环评对项目施工期不作进一步分析。</w:t>
            </w:r>
          </w:p>
          <w:p>
            <w:pPr>
              <w:adjustRightInd w:val="0"/>
              <w:snapToGrid w:val="0"/>
              <w:spacing w:line="360" w:lineRule="auto"/>
              <w:ind w:firstLine="482" w:firstLineChars="200"/>
              <w:rPr>
                <w:rFonts w:hAnsiTheme="minorEastAsia" w:eastAsiaTheme="minorEastAsia"/>
                <w:b/>
                <w:bCs/>
                <w:kern w:val="0"/>
                <w:sz w:val="24"/>
              </w:rPr>
            </w:pPr>
            <w:r>
              <w:rPr>
                <w:rFonts w:hint="eastAsia" w:hAnsiTheme="minorEastAsia" w:eastAsiaTheme="minorEastAsia"/>
                <w:b/>
                <w:bCs/>
                <w:kern w:val="0"/>
                <w:sz w:val="24"/>
              </w:rPr>
              <w:t>2、</w:t>
            </w:r>
            <w:r>
              <w:rPr>
                <w:rFonts w:hAnsiTheme="minorEastAsia" w:eastAsiaTheme="minorEastAsia"/>
                <w:b/>
                <w:bCs/>
                <w:kern w:val="0"/>
                <w:sz w:val="24"/>
              </w:rPr>
              <w:t>运营期</w:t>
            </w:r>
          </w:p>
          <w:p>
            <w:pPr>
              <w:adjustRightInd w:val="0"/>
              <w:snapToGrid w:val="0"/>
              <w:spacing w:line="360" w:lineRule="auto"/>
              <w:ind w:firstLine="480" w:firstLineChars="200"/>
              <w:rPr>
                <w:rFonts w:hint="eastAsia" w:hAnsiTheme="minorEastAsia" w:eastAsiaTheme="minorEastAsia"/>
                <w:bCs/>
                <w:kern w:val="0"/>
                <w:sz w:val="24"/>
              </w:rPr>
            </w:pPr>
            <w:r>
              <w:rPr>
                <w:rFonts w:hint="eastAsia" w:eastAsiaTheme="minorEastAsia"/>
                <w:sz w:val="24"/>
                <w:lang w:eastAsia="zh-CN"/>
              </w:rPr>
              <w:t>改建完成后</w:t>
            </w:r>
            <w:r>
              <w:rPr>
                <w:rFonts w:hint="eastAsia"/>
                <w:sz w:val="24"/>
              </w:rPr>
              <w:t>，项目锚具、混凝土高性能聚羧酸减水剂母液生产工艺流程不变，详见后文图2-</w:t>
            </w:r>
            <w:r>
              <w:rPr>
                <w:rFonts w:hint="eastAsia"/>
                <w:sz w:val="24"/>
                <w:lang w:val="en-US" w:eastAsia="zh-CN"/>
              </w:rPr>
              <w:t>3~</w:t>
            </w:r>
            <w:r>
              <w:rPr>
                <w:rFonts w:hint="eastAsia"/>
                <w:sz w:val="24"/>
              </w:rPr>
              <w:t>2-</w:t>
            </w:r>
            <w:r>
              <w:rPr>
                <w:rFonts w:hint="eastAsia"/>
                <w:sz w:val="24"/>
                <w:lang w:val="en-US" w:eastAsia="zh-CN"/>
              </w:rPr>
              <w:t>8，</w:t>
            </w:r>
            <w:r>
              <w:rPr>
                <w:rFonts w:hint="eastAsia"/>
                <w:sz w:val="24"/>
              </w:rPr>
              <w:t>预埋件生产工艺有所变动</w:t>
            </w:r>
            <w:r>
              <w:rPr>
                <w:rFonts w:hint="eastAsia"/>
                <w:sz w:val="24"/>
                <w:lang w:eastAsia="zh-CN"/>
              </w:rPr>
              <w:t>，</w:t>
            </w:r>
            <w:r>
              <w:rPr>
                <w:rFonts w:hint="eastAsia" w:hAnsiTheme="minorEastAsia" w:eastAsiaTheme="minorEastAsia"/>
                <w:bCs/>
                <w:kern w:val="0"/>
                <w:sz w:val="24"/>
              </w:rPr>
              <w:t>详见图2-</w:t>
            </w:r>
            <w:r>
              <w:rPr>
                <w:rFonts w:hint="eastAsia" w:hAnsiTheme="minorEastAsia" w:eastAsiaTheme="minorEastAsia"/>
                <w:bCs/>
                <w:kern w:val="0"/>
                <w:sz w:val="24"/>
                <w:lang w:val="en-US" w:eastAsia="zh-CN"/>
              </w:rPr>
              <w:t>2</w:t>
            </w:r>
            <w:r>
              <w:rPr>
                <w:rFonts w:hint="eastAsia" w:hAnsiTheme="minorEastAsia" w:eastAsiaTheme="minorEastAsia"/>
                <w:bCs/>
                <w:kern w:val="0"/>
                <w:sz w:val="24"/>
              </w:rPr>
              <w:t>。</w:t>
            </w:r>
          </w:p>
          <w:p>
            <w:pPr>
              <w:pStyle w:val="2"/>
              <w:jc w:val="center"/>
              <w:rPr>
                <w:rFonts w:hint="eastAsia" w:hAnsiTheme="minorEastAsia" w:eastAsiaTheme="minorEastAsia"/>
                <w:bCs/>
                <w:kern w:val="0"/>
                <w:sz w:val="24"/>
              </w:rPr>
            </w:pPr>
            <w:r>
              <w:rPr>
                <w:rFonts w:hint="eastAsia" w:hAnsiTheme="minorEastAsia" w:eastAsiaTheme="minorEastAsia"/>
                <w:bCs/>
                <w:kern w:val="0"/>
                <w:sz w:val="24"/>
              </w:rPr>
              <w:object>
                <v:shape id="_x0000_i1026" o:spt="75" type="#_x0000_t75" style="height:492.3pt;width:435.8pt;" o:ole="t" filled="f" o:preferrelative="t" stroked="f" coordsize="21600,21600">
                  <v:path/>
                  <v:fill on="f" focussize="0,0"/>
                  <v:stroke on="f"/>
                  <v:imagedata r:id="rId11" o:title=""/>
                  <o:lock v:ext="edit" aspectratio="f"/>
                  <w10:wrap type="none"/>
                  <w10:anchorlock/>
                </v:shape>
                <o:OLEObject Type="Embed" ProgID="Visio.Drawing.11" ShapeID="_x0000_i1026" DrawAspect="Content" ObjectID="_1468075726" r:id="rId10">
                  <o:LockedField>false</o:LockedField>
                </o:OLEObject>
              </w:object>
            </w:r>
          </w:p>
          <w:p>
            <w:pPr>
              <w:widowControl/>
              <w:spacing w:line="360" w:lineRule="auto"/>
              <w:ind w:firstLine="422" w:firstLineChars="200"/>
              <w:jc w:val="center"/>
              <w:rPr>
                <w:b/>
                <w:szCs w:val="21"/>
                <w:u w:val="none"/>
              </w:rPr>
            </w:pPr>
            <w:r>
              <w:rPr>
                <w:rFonts w:hint="eastAsia"/>
                <w:b/>
                <w:bCs/>
                <w:szCs w:val="21"/>
                <w:u w:val="none"/>
              </w:rPr>
              <w:t>图2-</w:t>
            </w:r>
            <w:r>
              <w:rPr>
                <w:rFonts w:hint="eastAsia"/>
                <w:b/>
                <w:bCs/>
                <w:szCs w:val="21"/>
                <w:u w:val="none"/>
                <w:lang w:val="en-US" w:eastAsia="zh-CN"/>
              </w:rPr>
              <w:t>2</w:t>
            </w:r>
            <w:r>
              <w:rPr>
                <w:rFonts w:hint="eastAsia"/>
                <w:b/>
                <w:bCs/>
                <w:szCs w:val="21"/>
                <w:u w:val="none"/>
              </w:rPr>
              <w:t xml:space="preserve">  项目运营期预埋件工艺流程及产污节点示意图</w:t>
            </w:r>
          </w:p>
          <w:p>
            <w:pPr>
              <w:widowControl/>
              <w:spacing w:line="360" w:lineRule="auto"/>
              <w:ind w:firstLine="482" w:firstLineChars="200"/>
              <w:jc w:val="left"/>
              <w:rPr>
                <w:rFonts w:hint="default" w:ascii="Times New Roman" w:hAnsi="Times New Roman" w:eastAsia="宋体" w:cs="Times New Roman"/>
                <w:b/>
                <w:bCs/>
                <w:color w:val="000000"/>
                <w:kern w:val="0"/>
                <w:sz w:val="24"/>
                <w:szCs w:val="24"/>
                <w:lang w:val="en-US" w:eastAsia="zh-CN" w:bidi="ar-SA"/>
              </w:rPr>
            </w:pPr>
            <w:r>
              <w:rPr>
                <w:rFonts w:hint="eastAsia" w:ascii="Times New Roman" w:hAnsi="Times New Roman" w:eastAsia="宋体" w:cs="Times New Roman"/>
                <w:b/>
                <w:bCs/>
                <w:color w:val="000000"/>
                <w:kern w:val="0"/>
                <w:sz w:val="24"/>
                <w:szCs w:val="24"/>
                <w:lang w:val="en-US" w:eastAsia="zh-CN" w:bidi="ar-SA"/>
              </w:rPr>
              <w:t>工艺流程说明：</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rPr>
            </w:pPr>
            <w:r>
              <w:rPr>
                <w:rFonts w:hint="default" w:ascii="Times New Roman" w:hAnsi="Times New Roman" w:cs="Times New Roman"/>
              </w:rPr>
              <w:t>（1）下料：根据设计要求，将外购的钢板、圆钢、中厚板、螺纹钢等分别进行下料。外购的中厚板、H型钢使用数控等离子切割机/激光切割机进行切割下料，此过程会产生切割烟尘（</w:t>
            </w:r>
            <w:r>
              <w:rPr>
                <w:rFonts w:hint="default" w:ascii="Times New Roman" w:hAnsi="Times New Roman" w:cs="Times New Roman"/>
                <w:lang w:val="en-US" w:eastAsia="zh-CN"/>
              </w:rPr>
              <w:t>G</w:t>
            </w:r>
            <w:r>
              <w:rPr>
                <w:rFonts w:hint="default" w:ascii="Times New Roman" w:hAnsi="Times New Roman" w:cs="Times New Roman"/>
              </w:rPr>
              <w:t>1）、边角料（S1）；外购的圆钢使用锯床进行切割下料，锯床切割过程浇淋乳化液进行降温抑尘，此过程会产生边角料（S1）及金属废屑（S2）；外购的螺纹钢、角铁使用钢筋切断机切成设计尺寸。</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rPr>
            </w:pPr>
            <w:r>
              <w:rPr>
                <w:rFonts w:hint="default" w:ascii="Times New Roman" w:hAnsi="Times New Roman" w:cs="Times New Roman"/>
              </w:rPr>
              <w:t>（2）打磨：下料后的中厚板、H型钢边缘存在毛刺，工人使用手持式砂轮机进行人工打磨去毛刺，此过程会产生打磨粉尘（G2），打磨产生的粉尘比重较大，大部分沉降在地面，会产生金属废屑（S</w:t>
            </w:r>
            <w:r>
              <w:rPr>
                <w:rFonts w:hint="eastAsia" w:ascii="Times New Roman" w:cs="Times New Roman"/>
                <w:lang w:val="en-US" w:eastAsia="zh-CN"/>
              </w:rPr>
              <w:t>2</w:t>
            </w:r>
            <w:r>
              <w:rPr>
                <w:rFonts w:hint="default" w:ascii="Times New Roman" w:hAnsi="Times New Roman" w:cs="Times New Roma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rPr>
            </w:pPr>
            <w:r>
              <w:rPr>
                <w:rFonts w:hint="default" w:ascii="Times New Roman" w:hAnsi="Times New Roman" w:cs="Times New Roman" w:eastAsiaTheme="minorEastAsia"/>
                <w:color w:val="000000"/>
                <w:kern w:val="0"/>
                <w:sz w:val="24"/>
                <w:lang w:val="zh-CN"/>
              </w:rPr>
              <w:t>（3）铣、磨等机加工：下料后的圆钢及打磨后的钢板、H型钢使用铣床、数控车床、滚丝机等进行铣、磨、滚丝等机加工，使用钻床、冲孔机进行钻孔、冲孔等加工，机加工过程全部使用乳化液进行降温抑尘，此过程会产生边角料（S1）及金属废屑（S2）。</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rPr>
            </w:pPr>
            <w:r>
              <w:rPr>
                <w:rFonts w:hint="default" w:ascii="Times New Roman" w:hAnsi="Times New Roman" w:cs="Times New Roman" w:eastAsiaTheme="minorEastAsia"/>
                <w:color w:val="000000"/>
                <w:kern w:val="0"/>
                <w:sz w:val="24"/>
                <w:lang w:val="zh-CN"/>
              </w:rPr>
              <w:t>（4）焊接：根据产品设计方案，主要使用二氧化碳气体保护焊机对机加工后的工件进行焊接拼装，此过程会产生焊接烟尘（G3）。</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rPr>
            </w:pPr>
            <w:r>
              <w:rPr>
                <w:rFonts w:hint="default" w:ascii="Times New Roman" w:hAnsi="Times New Roman" w:cs="Times New Roman" w:eastAsiaTheme="minorEastAsia"/>
                <w:color w:val="FF0000"/>
                <w:kern w:val="0"/>
                <w:sz w:val="24"/>
                <w:u w:val="wave"/>
                <w:lang w:val="zh-CN"/>
              </w:rPr>
              <w:t>（5）碳化除油：使用碳化除油装置进行表面除油处理，碳化除油装置采用加热燃烧炉，温度控制范围在200-400℃，加热时间约为2h。加热采用天然气加热，加热过程中温度在200-300℃，工件表面油粒碳化板结在工件表面，当加热温度达到300-400℃时，油粒气化挥发。此工序产生</w:t>
            </w:r>
            <w:r>
              <w:rPr>
                <w:rFonts w:hint="eastAsia" w:cs="Times New Roman" w:eastAsiaTheme="minorEastAsia"/>
                <w:color w:val="FF0000"/>
                <w:kern w:val="0"/>
                <w:sz w:val="24"/>
                <w:u w:val="wave"/>
                <w:lang w:val="en-US" w:eastAsia="zh-CN"/>
              </w:rPr>
              <w:t>碳化除油</w:t>
            </w:r>
            <w:r>
              <w:rPr>
                <w:rFonts w:hint="default" w:ascii="Times New Roman" w:hAnsi="Times New Roman" w:cs="Times New Roman" w:eastAsiaTheme="minorEastAsia"/>
                <w:color w:val="FF0000"/>
                <w:kern w:val="0"/>
                <w:sz w:val="24"/>
                <w:u w:val="wave"/>
                <w:lang w:val="zh-CN"/>
              </w:rPr>
              <w:t>有机废气（G4）</w:t>
            </w:r>
            <w:r>
              <w:rPr>
                <w:rFonts w:hint="eastAsia" w:cs="Times New Roman" w:eastAsiaTheme="minorEastAsia"/>
                <w:color w:val="FF0000"/>
                <w:kern w:val="0"/>
                <w:sz w:val="24"/>
                <w:u w:val="wave"/>
                <w:lang w:val="en-US" w:eastAsia="zh-CN"/>
              </w:rPr>
              <w:t>及天然气燃烧烟气（G5）</w:t>
            </w:r>
            <w:r>
              <w:rPr>
                <w:rFonts w:hint="default" w:ascii="Times New Roman" w:hAnsi="Times New Roman" w:cs="Times New Roman" w:eastAsiaTheme="minorEastAsia"/>
                <w:color w:val="000000"/>
                <w:kern w:val="0"/>
                <w:sz w:val="24"/>
                <w:lang w:val="zh-C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rPr>
            </w:pPr>
            <w:r>
              <w:rPr>
                <w:rFonts w:hint="default" w:ascii="Times New Roman" w:hAnsi="Times New Roman" w:cs="Times New Roman" w:eastAsiaTheme="minorEastAsia"/>
                <w:color w:val="000000"/>
                <w:kern w:val="0"/>
                <w:sz w:val="24"/>
                <w:lang w:val="zh-CN"/>
              </w:rPr>
              <w:t>（6）抛丸：碳化除油后的工件送入抛丸清理机进行抛丸，本项目设置1台履带式抛丸清理机将钢材表面的氧化皮等清理干净。散落的弹丸经过下部纵向螺旋输送机和斜坡输送至斗式提升机，斗式提升机将丸料及杂物提升至清理室上部，由上部横向螺旋输送器输送给高效分离器，经过分离器处理后，灰尘和杂物与好的丸料分离，好的丸料进入储料斗储存，待抛丸器使用。此过程会产生抛丸粉尘（G</w:t>
            </w:r>
            <w:r>
              <w:rPr>
                <w:rFonts w:hint="eastAsia" w:cs="Times New Roman" w:eastAsiaTheme="minorEastAsia"/>
                <w:color w:val="000000"/>
                <w:kern w:val="0"/>
                <w:sz w:val="24"/>
                <w:lang w:val="en-US" w:eastAsia="zh-CN"/>
              </w:rPr>
              <w:t>6</w:t>
            </w:r>
            <w:r>
              <w:rPr>
                <w:rFonts w:hint="default" w:ascii="Times New Roman" w:hAnsi="Times New Roman" w:cs="Times New Roman" w:eastAsiaTheme="minorEastAsia"/>
                <w:color w:val="000000"/>
                <w:kern w:val="0"/>
                <w:sz w:val="24"/>
                <w:lang w:val="zh-C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rPr>
            </w:pPr>
            <w:r>
              <w:rPr>
                <w:rFonts w:hint="default" w:ascii="Times New Roman" w:hAnsi="Times New Roman" w:cs="Times New Roman" w:eastAsiaTheme="minorEastAsia"/>
                <w:color w:val="000000"/>
                <w:kern w:val="0"/>
                <w:sz w:val="24"/>
                <w:lang w:val="zh-CN"/>
              </w:rPr>
              <w:t>（7）多元合金共渗：多元合金共渗是将工件置于含至少两种欲渗元素的渗剂中，经过一次加热扩散过程，使多种元素渗入工件表面的化学热处理过程，多元合金共渗工艺使所渗金属元素与基体金属发生反应而形成化合物相，使渗层与基体结合牢固，其结合强度是电镀、热镀锌工艺难以比拟的。渗层具有不同于基体金属的成分和组织，从而使工件表面获得特殊的性能，如抗高温、耐腐蚀、耐磨损等性能。</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rPr>
            </w:pPr>
            <w:r>
              <w:rPr>
                <w:rFonts w:hint="default" w:ascii="Times New Roman" w:hAnsi="Times New Roman" w:cs="Times New Roman" w:eastAsiaTheme="minorEastAsia"/>
                <w:color w:val="000000"/>
                <w:kern w:val="0"/>
                <w:sz w:val="24"/>
                <w:lang w:val="zh-CN"/>
              </w:rPr>
              <w:t>将工件和锌粉放入</w:t>
            </w:r>
            <w:r>
              <w:rPr>
                <w:rFonts w:hint="default" w:ascii="Times New Roman" w:hAnsi="Times New Roman" w:cs="Times New Roman" w:eastAsiaTheme="minorEastAsia"/>
                <w:color w:val="000000"/>
                <w:kern w:val="0"/>
                <w:sz w:val="24"/>
              </w:rPr>
              <w:t>四方滚筒燃气渗锌炉中，同时向炉中添加石英砂，用于固定工件，加盖密封抽真空，隔绝氧及空气。渗锌炉内均设有天然气喷嘴，经炉体自带的电花打火装置点火，使喷出的天然气燃烧，间接加热空气，再将热空气鼓入桶体所在部位进行加热，工作温度为350～410℃左右。在此温度下，活性锌原子及其他金属原子则由表及里地向钢铁制件渗透，与此同时，铁原子由内向外扩散，这就在钢铁制件的表层形成锌铁多元金属间化合物，即渗锌层，由于除锌之外还有其他金属渗剂，也可称为多元合金共渗。整个渗锌过程持续2h左右。渗锌结束后，打开炉门，将渗锌炉中的炉体移出至冷却工位，进行自然冷却3-5h（由平车移出，在平车上自然冷却）。渗锌过程中产生天然气燃烧废气</w:t>
            </w:r>
            <w:r>
              <w:rPr>
                <w:rFonts w:hint="default" w:ascii="Times New Roman" w:hAnsi="Times New Roman" w:cs="Times New Roman" w:eastAsiaTheme="minorEastAsia"/>
                <w:color w:val="000000"/>
                <w:kern w:val="0"/>
                <w:sz w:val="24"/>
                <w:lang w:eastAsia="zh-CN"/>
              </w:rPr>
              <w:t>（</w:t>
            </w:r>
            <w:r>
              <w:rPr>
                <w:rFonts w:hint="default" w:ascii="Times New Roman" w:hAnsi="Times New Roman" w:cs="Times New Roman" w:eastAsiaTheme="minorEastAsia"/>
                <w:color w:val="000000"/>
                <w:kern w:val="0"/>
                <w:sz w:val="24"/>
                <w:lang w:val="en-US" w:eastAsia="zh-CN"/>
              </w:rPr>
              <w:t>G</w:t>
            </w:r>
            <w:r>
              <w:rPr>
                <w:rFonts w:hint="eastAsia" w:cs="Times New Roman" w:eastAsiaTheme="minorEastAsia"/>
                <w:color w:val="000000"/>
                <w:kern w:val="0"/>
                <w:sz w:val="24"/>
                <w:lang w:val="en-US" w:eastAsia="zh-CN"/>
              </w:rPr>
              <w:t>5</w:t>
            </w:r>
            <w:r>
              <w:rPr>
                <w:rFonts w:hint="default" w:ascii="Times New Roman" w:hAnsi="Times New Roman" w:cs="Times New Roman" w:eastAsiaTheme="minorEastAsia"/>
                <w:color w:val="000000"/>
                <w:kern w:val="0"/>
                <w:sz w:val="24"/>
                <w:lang w:eastAsia="zh-CN"/>
              </w:rPr>
              <w:t>）</w:t>
            </w:r>
            <w:r>
              <w:rPr>
                <w:rFonts w:hint="default" w:ascii="Times New Roman" w:hAnsi="Times New Roman" w:cs="Times New Roman" w:eastAsiaTheme="minorEastAsia"/>
                <w:color w:val="000000"/>
                <w:kern w:val="0"/>
                <w:sz w:val="24"/>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eastAsia="zh-CN"/>
              </w:rPr>
            </w:pPr>
            <w:r>
              <w:rPr>
                <w:rFonts w:hint="default" w:ascii="Times New Roman" w:hAnsi="Times New Roman" w:cs="Times New Roman" w:eastAsiaTheme="minorEastAsia"/>
                <w:color w:val="000000"/>
                <w:kern w:val="0"/>
                <w:sz w:val="24"/>
              </w:rPr>
              <w:t>多元素粉末共渗原理：钢铁制件的多元合金共渗过程实际上是多种金属元素与铁元素之间的热力学和动力学的过程，取决于各金属元素与铁元素的相平衡信息和扩散路径。多元合金共渗的技术原理是利用物理、化学吸附沉积和机械碰撞使多元金属粉在工件表面形成镀层。由于其他金属元素的引入，使渗层由类似多种合金组成，从而提高渗层的防锈性能。由于采用了以锌粉、铝粉等材料为主要组分，其中的金属元素达到了3个以上，所以称为多元渗剂。而将采用多元渗剂进行浸渗处理称为多元合金共渗。其共渗过程是将多元微纳米渗锌剂与钢铁制件置于真空渗锌炉中，加热到350～410℃，活性锌等金属原子则由表及里地向钢铁制件渗透。同时，铁元素由内向外扩散，在钢铁制件的表层形成锌-铁多元金属间化合物，即多元镀锌层。这种镀层与其他锌镀层相比，具有结合强度高、镀层硬度高、无氢脆危害、镀层厚度均匀性好、工艺简单、节省原料等优点</w:t>
            </w:r>
            <w:r>
              <w:rPr>
                <w:rFonts w:hint="default" w:ascii="Times New Roman" w:hAnsi="Times New Roman" w:cs="Times New Roman" w:eastAsiaTheme="minorEastAsia"/>
                <w:color w:val="000000"/>
                <w:kern w:val="0"/>
                <w:sz w:val="24"/>
                <w:lang w:eastAsia="zh-C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eastAsia="zh-CN"/>
              </w:rPr>
            </w:pPr>
            <w:r>
              <w:rPr>
                <w:rFonts w:hint="default" w:ascii="Times New Roman" w:hAnsi="Times New Roman" w:cs="Times New Roman" w:eastAsiaTheme="minorEastAsia"/>
                <w:color w:val="000000"/>
                <w:kern w:val="0"/>
                <w:sz w:val="24"/>
                <w:lang w:eastAsia="zh-CN"/>
              </w:rPr>
              <w:t>（</w:t>
            </w:r>
            <w:r>
              <w:rPr>
                <w:rFonts w:hint="default" w:ascii="Times New Roman" w:hAnsi="Times New Roman" w:cs="Times New Roman" w:eastAsiaTheme="minorEastAsia"/>
                <w:color w:val="000000"/>
                <w:kern w:val="0"/>
                <w:sz w:val="24"/>
                <w:lang w:val="en-US" w:eastAsia="zh-CN"/>
              </w:rPr>
              <w:t>7</w:t>
            </w:r>
            <w:r>
              <w:rPr>
                <w:rFonts w:hint="default" w:ascii="Times New Roman" w:hAnsi="Times New Roman" w:cs="Times New Roman" w:eastAsiaTheme="minorEastAsia"/>
                <w:color w:val="000000"/>
                <w:kern w:val="0"/>
                <w:sz w:val="24"/>
                <w:lang w:eastAsia="zh-CN"/>
              </w:rPr>
              <w:t>）炉料分离</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eastAsia="zh-CN"/>
              </w:rPr>
            </w:pPr>
            <w:r>
              <w:rPr>
                <w:rFonts w:hint="default" w:ascii="Times New Roman" w:hAnsi="Times New Roman" w:cs="Times New Roman" w:eastAsiaTheme="minorEastAsia"/>
                <w:color w:val="000000"/>
                <w:kern w:val="0"/>
                <w:sz w:val="24"/>
                <w:lang w:eastAsia="zh-CN"/>
              </w:rPr>
              <w:t>炉体冷却之后，将炉芯采用行车转运至封闭的分离室中，打开炉盖，将工件和未利用的渗锌剂分离，该工序在封闭分离室内进行，产生的粉尘经过微负压的作用，将粉尘直接抽到收料装置内，分离后的渗锌剂循环使用，但运转约25炉后，渗锌剂需进行更换。此工序中产生炉料分离粉尘（</w:t>
            </w:r>
            <w:r>
              <w:rPr>
                <w:rFonts w:hint="default" w:ascii="Times New Roman" w:hAnsi="Times New Roman" w:cs="Times New Roman" w:eastAsiaTheme="minorEastAsia"/>
                <w:color w:val="000000"/>
                <w:kern w:val="0"/>
                <w:sz w:val="24"/>
                <w:lang w:val="en-US" w:eastAsia="zh-CN"/>
              </w:rPr>
              <w:t>G7</w:t>
            </w:r>
            <w:r>
              <w:rPr>
                <w:rFonts w:hint="default" w:ascii="Times New Roman" w:hAnsi="Times New Roman" w:cs="Times New Roman" w:eastAsiaTheme="minorEastAsia"/>
                <w:color w:val="000000"/>
                <w:kern w:val="0"/>
                <w:sz w:val="24"/>
                <w:lang w:eastAsia="zh-CN"/>
              </w:rPr>
              <w:t>）、废炉料（</w:t>
            </w:r>
            <w:r>
              <w:rPr>
                <w:rFonts w:hint="default" w:ascii="Times New Roman" w:hAnsi="Times New Roman" w:cs="Times New Roman" w:eastAsiaTheme="minorEastAsia"/>
                <w:color w:val="000000"/>
                <w:kern w:val="0"/>
                <w:sz w:val="24"/>
                <w:lang w:val="en-US" w:eastAsia="zh-CN"/>
              </w:rPr>
              <w:t>S</w:t>
            </w:r>
            <w:r>
              <w:rPr>
                <w:rFonts w:hint="eastAsia" w:cs="Times New Roman" w:eastAsiaTheme="minorEastAsia"/>
                <w:color w:val="000000"/>
                <w:kern w:val="0"/>
                <w:sz w:val="24"/>
                <w:lang w:val="en-US" w:eastAsia="zh-CN"/>
              </w:rPr>
              <w:t>3</w:t>
            </w:r>
            <w:r>
              <w:rPr>
                <w:rFonts w:hint="default" w:ascii="Times New Roman" w:hAnsi="Times New Roman" w:cs="Times New Roman" w:eastAsiaTheme="minorEastAsia"/>
                <w:color w:val="000000"/>
                <w:kern w:val="0"/>
                <w:sz w:val="24"/>
                <w:lang w:eastAsia="zh-C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000000"/>
                <w:kern w:val="0"/>
                <w:sz w:val="24"/>
                <w:lang w:val="zh-CN" w:eastAsia="zh-CN"/>
              </w:rPr>
            </w:pPr>
            <w:r>
              <w:rPr>
                <w:rFonts w:hint="default" w:ascii="Times New Roman" w:hAnsi="Times New Roman" w:cs="Times New Roman" w:eastAsiaTheme="minorEastAsia"/>
                <w:color w:val="000000"/>
                <w:kern w:val="0"/>
                <w:sz w:val="24"/>
                <w:lang w:val="zh-CN" w:eastAsia="zh-CN"/>
              </w:rPr>
              <w:t>（</w:t>
            </w:r>
            <w:r>
              <w:rPr>
                <w:rFonts w:hint="default" w:ascii="Times New Roman" w:hAnsi="Times New Roman" w:cs="Times New Roman" w:eastAsiaTheme="minorEastAsia"/>
                <w:color w:val="000000"/>
                <w:kern w:val="0"/>
                <w:sz w:val="24"/>
                <w:lang w:val="en-US" w:eastAsia="zh-CN"/>
              </w:rPr>
              <w:t>8</w:t>
            </w:r>
            <w:r>
              <w:rPr>
                <w:rFonts w:hint="default" w:ascii="Times New Roman" w:hAnsi="Times New Roman" w:cs="Times New Roman" w:eastAsiaTheme="minorEastAsia"/>
                <w:color w:val="000000"/>
                <w:kern w:val="0"/>
                <w:sz w:val="24"/>
                <w:lang w:val="zh-CN" w:eastAsia="zh-CN"/>
              </w:rPr>
              <w:t>）清洗：将待清洗产品按品类悬挂在钝化封闭线悬链挂钩上，链条自动经过清洗房，工件采用常温的</w:t>
            </w:r>
            <w:r>
              <w:rPr>
                <w:rFonts w:hint="eastAsia" w:cs="Times New Roman" w:eastAsiaTheme="minorEastAsia"/>
                <w:color w:val="000000"/>
                <w:kern w:val="0"/>
                <w:sz w:val="24"/>
                <w:lang w:val="en-US" w:eastAsia="zh-CN"/>
              </w:rPr>
              <w:t>纯水</w:t>
            </w:r>
            <w:r>
              <w:rPr>
                <w:rFonts w:hint="default" w:ascii="Times New Roman" w:hAnsi="Times New Roman" w:cs="Times New Roman" w:eastAsiaTheme="minorEastAsia"/>
                <w:color w:val="000000"/>
                <w:kern w:val="0"/>
                <w:sz w:val="24"/>
                <w:lang w:val="zh-CN" w:eastAsia="zh-CN"/>
              </w:rPr>
              <w:t>喷淋方式进行一次、二次清洗工作，清洗30s。项目车间内配备</w:t>
            </w:r>
            <w:r>
              <w:rPr>
                <w:rFonts w:hint="eastAsia" w:cs="Times New Roman" w:eastAsiaTheme="minorEastAsia"/>
                <w:color w:val="000000"/>
                <w:kern w:val="0"/>
                <w:sz w:val="24"/>
                <w:lang w:val="en-US" w:eastAsia="zh-CN"/>
              </w:rPr>
              <w:t>2</w:t>
            </w:r>
            <w:r>
              <w:rPr>
                <w:rFonts w:hint="default" w:ascii="Times New Roman" w:hAnsi="Times New Roman" w:cs="Times New Roman" w:eastAsiaTheme="minorEastAsia"/>
                <w:color w:val="000000"/>
                <w:kern w:val="0"/>
                <w:sz w:val="24"/>
                <w:lang w:val="zh-CN" w:eastAsia="zh-CN"/>
              </w:rPr>
              <w:t>个清洗水池，配套1套污水处理设施处理后循环使用。清洗废水主要含少量的锌粉、合金粉、石英砂SS等，进入污水处理设施沉淀池进行沉淀，上清液进入清水池再经砂滤罐过滤后回用至车间内2个清洗水池循环利用，污泥泵至压滤机压滤，压滤水处理后循环利用。此工序会产生清洗废水（W1）、纯水制备浓水（W2）</w:t>
            </w:r>
            <w:r>
              <w:rPr>
                <w:rFonts w:hint="eastAsia" w:cs="Times New Roman" w:eastAsiaTheme="minorEastAsia"/>
                <w:color w:val="000000"/>
                <w:kern w:val="0"/>
                <w:sz w:val="24"/>
                <w:lang w:val="en-US" w:eastAsia="zh-CN"/>
              </w:rPr>
              <w:t>和</w:t>
            </w:r>
            <w:r>
              <w:rPr>
                <w:rFonts w:hint="default" w:ascii="Times New Roman" w:hAnsi="Times New Roman" w:cs="Times New Roman" w:eastAsiaTheme="minorEastAsia"/>
                <w:color w:val="000000"/>
                <w:kern w:val="0"/>
                <w:sz w:val="24"/>
                <w:lang w:val="zh-CN" w:eastAsia="zh-CN"/>
              </w:rPr>
              <w:t>压滤污泥（S</w:t>
            </w:r>
            <w:r>
              <w:rPr>
                <w:rFonts w:hint="eastAsia" w:cs="Times New Roman" w:eastAsiaTheme="minorEastAsia"/>
                <w:color w:val="000000"/>
                <w:kern w:val="0"/>
                <w:sz w:val="24"/>
                <w:lang w:val="en-US" w:eastAsia="zh-CN"/>
              </w:rPr>
              <w:t>4</w:t>
            </w:r>
            <w:r>
              <w:rPr>
                <w:rFonts w:hint="default" w:ascii="Times New Roman" w:hAnsi="Times New Roman" w:cs="Times New Roman" w:eastAsiaTheme="minorEastAsia"/>
                <w:color w:val="000000"/>
                <w:kern w:val="0"/>
                <w:sz w:val="24"/>
                <w:lang w:val="zh-CN" w:eastAsia="zh-CN"/>
              </w:rPr>
              <w:t>）。</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eastAsia" w:cs="Times New Roman" w:eastAsiaTheme="minorEastAsia"/>
                <w:color w:val="FF0000"/>
                <w:kern w:val="0"/>
                <w:sz w:val="24"/>
                <w:u w:val="wave"/>
                <w:lang w:val="en-US" w:eastAsia="zh-CN"/>
              </w:rPr>
            </w:pPr>
            <w:r>
              <w:rPr>
                <w:rFonts w:hint="eastAsia" w:cs="Times New Roman" w:eastAsiaTheme="minorEastAsia"/>
                <w:color w:val="FF0000"/>
                <w:kern w:val="0"/>
                <w:sz w:val="24"/>
                <w:u w:val="wave"/>
                <w:lang w:val="zh-CN" w:eastAsia="zh-CN"/>
              </w:rPr>
              <w:t>（</w:t>
            </w:r>
            <w:r>
              <w:rPr>
                <w:rFonts w:hint="eastAsia" w:cs="Times New Roman" w:eastAsiaTheme="minorEastAsia"/>
                <w:color w:val="FF0000"/>
                <w:kern w:val="0"/>
                <w:sz w:val="24"/>
                <w:u w:val="wave"/>
                <w:lang w:val="en-US" w:eastAsia="zh-CN"/>
              </w:rPr>
              <w:t>9</w:t>
            </w:r>
            <w:r>
              <w:rPr>
                <w:rFonts w:hint="eastAsia" w:cs="Times New Roman" w:eastAsiaTheme="minorEastAsia"/>
                <w:color w:val="FF0000"/>
                <w:kern w:val="0"/>
                <w:sz w:val="24"/>
                <w:u w:val="wave"/>
                <w:lang w:val="zh-CN" w:eastAsia="zh-CN"/>
              </w:rPr>
              <w:t>）</w:t>
            </w:r>
            <w:r>
              <w:rPr>
                <w:rFonts w:hint="eastAsia" w:cs="Times New Roman" w:eastAsiaTheme="minorEastAsia"/>
                <w:color w:val="FF0000"/>
                <w:kern w:val="0"/>
                <w:sz w:val="24"/>
                <w:u w:val="wave"/>
                <w:lang w:val="en-US" w:eastAsia="zh-CN"/>
              </w:rPr>
              <w:t>钝化</w:t>
            </w:r>
          </w:p>
          <w:p>
            <w:pPr>
              <w:keepNext w:val="0"/>
              <w:keepLines w:val="0"/>
              <w:pageBreakBefore w:val="0"/>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color w:val="FF0000"/>
                <w:kern w:val="0"/>
                <w:sz w:val="24"/>
                <w:u w:val="wave"/>
                <w:lang w:val="zh-CN" w:eastAsia="zh-CN"/>
              </w:rPr>
            </w:pPr>
            <w:r>
              <w:rPr>
                <w:rFonts w:hint="default" w:ascii="Times New Roman" w:hAnsi="Times New Roman" w:cs="Times New Roman" w:eastAsiaTheme="minorEastAsia"/>
                <w:color w:val="FF0000"/>
                <w:kern w:val="0"/>
                <w:sz w:val="24"/>
                <w:u w:val="wave"/>
                <w:lang w:val="zh-CN" w:eastAsia="zh-CN"/>
              </w:rPr>
              <w:t>清理干净的工件在悬链挂钩上采用喷淋方式进行钝化，持续时间</w:t>
            </w:r>
            <w:r>
              <w:rPr>
                <w:rFonts w:hint="eastAsia" w:cs="Times New Roman" w:eastAsiaTheme="minorEastAsia"/>
                <w:color w:val="FF0000"/>
                <w:kern w:val="0"/>
                <w:sz w:val="24"/>
                <w:u w:val="wave"/>
                <w:lang w:val="en-US" w:eastAsia="zh-CN"/>
              </w:rPr>
              <w:t>2min</w:t>
            </w:r>
            <w:r>
              <w:rPr>
                <w:rFonts w:hint="default" w:ascii="Times New Roman" w:hAnsi="Times New Roman" w:cs="Times New Roman" w:eastAsiaTheme="minorEastAsia"/>
                <w:color w:val="FF0000"/>
                <w:kern w:val="0"/>
                <w:sz w:val="24"/>
                <w:u w:val="wave"/>
                <w:lang w:val="zh-CN" w:eastAsia="zh-CN"/>
              </w:rPr>
              <w:t>，以便在金属表面形成钝化膜，本项目采用无铬钝化工艺，使用环保型无铬钝化液D205，主要成分为水性树脂、纳米无机材料、偶联剂、水等，钝化液由供应商提供无需配置，钝化槽的钝化液不进行更换，仅添加保持液位和浓度。此工序会产生钝化液包装桶（S</w:t>
            </w:r>
            <w:r>
              <w:rPr>
                <w:rFonts w:hint="eastAsia" w:cs="Times New Roman" w:eastAsiaTheme="minorEastAsia"/>
                <w:color w:val="FF0000"/>
                <w:kern w:val="0"/>
                <w:sz w:val="24"/>
                <w:u w:val="wave"/>
                <w:lang w:val="en-US" w:eastAsia="zh-CN"/>
              </w:rPr>
              <w:t>5</w:t>
            </w:r>
            <w:r>
              <w:rPr>
                <w:rFonts w:hint="default" w:ascii="Times New Roman" w:hAnsi="Times New Roman" w:cs="Times New Roman" w:eastAsiaTheme="minorEastAsia"/>
                <w:color w:val="FF0000"/>
                <w:kern w:val="0"/>
                <w:sz w:val="24"/>
                <w:u w:val="wave"/>
                <w:lang w:val="zh-CN" w:eastAsia="zh-CN"/>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eastAsia" w:ascii="Times New Roman" w:hAnsi="Times New Roman" w:cs="Times New Roman" w:eastAsiaTheme="minorEastAsia"/>
                <w:color w:val="FF0000"/>
                <w:kern w:val="0"/>
                <w:sz w:val="24"/>
                <w:szCs w:val="24"/>
                <w:u w:val="wave"/>
                <w:lang w:val="zh-CN" w:eastAsia="zh-CN" w:bidi="ar-SA"/>
              </w:rPr>
            </w:pPr>
            <w:r>
              <w:rPr>
                <w:rFonts w:hint="default" w:ascii="Times New Roman" w:hAnsi="Times New Roman" w:cs="Times New Roman" w:eastAsiaTheme="minorEastAsia"/>
                <w:color w:val="FF0000"/>
                <w:kern w:val="0"/>
                <w:sz w:val="24"/>
                <w:szCs w:val="24"/>
                <w:u w:val="wave"/>
                <w:lang w:val="zh-CN" w:eastAsia="zh-CN" w:bidi="ar-SA"/>
              </w:rPr>
              <w:t>钝化的原理是由于金属与氧化性物质作用，作用时在金属表面生成一种非常薄的、致密的、覆盖性能良好的、牢固地吸附在金属表面上的，这层膜成独立相存在，通常是氧化金属的化合物。它起着把金属与腐蚀介质完全隔开的作用，防止金属与腐蚀介质接触，从而使金属基本停止溶解形成钝态达到防腐蚀的作用。本项目使用的钝化液目的是在镀层表面形成能阻止金属反应的表面状态，提高其抗蚀性，并增加产品美观</w:t>
            </w:r>
            <w:r>
              <w:rPr>
                <w:rFonts w:hint="eastAsia" w:ascii="Times New Roman" w:cs="Times New Roman" w:eastAsiaTheme="minorEastAsia"/>
                <w:color w:val="FF0000"/>
                <w:kern w:val="0"/>
                <w:sz w:val="24"/>
                <w:szCs w:val="24"/>
                <w:u w:val="wave"/>
                <w:lang w:val="zh-CN" w:eastAsia="zh-CN" w:bidi="ar-SA"/>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cs="Times New Roman" w:eastAsiaTheme="minorEastAsia"/>
                <w:sz w:val="24"/>
                <w:szCs w:val="24"/>
                <w:lang w:val="en-US" w:eastAsia="zh-CN"/>
              </w:rPr>
            </w:pPr>
            <w:r>
              <w:rPr>
                <w:rFonts w:hint="eastAsia" w:ascii="Times New Roman" w:cs="Times New Roman"/>
                <w:sz w:val="24"/>
                <w:szCs w:val="24"/>
                <w:lang w:eastAsia="zh-CN"/>
              </w:rPr>
              <w:t>（</w:t>
            </w:r>
            <w:r>
              <w:rPr>
                <w:rFonts w:hint="eastAsia" w:ascii="Times New Roman" w:cs="Times New Roman"/>
                <w:sz w:val="24"/>
                <w:szCs w:val="24"/>
                <w:lang w:val="en-US" w:eastAsia="zh-CN"/>
              </w:rPr>
              <w:t>10</w:t>
            </w:r>
            <w:r>
              <w:rPr>
                <w:rFonts w:hint="eastAsia" w:ascii="Times New Roman" w:cs="Times New Roman"/>
                <w:sz w:val="24"/>
                <w:szCs w:val="24"/>
                <w:lang w:eastAsia="zh-CN"/>
              </w:rPr>
              <w:t>）</w:t>
            </w:r>
            <w:r>
              <w:rPr>
                <w:rFonts w:hint="default" w:ascii="Times New Roman" w:hAnsi="Times New Roman" w:cs="Times New Roman"/>
                <w:sz w:val="24"/>
                <w:szCs w:val="24"/>
              </w:rPr>
              <w:t>烘干：</w:t>
            </w:r>
            <w:r>
              <w:rPr>
                <w:rFonts w:hint="eastAsia" w:ascii="Times New Roman" w:cs="Times New Roman" w:eastAsiaTheme="minorEastAsia"/>
                <w:sz w:val="24"/>
                <w:szCs w:val="24"/>
                <w:lang w:val="en-US" w:eastAsia="zh-CN"/>
              </w:rPr>
              <w:t>钝化</w:t>
            </w:r>
            <w:r>
              <w:rPr>
                <w:rFonts w:hint="default" w:ascii="Times New Roman" w:hAnsi="Times New Roman" w:cs="Times New Roman" w:eastAsiaTheme="minorEastAsia"/>
                <w:sz w:val="24"/>
                <w:szCs w:val="24"/>
                <w:lang w:val="zh-CN"/>
              </w:rPr>
              <w:t>后的工件送入全自动悬链钝化封闭线烘干室中进行烘干干燥，烘干温度在60</w:t>
            </w:r>
            <w:r>
              <w:rPr>
                <w:rFonts w:hint="default" w:ascii="Times New Roman" w:hAnsi="Times New Roman" w:cs="Times New Roman"/>
                <w:sz w:val="24"/>
                <w:szCs w:val="24"/>
                <w:lang w:val="zh-CN"/>
              </w:rPr>
              <w:t>℃</w:t>
            </w:r>
            <w:r>
              <w:rPr>
                <w:rFonts w:hint="default" w:ascii="Times New Roman" w:hAnsi="Times New Roman" w:cs="Times New Roman" w:eastAsiaTheme="minorEastAsia"/>
                <w:sz w:val="24"/>
                <w:szCs w:val="24"/>
                <w:lang w:val="zh-CN"/>
              </w:rPr>
              <w:t>~80</w:t>
            </w:r>
            <w:r>
              <w:rPr>
                <w:rFonts w:hint="default" w:ascii="Times New Roman" w:hAnsi="Times New Roman" w:cs="Times New Roman"/>
                <w:sz w:val="24"/>
                <w:szCs w:val="24"/>
                <w:lang w:val="zh-CN"/>
              </w:rPr>
              <w:t>℃</w:t>
            </w:r>
            <w:r>
              <w:rPr>
                <w:rFonts w:hint="default" w:ascii="Times New Roman" w:hAnsi="Times New Roman" w:cs="Times New Roman" w:eastAsiaTheme="minorEastAsia"/>
                <w:sz w:val="24"/>
                <w:szCs w:val="24"/>
                <w:lang w:val="zh-CN"/>
              </w:rPr>
              <w:t>左右</w:t>
            </w:r>
            <w:r>
              <w:rPr>
                <w:rFonts w:hint="eastAsia" w:ascii="Times New Roman" w:cs="Times New Roman" w:eastAsiaTheme="minorEastAsia"/>
                <w:sz w:val="24"/>
                <w:szCs w:val="24"/>
                <w:lang w:val="zh-CN"/>
              </w:rPr>
              <w:t>，</w:t>
            </w:r>
            <w:r>
              <w:rPr>
                <w:rFonts w:hint="default" w:ascii="Times New Roman" w:hAnsi="Times New Roman" w:cs="Times New Roman" w:eastAsiaTheme="minorEastAsia"/>
                <w:sz w:val="24"/>
                <w:szCs w:val="24"/>
                <w:lang w:val="zh-CN"/>
              </w:rPr>
              <w:t>烘干热源为天然气。钝化后工件表面附着少量的钝化剂，钝化剂中高分子聚合物在加热烘干过程中挥发</w:t>
            </w:r>
            <w:r>
              <w:rPr>
                <w:rFonts w:hint="eastAsia" w:ascii="Times New Roman" w:cs="Times New Roman" w:eastAsiaTheme="minorEastAsia"/>
                <w:sz w:val="24"/>
                <w:szCs w:val="24"/>
                <w:lang w:val="zh-CN"/>
              </w:rPr>
              <w:t>。</w:t>
            </w:r>
            <w:r>
              <w:rPr>
                <w:rFonts w:hint="default" w:ascii="Times New Roman" w:hAnsi="Times New Roman" w:cs="Times New Roman" w:eastAsiaTheme="minorEastAsia"/>
                <w:sz w:val="24"/>
                <w:szCs w:val="24"/>
              </w:rPr>
              <w:t>该过程中会产生天然气燃烧</w:t>
            </w:r>
            <w:r>
              <w:rPr>
                <w:rFonts w:hint="eastAsia" w:ascii="Times New Roman" w:cs="Times New Roman" w:eastAsiaTheme="minorEastAsia"/>
                <w:sz w:val="24"/>
                <w:szCs w:val="24"/>
                <w:lang w:val="en-US" w:eastAsia="zh-CN"/>
              </w:rPr>
              <w:t>烟气</w:t>
            </w:r>
            <w:r>
              <w:rPr>
                <w:rFonts w:hint="default" w:ascii="Times New Roman" w:hAnsi="Times New Roman" w:cs="Times New Roman" w:eastAsiaTheme="minorEastAsia"/>
                <w:sz w:val="24"/>
                <w:szCs w:val="24"/>
              </w:rPr>
              <w:t>（G</w:t>
            </w:r>
            <w:r>
              <w:rPr>
                <w:rFonts w:hint="eastAsia" w:ascii="Times New Roman" w:cs="Times New Roman" w:eastAsiaTheme="minorEastAsia"/>
                <w:sz w:val="24"/>
                <w:szCs w:val="24"/>
                <w:lang w:val="en-US" w:eastAsia="zh-CN"/>
              </w:rPr>
              <w:t>5</w:t>
            </w:r>
            <w:r>
              <w:rPr>
                <w:rFonts w:hint="default" w:ascii="Times New Roman" w:hAnsi="Times New Roman" w:cs="Times New Roman" w:eastAsiaTheme="minorEastAsia"/>
                <w:sz w:val="24"/>
                <w:szCs w:val="24"/>
              </w:rPr>
              <w:t>）</w:t>
            </w:r>
            <w:r>
              <w:rPr>
                <w:rFonts w:hint="eastAsia" w:ascii="Times New Roman" w:cs="Times New Roman" w:eastAsiaTheme="minorEastAsia"/>
                <w:sz w:val="24"/>
                <w:szCs w:val="24"/>
                <w:lang w:eastAsia="zh-CN"/>
              </w:rPr>
              <w:t>、钝化烘干废气（G</w:t>
            </w:r>
            <w:r>
              <w:rPr>
                <w:rFonts w:hint="eastAsia" w:ascii="Times New Roman" w:cs="Times New Roman" w:eastAsiaTheme="minorEastAsia"/>
                <w:sz w:val="24"/>
                <w:szCs w:val="24"/>
                <w:lang w:val="en-US" w:eastAsia="zh-CN"/>
              </w:rPr>
              <w:t>8</w:t>
            </w:r>
            <w:r>
              <w:rPr>
                <w:rFonts w:hint="eastAsia" w:ascii="Times New Roman" w:cs="Times New Roman" w:eastAsiaTheme="minorEastAsia"/>
                <w:sz w:val="24"/>
                <w:szCs w:val="24"/>
                <w:lang w:eastAsia="zh-CN"/>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eastAsia" w:ascii="Times New Roman" w:cs="Times New Roman" w:eastAsiaTheme="minorEastAsia"/>
                <w:sz w:val="24"/>
                <w:szCs w:val="24"/>
                <w:lang w:val="en-US" w:eastAsia="zh-CN"/>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1</w:t>
            </w:r>
            <w:r>
              <w:rPr>
                <w:rFonts w:hint="eastAsia" w:ascii="Times New Roman" w:cs="Times New Roman"/>
                <w:sz w:val="24"/>
                <w:szCs w:val="24"/>
                <w:lang w:val="en-US" w:eastAsia="zh-CN"/>
              </w:rPr>
              <w:t>1</w:t>
            </w:r>
            <w:r>
              <w:rPr>
                <w:rFonts w:hint="default" w:ascii="Times New Roman" w:hAnsi="Times New Roman" w:cs="Times New Roman"/>
                <w:sz w:val="24"/>
                <w:szCs w:val="24"/>
              </w:rPr>
              <w:t>）浸</w:t>
            </w:r>
            <w:r>
              <w:rPr>
                <w:rFonts w:hint="eastAsia" w:ascii="Times New Roman" w:cs="Times New Roman"/>
                <w:sz w:val="24"/>
                <w:szCs w:val="24"/>
                <w:lang w:val="en-US" w:eastAsia="zh-CN"/>
              </w:rPr>
              <w:t>水性</w:t>
            </w:r>
            <w:r>
              <w:rPr>
                <w:rFonts w:hint="default" w:ascii="Times New Roman" w:hAnsi="Times New Roman" w:cs="Times New Roman"/>
                <w:sz w:val="24"/>
                <w:szCs w:val="24"/>
              </w:rPr>
              <w:t>漆及</w:t>
            </w:r>
            <w:r>
              <w:rPr>
                <w:rFonts w:hint="default" w:ascii="Times New Roman" w:hAnsi="Times New Roman" w:cs="Times New Roman" w:eastAsiaTheme="minorEastAsia"/>
                <w:sz w:val="24"/>
                <w:szCs w:val="24"/>
                <w:lang w:val="zh-CN"/>
              </w:rPr>
              <w:t>烘干</w:t>
            </w:r>
            <w:r>
              <w:rPr>
                <w:rFonts w:hint="eastAsia" w:ascii="Times New Roman" w:cs="Times New Roman" w:eastAsiaTheme="minorEastAsia"/>
                <w:sz w:val="24"/>
                <w:szCs w:val="24"/>
                <w:lang w:val="en-US" w:eastAsia="zh-CN"/>
              </w:rPr>
              <w:t>固化</w:t>
            </w:r>
            <w:r>
              <w:rPr>
                <w:rFonts w:hint="default" w:ascii="Times New Roman" w:hAnsi="Times New Roman" w:cs="Times New Roman"/>
                <w:sz w:val="24"/>
                <w:szCs w:val="24"/>
              </w:rPr>
              <w:t>：</w:t>
            </w:r>
            <w:r>
              <w:rPr>
                <w:rFonts w:hint="default" w:ascii="Times New Roman" w:hAnsi="Times New Roman" w:cs="Times New Roman" w:eastAsiaTheme="minorEastAsia"/>
                <w:sz w:val="24"/>
                <w:szCs w:val="24"/>
                <w:lang w:val="zh-CN"/>
              </w:rPr>
              <w:t>根据客户的需求，</w:t>
            </w:r>
            <w:r>
              <w:rPr>
                <w:rFonts w:hint="eastAsia" w:ascii="Times New Roman" w:cs="Times New Roman" w:eastAsiaTheme="minorEastAsia"/>
                <w:sz w:val="24"/>
                <w:szCs w:val="24"/>
                <w:lang w:val="en-US" w:eastAsia="zh-CN"/>
              </w:rPr>
              <w:t>部分烘干后的工件</w:t>
            </w:r>
            <w:r>
              <w:rPr>
                <w:rFonts w:hint="default" w:ascii="Times New Roman" w:hAnsi="Times New Roman" w:cs="Times New Roman" w:eastAsiaTheme="minorEastAsia"/>
                <w:sz w:val="24"/>
                <w:szCs w:val="24"/>
                <w:lang w:val="zh-CN"/>
              </w:rPr>
              <w:t>冷却至室温后</w:t>
            </w:r>
            <w:r>
              <w:rPr>
                <w:rFonts w:hint="eastAsia" w:ascii="Times New Roman" w:cs="Times New Roman" w:eastAsiaTheme="minorEastAsia"/>
                <w:sz w:val="24"/>
                <w:szCs w:val="24"/>
                <w:lang w:val="en-US" w:eastAsia="zh-CN"/>
              </w:rPr>
              <w:t>直接外售；部分则需达到更高的防腐效果。</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eastAsiaTheme="minorEastAsia"/>
                <w:sz w:val="24"/>
                <w:szCs w:val="24"/>
                <w:lang w:val="zh-CN"/>
              </w:rPr>
            </w:pPr>
            <w:r>
              <w:rPr>
                <w:rFonts w:hint="eastAsia" w:ascii="Times New Roman" w:cs="Times New Roman" w:eastAsiaTheme="minorEastAsia"/>
                <w:sz w:val="24"/>
                <w:szCs w:val="24"/>
                <w:lang w:val="en-US" w:eastAsia="zh-CN"/>
              </w:rPr>
              <w:t>项目</w:t>
            </w:r>
            <w:r>
              <w:rPr>
                <w:rFonts w:hint="default" w:ascii="Times New Roman" w:hAnsi="Times New Roman" w:cs="Times New Roman" w:eastAsiaTheme="minorEastAsia"/>
                <w:color w:val="000000"/>
                <w:kern w:val="0"/>
                <w:sz w:val="24"/>
                <w:lang w:val="zh-CN" w:eastAsia="zh-CN"/>
              </w:rPr>
              <w:t>车间内配备</w:t>
            </w:r>
            <w:r>
              <w:rPr>
                <w:rFonts w:hint="default" w:ascii="Times New Roman" w:hAnsi="Times New Roman" w:cs="Times New Roman" w:eastAsiaTheme="minorEastAsia"/>
                <w:color w:val="000000"/>
                <w:kern w:val="0"/>
                <w:sz w:val="24"/>
                <w:lang w:val="en-US" w:eastAsia="zh-CN"/>
              </w:rPr>
              <w:t>1</w:t>
            </w:r>
            <w:r>
              <w:rPr>
                <w:rFonts w:hint="default" w:ascii="Times New Roman" w:hAnsi="Times New Roman" w:cs="Times New Roman" w:eastAsiaTheme="minorEastAsia"/>
                <w:color w:val="000000"/>
                <w:kern w:val="0"/>
                <w:sz w:val="24"/>
                <w:lang w:val="zh-CN" w:eastAsia="zh-CN"/>
              </w:rPr>
              <w:t>个</w:t>
            </w:r>
            <w:r>
              <w:rPr>
                <w:rFonts w:hint="eastAsia" w:ascii="Times New Roman" w:hAnsi="Times New Roman" w:cs="Times New Roman" w:eastAsiaTheme="minorEastAsia"/>
                <w:color w:val="000000"/>
                <w:kern w:val="0"/>
                <w:sz w:val="24"/>
                <w:lang w:val="en-US" w:eastAsia="zh-CN"/>
              </w:rPr>
              <w:t>水性漆槽</w:t>
            </w:r>
            <w:r>
              <w:rPr>
                <w:rFonts w:hint="default" w:ascii="Times New Roman" w:hAnsi="Times New Roman" w:cs="Times New Roman" w:eastAsiaTheme="minorEastAsia"/>
                <w:color w:val="000000"/>
                <w:kern w:val="0"/>
                <w:sz w:val="24"/>
                <w:lang w:val="zh-CN" w:eastAsia="zh-CN"/>
              </w:rPr>
              <w:t>，</w:t>
            </w:r>
            <w:r>
              <w:rPr>
                <w:rFonts w:hint="eastAsia" w:ascii="Times New Roman" w:cs="Times New Roman" w:eastAsiaTheme="minorEastAsia"/>
                <w:color w:val="000000"/>
                <w:kern w:val="0"/>
                <w:sz w:val="24"/>
                <w:lang w:val="en-US" w:eastAsia="zh-CN"/>
              </w:rPr>
              <w:t>尺寸为2.5m×1.2m×1m，</w:t>
            </w:r>
            <w:r>
              <w:rPr>
                <w:rFonts w:hint="eastAsia" w:ascii="Times New Roman" w:cs="Times New Roman" w:eastAsiaTheme="minorEastAsia"/>
                <w:sz w:val="24"/>
                <w:szCs w:val="24"/>
                <w:lang w:val="en-US" w:eastAsia="zh-CN"/>
              </w:rPr>
              <w:t>冷却后的工件</w:t>
            </w:r>
            <w:r>
              <w:rPr>
                <w:rFonts w:hint="default" w:ascii="Times New Roman" w:hAnsi="Times New Roman" w:cs="Times New Roman" w:eastAsiaTheme="minorEastAsia"/>
                <w:sz w:val="24"/>
                <w:szCs w:val="24"/>
                <w:lang w:val="zh-CN"/>
              </w:rPr>
              <w:t>放入浸漆槽中浸泡</w:t>
            </w:r>
            <w:r>
              <w:rPr>
                <w:rFonts w:hint="eastAsia" w:ascii="Times New Roman" w:cs="Times New Roman" w:eastAsiaTheme="minorEastAsia"/>
                <w:sz w:val="24"/>
                <w:szCs w:val="24"/>
                <w:lang w:val="en-US" w:eastAsia="zh-CN"/>
              </w:rPr>
              <w:t>2min</w:t>
            </w:r>
            <w:r>
              <w:rPr>
                <w:rFonts w:hint="default" w:ascii="Times New Roman" w:hAnsi="Times New Roman" w:cs="Times New Roman" w:eastAsiaTheme="minorEastAsia"/>
                <w:sz w:val="24"/>
                <w:szCs w:val="24"/>
                <w:lang w:val="zh-CN"/>
              </w:rPr>
              <w:t>以上，使其表面覆盖一层保护层，厚度</w:t>
            </w:r>
            <w:r>
              <w:rPr>
                <w:rFonts w:hint="eastAsia" w:ascii="Times New Roman" w:cs="Times New Roman" w:eastAsiaTheme="minorEastAsia"/>
                <w:sz w:val="24"/>
                <w:szCs w:val="24"/>
                <w:lang w:val="en-US" w:eastAsia="zh-CN"/>
              </w:rPr>
              <w:t>约为25</w:t>
            </w:r>
            <w:r>
              <w:rPr>
                <w:rFonts w:hint="default" w:ascii="Times New Roman" w:hAnsi="Times New Roman" w:cs="Times New Roman" w:eastAsiaTheme="minorEastAsia"/>
                <w:sz w:val="24"/>
                <w:szCs w:val="24"/>
                <w:lang w:val="zh-CN"/>
              </w:rPr>
              <w:t>微米</w:t>
            </w:r>
            <w:r>
              <w:rPr>
                <w:rFonts w:hint="eastAsia" w:ascii="Times New Roman" w:cs="Times New Roman" w:eastAsiaTheme="minorEastAsia"/>
                <w:sz w:val="24"/>
                <w:szCs w:val="24"/>
                <w:lang w:val="zh-CN"/>
              </w:rPr>
              <w:t>。</w:t>
            </w:r>
            <w:r>
              <w:rPr>
                <w:rFonts w:hint="default" w:ascii="Times New Roman" w:hAnsi="Times New Roman" w:cs="Times New Roman" w:eastAsiaTheme="minorEastAsia"/>
                <w:sz w:val="24"/>
                <w:szCs w:val="24"/>
                <w:lang w:val="zh-CN"/>
              </w:rPr>
              <w:t>浸漆槽内水性漆不更换，定期添加，保持水性漆浓度不变。此过程会挥发少量有机废气（G</w:t>
            </w:r>
            <w:r>
              <w:rPr>
                <w:rFonts w:hint="default" w:ascii="Times New Roman" w:hAnsi="Times New Roman" w:cs="Times New Roman" w:eastAsiaTheme="minorEastAsia"/>
                <w:sz w:val="24"/>
                <w:szCs w:val="24"/>
                <w:lang w:val="en-US" w:eastAsia="zh-CN"/>
              </w:rPr>
              <w:t>9</w:t>
            </w:r>
            <w:r>
              <w:rPr>
                <w:rFonts w:hint="default" w:ascii="Times New Roman" w:hAnsi="Times New Roman" w:cs="Times New Roman" w:eastAsiaTheme="minorEastAsia"/>
                <w:sz w:val="24"/>
                <w:szCs w:val="24"/>
                <w:lang w:val="zh-CN"/>
              </w:rPr>
              <w:t>）</w:t>
            </w:r>
            <w:r>
              <w:rPr>
                <w:rFonts w:hint="eastAsia" w:ascii="Times New Roman" w:cs="Times New Roman" w:eastAsiaTheme="minorEastAsia"/>
                <w:sz w:val="24"/>
                <w:szCs w:val="24"/>
                <w:lang w:val="zh-CN"/>
              </w:rPr>
              <w:t>、</w:t>
            </w:r>
            <w:r>
              <w:rPr>
                <w:rFonts w:hint="eastAsia" w:ascii="Times New Roman" w:cs="Times New Roman" w:eastAsiaTheme="minorEastAsia"/>
                <w:sz w:val="24"/>
                <w:szCs w:val="24"/>
                <w:lang w:val="en-US" w:eastAsia="zh-CN"/>
              </w:rPr>
              <w:t>废涂料桶（S6）</w:t>
            </w:r>
            <w:r>
              <w:rPr>
                <w:rFonts w:hint="default" w:ascii="Times New Roman" w:hAnsi="Times New Roman" w:cs="Times New Roman" w:eastAsiaTheme="minorEastAsia"/>
                <w:sz w:val="24"/>
                <w:szCs w:val="24"/>
                <w:lang w:val="zh-CN"/>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eastAsiaTheme="minorEastAsia"/>
                <w:sz w:val="24"/>
                <w:szCs w:val="24"/>
                <w:lang w:val="zh-CN"/>
              </w:rPr>
              <w:t>浸</w:t>
            </w:r>
            <w:r>
              <w:rPr>
                <w:rFonts w:hint="eastAsia" w:ascii="Times New Roman" w:cs="Times New Roman" w:eastAsiaTheme="minorEastAsia"/>
                <w:sz w:val="24"/>
                <w:szCs w:val="24"/>
                <w:lang w:val="en-US" w:eastAsia="zh-CN"/>
              </w:rPr>
              <w:t>水性</w:t>
            </w:r>
            <w:r>
              <w:rPr>
                <w:rFonts w:hint="default" w:ascii="Times New Roman" w:hAnsi="Times New Roman" w:cs="Times New Roman" w:eastAsiaTheme="minorEastAsia"/>
                <w:sz w:val="24"/>
                <w:szCs w:val="24"/>
                <w:lang w:val="zh-CN"/>
              </w:rPr>
              <w:t>漆后的工件</w:t>
            </w:r>
            <w:r>
              <w:rPr>
                <w:rFonts w:hint="eastAsia" w:ascii="Times New Roman" w:cs="Times New Roman" w:eastAsiaTheme="minorEastAsia"/>
                <w:sz w:val="24"/>
                <w:szCs w:val="24"/>
                <w:lang w:val="en-US" w:eastAsia="zh-CN"/>
              </w:rPr>
              <w:t>随后</w:t>
            </w:r>
            <w:r>
              <w:rPr>
                <w:rFonts w:hint="default" w:ascii="Times New Roman" w:hAnsi="Times New Roman" w:cs="Times New Roman" w:eastAsiaTheme="minorEastAsia"/>
                <w:sz w:val="24"/>
                <w:szCs w:val="24"/>
                <w:lang w:val="zh-CN"/>
              </w:rPr>
              <w:t>送入全自动悬链钝化封闭线烘干室中进行烘干固化，烘干温度在60</w:t>
            </w:r>
            <w:r>
              <w:rPr>
                <w:rFonts w:hint="default" w:ascii="Times New Roman" w:hAnsi="Times New Roman" w:cs="Times New Roman"/>
                <w:sz w:val="24"/>
                <w:szCs w:val="24"/>
                <w:lang w:val="zh-CN"/>
              </w:rPr>
              <w:t>℃</w:t>
            </w:r>
            <w:r>
              <w:rPr>
                <w:rFonts w:hint="default" w:ascii="Times New Roman" w:hAnsi="Times New Roman" w:cs="Times New Roman" w:eastAsiaTheme="minorEastAsia"/>
                <w:sz w:val="24"/>
                <w:szCs w:val="24"/>
                <w:lang w:val="zh-CN"/>
              </w:rPr>
              <w:t>~80</w:t>
            </w:r>
            <w:r>
              <w:rPr>
                <w:rFonts w:hint="default" w:ascii="Times New Roman" w:hAnsi="Times New Roman" w:cs="Times New Roman"/>
                <w:sz w:val="24"/>
                <w:szCs w:val="24"/>
                <w:lang w:val="zh-CN"/>
              </w:rPr>
              <w:t>℃</w:t>
            </w:r>
            <w:r>
              <w:rPr>
                <w:rFonts w:hint="default" w:ascii="Times New Roman" w:hAnsi="Times New Roman" w:cs="Times New Roman" w:eastAsiaTheme="minorEastAsia"/>
                <w:sz w:val="24"/>
                <w:szCs w:val="24"/>
                <w:lang w:val="zh-CN"/>
              </w:rPr>
              <w:t>左右。烘干热源为天然气，</w:t>
            </w:r>
            <w:r>
              <w:rPr>
                <w:rFonts w:hint="default" w:ascii="Times New Roman" w:hAnsi="Times New Roman" w:cs="Times New Roman" w:eastAsiaTheme="minorEastAsia"/>
                <w:sz w:val="24"/>
                <w:szCs w:val="24"/>
              </w:rPr>
              <w:t>该过程中会产生天然气燃烧</w:t>
            </w:r>
            <w:r>
              <w:rPr>
                <w:rFonts w:hint="eastAsia" w:ascii="Times New Roman" w:cs="Times New Roman" w:eastAsiaTheme="minorEastAsia"/>
                <w:sz w:val="24"/>
                <w:szCs w:val="24"/>
                <w:lang w:val="en-US" w:eastAsia="zh-CN"/>
              </w:rPr>
              <w:t>烟气</w:t>
            </w:r>
            <w:r>
              <w:rPr>
                <w:rFonts w:hint="default" w:ascii="Times New Roman" w:hAnsi="Times New Roman" w:cs="Times New Roman" w:eastAsiaTheme="minorEastAsia"/>
                <w:sz w:val="24"/>
                <w:szCs w:val="24"/>
              </w:rPr>
              <w:t>（G</w:t>
            </w:r>
            <w:r>
              <w:rPr>
                <w:rFonts w:hint="eastAsia" w:ascii="Times New Roman" w:cs="Times New Roman" w:eastAsiaTheme="minorEastAsia"/>
                <w:sz w:val="24"/>
                <w:szCs w:val="24"/>
                <w:lang w:val="en-US" w:eastAsia="zh-CN"/>
              </w:rPr>
              <w:t>5</w:t>
            </w:r>
            <w:r>
              <w:rPr>
                <w:rFonts w:hint="default" w:ascii="Times New Roman" w:hAnsi="Times New Roman" w:cs="Times New Roman" w:eastAsiaTheme="minorEastAsia"/>
                <w:sz w:val="24"/>
                <w:szCs w:val="24"/>
              </w:rPr>
              <w:t>）、烘干有机废气（G</w:t>
            </w:r>
            <w:r>
              <w:rPr>
                <w:rFonts w:hint="default" w:ascii="Times New Roman" w:hAnsi="Times New Roman" w:cs="Times New Roman" w:eastAsiaTheme="minorEastAsia"/>
                <w:sz w:val="24"/>
                <w:szCs w:val="24"/>
                <w:lang w:val="en-US" w:eastAsia="zh-CN"/>
              </w:rPr>
              <w:t>10</w:t>
            </w:r>
            <w:r>
              <w:rPr>
                <w:rFonts w:hint="default" w:ascii="Times New Roman" w:hAnsi="Times New Roman" w:cs="Times New Roman" w:eastAsiaTheme="minorEastAsia"/>
                <w:sz w:val="24"/>
                <w:szCs w:val="24"/>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rPr>
              <w:t>（1</w:t>
            </w:r>
            <w:r>
              <w:rPr>
                <w:rFonts w:hint="eastAsia" w:ascii="Times New Roman" w:cs="Times New Roman"/>
                <w:sz w:val="24"/>
                <w:szCs w:val="24"/>
                <w:lang w:val="en-US" w:eastAsia="zh-CN"/>
              </w:rPr>
              <w:t>2</w:t>
            </w:r>
            <w:r>
              <w:rPr>
                <w:rFonts w:hint="default" w:ascii="Times New Roman" w:hAnsi="Times New Roman" w:cs="Times New Roman"/>
                <w:sz w:val="24"/>
                <w:szCs w:val="24"/>
              </w:rPr>
              <w:t>）喷漆及自然晾干：</w:t>
            </w:r>
            <w:r>
              <w:rPr>
                <w:rFonts w:hint="default" w:ascii="Times New Roman" w:hAnsi="Times New Roman" w:cs="Times New Roman" w:eastAsiaTheme="minorEastAsia"/>
                <w:sz w:val="24"/>
                <w:szCs w:val="24"/>
                <w:lang w:val="zh-CN"/>
              </w:rPr>
              <w:t>根据客户的需求，</w:t>
            </w:r>
            <w:r>
              <w:rPr>
                <w:rFonts w:hint="eastAsia" w:ascii="Times New Roman" w:cs="Times New Roman" w:eastAsiaTheme="minorEastAsia"/>
                <w:sz w:val="24"/>
                <w:szCs w:val="24"/>
                <w:lang w:val="en-US" w:eastAsia="zh-CN"/>
              </w:rPr>
              <w:t>部分共渗清洗</w:t>
            </w:r>
            <w:r>
              <w:rPr>
                <w:rFonts w:hint="default" w:ascii="Times New Roman" w:hAnsi="Times New Roman" w:cs="Times New Roman" w:eastAsiaTheme="minorEastAsia"/>
                <w:sz w:val="24"/>
                <w:szCs w:val="24"/>
                <w:lang w:val="zh-CN"/>
              </w:rPr>
              <w:t>后的工件</w:t>
            </w:r>
            <w:r>
              <w:rPr>
                <w:rFonts w:hint="eastAsia" w:ascii="Times New Roman" w:cs="Times New Roman" w:eastAsiaTheme="minorEastAsia"/>
                <w:sz w:val="24"/>
                <w:szCs w:val="24"/>
                <w:lang w:val="en-US" w:eastAsia="zh-CN"/>
              </w:rPr>
              <w:t>直接</w:t>
            </w:r>
            <w:r>
              <w:rPr>
                <w:rFonts w:hint="default" w:ascii="Times New Roman" w:hAnsi="Times New Roman" w:cs="Times New Roman" w:eastAsiaTheme="minorEastAsia"/>
                <w:sz w:val="24"/>
                <w:szCs w:val="24"/>
                <w:lang w:val="zh-CN"/>
              </w:rPr>
              <w:t>转运至喷漆房进行干式喷漆，使其表面覆盖一层保护层，喷涂厚度</w:t>
            </w:r>
            <w:r>
              <w:rPr>
                <w:rFonts w:hint="eastAsia" w:ascii="Times New Roman" w:cs="Times New Roman" w:eastAsiaTheme="minorEastAsia"/>
                <w:sz w:val="24"/>
                <w:szCs w:val="24"/>
                <w:lang w:val="en-US" w:eastAsia="zh-CN"/>
              </w:rPr>
              <w:t>约为25</w:t>
            </w:r>
            <w:r>
              <w:rPr>
                <w:rFonts w:hint="default" w:ascii="Times New Roman" w:hAnsi="Times New Roman" w:cs="Times New Roman" w:eastAsiaTheme="minorEastAsia"/>
                <w:sz w:val="24"/>
                <w:szCs w:val="24"/>
                <w:lang w:val="zh-CN"/>
              </w:rPr>
              <w:t>微米</w:t>
            </w:r>
            <w:r>
              <w:rPr>
                <w:rFonts w:hint="eastAsia" w:ascii="Times New Roman" w:cs="Times New Roman" w:eastAsiaTheme="minorEastAsia"/>
                <w:sz w:val="24"/>
                <w:szCs w:val="24"/>
                <w:lang w:val="zh-CN"/>
              </w:rPr>
              <w:t>，</w:t>
            </w:r>
            <w:r>
              <w:rPr>
                <w:rFonts w:hint="default" w:ascii="Times New Roman" w:hAnsi="Times New Roman" w:cs="Times New Roman" w:eastAsiaTheme="minorEastAsia"/>
                <w:sz w:val="24"/>
                <w:szCs w:val="24"/>
                <w:lang w:val="zh-CN"/>
              </w:rPr>
              <w:t>表面喷涂不得留有死角</w:t>
            </w:r>
            <w:r>
              <w:rPr>
                <w:rFonts w:hint="eastAsia" w:ascii="Times New Roman" w:cs="Times New Roman" w:eastAsiaTheme="minorEastAsia"/>
                <w:sz w:val="24"/>
                <w:szCs w:val="24"/>
                <w:lang w:val="zh-CN"/>
              </w:rPr>
              <w:t>。</w:t>
            </w:r>
            <w:r>
              <w:rPr>
                <w:rFonts w:hint="eastAsia" w:ascii="Times New Roman" w:cs="Times New Roman" w:eastAsiaTheme="minorEastAsia"/>
                <w:sz w:val="24"/>
                <w:szCs w:val="24"/>
                <w:lang w:val="en-US" w:eastAsia="zh-CN"/>
              </w:rPr>
              <w:t>采用油性漆进行喷涂，喷涂完成后</w:t>
            </w:r>
            <w:r>
              <w:rPr>
                <w:rFonts w:hint="default" w:ascii="Times New Roman" w:hAnsi="Times New Roman" w:cs="Times New Roman" w:eastAsiaTheme="minorEastAsia"/>
                <w:sz w:val="24"/>
                <w:szCs w:val="24"/>
                <w:lang w:val="zh-CN"/>
              </w:rPr>
              <w:t>在喷漆房内自然晾干。该过程中会产生喷漆废气（G</w:t>
            </w:r>
            <w:r>
              <w:rPr>
                <w:rFonts w:hint="default" w:ascii="Times New Roman" w:hAnsi="Times New Roman" w:cs="Times New Roman" w:eastAsiaTheme="minorEastAsia"/>
                <w:sz w:val="24"/>
                <w:szCs w:val="24"/>
                <w:lang w:val="en-US" w:eastAsia="zh-CN"/>
              </w:rPr>
              <w:t>11</w:t>
            </w:r>
            <w:r>
              <w:rPr>
                <w:rFonts w:hint="default" w:ascii="Times New Roman" w:hAnsi="Times New Roman" w:cs="Times New Roman" w:eastAsiaTheme="minorEastAsia"/>
                <w:sz w:val="24"/>
                <w:szCs w:val="24"/>
                <w:lang w:val="zh-CN"/>
              </w:rPr>
              <w:t>）</w:t>
            </w:r>
            <w:r>
              <w:rPr>
                <w:rFonts w:hint="eastAsia" w:ascii="Times New Roman" w:cs="Times New Roman" w:eastAsiaTheme="minorEastAsia"/>
                <w:sz w:val="24"/>
                <w:szCs w:val="24"/>
                <w:lang w:val="zh-CN"/>
              </w:rPr>
              <w:t>、</w:t>
            </w:r>
            <w:r>
              <w:rPr>
                <w:rFonts w:hint="eastAsia" w:ascii="Times New Roman" w:cs="Times New Roman" w:eastAsiaTheme="minorEastAsia"/>
                <w:sz w:val="24"/>
                <w:szCs w:val="24"/>
                <w:lang w:val="en-US" w:eastAsia="zh-CN"/>
              </w:rPr>
              <w:t>晾干废气（G12）</w:t>
            </w:r>
            <w:r>
              <w:rPr>
                <w:rFonts w:hint="eastAsia" w:ascii="Times New Roman" w:cs="Times New Roman" w:eastAsiaTheme="minorEastAsia"/>
                <w:sz w:val="24"/>
                <w:szCs w:val="24"/>
                <w:lang w:val="zh-CN"/>
              </w:rPr>
              <w:t>、</w:t>
            </w:r>
            <w:r>
              <w:rPr>
                <w:rFonts w:hint="eastAsia" w:ascii="Times New Roman" w:cs="Times New Roman" w:eastAsiaTheme="minorEastAsia"/>
                <w:sz w:val="24"/>
                <w:szCs w:val="24"/>
                <w:lang w:val="en-US" w:eastAsia="zh-CN"/>
              </w:rPr>
              <w:t>废涂料桶（S6）</w:t>
            </w:r>
            <w:r>
              <w:rPr>
                <w:rFonts w:hint="default" w:ascii="Times New Roman" w:hAnsi="Times New Roman" w:cs="Times New Roman" w:eastAsiaTheme="minorEastAsia"/>
                <w:sz w:val="24"/>
                <w:szCs w:val="24"/>
                <w:lang w:val="zh-CN"/>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ascii="Times New Roman" w:cs="Times New Roman"/>
                <w:sz w:val="24"/>
                <w:szCs w:val="24"/>
                <w:lang w:eastAsia="zh-CN"/>
              </w:rPr>
              <w:t>（</w:t>
            </w:r>
            <w:r>
              <w:rPr>
                <w:rFonts w:hint="eastAsia" w:ascii="Times New Roman" w:cs="Times New Roman"/>
                <w:sz w:val="24"/>
                <w:szCs w:val="24"/>
                <w:lang w:val="en-US" w:eastAsia="zh-CN"/>
              </w:rPr>
              <w:t>13</w:t>
            </w:r>
            <w:r>
              <w:rPr>
                <w:rFonts w:hint="eastAsia" w:ascii="Times New Roman" w:cs="Times New Roman"/>
                <w:sz w:val="24"/>
                <w:szCs w:val="24"/>
                <w:lang w:eastAsia="zh-CN"/>
              </w:rPr>
              <w:t>）</w:t>
            </w:r>
            <w:r>
              <w:rPr>
                <w:rFonts w:hint="eastAsia" w:ascii="Times New Roman" w:cs="Times New Roman"/>
                <w:sz w:val="24"/>
                <w:szCs w:val="24"/>
                <w:lang w:val="en-US" w:eastAsia="zh-CN"/>
              </w:rPr>
              <w:t>检测：处理好的工件通过</w:t>
            </w:r>
            <w:r>
              <w:rPr>
                <w:rFonts w:hint="eastAsia" w:eastAsiaTheme="minorEastAsia"/>
                <w:spacing w:val="-2"/>
                <w:sz w:val="24"/>
              </w:rPr>
              <w:t>盐雾试验箱</w:t>
            </w:r>
            <w:r>
              <w:rPr>
                <w:rFonts w:ascii="宋体" w:hAnsi="宋体" w:eastAsia="宋体" w:cs="宋体"/>
                <w:sz w:val="24"/>
                <w:szCs w:val="24"/>
              </w:rPr>
              <w:t>进行耐盐雾性能检验。</w:t>
            </w:r>
            <w:r>
              <w:rPr>
                <w:rFonts w:hint="eastAsia" w:ascii="宋体" w:hAnsi="宋体" w:eastAsia="宋体" w:cs="宋体"/>
                <w:sz w:val="24"/>
                <w:szCs w:val="24"/>
              </w:rPr>
              <w:t>此工序产生不合格品</w:t>
            </w:r>
            <w:r>
              <w:rPr>
                <w:rFonts w:hint="default" w:ascii="Times New Roman" w:hAnsi="Times New Roman" w:eastAsia="宋体" w:cs="Times New Roman"/>
                <w:sz w:val="24"/>
                <w:szCs w:val="24"/>
              </w:rPr>
              <w:t>（S</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w:t>
            </w:r>
          </w:p>
          <w:p>
            <w:pPr>
              <w:pStyle w:val="2"/>
              <w:keepNext w:val="0"/>
              <w:keepLines w:val="0"/>
              <w:pageBreakBefore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rPr>
              <w:t>（1</w:t>
            </w:r>
            <w:r>
              <w:rPr>
                <w:rFonts w:hint="default" w:ascii="Times New Roman" w:hAnsi="Times New Roman" w:cs="Times New Roman"/>
                <w:sz w:val="24"/>
                <w:szCs w:val="24"/>
                <w:lang w:val="en-US" w:eastAsia="zh-CN"/>
              </w:rPr>
              <w:t>4</w:t>
            </w:r>
            <w:r>
              <w:rPr>
                <w:rFonts w:hint="default" w:ascii="Times New Roman" w:hAnsi="Times New Roman" w:cs="Times New Roman"/>
                <w:sz w:val="24"/>
                <w:szCs w:val="24"/>
              </w:rPr>
              <w:t>）成品入库：经检验合格后的成品送入仓库。</w:t>
            </w:r>
          </w:p>
          <w:p>
            <w:pPr>
              <w:keepNext w:val="0"/>
              <w:keepLines w:val="0"/>
              <w:pageBreakBefore w:val="0"/>
              <w:widowControl/>
              <w:kinsoku/>
              <w:wordWrap/>
              <w:overflowPunct/>
              <w:topLinePunct w:val="0"/>
              <w:bidi w:val="0"/>
              <w:snapToGrid/>
              <w:spacing w:line="360" w:lineRule="auto"/>
              <w:ind w:firstLine="480" w:firstLineChars="200"/>
              <w:jc w:val="both"/>
              <w:textAlignment w:val="auto"/>
              <w:rPr>
                <w:spacing w:val="-3"/>
                <w:sz w:val="24"/>
              </w:rPr>
            </w:pPr>
            <w:r>
              <w:rPr>
                <w:rFonts w:hint="default" w:ascii="Times New Roman" w:hAnsi="Times New Roman" w:cs="Times New Roman"/>
                <w:sz w:val="24"/>
                <w:szCs w:val="24"/>
              </w:rPr>
              <w:t>此外，设备维护保养等过程会产生废含油手套及抹布</w:t>
            </w:r>
            <w:r>
              <w:rPr>
                <w:rFonts w:hint="eastAsia" w:cs="Times New Roman"/>
                <w:sz w:val="24"/>
                <w:szCs w:val="24"/>
                <w:lang w:eastAsia="zh-CN"/>
              </w:rPr>
              <w:t>（</w:t>
            </w:r>
            <w:r>
              <w:rPr>
                <w:rFonts w:hint="eastAsia" w:cs="Times New Roman"/>
                <w:sz w:val="24"/>
                <w:szCs w:val="24"/>
                <w:lang w:val="en-US" w:eastAsia="zh-CN"/>
              </w:rPr>
              <w:t>S8</w:t>
            </w:r>
            <w:r>
              <w:rPr>
                <w:rFonts w:hint="eastAsia" w:cs="Times New Roman"/>
                <w:sz w:val="24"/>
                <w:szCs w:val="24"/>
                <w:lang w:eastAsia="zh-CN"/>
              </w:rPr>
              <w:t>）、</w:t>
            </w:r>
            <w:r>
              <w:rPr>
                <w:rFonts w:hint="eastAsia" w:cs="Times New Roman"/>
                <w:sz w:val="24"/>
                <w:szCs w:val="24"/>
                <w:lang w:val="en-US" w:eastAsia="zh-CN"/>
              </w:rPr>
              <w:t>废润滑油（S9）</w:t>
            </w:r>
            <w:r>
              <w:rPr>
                <w:rFonts w:hint="default" w:ascii="Times New Roman" w:hAnsi="Times New Roman" w:cs="Times New Roman"/>
                <w:sz w:val="24"/>
                <w:szCs w:val="24"/>
                <w:lang w:eastAsia="zh-CN"/>
              </w:rPr>
              <w:t>、</w:t>
            </w:r>
            <w:r>
              <w:rPr>
                <w:rFonts w:hint="default" w:ascii="Times New Roman" w:hAnsi="Times New Roman" w:cs="Times New Roman" w:eastAsiaTheme="minorEastAsia"/>
                <w:color w:val="000000"/>
                <w:kern w:val="0"/>
                <w:sz w:val="24"/>
                <w:lang w:val="en-US" w:eastAsia="zh-CN"/>
              </w:rPr>
              <w:t>废</w:t>
            </w:r>
            <w:r>
              <w:rPr>
                <w:rFonts w:hint="eastAsia" w:cs="Times New Roman" w:eastAsiaTheme="minorEastAsia"/>
                <w:color w:val="000000"/>
                <w:kern w:val="0"/>
                <w:sz w:val="24"/>
                <w:lang w:val="en-US" w:eastAsia="zh-CN"/>
              </w:rPr>
              <w:t>液压</w:t>
            </w:r>
            <w:r>
              <w:rPr>
                <w:rFonts w:hint="default" w:ascii="Times New Roman" w:hAnsi="Times New Roman" w:cs="Times New Roman" w:eastAsiaTheme="minorEastAsia"/>
                <w:color w:val="000000"/>
                <w:kern w:val="0"/>
                <w:sz w:val="24"/>
                <w:lang w:val="en-US" w:eastAsia="zh-CN"/>
              </w:rPr>
              <w:t>油</w:t>
            </w:r>
            <w:r>
              <w:rPr>
                <w:rFonts w:hint="eastAsia" w:cs="Times New Roman" w:eastAsiaTheme="minorEastAsia"/>
                <w:color w:val="000000"/>
                <w:kern w:val="0"/>
                <w:sz w:val="24"/>
                <w:lang w:val="en-US" w:eastAsia="zh-CN"/>
              </w:rPr>
              <w:t>（S10）</w:t>
            </w:r>
            <w:r>
              <w:rPr>
                <w:rFonts w:hint="default" w:ascii="Times New Roman" w:hAnsi="Times New Roman" w:cs="Times New Roman"/>
                <w:sz w:val="24"/>
                <w:szCs w:val="24"/>
              </w:rPr>
              <w:t>，机加工过程会产生废乳化液</w:t>
            </w:r>
            <w:r>
              <w:rPr>
                <w:rFonts w:hint="eastAsia" w:cs="Times New Roman"/>
                <w:sz w:val="24"/>
                <w:szCs w:val="24"/>
                <w:lang w:eastAsia="zh-CN"/>
              </w:rPr>
              <w:t>（</w:t>
            </w:r>
            <w:r>
              <w:rPr>
                <w:rFonts w:hint="eastAsia" w:cs="Times New Roman"/>
                <w:sz w:val="24"/>
                <w:szCs w:val="24"/>
                <w:lang w:val="en-US" w:eastAsia="zh-CN"/>
              </w:rPr>
              <w:t>S11</w:t>
            </w:r>
            <w:r>
              <w:rPr>
                <w:rFonts w:hint="eastAsia" w:cs="Times New Roman"/>
                <w:sz w:val="24"/>
                <w:szCs w:val="24"/>
                <w:lang w:eastAsia="zh-CN"/>
              </w:rPr>
              <w:t>）</w:t>
            </w:r>
            <w:r>
              <w:rPr>
                <w:rFonts w:hint="default" w:ascii="Times New Roman" w:hAnsi="Times New Roman" w:cs="Times New Roman"/>
                <w:sz w:val="24"/>
                <w:szCs w:val="24"/>
              </w:rPr>
              <w:t>，有机废气处理工程中会产生</w:t>
            </w:r>
            <w:r>
              <w:rPr>
                <w:rFonts w:hint="default" w:ascii="Times New Roman" w:hAnsi="Times New Roman" w:cs="Times New Roman" w:eastAsiaTheme="minorEastAsia"/>
                <w:sz w:val="24"/>
                <w:szCs w:val="24"/>
                <w:lang w:val="zh-CN"/>
              </w:rPr>
              <w:t>废过滤棉</w:t>
            </w:r>
            <w:r>
              <w:rPr>
                <w:rFonts w:hint="eastAsia" w:cs="Times New Roman" w:eastAsiaTheme="minorEastAsia"/>
                <w:sz w:val="24"/>
                <w:szCs w:val="24"/>
                <w:lang w:val="zh-CN"/>
              </w:rPr>
              <w:t>（</w:t>
            </w:r>
            <w:r>
              <w:rPr>
                <w:rFonts w:hint="eastAsia" w:cs="Times New Roman" w:eastAsiaTheme="minorEastAsia"/>
                <w:sz w:val="24"/>
                <w:szCs w:val="24"/>
                <w:lang w:val="en-US" w:eastAsia="zh-CN"/>
              </w:rPr>
              <w:t>S12</w:t>
            </w:r>
            <w:r>
              <w:rPr>
                <w:rFonts w:hint="eastAsia" w:cs="Times New Roman" w:eastAsiaTheme="minorEastAsia"/>
                <w:sz w:val="24"/>
                <w:szCs w:val="24"/>
                <w:lang w:val="zh-CN"/>
              </w:rPr>
              <w:t>）</w:t>
            </w:r>
            <w:r>
              <w:rPr>
                <w:rFonts w:hint="default" w:ascii="Times New Roman" w:hAnsi="Times New Roman" w:cs="Times New Roman" w:eastAsiaTheme="minorEastAsia"/>
                <w:sz w:val="24"/>
                <w:szCs w:val="24"/>
                <w:lang w:val="zh-CN"/>
              </w:rPr>
              <w:t>、废活性炭</w:t>
            </w:r>
            <w:r>
              <w:rPr>
                <w:rFonts w:hint="eastAsia" w:cs="Times New Roman" w:eastAsiaTheme="minorEastAsia"/>
                <w:sz w:val="24"/>
                <w:szCs w:val="24"/>
                <w:lang w:val="zh-CN"/>
              </w:rPr>
              <w:t>（</w:t>
            </w:r>
            <w:r>
              <w:rPr>
                <w:rFonts w:hint="eastAsia" w:cs="Times New Roman" w:eastAsiaTheme="minorEastAsia"/>
                <w:sz w:val="24"/>
                <w:szCs w:val="24"/>
                <w:lang w:val="en-US" w:eastAsia="zh-CN"/>
              </w:rPr>
              <w:t>S13</w:t>
            </w:r>
            <w:r>
              <w:rPr>
                <w:rFonts w:hint="eastAsia" w:cs="Times New Roman" w:eastAsiaTheme="minorEastAsia"/>
                <w:sz w:val="24"/>
                <w:szCs w:val="24"/>
                <w:lang w:val="zh-CN"/>
              </w:rPr>
              <w:t>）、</w:t>
            </w:r>
            <w:r>
              <w:rPr>
                <w:rFonts w:hint="eastAsia" w:cs="Times New Roman" w:eastAsiaTheme="minorEastAsia"/>
                <w:sz w:val="24"/>
                <w:szCs w:val="24"/>
                <w:lang w:val="en-US" w:eastAsia="zh-CN"/>
              </w:rPr>
              <w:t>废UV灯管（S14）</w:t>
            </w:r>
            <w:r>
              <w:rPr>
                <w:rFonts w:hint="default" w:ascii="Times New Roman" w:hAnsi="Times New Roman" w:cs="Times New Roman"/>
                <w:color w:val="auto"/>
                <w:spacing w:val="-3"/>
                <w:sz w:val="24"/>
                <w:u w:val="none"/>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1" w:type="dxa"/>
            <w:vAlign w:val="center"/>
          </w:tcPr>
          <w:p>
            <w:pPr>
              <w:pStyle w:val="21"/>
              <w:adjustRightInd w:val="0"/>
              <w:snapToGrid w:val="0"/>
              <w:spacing w:before="0" w:beforeAutospacing="0" w:after="0" w:afterAutospacing="0"/>
              <w:jc w:val="center"/>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b/>
                <w:bCs/>
                <w:kern w:val="2"/>
                <w:sz w:val="24"/>
                <w:szCs w:val="24"/>
                <w:lang w:val="en-US" w:eastAsia="zh-CN" w:bidi="ar-SA"/>
              </w:rPr>
              <w:t>与项目有关的原有环境污染问题</w:t>
            </w:r>
          </w:p>
        </w:tc>
        <w:tc>
          <w:tcPr>
            <w:tcW w:w="9534" w:type="dxa"/>
          </w:tcPr>
          <w:p>
            <w:pPr>
              <w:keepNext w:val="0"/>
              <w:keepLines w:val="0"/>
              <w:pageBreakBefore w:val="0"/>
              <w:kinsoku/>
              <w:wordWrap/>
              <w:overflowPunct/>
              <w:topLinePunct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一、原有项目环保审批及验收情况</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公司现有项目环评及验收情况如下：</w:t>
            </w:r>
          </w:p>
          <w:p>
            <w:pPr>
              <w:keepNext w:val="0"/>
              <w:keepLines w:val="0"/>
              <w:pageBreakBefore w:val="0"/>
              <w:widowControl/>
              <w:kinsoku/>
              <w:wordWrap/>
              <w:overflowPunct/>
              <w:topLinePunct w:val="0"/>
              <w:bidi w:val="0"/>
              <w:spacing w:line="360" w:lineRule="auto"/>
              <w:ind w:firstLine="482" w:firstLineChars="200"/>
              <w:jc w:val="both"/>
              <w:textAlignment w:val="auto"/>
              <w:rPr>
                <w:rFonts w:hint="default" w:ascii="Times New Roman" w:hAnsi="Times New Roman" w:cs="Times New Roman"/>
                <w:b/>
                <w:bCs/>
                <w:sz w:val="24"/>
                <w:szCs w:val="24"/>
                <w:lang w:val="en-US" w:eastAsia="zh-CN"/>
              </w:rPr>
            </w:pPr>
            <w:r>
              <w:rPr>
                <w:rFonts w:hint="eastAsia" w:cs="Times New Roman"/>
                <w:b/>
                <w:bCs/>
                <w:sz w:val="24"/>
                <w:szCs w:val="24"/>
                <w:lang w:val="en-US" w:eastAsia="zh-CN"/>
              </w:rPr>
              <w:t>1、</w:t>
            </w:r>
            <w:r>
              <w:rPr>
                <w:rFonts w:hint="default" w:ascii="Times New Roman" w:hAnsi="Times New Roman" w:cs="Times New Roman"/>
                <w:b/>
                <w:bCs/>
                <w:sz w:val="24"/>
                <w:szCs w:val="24"/>
                <w:lang w:val="en-US" w:eastAsia="zh-CN"/>
              </w:rPr>
              <w:t>桥梁锚具产品生产项目环评审批及验收情况</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衡阳市新德力预应力有限公司于2014年1月委托衡阳市环境科学研究所编制了《桥梁锚具产品生产项目》环境影响报告表，该项目于2014年5月7日取得了衡阳市环境保护局的批复（衡环发[2014]046号），并于2015年6月19日通过了衡阳市环境保护局竣工环境保护验收（衡环发[2015]106号）。</w:t>
            </w:r>
          </w:p>
          <w:p>
            <w:pPr>
              <w:keepNext w:val="0"/>
              <w:keepLines w:val="0"/>
              <w:pageBreakBefore w:val="0"/>
              <w:widowControl/>
              <w:kinsoku/>
              <w:wordWrap/>
              <w:overflowPunct/>
              <w:topLinePunct w:val="0"/>
              <w:bidi w:val="0"/>
              <w:spacing w:line="360" w:lineRule="auto"/>
              <w:ind w:firstLine="482" w:firstLineChars="200"/>
              <w:jc w:val="both"/>
              <w:textAlignment w:val="auto"/>
              <w:rPr>
                <w:rFonts w:hint="default" w:cs="Times New Roman"/>
                <w:b/>
                <w:bCs/>
                <w:color w:val="FF0000"/>
                <w:sz w:val="24"/>
                <w:szCs w:val="24"/>
                <w:u w:val="wave"/>
                <w:lang w:val="en-US" w:eastAsia="zh-CN"/>
              </w:rPr>
            </w:pPr>
            <w:r>
              <w:rPr>
                <w:rFonts w:hint="eastAsia" w:cs="Times New Roman"/>
                <w:b/>
                <w:bCs/>
                <w:color w:val="FF0000"/>
                <w:sz w:val="24"/>
                <w:szCs w:val="24"/>
                <w:u w:val="wave"/>
                <w:lang w:val="en-US" w:eastAsia="zh-CN"/>
              </w:rPr>
              <w:t>2、</w:t>
            </w:r>
            <w:r>
              <w:rPr>
                <w:rFonts w:hint="default" w:cs="Times New Roman"/>
                <w:b/>
                <w:bCs/>
                <w:color w:val="FF0000"/>
                <w:sz w:val="24"/>
                <w:szCs w:val="24"/>
                <w:u w:val="wave"/>
                <w:lang w:val="en-US" w:eastAsia="zh-CN"/>
              </w:rPr>
              <w:t>外加剂合成复配生产线项目环评审批及验收情况</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公司于2016年7月进行扩建，并委托湖南志远环境咨询服务有限公司编制了《衡阳市新德力交通材料有限公司外加剂合成复配生产线项目》环境影响报告书，该项目于2016年12月23日取得了衡阳县环境保护局的批复（蒸环评函[2016]85号）。</w:t>
            </w:r>
            <w:r>
              <w:rPr>
                <w:rFonts w:hint="eastAsia" w:cs="Times New Roman"/>
                <w:color w:val="FF0000"/>
                <w:sz w:val="24"/>
                <w:szCs w:val="24"/>
                <w:u w:val="wave"/>
                <w:lang w:val="en-US" w:eastAsia="zh-CN"/>
              </w:rPr>
              <w:t>目前，该</w:t>
            </w:r>
            <w:r>
              <w:rPr>
                <w:rFonts w:hint="default" w:ascii="Times New Roman" w:hAnsi="Times New Roman" w:cs="Times New Roman"/>
                <w:color w:val="FF0000"/>
                <w:sz w:val="24"/>
                <w:szCs w:val="24"/>
                <w:u w:val="wave"/>
                <w:lang w:val="en-US" w:eastAsia="zh-CN"/>
              </w:rPr>
              <w:t>生产线停建未投产</w:t>
            </w:r>
            <w:r>
              <w:rPr>
                <w:rFonts w:hint="eastAsia" w:cs="Times New Roman"/>
                <w:color w:val="FF0000"/>
                <w:sz w:val="24"/>
                <w:szCs w:val="24"/>
                <w:u w:val="wave"/>
                <w:lang w:val="en-US" w:eastAsia="zh-CN"/>
              </w:rPr>
              <w:t>。</w:t>
            </w:r>
          </w:p>
          <w:p>
            <w:pPr>
              <w:keepNext w:val="0"/>
              <w:keepLines w:val="0"/>
              <w:pageBreakBefore w:val="0"/>
              <w:widowControl/>
              <w:kinsoku/>
              <w:wordWrap/>
              <w:overflowPunct/>
              <w:topLinePunct w:val="0"/>
              <w:bidi w:val="0"/>
              <w:spacing w:line="360" w:lineRule="auto"/>
              <w:ind w:firstLine="482" w:firstLineChars="200"/>
              <w:jc w:val="both"/>
              <w:textAlignment w:val="auto"/>
              <w:rPr>
                <w:rFonts w:hint="default" w:cs="Times New Roman"/>
                <w:b/>
                <w:bCs/>
                <w:sz w:val="24"/>
                <w:szCs w:val="24"/>
                <w:lang w:val="en-US" w:eastAsia="zh-CN"/>
              </w:rPr>
            </w:pPr>
            <w:r>
              <w:rPr>
                <w:rFonts w:hint="eastAsia" w:cs="Times New Roman"/>
                <w:b/>
                <w:bCs/>
                <w:sz w:val="24"/>
                <w:szCs w:val="24"/>
                <w:lang w:val="en-US" w:eastAsia="zh-CN"/>
              </w:rPr>
              <w:t>3、</w:t>
            </w:r>
            <w:r>
              <w:rPr>
                <w:rFonts w:hint="default" w:cs="Times New Roman"/>
                <w:b/>
                <w:bCs/>
                <w:sz w:val="24"/>
                <w:szCs w:val="24"/>
                <w:lang w:val="en-US" w:eastAsia="zh-CN"/>
              </w:rPr>
              <w:t>衡阳市新德力交通材料有限公司改扩建项目环评审批及验收情况</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公司于2020年11月进行扩建，并委托贵州宏泽环保科技有限公司编制了《衡阳市新德力交通材料有限公司改扩建项目》环境影响报告表，该项目于2020年12月22日取得了衡阳市生态环境局衡阳县分局的批复（蒸环评函[2020]71号），并于2022年1月19日通过了竣工环境保护自主验收。</w:t>
            </w:r>
          </w:p>
          <w:p>
            <w:pPr>
              <w:keepNext w:val="0"/>
              <w:keepLines w:val="0"/>
              <w:pageBreakBefore w:val="0"/>
              <w:widowControl/>
              <w:kinsoku/>
              <w:wordWrap/>
              <w:overflowPunct/>
              <w:topLinePunct w:val="0"/>
              <w:bidi w:val="0"/>
              <w:spacing w:line="360" w:lineRule="auto"/>
              <w:ind w:firstLine="482" w:firstLineChars="200"/>
              <w:jc w:val="both"/>
              <w:textAlignment w:val="auto"/>
              <w:rPr>
                <w:rFonts w:hint="default" w:cs="Times New Roman"/>
                <w:b/>
                <w:bCs/>
                <w:sz w:val="24"/>
                <w:szCs w:val="24"/>
                <w:lang w:val="en-US" w:eastAsia="zh-CN"/>
              </w:rPr>
            </w:pPr>
            <w:r>
              <w:rPr>
                <w:rFonts w:hint="eastAsia" w:cs="Times New Roman"/>
                <w:b/>
                <w:bCs/>
                <w:sz w:val="24"/>
                <w:szCs w:val="24"/>
                <w:lang w:val="en-US" w:eastAsia="zh-CN"/>
              </w:rPr>
              <w:t>4、</w:t>
            </w:r>
            <w:r>
              <w:rPr>
                <w:rFonts w:hint="default" w:cs="Times New Roman"/>
                <w:b/>
                <w:bCs/>
                <w:sz w:val="24"/>
                <w:szCs w:val="24"/>
                <w:lang w:val="en-US" w:eastAsia="zh-CN"/>
              </w:rPr>
              <w:t>排污许可证执行情况、环保督查、环保投诉及整改情况</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衡阳市新德力交通材料有限公司于2020年6月20日首次取得排污许可证，2023年8月8日更换排污许可证，编号：914304217225611539T001R，有效期限至2026年4月25日。</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rPr>
              <w:t>通过现场踏勘以及相关资料收集分析，</w:t>
            </w:r>
            <w:r>
              <w:rPr>
                <w:rFonts w:hint="default" w:ascii="Times New Roman" w:hAnsi="Times New Roman" w:cs="Times New Roman"/>
                <w:sz w:val="24"/>
                <w:szCs w:val="24"/>
                <w:lang w:val="en-US" w:eastAsia="zh-CN"/>
              </w:rPr>
              <w:t>衡阳市新德力交通材料有限公司</w:t>
            </w:r>
            <w:r>
              <w:rPr>
                <w:rFonts w:hint="default" w:ascii="Times New Roman" w:hAnsi="Times New Roman" w:cs="Times New Roman"/>
                <w:sz w:val="24"/>
                <w:szCs w:val="24"/>
              </w:rPr>
              <w:t>在生产营运期切实做好了污染防治工作、稳定运行废气收集处理设施，无明显环保问题，各类污染物长期稳定达标排放，环境风险防范措施落实到位，未曾发生突发环境事件。衡阳市和</w:t>
            </w:r>
            <w:r>
              <w:rPr>
                <w:rFonts w:hint="default" w:ascii="Times New Roman" w:hAnsi="Times New Roman" w:cs="Times New Roman"/>
                <w:sz w:val="24"/>
                <w:szCs w:val="24"/>
                <w:lang w:val="en-US" w:eastAsia="zh-CN"/>
              </w:rPr>
              <w:t>衡阳县</w:t>
            </w:r>
            <w:r>
              <w:rPr>
                <w:rFonts w:hint="default" w:ascii="Times New Roman" w:hAnsi="Times New Roman" w:cs="Times New Roman"/>
                <w:sz w:val="24"/>
                <w:szCs w:val="24"/>
              </w:rPr>
              <w:t>分局生态环境部门未接到过衡阳市新德力交通材料有限公司相关环境问题投诉，无相应整改情况</w:t>
            </w:r>
            <w:r>
              <w:rPr>
                <w:rFonts w:hint="default" w:ascii="Times New Roman" w:hAnsi="Times New Roman" w:cs="Times New Roman"/>
                <w:sz w:val="24"/>
                <w:szCs w:val="24"/>
                <w:lang w:eastAsia="zh-CN"/>
              </w:rPr>
              <w:t>。</w:t>
            </w:r>
          </w:p>
          <w:p>
            <w:pPr>
              <w:keepNext w:val="0"/>
              <w:keepLines w:val="0"/>
              <w:pageBreakBefore w:val="0"/>
              <w:kinsoku/>
              <w:wordWrap/>
              <w:overflowPunct/>
              <w:topLinePunct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二、现有工程主要生产工艺及产污节点图</w:t>
            </w:r>
          </w:p>
          <w:p>
            <w:pPr>
              <w:pStyle w:val="2"/>
              <w:keepNext w:val="0"/>
              <w:keepLines w:val="0"/>
              <w:pageBreakBefore w:val="0"/>
              <w:kinsoku/>
              <w:wordWrap/>
              <w:overflowPunct/>
              <w:topLinePunct w:val="0"/>
              <w:bidi w:val="0"/>
              <w:spacing w:line="360" w:lineRule="auto"/>
              <w:ind w:firstLine="482" w:firstLineChars="200"/>
              <w:jc w:val="both"/>
              <w:textAlignment w:val="auto"/>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1、</w:t>
            </w:r>
            <w:r>
              <w:rPr>
                <w:rFonts w:hint="default" w:ascii="Times New Roman" w:hAnsi="Times New Roman" w:cs="Times New Roman"/>
                <w:b/>
                <w:bCs/>
                <w:sz w:val="24"/>
                <w:szCs w:val="24"/>
              </w:rPr>
              <w:t>锚具生产工艺</w:t>
            </w:r>
          </w:p>
          <w:p>
            <w:pPr>
              <w:pStyle w:val="2"/>
              <w:spacing w:line="360" w:lineRule="auto"/>
              <w:jc w:val="center"/>
            </w:pPr>
            <w:r>
              <w:object>
                <v:shape id="_x0000_i1027" o:spt="75" type="#_x0000_t75" style="height:173.25pt;width:450.75pt;" o:ole="t" filled="f" o:preferrelative="t" stroked="f" coordsize="21600,21600">
                  <v:path/>
                  <v:fill on="f" focussize="0,0"/>
                  <v:stroke on="f" joinstyle="miter"/>
                  <v:imagedata r:id="rId13" o:title=""/>
                  <o:lock v:ext="edit" aspectratio="f"/>
                  <w10:wrap type="none"/>
                  <w10:anchorlock/>
                </v:shape>
                <o:OLEObject Type="Embed" ProgID="Visio.Drawing.15" ShapeID="_x0000_i1027" DrawAspect="Content" ObjectID="_1468075727" r:id="rId12">
                  <o:LockedField>false</o:LockedField>
                </o:OLEObject>
              </w:object>
            </w:r>
          </w:p>
          <w:p>
            <w:pPr>
              <w:widowControl/>
              <w:spacing w:line="360" w:lineRule="auto"/>
              <w:ind w:firstLine="422" w:firstLineChars="200"/>
              <w:jc w:val="center"/>
              <w:rPr>
                <w:rFonts w:hint="default"/>
                <w:b/>
                <w:bCs/>
                <w:szCs w:val="21"/>
                <w:u w:val="none"/>
              </w:rPr>
            </w:pPr>
            <w:r>
              <w:rPr>
                <w:rFonts w:hint="default"/>
                <w:b/>
                <w:bCs/>
                <w:szCs w:val="21"/>
                <w:u w:val="none"/>
              </w:rPr>
              <w:t>图</w:t>
            </w:r>
            <w:r>
              <w:rPr>
                <w:rFonts w:hint="default"/>
                <w:b/>
                <w:bCs/>
                <w:szCs w:val="21"/>
                <w:u w:val="none"/>
                <w:lang w:val="en-US" w:eastAsia="zh-CN"/>
              </w:rPr>
              <w:t>2-</w:t>
            </w:r>
            <w:r>
              <w:rPr>
                <w:rFonts w:hint="eastAsia"/>
                <w:b/>
                <w:bCs/>
                <w:szCs w:val="21"/>
                <w:u w:val="none"/>
                <w:lang w:val="en-US" w:eastAsia="zh-CN"/>
              </w:rPr>
              <w:t>3</w:t>
            </w:r>
            <w:r>
              <w:rPr>
                <w:rFonts w:hint="default"/>
                <w:b/>
                <w:bCs/>
                <w:szCs w:val="21"/>
                <w:u w:val="none"/>
                <w:lang w:val="en-US" w:eastAsia="zh-CN"/>
              </w:rPr>
              <w:t xml:space="preserve">  </w:t>
            </w:r>
            <w:r>
              <w:rPr>
                <w:rFonts w:hint="default"/>
                <w:b/>
                <w:bCs/>
                <w:szCs w:val="21"/>
                <w:u w:val="none"/>
              </w:rPr>
              <w:t>锚具生产工艺流程及产污及节点图</w:t>
            </w:r>
          </w:p>
          <w:p>
            <w:pPr>
              <w:pStyle w:val="2"/>
              <w:keepNext w:val="0"/>
              <w:keepLines w:val="0"/>
              <w:pageBreakBefore w:val="0"/>
              <w:numPr>
                <w:ilvl w:val="0"/>
                <w:numId w:val="1"/>
              </w:numPr>
              <w:kinsoku/>
              <w:wordWrap/>
              <w:overflowPunct/>
              <w:topLinePunct w:val="0"/>
              <w:bidi w:val="0"/>
              <w:spacing w:line="360" w:lineRule="auto"/>
              <w:ind w:firstLine="482" w:firstLineChars="200"/>
              <w:jc w:val="both"/>
              <w:textAlignment w:val="auto"/>
              <w:rPr>
                <w:rFonts w:hint="eastAsia"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夹片生产工艺</w:t>
            </w:r>
          </w:p>
          <w:p>
            <w:pPr>
              <w:pStyle w:val="2"/>
              <w:spacing w:afterLines="50"/>
              <w:jc w:val="center"/>
              <w:rPr>
                <w:rFonts w:hint="default"/>
              </w:rPr>
            </w:pPr>
            <w:r>
              <w:rPr>
                <w:rFonts w:hint="default"/>
              </w:rPr>
              <w:object>
                <v:shape id="_x0000_i1028" o:spt="75" type="#_x0000_t75" style="height:108pt;width:414.75pt;" o:ole="t" filled="f" o:preferrelative="t" stroked="f" coordsize="21600,21600">
                  <v:path/>
                  <v:fill on="f" focussize="0,0"/>
                  <v:stroke on="f" joinstyle="miter"/>
                  <v:imagedata r:id="rId15" o:title=""/>
                  <o:lock v:ext="edit" aspectratio="f"/>
                  <w10:wrap type="none"/>
                  <w10:anchorlock/>
                </v:shape>
                <o:OLEObject Type="Embed" ProgID="Visio.Drawing.11" ShapeID="_x0000_i1028" DrawAspect="Content" ObjectID="_1468075728" r:id="rId14">
                  <o:LockedField>false</o:LockedField>
                </o:OLEObject>
              </w:object>
            </w:r>
          </w:p>
          <w:p>
            <w:pPr>
              <w:widowControl/>
              <w:spacing w:line="360" w:lineRule="auto"/>
              <w:ind w:firstLine="422" w:firstLineChars="200"/>
              <w:jc w:val="center"/>
              <w:rPr>
                <w:rFonts w:hint="default"/>
                <w:b/>
                <w:bCs/>
                <w:szCs w:val="21"/>
                <w:u w:val="none"/>
              </w:rPr>
            </w:pPr>
            <w:r>
              <w:rPr>
                <w:rFonts w:hint="default"/>
                <w:b/>
                <w:bCs/>
                <w:szCs w:val="21"/>
                <w:u w:val="none"/>
              </w:rPr>
              <w:t>图</w:t>
            </w:r>
            <w:r>
              <w:rPr>
                <w:rFonts w:hint="eastAsia"/>
                <w:b/>
                <w:bCs/>
                <w:szCs w:val="21"/>
                <w:u w:val="none"/>
              </w:rPr>
              <w:t>2</w:t>
            </w:r>
            <w:r>
              <w:rPr>
                <w:rFonts w:hint="eastAsia"/>
                <w:b/>
                <w:bCs/>
                <w:szCs w:val="21"/>
                <w:u w:val="none"/>
                <w:lang w:val="en-US" w:eastAsia="zh-CN"/>
              </w:rPr>
              <w:t>-4</w:t>
            </w:r>
            <w:r>
              <w:rPr>
                <w:rFonts w:hint="eastAsia"/>
                <w:b/>
                <w:bCs/>
                <w:szCs w:val="21"/>
                <w:u w:val="none"/>
              </w:rPr>
              <w:t xml:space="preserve">  夹片生产工艺流程及产污及节点图</w:t>
            </w:r>
          </w:p>
          <w:p>
            <w:pPr>
              <w:pStyle w:val="2"/>
              <w:keepNext w:val="0"/>
              <w:keepLines w:val="0"/>
              <w:pageBreakBefore w:val="0"/>
              <w:kinsoku/>
              <w:wordWrap/>
              <w:overflowPunct/>
              <w:topLinePunct w:val="0"/>
              <w:bidi w:val="0"/>
              <w:spacing w:line="360" w:lineRule="auto"/>
              <w:ind w:firstLine="482" w:firstLineChars="200"/>
              <w:jc w:val="both"/>
              <w:textAlignment w:val="auto"/>
              <w:rPr>
                <w:rFonts w:hint="eastAsia" w:ascii="Times New Roman" w:cs="Times New Roman"/>
                <w:b/>
                <w:bCs/>
                <w:sz w:val="24"/>
                <w:szCs w:val="24"/>
                <w:lang w:val="en-US" w:eastAsia="zh-CN"/>
              </w:rPr>
            </w:pPr>
            <w:r>
              <w:rPr>
                <w:rFonts w:hint="eastAsia" w:ascii="Times New Roman" w:cs="Times New Roman"/>
                <w:b/>
                <w:bCs/>
                <w:sz w:val="24"/>
                <w:szCs w:val="24"/>
                <w:lang w:val="en-US" w:eastAsia="zh-CN"/>
              </w:rPr>
              <w:t>3、锚垫板、螺旋筋、角钢等生产工艺</w:t>
            </w:r>
          </w:p>
          <w:p>
            <w:pPr>
              <w:pStyle w:val="2"/>
              <w:spacing w:line="360" w:lineRule="auto"/>
              <w:ind w:firstLine="480" w:firstLineChars="200"/>
              <w:jc w:val="both"/>
            </w:pPr>
            <w:r>
              <w:object>
                <v:shape id="_x0000_i1029" o:spt="75" type="#_x0000_t75" style="height:54pt;width:414.75pt;" o:ole="t" filled="f" o:preferrelative="t" stroked="f" coordsize="21600,21600">
                  <v:path/>
                  <v:fill on="f" focussize="0,0"/>
                  <v:stroke on="f" joinstyle="miter"/>
                  <v:imagedata r:id="rId17" o:title=""/>
                  <o:lock v:ext="edit" aspectratio="f"/>
                  <w10:wrap type="none"/>
                  <w10:anchorlock/>
                </v:shape>
                <o:OLEObject Type="Embed" ProgID="Visio.Drawing.11" ShapeID="_x0000_i1029" DrawAspect="Content" ObjectID="_1468075729" r:id="rId16">
                  <o:LockedField>false</o:LockedField>
                </o:OLEObject>
              </w:object>
            </w:r>
          </w:p>
          <w:p>
            <w:pPr>
              <w:widowControl/>
              <w:spacing w:line="360" w:lineRule="auto"/>
              <w:ind w:firstLine="422" w:firstLineChars="200"/>
              <w:jc w:val="center"/>
              <w:rPr>
                <w:rFonts w:hint="default"/>
                <w:b/>
                <w:bCs/>
                <w:szCs w:val="21"/>
                <w:u w:val="none"/>
              </w:rPr>
            </w:pPr>
            <w:r>
              <w:rPr>
                <w:rFonts w:hint="default"/>
                <w:b/>
                <w:bCs/>
                <w:szCs w:val="21"/>
                <w:u w:val="none"/>
              </w:rPr>
              <w:t>图</w:t>
            </w:r>
            <w:r>
              <w:rPr>
                <w:rFonts w:hint="eastAsia"/>
                <w:b/>
                <w:bCs/>
                <w:szCs w:val="21"/>
                <w:u w:val="none"/>
                <w:lang w:val="en-US" w:eastAsia="zh-CN"/>
              </w:rPr>
              <w:t>2-5</w:t>
            </w:r>
            <w:r>
              <w:rPr>
                <w:rFonts w:hint="eastAsia"/>
                <w:b/>
                <w:bCs/>
                <w:szCs w:val="21"/>
                <w:u w:val="none"/>
              </w:rPr>
              <w:t xml:space="preserve">  锚垫板、螺旋筋、角钢等生产工艺流程及产污及节点图</w:t>
            </w:r>
          </w:p>
          <w:p>
            <w:pPr>
              <w:pStyle w:val="2"/>
              <w:keepNext w:val="0"/>
              <w:keepLines w:val="0"/>
              <w:pageBreakBefore w:val="0"/>
              <w:kinsoku/>
              <w:wordWrap/>
              <w:overflowPunct/>
              <w:topLinePunct w:val="0"/>
              <w:bidi w:val="0"/>
              <w:spacing w:line="360" w:lineRule="auto"/>
              <w:ind w:firstLine="482" w:firstLineChars="200"/>
              <w:jc w:val="both"/>
              <w:textAlignment w:val="auto"/>
              <w:rPr>
                <w:rFonts w:hint="eastAsia" w:ascii="Times New Roman" w:cs="Times New Roman"/>
                <w:b/>
                <w:bCs/>
                <w:sz w:val="24"/>
                <w:szCs w:val="24"/>
                <w:lang w:val="en-US" w:eastAsia="zh-CN"/>
              </w:rPr>
            </w:pPr>
            <w:r>
              <w:rPr>
                <w:rFonts w:hint="eastAsia" w:ascii="Times New Roman" w:cs="Times New Roman"/>
                <w:b/>
                <w:bCs/>
                <w:sz w:val="24"/>
                <w:szCs w:val="24"/>
                <w:lang w:val="en-US" w:eastAsia="zh-CN"/>
              </w:rPr>
              <w:t>4、预埋件生产工艺</w:t>
            </w:r>
          </w:p>
          <w:p>
            <w:pPr>
              <w:pStyle w:val="2"/>
              <w:keepNext w:val="0"/>
              <w:keepLines w:val="0"/>
              <w:pageBreakBefore w:val="0"/>
              <w:kinsoku/>
              <w:wordWrap/>
              <w:overflowPunct/>
              <w:topLinePunct w:val="0"/>
              <w:bidi w:val="0"/>
              <w:spacing w:line="360" w:lineRule="auto"/>
              <w:ind w:firstLine="482" w:firstLineChars="200"/>
              <w:jc w:val="both"/>
              <w:textAlignment w:val="auto"/>
              <w:rPr>
                <w:rFonts w:hint="eastAsia" w:ascii="Times New Roman" w:cs="Times New Roman"/>
                <w:b/>
                <w:bCs/>
                <w:sz w:val="24"/>
                <w:szCs w:val="24"/>
                <w:lang w:val="en-US" w:eastAsia="zh-CN"/>
              </w:rPr>
            </w:pPr>
          </w:p>
          <w:p>
            <w:pPr>
              <w:pStyle w:val="2"/>
              <w:spacing w:line="360" w:lineRule="auto"/>
              <w:jc w:val="center"/>
            </w:pPr>
            <w:r>
              <w:object>
                <v:shape id="_x0000_i1030" o:spt="75" type="#_x0000_t75" style="height:450.45pt;width:462.75pt;" o:ole="t" filled="f" o:preferrelative="t" stroked="f" coordsize="21600,21600">
                  <v:path/>
                  <v:fill on="f" focussize="0,0"/>
                  <v:stroke on="f"/>
                  <v:imagedata r:id="rId19" o:title=""/>
                  <o:lock v:ext="edit" aspectratio="f"/>
                  <w10:wrap type="none"/>
                  <w10:anchorlock/>
                </v:shape>
                <o:OLEObject Type="Embed" ProgID="Visio.Drawing.15" ShapeID="_x0000_i1030" DrawAspect="Content" ObjectID="_1468075730" r:id="rId18">
                  <o:LockedField>false</o:LockedField>
                </o:OLEObject>
              </w:object>
            </w:r>
          </w:p>
          <w:p>
            <w:pPr>
              <w:widowControl/>
              <w:spacing w:line="360" w:lineRule="auto"/>
              <w:ind w:firstLine="422" w:firstLineChars="200"/>
              <w:jc w:val="center"/>
              <w:rPr>
                <w:rFonts w:hint="eastAsia"/>
                <w:b/>
                <w:bCs/>
                <w:szCs w:val="21"/>
                <w:u w:val="none"/>
              </w:rPr>
            </w:pPr>
            <w:r>
              <w:rPr>
                <w:rFonts w:hint="default"/>
                <w:b/>
                <w:bCs/>
                <w:szCs w:val="21"/>
                <w:u w:val="none"/>
              </w:rPr>
              <w:t>图</w:t>
            </w:r>
            <w:r>
              <w:rPr>
                <w:rFonts w:hint="eastAsia"/>
                <w:b/>
                <w:bCs/>
                <w:szCs w:val="21"/>
                <w:u w:val="none"/>
                <w:lang w:val="en-US" w:eastAsia="zh-CN"/>
              </w:rPr>
              <w:t>2-9</w:t>
            </w:r>
            <w:r>
              <w:rPr>
                <w:rFonts w:hint="eastAsia"/>
                <w:b/>
                <w:bCs/>
                <w:szCs w:val="21"/>
                <w:u w:val="none"/>
              </w:rPr>
              <w:t xml:space="preserve">  </w:t>
            </w:r>
            <w:r>
              <w:rPr>
                <w:rFonts w:hint="eastAsia"/>
                <w:b/>
                <w:bCs/>
                <w:szCs w:val="21"/>
                <w:u w:val="none"/>
                <w:lang w:val="en-US" w:eastAsia="zh-CN"/>
              </w:rPr>
              <w:t>现有项目</w:t>
            </w:r>
            <w:r>
              <w:rPr>
                <w:rFonts w:hint="eastAsia"/>
                <w:b/>
                <w:bCs/>
                <w:szCs w:val="21"/>
                <w:u w:val="none"/>
              </w:rPr>
              <w:t>预埋件生产工艺流程及产污及节点图</w:t>
            </w:r>
          </w:p>
          <w:p>
            <w:pPr>
              <w:adjustRightInd w:val="0"/>
              <w:snapToGrid w:val="0"/>
              <w:spacing w:line="360" w:lineRule="auto"/>
              <w:ind w:firstLine="482" w:firstLineChars="200"/>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三、现有工程污染情况及防治措施</w:t>
            </w:r>
          </w:p>
          <w:p>
            <w:pPr>
              <w:pStyle w:val="2"/>
              <w:spacing w:line="360" w:lineRule="auto"/>
              <w:ind w:firstLine="482" w:firstLineChars="200"/>
              <w:jc w:val="both"/>
              <w:rPr>
                <w:rFonts w:hint="default" w:ascii="Times New Roman" w:hAnsi="Times New Roman" w:cs="Times New Roman"/>
                <w:b/>
                <w:bCs/>
                <w:sz w:val="24"/>
                <w:szCs w:val="24"/>
              </w:rPr>
            </w:pPr>
            <w:r>
              <w:rPr>
                <w:rFonts w:hint="default" w:ascii="Times New Roman" w:hAnsi="Times New Roman" w:cs="Times New Roman"/>
                <w:b/>
                <w:bCs/>
                <w:sz w:val="24"/>
                <w:szCs w:val="24"/>
              </w:rPr>
              <w:t>1、废水</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eastAsia" w:hAnsi="宋体"/>
                <w:sz w:val="24"/>
              </w:rPr>
            </w:pPr>
            <w:r>
              <w:rPr>
                <w:rFonts w:hint="eastAsia" w:hAnsi="宋体"/>
                <w:sz w:val="24"/>
              </w:rPr>
              <w:t>项目排水系统实行“清污分流、雨污分流”，</w:t>
            </w:r>
            <w:r>
              <w:rPr>
                <w:rFonts w:hint="default" w:ascii="Times New Roman" w:hAnsi="Times New Roman" w:cs="Times New Roman"/>
                <w:sz w:val="24"/>
                <w:szCs w:val="24"/>
              </w:rPr>
              <w:t>生产废水主要为夹片产品湿法喷砂清洗废水、</w:t>
            </w:r>
            <w:r>
              <w:rPr>
                <w:rFonts w:hint="eastAsia" w:cs="Times New Roman"/>
                <w:sz w:val="24"/>
                <w:szCs w:val="24"/>
                <w:lang w:eastAsia="zh-CN"/>
              </w:rPr>
              <w:t>设备清洗废水</w:t>
            </w:r>
            <w:r>
              <w:rPr>
                <w:rFonts w:hint="default" w:ascii="Times New Roman" w:hAnsi="Times New Roman" w:cs="Times New Roman"/>
                <w:sz w:val="24"/>
                <w:szCs w:val="24"/>
              </w:rPr>
              <w:t>、</w:t>
            </w:r>
            <w:r>
              <w:rPr>
                <w:rFonts w:hint="eastAsia" w:cs="Times New Roman"/>
                <w:sz w:val="24"/>
                <w:szCs w:val="24"/>
                <w:lang w:val="en-US" w:eastAsia="zh-CN"/>
              </w:rPr>
              <w:t>车间</w:t>
            </w:r>
            <w:r>
              <w:rPr>
                <w:rFonts w:hint="default" w:ascii="Times New Roman" w:hAnsi="Times New Roman" w:cs="Times New Roman"/>
                <w:sz w:val="24"/>
                <w:szCs w:val="24"/>
              </w:rPr>
              <w:t>保洁废水</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共渗工件清洗废水</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共渗工件清洗</w:t>
            </w:r>
            <w:r>
              <w:rPr>
                <w:rFonts w:hint="eastAsia" w:cs="Times New Roman"/>
                <w:sz w:val="24"/>
                <w:szCs w:val="24"/>
                <w:lang w:val="en-US" w:eastAsia="zh-CN"/>
              </w:rPr>
              <w:t>工序</w:t>
            </w:r>
            <w:r>
              <w:rPr>
                <w:rFonts w:hint="default" w:ascii="Times New Roman" w:hAnsi="Times New Roman" w:cs="Times New Roman"/>
                <w:sz w:val="24"/>
                <w:szCs w:val="24"/>
              </w:rPr>
              <w:t>软水站排水，其中</w:t>
            </w:r>
            <w:r>
              <w:rPr>
                <w:rFonts w:hint="default" w:ascii="Times New Roman" w:hAnsi="Times New Roman" w:cs="Times New Roman"/>
                <w:sz w:val="24"/>
                <w:szCs w:val="24"/>
                <w:lang w:val="en-US" w:eastAsia="zh-CN"/>
              </w:rPr>
              <w:t>共渗工件清洗废水经沉淀池沉淀后循环使用，不外排；共渗工件清洗</w:t>
            </w:r>
            <w:r>
              <w:rPr>
                <w:rFonts w:hint="eastAsia" w:cs="Times New Roman"/>
                <w:sz w:val="24"/>
                <w:szCs w:val="24"/>
                <w:lang w:val="en-US" w:eastAsia="zh-CN"/>
              </w:rPr>
              <w:t>工序</w:t>
            </w:r>
            <w:r>
              <w:rPr>
                <w:rFonts w:hint="default" w:ascii="Times New Roman" w:hAnsi="Times New Roman" w:cs="Times New Roman"/>
                <w:sz w:val="24"/>
                <w:szCs w:val="24"/>
              </w:rPr>
              <w:t>软水站排水</w:t>
            </w:r>
            <w:r>
              <w:rPr>
                <w:rFonts w:hint="default" w:ascii="Times New Roman" w:hAnsi="Times New Roman" w:cs="Times New Roman"/>
                <w:sz w:val="24"/>
                <w:szCs w:val="24"/>
                <w:lang w:val="en-US" w:eastAsia="zh-CN"/>
              </w:rPr>
              <w:t>属于清净下水，经雨水管道排放</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外排生产废水量约为8</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/d，主要污染物为COD、SS、石油类</w:t>
            </w:r>
            <w:r>
              <w:rPr>
                <w:rFonts w:hint="eastAsia" w:hAnsi="宋体"/>
                <w:sz w:val="24"/>
              </w:rPr>
              <w:t>。</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eastAsia" w:eastAsia="宋体"/>
                <w:lang w:eastAsia="zh-CN"/>
              </w:rPr>
            </w:pPr>
            <w:r>
              <w:rPr>
                <w:rFonts w:hint="default" w:ascii="Times New Roman" w:hAnsi="Times New Roman" w:cs="Times New Roman"/>
                <w:sz w:val="24"/>
                <w:szCs w:val="24"/>
              </w:rPr>
              <w:t>员工生活污水量约为14.4m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/d，主要污染物为COD、BOD</w:t>
            </w:r>
            <w:r>
              <w:rPr>
                <w:rFonts w:hint="default" w:ascii="Times New Roman" w:hAnsi="Times New Roman" w:cs="Times New Roman"/>
                <w:sz w:val="24"/>
                <w:szCs w:val="24"/>
                <w:vertAlign w:val="subscript"/>
              </w:rPr>
              <w:t>5</w:t>
            </w:r>
            <w:r>
              <w:rPr>
                <w:rFonts w:hint="default" w:ascii="Times New Roman" w:hAnsi="Times New Roman" w:cs="Times New Roman"/>
                <w:sz w:val="24"/>
                <w:szCs w:val="24"/>
              </w:rPr>
              <w:t>、氨氮、动植物油、SS</w:t>
            </w:r>
            <w:r>
              <w:rPr>
                <w:rFonts w:hint="eastAsia" w:cs="Times New Roman"/>
                <w:sz w:val="24"/>
                <w:szCs w:val="24"/>
                <w:lang w:eastAsia="zh-CN"/>
              </w:rPr>
              <w:t>。</w:t>
            </w:r>
          </w:p>
          <w:p>
            <w:pPr>
              <w:pStyle w:val="2"/>
              <w:keepNext w:val="0"/>
              <w:keepLines w:val="0"/>
              <w:pageBreakBefore w:val="0"/>
              <w:widowControl w:val="0"/>
              <w:kinsoku/>
              <w:wordWrap/>
              <w:overflowPunct/>
              <w:topLinePunct w:val="0"/>
              <w:bidi w:val="0"/>
              <w:adjustRightInd w:val="0"/>
              <w:spacing w:line="360" w:lineRule="auto"/>
              <w:ind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项目经</w:t>
            </w:r>
            <w:r>
              <w:rPr>
                <w:rFonts w:hint="default" w:ascii="Times New Roman" w:hAnsi="Times New Roman" w:cs="Times New Roman"/>
                <w:sz w:val="24"/>
                <w:szCs w:val="24"/>
              </w:rPr>
              <w:t>中和隔油</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沉淀处理的</w:t>
            </w:r>
            <w:r>
              <w:rPr>
                <w:rFonts w:hint="default" w:ascii="Times New Roman" w:hAnsi="Times New Roman" w:cs="Times New Roman"/>
                <w:sz w:val="24"/>
                <w:szCs w:val="24"/>
                <w:lang w:val="en-US" w:eastAsia="zh-CN"/>
              </w:rPr>
              <w:t>生产废水（</w:t>
            </w:r>
            <w:r>
              <w:rPr>
                <w:rFonts w:hint="default" w:ascii="Times New Roman" w:hAnsi="Times New Roman" w:cs="Times New Roman"/>
                <w:sz w:val="24"/>
                <w:szCs w:val="24"/>
              </w:rPr>
              <w:t>夹片产品喷砂清洗废水、设备清洗废水及车间保洁废水</w:t>
            </w:r>
            <w:r>
              <w:rPr>
                <w:rFonts w:hint="default" w:ascii="Times New Roman" w:hAnsi="Times New Roman" w:cs="Times New Roman"/>
                <w:sz w:val="24"/>
                <w:szCs w:val="24"/>
                <w:lang w:val="en-US" w:eastAsia="zh-CN"/>
              </w:rPr>
              <w:t>）与生活污水（隔油池+化粪池预处理）</w:t>
            </w:r>
            <w:r>
              <w:rPr>
                <w:rFonts w:hint="default" w:ascii="Times New Roman" w:hAnsi="Times New Roman" w:cs="Times New Roman"/>
                <w:sz w:val="24"/>
                <w:szCs w:val="24"/>
              </w:rPr>
              <w:t>一并处理达到《污水综合排放标准》（GB8978-1996）三级标准</w:t>
            </w:r>
            <w:r>
              <w:rPr>
                <w:rFonts w:hint="default" w:ascii="Times New Roman" w:hAnsi="Times New Roman" w:cs="Times New Roman"/>
                <w:sz w:val="24"/>
                <w:szCs w:val="24"/>
                <w:lang w:eastAsia="zh-CN"/>
              </w:rPr>
              <w:t>后</w:t>
            </w:r>
            <w:r>
              <w:rPr>
                <w:rFonts w:hint="default" w:ascii="Times New Roman" w:hAnsi="Times New Roman" w:cs="Times New Roman"/>
                <w:sz w:val="24"/>
                <w:szCs w:val="24"/>
              </w:rPr>
              <w:t>，通过市政污水管网排至衡阳县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污水处理厂深度处理后排入蒸水。</w:t>
            </w:r>
          </w:p>
          <w:p>
            <w:pPr>
              <w:pStyle w:val="2"/>
              <w:spacing w:line="360" w:lineRule="auto"/>
              <w:ind w:firstLine="482" w:firstLineChars="200"/>
              <w:jc w:val="both"/>
              <w:rPr>
                <w:rFonts w:hint="default" w:ascii="Times New Roman" w:hAnsi="Times New Roman" w:cs="Times New Roman"/>
                <w:b/>
                <w:bCs/>
                <w:sz w:val="24"/>
                <w:szCs w:val="24"/>
                <w:lang w:val="en-US" w:eastAsia="zh-CN"/>
              </w:rPr>
            </w:pPr>
            <w:r>
              <w:rPr>
                <w:rFonts w:hint="eastAsia" w:ascii="Times New Roman" w:cs="Times New Roman"/>
                <w:b/>
                <w:bCs/>
                <w:sz w:val="24"/>
                <w:szCs w:val="24"/>
                <w:lang w:val="en-US" w:eastAsia="zh-CN"/>
              </w:rPr>
              <w:t>2、</w:t>
            </w:r>
            <w:r>
              <w:rPr>
                <w:rFonts w:hint="default" w:ascii="Times New Roman" w:hAnsi="Times New Roman" w:cs="Times New Roman"/>
                <w:b/>
                <w:bCs/>
                <w:sz w:val="24"/>
                <w:szCs w:val="24"/>
                <w:lang w:val="en-US" w:eastAsia="zh-CN"/>
              </w:rPr>
              <w:t>废气</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现有工程废气主要为切割烟尘、打磨粉尘、抛丸</w:t>
            </w:r>
            <w:r>
              <w:rPr>
                <w:rFonts w:hint="eastAsia" w:cs="Times New Roman"/>
                <w:sz w:val="24"/>
                <w:szCs w:val="24"/>
                <w:lang w:val="en-US" w:eastAsia="zh-CN"/>
              </w:rPr>
              <w:t>粉尘</w:t>
            </w:r>
            <w:r>
              <w:rPr>
                <w:rFonts w:hint="default" w:ascii="Times New Roman" w:hAnsi="Times New Roman" w:cs="Times New Roman"/>
                <w:sz w:val="24"/>
                <w:szCs w:val="24"/>
                <w:lang w:val="en-US" w:eastAsia="zh-CN"/>
              </w:rPr>
              <w:t>、焊接烟尘、</w:t>
            </w:r>
            <w:r>
              <w:rPr>
                <w:rFonts w:hint="default" w:ascii="Times New Roman" w:hAnsi="Times New Roman" w:cs="Times New Roman"/>
                <w:sz w:val="24"/>
                <w:szCs w:val="24"/>
                <w:lang w:val="zh-CN" w:eastAsia="zh-CN"/>
              </w:rPr>
              <w:t>多元合金共渗工序废气</w:t>
            </w:r>
            <w:r>
              <w:rPr>
                <w:rFonts w:hint="eastAsia" w:eastAsiaTheme="minorEastAsia"/>
                <w:color w:val="000000"/>
                <w:kern w:val="0"/>
                <w:sz w:val="24"/>
                <w:lang w:val="zh-CN"/>
              </w:rPr>
              <w:t>（炉料分离粉尘</w:t>
            </w:r>
            <w:r>
              <w:rPr>
                <w:rFonts w:hint="eastAsia" w:eastAsiaTheme="minorEastAsia"/>
                <w:color w:val="000000"/>
                <w:kern w:val="0"/>
                <w:sz w:val="24"/>
                <w:lang w:val="en-US" w:eastAsia="zh-CN"/>
              </w:rPr>
              <w:t>及天然气燃烧烟气</w:t>
            </w:r>
            <w:r>
              <w:rPr>
                <w:rFonts w:hint="eastAsia" w:eastAsiaTheme="minorEastAsia"/>
                <w:color w:val="000000"/>
                <w:kern w:val="0"/>
                <w:sz w:val="24"/>
                <w:lang w:val="zh-CN"/>
              </w:rPr>
              <w:t>）</w:t>
            </w:r>
            <w:r>
              <w:rPr>
                <w:rFonts w:hint="default" w:ascii="Times New Roman" w:hAnsi="Times New Roman" w:cs="Times New Roman"/>
                <w:sz w:val="24"/>
                <w:szCs w:val="24"/>
                <w:lang w:val="zh-CN" w:eastAsia="zh-CN"/>
              </w:rPr>
              <w:t>、</w:t>
            </w:r>
            <w:r>
              <w:rPr>
                <w:rFonts w:hint="eastAsia" w:ascii="Times New Roman" w:hAnsi="Times New Roman" w:eastAsia="宋体" w:cs="Times New Roman"/>
                <w:color w:val="auto"/>
                <w:kern w:val="2"/>
                <w:sz w:val="24"/>
                <w:szCs w:val="24"/>
                <w:lang w:val="zh-CN" w:eastAsia="zh-CN" w:bidi="ar-SA"/>
              </w:rPr>
              <w:t>浸漆及烘干</w:t>
            </w:r>
            <w:r>
              <w:rPr>
                <w:rFonts w:hint="eastAsia" w:ascii="Times New Roman" w:hAnsi="Times New Roman" w:eastAsia="宋体" w:cs="Times New Roman"/>
                <w:color w:val="auto"/>
                <w:kern w:val="2"/>
                <w:sz w:val="24"/>
                <w:szCs w:val="24"/>
                <w:lang w:val="en-US" w:eastAsia="zh-CN" w:bidi="ar-SA"/>
              </w:rPr>
              <w:t>固化</w:t>
            </w:r>
            <w:r>
              <w:rPr>
                <w:rFonts w:hint="eastAsia" w:ascii="Times New Roman" w:hAnsi="Times New Roman" w:eastAsia="宋体" w:cs="Times New Roman"/>
                <w:color w:val="auto"/>
                <w:kern w:val="2"/>
                <w:sz w:val="24"/>
                <w:szCs w:val="24"/>
                <w:lang w:val="zh-CN" w:eastAsia="zh-CN" w:bidi="ar-SA"/>
              </w:rPr>
              <w:t>有机废气</w:t>
            </w:r>
            <w:r>
              <w:rPr>
                <w:rFonts w:hint="eastAsia" w:cs="Times New Roman"/>
                <w:color w:val="auto"/>
                <w:kern w:val="2"/>
                <w:sz w:val="24"/>
                <w:szCs w:val="24"/>
                <w:lang w:val="zh-CN" w:eastAsia="zh-CN" w:bidi="ar-SA"/>
              </w:rPr>
              <w:t>、</w:t>
            </w:r>
            <w:r>
              <w:rPr>
                <w:rFonts w:hint="eastAsia" w:cs="Times New Roman"/>
                <w:color w:val="auto"/>
                <w:kern w:val="2"/>
                <w:sz w:val="24"/>
                <w:szCs w:val="24"/>
                <w:lang w:val="en-US" w:eastAsia="zh-CN" w:bidi="ar-SA"/>
              </w:rPr>
              <w:t>烘干室天然气燃烧烟尘</w:t>
            </w:r>
            <w:r>
              <w:rPr>
                <w:rFonts w:hint="default" w:ascii="Times New Roman" w:hAnsi="Times New Roman" w:cs="Times New Roman"/>
                <w:sz w:val="24"/>
                <w:szCs w:val="24"/>
                <w:lang w:val="zh-CN" w:eastAsia="zh-CN"/>
              </w:rPr>
              <w:t>、喷漆废气</w:t>
            </w:r>
            <w:r>
              <w:rPr>
                <w:rFonts w:hint="default" w:ascii="Times New Roman" w:hAnsi="Times New Roman" w:cs="Times New Roman"/>
                <w:sz w:val="24"/>
                <w:szCs w:val="24"/>
                <w:lang w:val="en-US" w:eastAsia="zh-CN"/>
              </w:rPr>
              <w:t>和食堂油烟。</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（1）</w:t>
            </w:r>
            <w:r>
              <w:rPr>
                <w:rFonts w:hint="default" w:ascii="Times New Roman" w:hAnsi="Times New Roman" w:cs="Times New Roman"/>
                <w:sz w:val="24"/>
                <w:szCs w:val="24"/>
                <w:lang w:val="en-US" w:eastAsia="zh-CN"/>
              </w:rPr>
              <w:t>切割烟尘</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zh-CN"/>
              </w:rPr>
            </w:pPr>
            <w:r>
              <w:rPr>
                <w:rFonts w:hint="default" w:ascii="Times New Roman" w:hAnsi="Times New Roman" w:cs="Times New Roman"/>
                <w:sz w:val="24"/>
                <w:szCs w:val="24"/>
                <w:lang w:val="en-US" w:eastAsia="zh-CN"/>
              </w:rPr>
              <w:t>现有项目圆钢、铸铁、中厚板、H型钢等下料采用火焰切割机/</w:t>
            </w:r>
            <w:r>
              <w:rPr>
                <w:rFonts w:hint="default" w:ascii="Times New Roman" w:hAnsi="Times New Roman" w:cs="Times New Roman"/>
                <w:sz w:val="24"/>
                <w:szCs w:val="24"/>
                <w:lang w:val="zh-CN"/>
              </w:rPr>
              <w:t>数控等离子切割机</w:t>
            </w:r>
            <w:r>
              <w:rPr>
                <w:rFonts w:hint="default" w:ascii="Times New Roman" w:hAnsi="Times New Roman" w:cs="Times New Roman"/>
                <w:sz w:val="24"/>
                <w:szCs w:val="24"/>
                <w:lang w:val="en-US" w:eastAsia="zh-CN"/>
              </w:rPr>
              <w:t>进行下料，在切割过程中会产生切割烟尘，经集气罩收集后通过滤筒式除尘器处理后车间内无组织排放，</w:t>
            </w:r>
            <w:r>
              <w:rPr>
                <w:rFonts w:hint="default" w:ascii="Times New Roman" w:hAnsi="Times New Roman" w:cs="Times New Roman"/>
                <w:sz w:val="24"/>
                <w:szCs w:val="24"/>
                <w:lang w:val="zh-CN"/>
              </w:rPr>
              <w:t>排放量为0.</w:t>
            </w:r>
            <w:r>
              <w:rPr>
                <w:rFonts w:hint="eastAsia" w:cs="Times New Roman"/>
                <w:sz w:val="24"/>
                <w:szCs w:val="24"/>
                <w:lang w:val="en-US" w:eastAsia="zh-CN"/>
              </w:rPr>
              <w:t>3</w:t>
            </w:r>
            <w:r>
              <w:rPr>
                <w:rFonts w:hint="default" w:ascii="Times New Roman" w:hAnsi="Times New Roman" w:cs="Times New Roman"/>
                <w:sz w:val="24"/>
                <w:szCs w:val="24"/>
                <w:lang w:val="zh-CN"/>
              </w:rPr>
              <w:t>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（2）</w:t>
            </w:r>
            <w:r>
              <w:rPr>
                <w:rFonts w:hint="default" w:ascii="Times New Roman" w:hAnsi="Times New Roman" w:cs="Times New Roman"/>
                <w:sz w:val="24"/>
                <w:szCs w:val="24"/>
                <w:lang w:val="en-US" w:eastAsia="zh-CN"/>
              </w:rPr>
              <w:t>打磨粉尘</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现有</w:t>
            </w:r>
            <w:r>
              <w:rPr>
                <w:rFonts w:hint="default" w:ascii="Times New Roman" w:hAnsi="Times New Roman" w:cs="Times New Roman"/>
                <w:sz w:val="24"/>
                <w:szCs w:val="24"/>
                <w:lang w:val="zh-CN"/>
              </w:rPr>
              <w:t>项目需要对切割后的</w:t>
            </w:r>
            <w:r>
              <w:rPr>
                <w:rFonts w:hint="default" w:ascii="Times New Roman" w:hAnsi="Times New Roman" w:cs="Times New Roman"/>
                <w:sz w:val="24"/>
                <w:szCs w:val="24"/>
                <w:lang w:val="en-US" w:eastAsia="zh-CN"/>
              </w:rPr>
              <w:t>工件</w:t>
            </w:r>
            <w:r>
              <w:rPr>
                <w:rFonts w:hint="default" w:ascii="Times New Roman" w:hAnsi="Times New Roman" w:cs="Times New Roman"/>
                <w:sz w:val="24"/>
                <w:szCs w:val="24"/>
                <w:lang w:val="zh-CN"/>
              </w:rPr>
              <w:t>边缘进行打磨去毛刺，打磨过程中会产生打磨粉尘，</w:t>
            </w:r>
            <w:r>
              <w:rPr>
                <w:rFonts w:hint="default" w:ascii="Times New Roman" w:hAnsi="Times New Roman" w:cs="Times New Roman"/>
                <w:sz w:val="24"/>
                <w:szCs w:val="24"/>
                <w:lang w:val="zh-CN" w:eastAsia="zh-CN"/>
              </w:rPr>
              <w:t>经重力沉降及车间阻隔后无组织排放量为0.</w:t>
            </w:r>
            <w:r>
              <w:rPr>
                <w:rFonts w:hint="default" w:ascii="Times New Roman" w:hAnsi="Times New Roman" w:cs="Times New Roman"/>
                <w:sz w:val="24"/>
                <w:szCs w:val="24"/>
                <w:lang w:val="en-US" w:eastAsia="zh-CN"/>
              </w:rPr>
              <w:t>4</w:t>
            </w:r>
            <w:r>
              <w:rPr>
                <w:rFonts w:hint="default" w:ascii="Times New Roman" w:hAnsi="Times New Roman" w:cs="Times New Roman"/>
                <w:sz w:val="24"/>
                <w:szCs w:val="24"/>
                <w:lang w:val="zh-CN" w:eastAsia="zh-CN"/>
              </w:rPr>
              <w:t>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（3）</w:t>
            </w:r>
            <w:r>
              <w:rPr>
                <w:rFonts w:hint="default" w:ascii="Times New Roman" w:hAnsi="Times New Roman" w:cs="Times New Roman"/>
                <w:sz w:val="24"/>
                <w:szCs w:val="24"/>
                <w:lang w:val="en-US" w:eastAsia="zh-CN"/>
              </w:rPr>
              <w:t>抛丸粉尘</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现有项目一期工程</w:t>
            </w:r>
            <w:r>
              <w:rPr>
                <w:rFonts w:hint="eastAsia" w:cs="Times New Roman"/>
                <w:sz w:val="24"/>
                <w:szCs w:val="24"/>
                <w:lang w:val="en-US" w:eastAsia="zh-CN"/>
              </w:rPr>
              <w:t>四车间</w:t>
            </w:r>
            <w:r>
              <w:rPr>
                <w:rFonts w:hint="default" w:ascii="Times New Roman" w:hAnsi="Times New Roman" w:cs="Times New Roman"/>
                <w:sz w:val="24"/>
                <w:szCs w:val="24"/>
                <w:lang w:val="en-US" w:eastAsia="zh-CN"/>
              </w:rPr>
              <w:t>抛丸过程会产生抛丸粉尘，抛丸机自带滤筒式除尘器，抛丸机为封闭型机械设备，抛丸粉尘全部经抛丸机出风口进入设备自带滤筒式除尘器，最后通过15m高排气筒（</w:t>
            </w:r>
            <w:r>
              <w:rPr>
                <w:rFonts w:hint="eastAsia" w:cs="Times New Roman"/>
                <w:sz w:val="24"/>
                <w:szCs w:val="24"/>
                <w:lang w:val="en-US" w:eastAsia="zh-CN"/>
              </w:rPr>
              <w:t>DA00</w:t>
            </w:r>
            <w:r>
              <w:rPr>
                <w:rFonts w:hint="default" w:ascii="Times New Roman" w:hAnsi="Times New Roman" w:cs="Times New Roman"/>
                <w:sz w:val="24"/>
                <w:szCs w:val="24"/>
                <w:lang w:val="en-US" w:eastAsia="zh-CN"/>
              </w:rPr>
              <w:t>1）高空排放，有组织排放量约为0.0</w:t>
            </w:r>
            <w:r>
              <w:rPr>
                <w:rFonts w:hint="eastAsia" w:cs="Times New Roman"/>
                <w:sz w:val="24"/>
                <w:szCs w:val="24"/>
                <w:lang w:val="en-US" w:eastAsia="zh-CN"/>
              </w:rPr>
              <w:t>22</w:t>
            </w:r>
            <w:r>
              <w:rPr>
                <w:rFonts w:hint="default" w:ascii="Times New Roman" w:hAnsi="Times New Roman" w:cs="Times New Roman"/>
                <w:sz w:val="24"/>
                <w:szCs w:val="24"/>
                <w:lang w:val="en-US" w:eastAsia="zh-CN"/>
              </w:rPr>
              <w:t>t/a；</w:t>
            </w:r>
            <w:r>
              <w:rPr>
                <w:rFonts w:hint="eastAsia" w:cs="Times New Roman"/>
                <w:sz w:val="24"/>
                <w:szCs w:val="24"/>
                <w:lang w:val="en-US" w:eastAsia="zh-CN"/>
              </w:rPr>
              <w:t>一</w:t>
            </w:r>
            <w:r>
              <w:rPr>
                <w:rFonts w:hint="default" w:ascii="Times New Roman" w:hAnsi="Times New Roman" w:cs="Times New Roman"/>
                <w:sz w:val="24"/>
                <w:szCs w:val="24"/>
                <w:lang w:val="en-US" w:eastAsia="zh-CN"/>
              </w:rPr>
              <w:t>期工程</w:t>
            </w:r>
            <w:r>
              <w:rPr>
                <w:rFonts w:hint="eastAsia" w:cs="Times New Roman"/>
                <w:sz w:val="24"/>
                <w:szCs w:val="24"/>
                <w:lang w:val="en-US" w:eastAsia="zh-CN"/>
              </w:rPr>
              <w:t>五车间</w:t>
            </w:r>
            <w:r>
              <w:rPr>
                <w:rFonts w:hint="default" w:ascii="Times New Roman" w:hAnsi="Times New Roman" w:cs="Times New Roman"/>
                <w:sz w:val="24"/>
                <w:szCs w:val="24"/>
                <w:lang w:val="en-US" w:eastAsia="zh-CN"/>
              </w:rPr>
              <w:t>抛丸粉尘经设备自带滤筒式除尘器过滤后，车间内无组织排放，无组织排放量为0.00</w:t>
            </w:r>
            <w:r>
              <w:rPr>
                <w:rFonts w:hint="eastAsia" w:cs="Times New Roman"/>
                <w:sz w:val="24"/>
                <w:szCs w:val="24"/>
                <w:lang w:val="en-US" w:eastAsia="zh-CN"/>
              </w:rPr>
              <w:t>4</w:t>
            </w:r>
            <w:r>
              <w:rPr>
                <w:rFonts w:hint="default" w:ascii="Times New Roman" w:hAnsi="Times New Roman" w:cs="Times New Roman"/>
                <w:sz w:val="24"/>
                <w:szCs w:val="24"/>
                <w:lang w:val="en-US" w:eastAsia="zh-CN"/>
              </w:rPr>
              <w:t>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（4）焊接烟尘</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现有项目</w:t>
            </w:r>
            <w:r>
              <w:rPr>
                <w:rFonts w:hint="default" w:ascii="Times New Roman" w:hAnsi="Times New Roman" w:cs="Times New Roman"/>
                <w:sz w:val="24"/>
                <w:szCs w:val="24"/>
                <w:lang w:val="zh-CN"/>
              </w:rPr>
              <w:t>工件焊接拼装过程中会产生焊接烟尘，</w:t>
            </w:r>
            <w:r>
              <w:rPr>
                <w:rFonts w:hint="eastAsia" w:cs="Times New Roman"/>
                <w:sz w:val="24"/>
                <w:szCs w:val="24"/>
                <w:lang w:val="en-US" w:eastAsia="zh-CN"/>
              </w:rPr>
              <w:t>经</w:t>
            </w:r>
            <w:r>
              <w:rPr>
                <w:rFonts w:hint="default" w:ascii="Times New Roman" w:hAnsi="Times New Roman" w:cs="Times New Roman"/>
                <w:sz w:val="24"/>
                <w:szCs w:val="24"/>
                <w:lang w:val="zh-CN"/>
              </w:rPr>
              <w:t>移动式焊烟净化器净化处理</w:t>
            </w:r>
            <w:r>
              <w:rPr>
                <w:rFonts w:hint="eastAsia" w:cs="Times New Roman"/>
                <w:sz w:val="24"/>
                <w:szCs w:val="24"/>
                <w:lang w:val="en-US" w:eastAsia="zh-CN"/>
              </w:rPr>
              <w:t>后无组织排放</w:t>
            </w:r>
            <w:r>
              <w:rPr>
                <w:rFonts w:hint="default" w:ascii="Times New Roman" w:hAnsi="Times New Roman" w:cs="Times New Roman"/>
                <w:sz w:val="24"/>
                <w:szCs w:val="24"/>
                <w:lang w:val="zh-CN"/>
              </w:rPr>
              <w:t>，</w:t>
            </w:r>
            <w:r>
              <w:rPr>
                <w:rFonts w:hint="default" w:ascii="Times New Roman" w:hAnsi="Times New Roman" w:cs="Times New Roman"/>
                <w:sz w:val="24"/>
                <w:szCs w:val="24"/>
                <w:lang w:val="en-US" w:eastAsia="zh-CN"/>
              </w:rPr>
              <w:t>排放量约为0.0</w:t>
            </w:r>
            <w:r>
              <w:rPr>
                <w:rFonts w:hint="eastAsia" w:cs="Times New Roman"/>
                <w:sz w:val="24"/>
                <w:szCs w:val="24"/>
                <w:lang w:val="en-US" w:eastAsia="zh-CN"/>
              </w:rPr>
              <w:t>34</w:t>
            </w:r>
            <w:r>
              <w:rPr>
                <w:rFonts w:hint="default" w:ascii="Times New Roman" w:hAnsi="Times New Roman" w:cs="Times New Roman"/>
                <w:sz w:val="24"/>
                <w:szCs w:val="24"/>
                <w:lang w:val="en-US" w:eastAsia="zh-CN"/>
              </w:rPr>
              <w:t>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（5）</w:t>
            </w:r>
            <w:r>
              <w:rPr>
                <w:rFonts w:hint="default" w:ascii="Times New Roman" w:hAnsi="Times New Roman" w:cs="Times New Roman"/>
                <w:sz w:val="24"/>
                <w:szCs w:val="24"/>
                <w:lang w:val="zh-CN" w:eastAsia="zh-CN"/>
              </w:rPr>
              <w:t>多元合金共渗工序废气</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①炉料分离粉尘</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cs="Times New Roman"/>
                <w:sz w:val="24"/>
                <w:szCs w:val="24"/>
                <w:lang w:val="en-US" w:eastAsia="zh-CN"/>
              </w:rPr>
            </w:pPr>
            <w:r>
              <w:rPr>
                <w:rFonts w:hint="eastAsia" w:ascii="Times New Roman" w:cs="Times New Roman"/>
                <w:color w:val="auto"/>
                <w:kern w:val="0"/>
                <w:sz w:val="24"/>
                <w:szCs w:val="24"/>
                <w:lang w:val="en-US" w:eastAsia="zh-CN" w:bidi="ar-SA"/>
              </w:rPr>
              <w:t>项目渗锌工件出炉后需将工件与未利用的金属粉料、助渗剂进行分离，会有粉尘逸出</w:t>
            </w:r>
            <w:r>
              <w:rPr>
                <w:rFonts w:hint="eastAsia" w:cs="Times New Roman"/>
                <w:color w:val="auto"/>
                <w:kern w:val="0"/>
                <w:sz w:val="24"/>
                <w:szCs w:val="24"/>
                <w:lang w:val="en-US" w:eastAsia="zh-CN" w:bidi="ar-SA"/>
              </w:rPr>
              <w:t>。</w:t>
            </w:r>
            <w:r>
              <w:rPr>
                <w:rFonts w:hint="default" w:cs="Times New Roman"/>
                <w:sz w:val="24"/>
                <w:szCs w:val="24"/>
                <w:lang w:val="en-US" w:eastAsia="zh-CN"/>
              </w:rPr>
              <w:t>现有项目</w:t>
            </w:r>
            <w:r>
              <w:rPr>
                <w:rFonts w:hint="eastAsia" w:cs="Times New Roman"/>
                <w:sz w:val="24"/>
                <w:szCs w:val="24"/>
                <w:lang w:val="en-US" w:eastAsia="zh-CN"/>
              </w:rPr>
              <w:t>四车间</w:t>
            </w:r>
            <w:r>
              <w:rPr>
                <w:rFonts w:hint="default" w:cs="Times New Roman"/>
                <w:sz w:val="24"/>
                <w:szCs w:val="24"/>
                <w:lang w:val="en-US" w:eastAsia="zh-CN"/>
              </w:rPr>
              <w:t>多元合金共渗过程中，</w:t>
            </w:r>
            <w:r>
              <w:rPr>
                <w:rFonts w:hint="eastAsia" w:cs="Times New Roman"/>
                <w:sz w:val="24"/>
                <w:szCs w:val="24"/>
                <w:lang w:val="en-US" w:eastAsia="zh-CN"/>
              </w:rPr>
              <w:t>炉料分离粉尘经车间阻隔后无组织排放量约为1.632t/a；六车间</w:t>
            </w:r>
            <w:r>
              <w:rPr>
                <w:rFonts w:hint="default" w:cs="Times New Roman"/>
                <w:sz w:val="24"/>
                <w:szCs w:val="24"/>
                <w:lang w:val="en-US" w:eastAsia="zh-CN"/>
              </w:rPr>
              <w:t>多元合金共渗过程中，</w:t>
            </w:r>
            <w:r>
              <w:rPr>
                <w:rFonts w:hint="eastAsia" w:cs="Times New Roman"/>
                <w:sz w:val="24"/>
                <w:szCs w:val="24"/>
                <w:lang w:val="en-US" w:eastAsia="zh-CN"/>
              </w:rPr>
              <w:t>炉料分离粉尘直接抽到配套的吸、放料装置（内含除尘器）内处理后通过15m高排气筒（DA002）排放，有组织</w:t>
            </w:r>
            <w:r>
              <w:rPr>
                <w:rFonts w:hint="default" w:cs="Times New Roman"/>
                <w:sz w:val="24"/>
                <w:szCs w:val="24"/>
                <w:lang w:val="en-US" w:eastAsia="zh-CN"/>
              </w:rPr>
              <w:t>排放量约为0.0</w:t>
            </w:r>
            <w:r>
              <w:rPr>
                <w:rFonts w:hint="eastAsia" w:cs="Times New Roman"/>
                <w:sz w:val="24"/>
                <w:szCs w:val="24"/>
                <w:lang w:val="en-US" w:eastAsia="zh-CN"/>
              </w:rPr>
              <w:t>31</w:t>
            </w:r>
            <w:r>
              <w:rPr>
                <w:rFonts w:hint="default" w:cs="Times New Roman"/>
                <w:sz w:val="24"/>
                <w:szCs w:val="24"/>
                <w:lang w:val="en-US" w:eastAsia="zh-CN"/>
              </w:rPr>
              <w:t>t/a</w:t>
            </w:r>
            <w:r>
              <w:rPr>
                <w:rFonts w:hint="eastAsia" w:cs="Times New Roman"/>
                <w:sz w:val="24"/>
                <w:szCs w:val="24"/>
                <w:lang w:val="en-US" w:eastAsia="zh-CN"/>
              </w:rPr>
              <w:t>，无组织排放量约为0.082t/a</w:t>
            </w:r>
            <w:r>
              <w:rPr>
                <w:rFonts w:hint="default" w:cs="Times New Roman"/>
                <w:sz w:val="24"/>
                <w:szCs w:val="24"/>
                <w:lang w:val="en-US" w:eastAsia="zh-CN"/>
              </w:rPr>
              <w:t>。</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cs="Times New Roman"/>
                <w:sz w:val="24"/>
                <w:szCs w:val="24"/>
                <w:lang w:val="en-US" w:eastAsia="zh-CN"/>
              </w:rPr>
            </w:pPr>
            <w:r>
              <w:rPr>
                <w:rFonts w:hint="eastAsia" w:cs="Times New Roman"/>
                <w:sz w:val="24"/>
                <w:szCs w:val="24"/>
                <w:lang w:val="en-US" w:eastAsia="zh-CN"/>
              </w:rPr>
              <w:t>②</w:t>
            </w:r>
            <w:r>
              <w:rPr>
                <w:rFonts w:hint="eastAsia" w:cs="Times New Roman"/>
                <w:sz w:val="24"/>
                <w:szCs w:val="24"/>
                <w:lang w:val="zh-CN" w:eastAsia="zh-CN"/>
              </w:rPr>
              <w:t>天然气燃烧废气</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eastAsia" w:cs="Times New Roman"/>
                <w:sz w:val="24"/>
                <w:szCs w:val="24"/>
                <w:lang w:val="en-US" w:eastAsia="zh-CN"/>
              </w:rPr>
            </w:pPr>
            <w:r>
              <w:rPr>
                <w:rFonts w:hint="default" w:cs="Times New Roman"/>
                <w:sz w:val="24"/>
                <w:szCs w:val="24"/>
                <w:lang w:val="en-US" w:eastAsia="zh-CN"/>
              </w:rPr>
              <w:t>现有项目</w:t>
            </w:r>
            <w:r>
              <w:rPr>
                <w:rFonts w:hint="eastAsia" w:cs="Times New Roman"/>
                <w:sz w:val="24"/>
                <w:szCs w:val="24"/>
                <w:lang w:val="en-US" w:eastAsia="zh-CN"/>
              </w:rPr>
              <w:t>六车间</w:t>
            </w:r>
            <w:r>
              <w:rPr>
                <w:rFonts w:hint="eastAsia" w:cs="Times New Roman"/>
                <w:sz w:val="24"/>
                <w:szCs w:val="24"/>
                <w:lang w:val="zh-CN" w:eastAsia="zh-CN"/>
              </w:rPr>
              <w:t>加热渗锌采</w:t>
            </w:r>
            <w:r>
              <w:rPr>
                <w:rFonts w:hint="eastAsia" w:cs="Times New Roman"/>
                <w:sz w:val="24"/>
                <w:szCs w:val="24"/>
                <w:lang w:val="en-US" w:eastAsia="zh-CN"/>
              </w:rPr>
              <w:t>用天然气间接加热，共设置2台密闭四方滚筒燃气渗锌炉，天然气燃烧废气分别通过2根15m高排气筒（DA003、DA004）高空直接排放,主要污染物SO</w:t>
            </w:r>
            <w:r>
              <w:rPr>
                <w:rFonts w:hint="eastAsia" w:cs="Times New Roman"/>
                <w:sz w:val="24"/>
                <w:szCs w:val="24"/>
                <w:vertAlign w:val="subscript"/>
                <w:lang w:val="en-US" w:eastAsia="zh-CN"/>
              </w:rPr>
              <w:t>2</w:t>
            </w:r>
            <w:r>
              <w:rPr>
                <w:rFonts w:hint="eastAsia" w:cs="Times New Roman"/>
                <w:sz w:val="24"/>
                <w:szCs w:val="24"/>
                <w:lang w:val="en-US" w:eastAsia="zh-CN"/>
              </w:rPr>
              <w:t>、NO</w:t>
            </w:r>
            <w:r>
              <w:rPr>
                <w:rFonts w:hint="eastAsia" w:cs="Times New Roman"/>
                <w:sz w:val="24"/>
                <w:szCs w:val="24"/>
                <w:vertAlign w:val="subscript"/>
                <w:lang w:val="en-US" w:eastAsia="zh-CN"/>
              </w:rPr>
              <w:t>X</w:t>
            </w:r>
            <w:r>
              <w:rPr>
                <w:rFonts w:hint="eastAsia" w:cs="Times New Roman"/>
                <w:sz w:val="24"/>
                <w:szCs w:val="24"/>
                <w:lang w:val="en-US" w:eastAsia="zh-CN"/>
              </w:rPr>
              <w:t>、烟尘排放量均为4.32kg/a、33.696kg/a、10.296kg/a。</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eastAsia="宋体" w:cs="Times New Roman"/>
                <w:color w:val="auto"/>
                <w:kern w:val="2"/>
                <w:sz w:val="24"/>
                <w:szCs w:val="24"/>
                <w:lang w:val="zh-CN" w:eastAsia="zh-CN" w:bidi="ar-SA"/>
              </w:rPr>
            </w:pPr>
            <w:r>
              <w:rPr>
                <w:rFonts w:hint="eastAsia" w:ascii="Times New Roman" w:hAnsi="Times New Roman" w:eastAsia="宋体" w:cs="Times New Roman"/>
                <w:color w:val="auto"/>
                <w:kern w:val="2"/>
                <w:sz w:val="24"/>
                <w:szCs w:val="24"/>
                <w:lang w:val="zh-CN" w:eastAsia="zh-CN" w:bidi="ar-SA"/>
              </w:rPr>
              <w:t>（</w:t>
            </w:r>
            <w:r>
              <w:rPr>
                <w:rFonts w:hint="eastAsia" w:ascii="Times New Roman" w:hAnsi="Times New Roman" w:eastAsia="宋体" w:cs="Times New Roman"/>
                <w:color w:val="auto"/>
                <w:kern w:val="2"/>
                <w:sz w:val="24"/>
                <w:szCs w:val="24"/>
                <w:lang w:val="en-US" w:eastAsia="zh-CN" w:bidi="ar-SA"/>
              </w:rPr>
              <w:t>6</w:t>
            </w:r>
            <w:r>
              <w:rPr>
                <w:rFonts w:hint="eastAsia" w:ascii="Times New Roman" w:hAnsi="Times New Roman" w:eastAsia="宋体" w:cs="Times New Roman"/>
                <w:color w:val="auto"/>
                <w:kern w:val="2"/>
                <w:sz w:val="24"/>
                <w:szCs w:val="24"/>
                <w:lang w:val="zh-CN" w:eastAsia="zh-CN" w:bidi="ar-SA"/>
              </w:rPr>
              <w:t>）浸漆及烘干</w:t>
            </w:r>
            <w:r>
              <w:rPr>
                <w:rFonts w:hint="eastAsia" w:ascii="Times New Roman" w:hAnsi="Times New Roman" w:eastAsia="宋体" w:cs="Times New Roman"/>
                <w:color w:val="auto"/>
                <w:kern w:val="2"/>
                <w:sz w:val="24"/>
                <w:szCs w:val="24"/>
                <w:lang w:val="en-US" w:eastAsia="zh-CN" w:bidi="ar-SA"/>
              </w:rPr>
              <w:t>固化</w:t>
            </w:r>
            <w:r>
              <w:rPr>
                <w:rFonts w:hint="eastAsia" w:ascii="Times New Roman" w:hAnsi="Times New Roman" w:eastAsia="宋体" w:cs="Times New Roman"/>
                <w:color w:val="auto"/>
                <w:kern w:val="2"/>
                <w:sz w:val="24"/>
                <w:szCs w:val="24"/>
                <w:lang w:val="zh-CN" w:eastAsia="zh-CN" w:bidi="ar-SA"/>
              </w:rPr>
              <w:t>有机废气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eastAsiaTheme="minorEastAsia"/>
                <w:lang w:val="zh-CN"/>
              </w:rPr>
            </w:pPr>
            <w:r>
              <w:rPr>
                <w:rFonts w:hint="default" w:ascii="Times New Roman" w:hAnsi="Times New Roman" w:cs="Times New Roman"/>
                <w:sz w:val="24"/>
                <w:szCs w:val="24"/>
                <w:lang w:val="en-US" w:eastAsia="zh-CN"/>
              </w:rPr>
              <w:t>现有项目</w:t>
            </w:r>
            <w:r>
              <w:rPr>
                <w:rFonts w:hint="default" w:ascii="Times New Roman" w:hAnsi="Times New Roman" w:cs="Times New Roman" w:eastAsiaTheme="minorEastAsia"/>
                <w:lang w:val="zh-CN"/>
              </w:rPr>
              <w:t>工件浸漆及烘干</w:t>
            </w:r>
            <w:r>
              <w:rPr>
                <w:rFonts w:hint="eastAsia" w:ascii="Times New Roman" w:hAnsi="Times New Roman" w:eastAsia="宋体" w:cs="Times New Roman"/>
                <w:color w:val="auto"/>
                <w:kern w:val="2"/>
                <w:sz w:val="24"/>
                <w:szCs w:val="24"/>
                <w:lang w:val="en-US" w:eastAsia="zh-CN" w:bidi="ar-SA"/>
              </w:rPr>
              <w:t>固化</w:t>
            </w:r>
            <w:r>
              <w:rPr>
                <w:rFonts w:hint="default" w:ascii="Times New Roman" w:hAnsi="Times New Roman" w:cs="Times New Roman" w:eastAsiaTheme="minorEastAsia"/>
                <w:lang w:val="zh-CN"/>
              </w:rPr>
              <w:t>过程中会产生一定的挥发性有机废气，浸漆在加盖的浸漆槽里进行，浸漆过程处于敞开状态，不工作时则处理关闭的状态。烘干固化则在密闭的烘干室中进行，烘干过程仅留有一个出气口，出气口直接连接至废气处理设施。烘干废气经</w:t>
            </w:r>
            <w:r>
              <w:rPr>
                <w:rFonts w:hint="eastAsia" w:asciiTheme="majorEastAsia" w:hAnsiTheme="majorEastAsia" w:eastAsiaTheme="majorEastAsia" w:cstheme="majorEastAsia"/>
                <w:lang w:val="zh-CN"/>
              </w:rPr>
              <w:t>“</w:t>
            </w:r>
            <w:r>
              <w:rPr>
                <w:rFonts w:hint="default" w:ascii="Times New Roman" w:hAnsi="Times New Roman" w:cs="Times New Roman" w:eastAsiaTheme="minorEastAsia"/>
                <w:lang w:val="zh-CN"/>
              </w:rPr>
              <w:t>UV光解+活性炭吸附装置</w:t>
            </w:r>
            <w:r>
              <w:rPr>
                <w:rFonts w:hint="eastAsia" w:asciiTheme="majorEastAsia" w:hAnsiTheme="majorEastAsia" w:eastAsiaTheme="majorEastAsia" w:cstheme="majorEastAsia"/>
                <w:lang w:val="zh-CN"/>
              </w:rPr>
              <w:t>”</w:t>
            </w:r>
            <w:r>
              <w:rPr>
                <w:rFonts w:hint="default" w:ascii="Times New Roman" w:hAnsi="Times New Roman" w:cs="Times New Roman" w:eastAsiaTheme="minorEastAsia"/>
                <w:lang w:val="zh-CN"/>
              </w:rPr>
              <w:t>处理后，通过一根15m高排气筒（</w:t>
            </w:r>
            <w:r>
              <w:rPr>
                <w:rFonts w:hint="default" w:ascii="Times New Roman" w:hAnsi="Times New Roman" w:cs="Times New Roman" w:eastAsiaTheme="minorEastAsia"/>
                <w:lang w:val="en-US" w:eastAsia="zh-CN"/>
              </w:rPr>
              <w:t>DA005</w:t>
            </w:r>
            <w:r>
              <w:rPr>
                <w:rFonts w:hint="default" w:ascii="Times New Roman" w:hAnsi="Times New Roman" w:cs="Times New Roman" w:eastAsiaTheme="minorEastAsia"/>
                <w:lang w:val="zh-CN"/>
              </w:rPr>
              <w:t>）高空排</w:t>
            </w:r>
            <w:r>
              <w:rPr>
                <w:rFonts w:hint="default" w:ascii="Times New Roman" w:hAnsi="Times New Roman" w:eastAsia="宋体" w:cs="Times New Roman"/>
                <w:color w:val="auto"/>
                <w:kern w:val="2"/>
                <w:sz w:val="24"/>
                <w:szCs w:val="24"/>
                <w:lang w:val="zh-CN" w:eastAsia="zh-CN" w:bidi="ar-SA"/>
              </w:rPr>
              <w:t>放，</w:t>
            </w:r>
            <w:r>
              <w:rPr>
                <w:rFonts w:hint="default" w:ascii="Times New Roman" w:hAnsi="Times New Roman" w:cs="Times New Roman"/>
                <w:color w:val="auto"/>
                <w:u w:val="none"/>
              </w:rPr>
              <w:t>有机废气产生量为</w:t>
            </w:r>
            <w:r>
              <w:rPr>
                <w:rFonts w:hint="eastAsia" w:ascii="Times New Roman" w:hAnsi="Times New Roman" w:cs="Times New Roman"/>
                <w:color w:val="auto"/>
                <w:u w:val="none"/>
                <w:lang w:val="en-US" w:eastAsia="zh-CN"/>
              </w:rPr>
              <w:t>0.</w:t>
            </w:r>
            <w:r>
              <w:rPr>
                <w:rFonts w:hint="eastAsia" w:ascii="Times New Roman" w:cs="Times New Roman"/>
                <w:color w:val="auto"/>
                <w:u w:val="none"/>
                <w:lang w:val="en-US" w:eastAsia="zh-CN"/>
              </w:rPr>
              <w:t>365</w:t>
            </w:r>
            <w:r>
              <w:rPr>
                <w:rFonts w:hint="default" w:ascii="Times New Roman" w:hAnsi="Times New Roman" w:cs="Times New Roman"/>
                <w:color w:val="auto"/>
                <w:u w:val="none"/>
              </w:rPr>
              <w:t>t/a，浸漆过程中有机废气挥发量占比约为10%，即</w:t>
            </w:r>
            <w:r>
              <w:rPr>
                <w:rFonts w:hint="eastAsia" w:ascii="Times New Roman" w:cs="Times New Roman"/>
                <w:color w:val="auto"/>
                <w:u w:val="none"/>
                <w:lang w:val="en-US" w:eastAsia="zh-CN"/>
              </w:rPr>
              <w:t>0.037</w:t>
            </w:r>
            <w:r>
              <w:rPr>
                <w:rFonts w:hint="default" w:ascii="Times New Roman" w:hAnsi="Times New Roman" w:cs="Times New Roman"/>
                <w:color w:val="auto"/>
                <w:u w:val="none"/>
              </w:rPr>
              <w:t>t/a，呈无组织排放；烘干过程中有机废气挥发量占比约为</w:t>
            </w:r>
            <w:r>
              <w:rPr>
                <w:rFonts w:hint="eastAsia" w:ascii="Times New Roman" w:hAnsi="Times New Roman" w:cs="Times New Roman"/>
                <w:color w:val="auto"/>
                <w:u w:val="none"/>
                <w:lang w:val="en-US" w:eastAsia="zh-CN"/>
              </w:rPr>
              <w:t>9</w:t>
            </w:r>
            <w:r>
              <w:rPr>
                <w:rFonts w:hint="default" w:ascii="Times New Roman" w:hAnsi="Times New Roman" w:cs="Times New Roman"/>
                <w:color w:val="auto"/>
                <w:u w:val="none"/>
              </w:rPr>
              <w:t>0%，即</w:t>
            </w:r>
            <w:r>
              <w:rPr>
                <w:rFonts w:hint="eastAsia" w:ascii="Times New Roman" w:hAnsi="Times New Roman" w:cs="Times New Roman"/>
                <w:color w:val="auto"/>
                <w:u w:val="none"/>
                <w:lang w:val="en-US" w:eastAsia="zh-CN"/>
              </w:rPr>
              <w:t>0.</w:t>
            </w:r>
            <w:r>
              <w:rPr>
                <w:rFonts w:hint="eastAsia" w:ascii="Times New Roman" w:cs="Times New Roman"/>
                <w:color w:val="auto"/>
                <w:u w:val="none"/>
                <w:lang w:val="en-US" w:eastAsia="zh-CN"/>
              </w:rPr>
              <w:t>328</w:t>
            </w:r>
            <w:r>
              <w:rPr>
                <w:rFonts w:hint="default" w:ascii="Times New Roman" w:hAnsi="Times New Roman" w:cs="Times New Roman"/>
                <w:color w:val="auto"/>
                <w:u w:val="none"/>
              </w:rPr>
              <w:t>t/a</w:t>
            </w:r>
            <w:r>
              <w:rPr>
                <w:rFonts w:hint="eastAsia" w:ascii="Times New Roman" w:cs="Times New Roman"/>
                <w:color w:val="auto"/>
                <w:u w:val="none"/>
                <w:lang w:eastAsia="zh-CN"/>
              </w:rPr>
              <w:t>，DA005排气筒有机废气排放量为0.</w:t>
            </w:r>
            <w:r>
              <w:rPr>
                <w:rFonts w:hint="eastAsia" w:ascii="Times New Roman" w:cs="Times New Roman"/>
                <w:color w:val="auto"/>
                <w:u w:val="none"/>
                <w:lang w:val="en-US" w:eastAsia="zh-CN"/>
              </w:rPr>
              <w:t>098</w:t>
            </w:r>
            <w:r>
              <w:rPr>
                <w:rFonts w:hint="eastAsia" w:ascii="Times New Roman" w:cs="Times New Roman"/>
                <w:color w:val="auto"/>
                <w:u w:val="none"/>
                <w:lang w:eastAsia="zh-CN"/>
              </w:rPr>
              <w:t>t/a</w:t>
            </w:r>
            <w:r>
              <w:rPr>
                <w:rFonts w:hint="default" w:ascii="Times New Roman" w:hAnsi="Times New Roman" w:eastAsia="宋体" w:cs="Times New Roman"/>
                <w:color w:val="auto"/>
                <w:kern w:val="2"/>
                <w:sz w:val="24"/>
                <w:szCs w:val="24"/>
                <w:lang w:val="zh-CN" w:eastAsia="zh-CN" w:bidi="ar-SA"/>
              </w:rPr>
              <w:t>。</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eastAsia" w:cs="Times New Roman"/>
                <w:sz w:val="24"/>
                <w:szCs w:val="24"/>
                <w:lang w:val="en-US" w:eastAsia="zh-CN"/>
              </w:rPr>
              <w:t>（7）烘干室天然气燃烧烟气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eastAsia="宋体" w:cs="Times New Roman"/>
                <w:lang w:val="zh-CN" w:eastAsia="zh-CN"/>
              </w:rPr>
            </w:pPr>
            <w:r>
              <w:rPr>
                <w:rFonts w:hint="default" w:ascii="Times New Roman" w:hAnsi="Times New Roman" w:cs="Times New Roman"/>
              </w:rPr>
              <w:t>项目</w:t>
            </w:r>
            <w:r>
              <w:rPr>
                <w:rFonts w:hint="eastAsia" w:ascii="Times New Roman" w:hAnsi="Times New Roman" w:cs="Times New Roman"/>
                <w:lang w:val="en-US" w:eastAsia="zh-CN"/>
              </w:rPr>
              <w:t>清洗后的工件及浸漆后的工件均需烘干</w:t>
            </w:r>
            <w:r>
              <w:rPr>
                <w:rFonts w:hint="default" w:ascii="Times New Roman" w:hAnsi="Times New Roman" w:cs="Times New Roman"/>
              </w:rPr>
              <w:t>，</w:t>
            </w:r>
            <w:r>
              <w:rPr>
                <w:rFonts w:hint="eastAsia" w:ascii="Times New Roman" w:hAnsi="Times New Roman" w:cs="Times New Roman"/>
                <w:lang w:val="en-US" w:eastAsia="zh-CN"/>
              </w:rPr>
              <w:t>在全自动悬链钝化封闭线烘干室中进行，</w:t>
            </w:r>
            <w:r>
              <w:rPr>
                <w:rFonts w:hint="default" w:ascii="Times New Roman" w:hAnsi="Times New Roman" w:cs="Times New Roman" w:eastAsiaTheme="minorEastAsia"/>
                <w:lang w:val="zh-CN"/>
              </w:rPr>
              <w:t>采</w:t>
            </w:r>
            <w:r>
              <w:rPr>
                <w:rFonts w:hint="default" w:ascii="Times New Roman" w:hAnsi="Times New Roman" w:cs="Times New Roman"/>
              </w:rPr>
              <w:t>用天然气间接加热，天然气属于清洁能源</w:t>
            </w:r>
            <w:r>
              <w:rPr>
                <w:rFonts w:hint="eastAsia" w:ascii="Times New Roman" w:hAnsi="Times New Roman" w:cs="Times New Roman"/>
                <w:lang w:eastAsia="zh-CN"/>
              </w:rPr>
              <w:t>，</w:t>
            </w:r>
            <w:r>
              <w:rPr>
                <w:rFonts w:hint="default" w:ascii="Times New Roman" w:hAnsi="Times New Roman" w:cs="Times New Roman"/>
              </w:rPr>
              <w:t>主要污染物为</w:t>
            </w:r>
            <w:r>
              <w:rPr>
                <w:rFonts w:hint="eastAsia" w:ascii="Times New Roman" w:hAnsi="Times New Roman" w:cs="Times New Roman"/>
                <w:lang w:val="en-US" w:eastAsia="zh-CN"/>
              </w:rPr>
              <w:t>烟尘</w:t>
            </w:r>
            <w:r>
              <w:rPr>
                <w:rFonts w:hint="default" w:ascii="Times New Roman" w:hAnsi="Times New Roman" w:cs="Times New Roman"/>
              </w:rPr>
              <w:t>、SO</w:t>
            </w:r>
            <w:r>
              <w:rPr>
                <w:rFonts w:hint="default" w:ascii="Times New Roman" w:hAnsi="Times New Roman" w:cs="Times New Roman"/>
                <w:vertAlign w:val="subscript"/>
              </w:rPr>
              <w:t>2</w:t>
            </w:r>
            <w:r>
              <w:rPr>
                <w:rFonts w:hint="default" w:ascii="Times New Roman" w:hAnsi="Times New Roman" w:cs="Times New Roman"/>
              </w:rPr>
              <w:t>、NO</w:t>
            </w:r>
            <w:r>
              <w:rPr>
                <w:rFonts w:hint="default" w:ascii="Times New Roman" w:hAnsi="Times New Roman" w:cs="Times New Roman"/>
                <w:vertAlign w:val="subscript"/>
              </w:rPr>
              <w:t>X</w:t>
            </w:r>
            <w:r>
              <w:rPr>
                <w:rFonts w:hint="default" w:ascii="Times New Roman" w:hAnsi="Times New Roman" w:cs="Times New Roman" w:eastAsiaTheme="minorEastAsia"/>
                <w:lang w:val="zh-CN"/>
              </w:rPr>
              <w:t>。烘干室天然气燃烧烟气</w:t>
            </w:r>
            <w:r>
              <w:rPr>
                <w:rFonts w:hint="eastAsia" w:ascii="Times New Roman" w:hAnsi="Times New Roman" w:cs="Times New Roman" w:eastAsiaTheme="minorEastAsia"/>
                <w:lang w:val="en-US" w:eastAsia="zh-CN"/>
              </w:rPr>
              <w:t>与烘干有机废气一道经</w:t>
            </w:r>
            <w:r>
              <w:rPr>
                <w:rFonts w:hint="eastAsia" w:asciiTheme="majorEastAsia" w:hAnsiTheme="majorEastAsia" w:eastAsiaTheme="majorEastAsia" w:cstheme="majorEastAsia"/>
                <w:color w:val="auto"/>
                <w:u w:val="none"/>
              </w:rPr>
              <w:t>“</w:t>
            </w:r>
            <w:r>
              <w:rPr>
                <w:rFonts w:hint="default" w:ascii="Times New Roman" w:hAnsi="Times New Roman" w:cs="Times New Roman"/>
                <w:color w:val="auto"/>
                <w:u w:val="none"/>
              </w:rPr>
              <w:t>UV光解装置+活性炭吸附装置</w:t>
            </w:r>
            <w:r>
              <w:rPr>
                <w:rFonts w:hint="eastAsia" w:asciiTheme="majorEastAsia" w:hAnsiTheme="majorEastAsia" w:eastAsiaTheme="majorEastAsia" w:cstheme="majorEastAsia"/>
                <w:color w:val="auto"/>
                <w:u w:val="none"/>
              </w:rPr>
              <w:t>”</w:t>
            </w:r>
            <w:r>
              <w:rPr>
                <w:rFonts w:hint="default" w:ascii="Times New Roman" w:hAnsi="Times New Roman" w:cs="Times New Roman"/>
                <w:color w:val="auto"/>
                <w:u w:val="none"/>
              </w:rPr>
              <w:t>处理后，通过一根15m高排气筒（</w:t>
            </w:r>
            <w:r>
              <w:rPr>
                <w:rFonts w:hint="eastAsia" w:ascii="Times New Roman" w:hAnsi="Times New Roman" w:cs="Times New Roman"/>
                <w:color w:val="auto"/>
                <w:u w:val="none"/>
                <w:lang w:val="en-US" w:eastAsia="zh-CN"/>
              </w:rPr>
              <w:t>DA005</w:t>
            </w:r>
            <w:r>
              <w:rPr>
                <w:rFonts w:hint="default" w:ascii="Times New Roman" w:hAnsi="Times New Roman" w:cs="Times New Roman"/>
                <w:color w:val="auto"/>
                <w:u w:val="none"/>
              </w:rPr>
              <w:t>）排放</w:t>
            </w:r>
            <w:r>
              <w:rPr>
                <w:rFonts w:hint="default" w:ascii="Times New Roman" w:hAnsi="Times New Roman" w:cs="Times New Roman"/>
                <w:lang w:eastAsia="zh-CN"/>
              </w:rPr>
              <w:t>。</w:t>
            </w:r>
            <w:r>
              <w:rPr>
                <w:rFonts w:hint="default" w:ascii="Times New Roman" w:hAnsi="Times New Roman" w:cs="Times New Roman"/>
                <w:lang w:val="en-US" w:eastAsia="zh-CN"/>
              </w:rPr>
              <w:t>天然气燃烧</w:t>
            </w:r>
            <w:r>
              <w:rPr>
                <w:rFonts w:hint="eastAsia" w:ascii="Times New Roman" w:cs="Times New Roman" w:eastAsiaTheme="minorEastAsia"/>
                <w:lang w:val="en-US" w:eastAsia="zh-CN"/>
              </w:rPr>
              <w:t>烟气</w:t>
            </w:r>
            <w:r>
              <w:rPr>
                <w:rFonts w:hint="default" w:ascii="Times New Roman" w:hAnsi="Times New Roman" w:cs="Times New Roman" w:eastAsiaTheme="minorEastAsia"/>
                <w:lang w:val="zh-CN"/>
              </w:rPr>
              <w:t>主要污染物SO</w:t>
            </w:r>
            <w:r>
              <w:rPr>
                <w:rFonts w:hint="default" w:ascii="Times New Roman" w:hAnsi="Times New Roman" w:cs="Times New Roman" w:eastAsiaTheme="minorEastAsia"/>
                <w:vertAlign w:val="subscript"/>
                <w:lang w:val="zh-CN"/>
              </w:rPr>
              <w:t>2</w:t>
            </w:r>
            <w:r>
              <w:rPr>
                <w:rFonts w:hint="default" w:ascii="Times New Roman" w:hAnsi="Times New Roman" w:cs="Times New Roman" w:eastAsiaTheme="minorEastAsia"/>
                <w:lang w:val="zh-CN"/>
              </w:rPr>
              <w:t>、NO</w:t>
            </w:r>
            <w:r>
              <w:rPr>
                <w:rFonts w:hint="default" w:ascii="Times New Roman" w:hAnsi="Times New Roman" w:cs="Times New Roman" w:eastAsiaTheme="minorEastAsia"/>
                <w:vertAlign w:val="subscript"/>
                <w:lang w:val="zh-CN"/>
              </w:rPr>
              <w:t>X</w:t>
            </w:r>
            <w:r>
              <w:rPr>
                <w:rFonts w:hint="default" w:ascii="Times New Roman" w:hAnsi="Times New Roman" w:cs="Times New Roman" w:eastAsiaTheme="minorEastAsia"/>
                <w:lang w:val="zh-CN"/>
              </w:rPr>
              <w:t>、烟尘产生量为</w:t>
            </w:r>
            <w:r>
              <w:rPr>
                <w:rFonts w:hint="eastAsia" w:ascii="Times New Roman" w:cs="Times New Roman" w:eastAsiaTheme="minorEastAsia"/>
                <w:lang w:val="en-US" w:eastAsia="zh-CN"/>
              </w:rPr>
              <w:t>2.16</w:t>
            </w:r>
            <w:r>
              <w:rPr>
                <w:rFonts w:hint="default" w:ascii="Times New Roman" w:hAnsi="Times New Roman" w:cs="Times New Roman" w:eastAsiaTheme="minorEastAsia"/>
                <w:lang w:val="zh-CN"/>
              </w:rPr>
              <w:t>kg/a、</w:t>
            </w:r>
            <w:r>
              <w:rPr>
                <w:rFonts w:hint="eastAsia" w:ascii="Times New Roman" w:cs="Times New Roman" w:eastAsiaTheme="minorEastAsia"/>
                <w:lang w:val="en-US" w:eastAsia="zh-CN"/>
              </w:rPr>
              <w:t>16.848</w:t>
            </w:r>
            <w:r>
              <w:rPr>
                <w:rFonts w:hint="default" w:ascii="Times New Roman" w:hAnsi="Times New Roman" w:cs="Times New Roman" w:eastAsiaTheme="minorEastAsia"/>
                <w:lang w:val="zh-CN"/>
              </w:rPr>
              <w:t>kg/a、</w:t>
            </w:r>
            <w:r>
              <w:rPr>
                <w:rFonts w:hint="eastAsia" w:ascii="Times New Roman" w:cs="Times New Roman" w:eastAsiaTheme="minorEastAsia"/>
                <w:lang w:val="en-US" w:eastAsia="zh-CN"/>
              </w:rPr>
              <w:t>5.148</w:t>
            </w:r>
            <w:r>
              <w:rPr>
                <w:rFonts w:hint="default" w:ascii="Times New Roman" w:hAnsi="Times New Roman" w:cs="Times New Roman" w:eastAsiaTheme="minorEastAsia"/>
                <w:lang w:val="zh-CN"/>
              </w:rPr>
              <w:t>kg/a</w:t>
            </w:r>
            <w:r>
              <w:rPr>
                <w:rFonts w:hint="eastAsia" w:ascii="Times New Roman" w:cs="Times New Roman" w:eastAsiaTheme="minorEastAsia"/>
                <w:lang w:val="zh-CN"/>
              </w:rPr>
              <w:t>。</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eastAsia" w:cs="Times New Roman"/>
                <w:sz w:val="24"/>
                <w:szCs w:val="24"/>
                <w:lang w:val="zh-CN" w:eastAsia="zh-CN"/>
              </w:rPr>
            </w:pPr>
            <w:r>
              <w:rPr>
                <w:rFonts w:hint="eastAsia" w:cs="Times New Roman"/>
                <w:sz w:val="24"/>
                <w:szCs w:val="24"/>
                <w:lang w:val="zh-CN" w:eastAsia="zh-CN"/>
              </w:rPr>
              <w:t>（</w:t>
            </w:r>
            <w:r>
              <w:rPr>
                <w:rFonts w:hint="eastAsia" w:cs="Times New Roman"/>
                <w:sz w:val="24"/>
                <w:szCs w:val="24"/>
                <w:lang w:val="en-US" w:eastAsia="zh-CN"/>
              </w:rPr>
              <w:t>8</w:t>
            </w:r>
            <w:r>
              <w:rPr>
                <w:rFonts w:hint="eastAsia" w:cs="Times New Roman"/>
                <w:sz w:val="24"/>
                <w:szCs w:val="24"/>
                <w:lang w:val="zh-CN" w:eastAsia="zh-CN"/>
              </w:rPr>
              <w:t>）喷漆废气</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cs="Times New Roman"/>
                <w:sz w:val="24"/>
                <w:szCs w:val="24"/>
                <w:lang w:val="zh-CN" w:eastAsia="zh-CN"/>
              </w:rPr>
            </w:pPr>
            <w:r>
              <w:rPr>
                <w:rFonts w:hint="default" w:ascii="Times New Roman" w:hAnsi="Times New Roman" w:cs="Times New Roman"/>
                <w:sz w:val="24"/>
                <w:szCs w:val="24"/>
                <w:lang w:val="en-US" w:eastAsia="zh-CN"/>
              </w:rPr>
              <w:t>现有项目</w:t>
            </w:r>
            <w:r>
              <w:rPr>
                <w:rFonts w:hint="default" w:cs="Times New Roman"/>
                <w:sz w:val="24"/>
                <w:szCs w:val="24"/>
                <w:lang w:val="zh-CN" w:eastAsia="zh-CN"/>
              </w:rPr>
              <w:t>设置喷漆室，喷漆工序和晾干工序均在喷漆室内进行，晾干方式采用自然晾干。</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cs="Times New Roman"/>
                <w:sz w:val="24"/>
                <w:szCs w:val="24"/>
                <w:lang w:val="zh-CN" w:eastAsia="zh-CN"/>
              </w:rPr>
            </w:pPr>
            <w:r>
              <w:rPr>
                <w:rFonts w:hint="default" w:cs="Times New Roman"/>
                <w:sz w:val="24"/>
                <w:szCs w:val="24"/>
                <w:lang w:val="zh-CN" w:eastAsia="zh-CN"/>
              </w:rPr>
              <w:t>项目</w:t>
            </w:r>
            <w:r>
              <w:rPr>
                <w:rFonts w:hint="eastAsia" w:cs="Times New Roman"/>
                <w:sz w:val="24"/>
                <w:szCs w:val="24"/>
                <w:lang w:val="en-US" w:eastAsia="zh-CN"/>
              </w:rPr>
              <w:t>设置封闭式</w:t>
            </w:r>
            <w:r>
              <w:rPr>
                <w:rFonts w:hint="default" w:cs="Times New Roman"/>
                <w:sz w:val="24"/>
                <w:szCs w:val="24"/>
                <w:lang w:val="zh-CN" w:eastAsia="zh-CN"/>
              </w:rPr>
              <w:t>喷漆室，喷漆室喷漆废气和漆雾经负压管道收集进入</w:t>
            </w:r>
            <w:r>
              <w:rPr>
                <w:rFonts w:hint="eastAsia" w:asciiTheme="majorEastAsia" w:hAnsiTheme="majorEastAsia" w:eastAsiaTheme="majorEastAsia" w:cstheme="majorEastAsia"/>
                <w:sz w:val="24"/>
                <w:szCs w:val="24"/>
                <w:lang w:val="zh-CN" w:eastAsia="zh-CN"/>
              </w:rPr>
              <w:t>“</w:t>
            </w:r>
            <w:r>
              <w:rPr>
                <w:rFonts w:hint="eastAsia" w:cs="Times New Roman"/>
                <w:sz w:val="24"/>
                <w:szCs w:val="24"/>
                <w:lang w:val="zh-CN" w:eastAsia="zh-CN"/>
              </w:rPr>
              <w:t>干式过滤+活性炭吸附+催化燃烧脱附（RCO）</w:t>
            </w:r>
            <w:r>
              <w:rPr>
                <w:rFonts w:hint="eastAsia" w:asciiTheme="majorEastAsia" w:hAnsiTheme="majorEastAsia" w:eastAsiaTheme="majorEastAsia" w:cstheme="majorEastAsia"/>
                <w:sz w:val="24"/>
                <w:szCs w:val="24"/>
                <w:lang w:val="zh-CN" w:eastAsia="zh-CN"/>
              </w:rPr>
              <w:t>”</w:t>
            </w:r>
            <w:r>
              <w:rPr>
                <w:rFonts w:hint="default" w:cs="Times New Roman"/>
                <w:sz w:val="24"/>
                <w:szCs w:val="24"/>
                <w:lang w:val="zh-CN" w:eastAsia="zh-CN"/>
              </w:rPr>
              <w:t>系统处理</w:t>
            </w:r>
            <w:r>
              <w:rPr>
                <w:rFonts w:hint="eastAsia" w:cs="Times New Roman"/>
                <w:sz w:val="24"/>
                <w:szCs w:val="24"/>
                <w:lang w:val="en-US" w:eastAsia="zh-CN"/>
              </w:rPr>
              <w:t>后经1根15m高排气筒（DA006）排放</w:t>
            </w:r>
            <w:r>
              <w:rPr>
                <w:rFonts w:hint="eastAsia" w:cs="Times New Roman"/>
                <w:sz w:val="24"/>
                <w:szCs w:val="24"/>
                <w:lang w:val="zh-CN" w:eastAsia="zh-CN"/>
              </w:rPr>
              <w:t>。</w:t>
            </w:r>
            <w:r>
              <w:rPr>
                <w:rFonts w:hint="eastAsia" w:cs="Times New Roman"/>
                <w:sz w:val="24"/>
                <w:szCs w:val="24"/>
                <w:lang w:val="en-US" w:eastAsia="zh-CN"/>
              </w:rPr>
              <w:t>项目</w:t>
            </w:r>
            <w:r>
              <w:rPr>
                <w:rFonts w:hint="eastAsia" w:cs="Times New Roman"/>
                <w:sz w:val="24"/>
                <w:szCs w:val="24"/>
                <w:lang w:val="zh-CN" w:eastAsia="zh-CN"/>
              </w:rPr>
              <w:t>喷漆工序漆雾</w:t>
            </w:r>
            <w:r>
              <w:rPr>
                <w:rFonts w:hint="eastAsia" w:cs="Times New Roman"/>
                <w:sz w:val="24"/>
                <w:szCs w:val="24"/>
                <w:lang w:val="en-US" w:eastAsia="zh-CN"/>
              </w:rPr>
              <w:t>有组织排放量为0.119t/a，无组织排放量为0.042t/a；</w:t>
            </w:r>
            <w:r>
              <w:rPr>
                <w:rFonts w:hint="eastAsia" w:cs="Times New Roman"/>
                <w:sz w:val="24"/>
                <w:szCs w:val="24"/>
                <w:lang w:val="zh-CN" w:eastAsia="zh-CN"/>
              </w:rPr>
              <w:t>VOCs</w:t>
            </w:r>
            <w:r>
              <w:rPr>
                <w:rFonts w:hint="eastAsia" w:cs="Times New Roman"/>
                <w:sz w:val="24"/>
                <w:szCs w:val="24"/>
                <w:lang w:val="en-US" w:eastAsia="zh-CN"/>
              </w:rPr>
              <w:t>有组织排放量为0.042t/a，无组织排放量为0.015t/a。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cs="Times New Roman"/>
                <w:sz w:val="24"/>
                <w:szCs w:val="24"/>
                <w:lang w:val="en-US" w:eastAsia="zh-CN"/>
              </w:rPr>
            </w:pPr>
            <w:r>
              <w:rPr>
                <w:rFonts w:hint="eastAsia" w:cs="Times New Roman"/>
                <w:sz w:val="24"/>
                <w:szCs w:val="24"/>
                <w:lang w:val="zh-CN" w:eastAsia="zh-CN"/>
              </w:rPr>
              <w:t>（</w:t>
            </w:r>
            <w:r>
              <w:rPr>
                <w:rFonts w:hint="eastAsia" w:cs="Times New Roman"/>
                <w:sz w:val="24"/>
                <w:szCs w:val="24"/>
                <w:lang w:val="en-US" w:eastAsia="zh-CN"/>
              </w:rPr>
              <w:t>9</w:t>
            </w:r>
            <w:r>
              <w:rPr>
                <w:rFonts w:hint="eastAsia" w:cs="Times New Roman"/>
                <w:sz w:val="24"/>
                <w:szCs w:val="24"/>
                <w:lang w:val="zh-CN" w:eastAsia="zh-CN"/>
              </w:rPr>
              <w:t>）</w:t>
            </w:r>
            <w:r>
              <w:rPr>
                <w:rFonts w:hint="eastAsia" w:cs="Times New Roman"/>
                <w:sz w:val="24"/>
                <w:szCs w:val="24"/>
                <w:lang w:val="en-US" w:eastAsia="zh-CN"/>
              </w:rPr>
              <w:t>食堂油烟</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eastAsia" w:cs="Times New Roman"/>
                <w:bCs/>
                <w:color w:val="auto"/>
                <w:kern w:val="2"/>
                <w:sz w:val="24"/>
                <w:szCs w:val="24"/>
                <w:lang w:eastAsia="zh-CN"/>
              </w:rPr>
            </w:pPr>
            <w:r>
              <w:rPr>
                <w:rFonts w:hint="default" w:cs="Times New Roman"/>
                <w:sz w:val="24"/>
                <w:szCs w:val="24"/>
                <w:lang w:val="zh-CN" w:eastAsia="zh-CN"/>
              </w:rPr>
              <w:t>现有项目食堂</w:t>
            </w:r>
            <w:r>
              <w:rPr>
                <w:rFonts w:hint="default" w:ascii="Times New Roman" w:hAnsi="Times New Roman" w:cs="Times New Roman"/>
                <w:bCs/>
                <w:color w:val="auto"/>
                <w:kern w:val="2"/>
                <w:sz w:val="24"/>
                <w:szCs w:val="24"/>
              </w:rPr>
              <w:t>油烟经油烟净化器处理后用于楼顶排放，排放量约为12.15kg/a</w:t>
            </w:r>
            <w:r>
              <w:rPr>
                <w:rFonts w:hint="eastAsia" w:cs="Times New Roman"/>
                <w:bCs/>
                <w:color w:val="auto"/>
                <w:kern w:val="2"/>
                <w:sz w:val="24"/>
                <w:szCs w:val="24"/>
                <w:lang w:eastAsia="zh-CN"/>
              </w:rPr>
              <w:t>。</w:t>
            </w:r>
          </w:p>
          <w:p>
            <w:pPr>
              <w:adjustRightInd w:val="0"/>
              <w:snapToGrid w:val="0"/>
              <w:spacing w:line="360" w:lineRule="auto"/>
              <w:ind w:firstLine="480" w:firstLineChars="200"/>
              <w:rPr>
                <w:color w:val="auto"/>
                <w:kern w:val="0"/>
                <w:sz w:val="24"/>
                <w:u w:val="none"/>
              </w:rPr>
            </w:pPr>
            <w:r>
              <w:rPr>
                <w:rFonts w:hint="eastAsia" w:ascii="宋体" w:hAnsi="Times New Roman" w:eastAsia="宋体" w:cs="宋体"/>
                <w:color w:val="auto"/>
                <w:kern w:val="0"/>
                <w:sz w:val="24"/>
                <w:szCs w:val="24"/>
                <w:u w:val="none"/>
                <w:lang w:val="en-US" w:eastAsia="zh-CN" w:bidi="ar-SA"/>
              </w:rPr>
              <w:t>根据《衡阳市新德力交通材料有限公司改扩建项目竣工环境保护验收监测报告》，</w:t>
            </w:r>
            <w:r>
              <w:rPr>
                <w:rFonts w:hint="eastAsia"/>
                <w:color w:val="auto"/>
                <w:sz w:val="24"/>
                <w:u w:val="none"/>
              </w:rPr>
              <w:t>项目有组织废气检测结果见表2-6，无组织废气检测结果见表2-7</w:t>
            </w:r>
            <w:r>
              <w:rPr>
                <w:color w:val="auto"/>
                <w:kern w:val="0"/>
                <w:sz w:val="24"/>
                <w:u w:val="none"/>
              </w:rPr>
              <w:t>。</w:t>
            </w:r>
          </w:p>
          <w:p>
            <w:pPr>
              <w:pStyle w:val="75"/>
              <w:spacing w:beforeLines="50" w:afterLines="0"/>
              <w:rPr>
                <w:rFonts w:hint="eastAsia" w:eastAsia="宋体"/>
                <w:color w:val="auto"/>
                <w:sz w:val="21"/>
                <w:szCs w:val="21"/>
                <w:u w:val="none"/>
                <w:lang w:eastAsia="zh-CN"/>
              </w:rPr>
            </w:pPr>
            <w:r>
              <w:rPr>
                <w:rFonts w:hint="eastAsia"/>
                <w:color w:val="auto"/>
                <w:sz w:val="21"/>
                <w:szCs w:val="21"/>
                <w:u w:val="none"/>
              </w:rPr>
              <w:t>表2-6  现有项目有组织废气检测结果</w:t>
            </w:r>
          </w:p>
          <w:tbl>
            <w:tblPr>
              <w:tblStyle w:val="25"/>
              <w:tblW w:w="499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232"/>
              <w:gridCol w:w="1636"/>
              <w:gridCol w:w="1069"/>
              <w:gridCol w:w="1102"/>
              <w:gridCol w:w="1113"/>
              <w:gridCol w:w="1102"/>
              <w:gridCol w:w="998"/>
              <w:gridCol w:w="102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restart"/>
                  <w:vAlign w:val="center"/>
                </w:tcPr>
                <w:p>
                  <w:pPr>
                    <w:autoSpaceDN w:val="0"/>
                    <w:spacing w:beforeLines="10" w:afterLines="10"/>
                    <w:contextualSpacing/>
                    <w:jc w:val="center"/>
                    <w:textAlignment w:val="center"/>
                    <w:rPr>
                      <w:b/>
                      <w:bCs/>
                      <w:color w:val="auto"/>
                      <w:szCs w:val="21"/>
                      <w:u w:val="none"/>
                    </w:rPr>
                  </w:pPr>
                  <w:r>
                    <w:rPr>
                      <w:b/>
                      <w:bCs/>
                      <w:color w:val="auto"/>
                      <w:szCs w:val="21"/>
                      <w:u w:val="none"/>
                    </w:rPr>
                    <w:t>采样</w:t>
                  </w:r>
                </w:p>
                <w:p>
                  <w:pPr>
                    <w:autoSpaceDN w:val="0"/>
                    <w:spacing w:beforeLines="10" w:afterLines="10"/>
                    <w:contextualSpacing/>
                    <w:jc w:val="center"/>
                    <w:textAlignment w:val="center"/>
                    <w:rPr>
                      <w:b/>
                      <w:bCs/>
                      <w:color w:val="auto"/>
                      <w:szCs w:val="21"/>
                      <w:u w:val="none"/>
                    </w:rPr>
                  </w:pPr>
                  <w:r>
                    <w:rPr>
                      <w:b/>
                      <w:bCs/>
                      <w:color w:val="auto"/>
                      <w:szCs w:val="21"/>
                      <w:u w:val="none"/>
                    </w:rPr>
                    <w:t>点位</w:t>
                  </w:r>
                </w:p>
              </w:tc>
              <w:tc>
                <w:tcPr>
                  <w:tcW w:w="882" w:type="pct"/>
                  <w:vMerge w:val="restart"/>
                  <w:vAlign w:val="center"/>
                </w:tcPr>
                <w:p>
                  <w:pPr>
                    <w:autoSpaceDN w:val="0"/>
                    <w:spacing w:beforeLines="10" w:afterLines="10"/>
                    <w:contextualSpacing/>
                    <w:jc w:val="center"/>
                    <w:textAlignment w:val="center"/>
                    <w:rPr>
                      <w:b/>
                      <w:bCs/>
                      <w:color w:val="auto"/>
                      <w:szCs w:val="21"/>
                      <w:u w:val="none"/>
                    </w:rPr>
                  </w:pPr>
                  <w:r>
                    <w:rPr>
                      <w:b/>
                      <w:bCs/>
                      <w:color w:val="auto"/>
                      <w:szCs w:val="21"/>
                      <w:u w:val="none"/>
                    </w:rPr>
                    <w:t>检测项目</w:t>
                  </w:r>
                </w:p>
              </w:tc>
              <w:tc>
                <w:tcPr>
                  <w:tcW w:w="3453" w:type="pct"/>
                  <w:gridSpan w:val="6"/>
                  <w:vAlign w:val="center"/>
                </w:tcPr>
                <w:p>
                  <w:pPr>
                    <w:spacing w:beforeLines="10" w:afterLines="10"/>
                    <w:jc w:val="center"/>
                    <w:rPr>
                      <w:b/>
                      <w:bCs/>
                      <w:color w:val="auto"/>
                      <w:szCs w:val="21"/>
                      <w:u w:val="none"/>
                    </w:rPr>
                  </w:pPr>
                  <w:r>
                    <w:rPr>
                      <w:b/>
                      <w:bCs/>
                      <w:color w:val="auto"/>
                      <w:szCs w:val="21"/>
                      <w:u w:val="none"/>
                    </w:rPr>
                    <w:t>检测结果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autoSpaceDN w:val="0"/>
                    <w:spacing w:beforeLines="10" w:afterLines="10"/>
                    <w:contextualSpacing/>
                    <w:jc w:val="center"/>
                    <w:textAlignment w:val="center"/>
                    <w:rPr>
                      <w:b/>
                      <w:bCs/>
                      <w:color w:val="auto"/>
                      <w:szCs w:val="21"/>
                      <w:u w:val="none"/>
                    </w:rPr>
                  </w:pPr>
                </w:p>
              </w:tc>
              <w:tc>
                <w:tcPr>
                  <w:tcW w:w="882" w:type="pct"/>
                  <w:vMerge w:val="continue"/>
                  <w:vAlign w:val="center"/>
                </w:tcPr>
                <w:p>
                  <w:pPr>
                    <w:autoSpaceDN w:val="0"/>
                    <w:spacing w:beforeLines="10" w:afterLines="10"/>
                    <w:contextualSpacing/>
                    <w:jc w:val="center"/>
                    <w:textAlignment w:val="center"/>
                    <w:rPr>
                      <w:b/>
                      <w:bCs/>
                      <w:color w:val="auto"/>
                      <w:szCs w:val="21"/>
                      <w:u w:val="none"/>
                    </w:rPr>
                  </w:pPr>
                </w:p>
              </w:tc>
              <w:tc>
                <w:tcPr>
                  <w:tcW w:w="1770" w:type="pct"/>
                  <w:gridSpan w:val="3"/>
                  <w:vAlign w:val="center"/>
                </w:tcPr>
                <w:p>
                  <w:pPr>
                    <w:widowControl/>
                    <w:adjustRightInd w:val="0"/>
                    <w:spacing w:beforeLines="10" w:afterLines="10"/>
                    <w:jc w:val="center"/>
                    <w:textAlignment w:val="center"/>
                    <w:rPr>
                      <w:rFonts w:hint="default" w:ascii="Times New Roman" w:hAnsi="Times New Roman" w:eastAsia="宋体" w:cs="Times New Roman"/>
                      <w:b/>
                      <w:color w:val="auto"/>
                      <w:kern w:val="2"/>
                      <w:sz w:val="21"/>
                      <w:szCs w:val="21"/>
                      <w:u w:val="none"/>
                      <w:lang w:val="en-US" w:eastAsia="zh-CN" w:bidi="ar-SA"/>
                    </w:rPr>
                  </w:pPr>
                  <w:r>
                    <w:rPr>
                      <w:rFonts w:ascii="Times New Roman" w:hAnsi="Times New Roman" w:eastAsia="宋体" w:cs="Times New Roman"/>
                      <w:b/>
                      <w:color w:val="auto"/>
                      <w:szCs w:val="21"/>
                      <w:u w:val="none"/>
                    </w:rPr>
                    <w:t>202</w:t>
                  </w:r>
                  <w:r>
                    <w:rPr>
                      <w:rFonts w:hint="eastAsia" w:cs="Times New Roman"/>
                      <w:b/>
                      <w:color w:val="auto"/>
                      <w:szCs w:val="21"/>
                      <w:u w:val="none"/>
                      <w:lang w:val="en-US" w:eastAsia="zh-CN"/>
                    </w:rPr>
                    <w:t>1.12.14</w:t>
                  </w:r>
                </w:p>
              </w:tc>
              <w:tc>
                <w:tcPr>
                  <w:tcW w:w="1682" w:type="pct"/>
                  <w:gridSpan w:val="3"/>
                  <w:vAlign w:val="center"/>
                </w:tcPr>
                <w:p>
                  <w:pPr>
                    <w:widowControl/>
                    <w:adjustRightInd w:val="0"/>
                    <w:spacing w:beforeLines="10" w:afterLines="10"/>
                    <w:jc w:val="center"/>
                    <w:textAlignment w:val="center"/>
                    <w:rPr>
                      <w:rFonts w:hint="default" w:ascii="Times New Roman" w:hAnsi="Times New Roman" w:eastAsia="宋体" w:cs="Times New Roman"/>
                      <w:b/>
                      <w:color w:val="auto"/>
                      <w:kern w:val="2"/>
                      <w:sz w:val="21"/>
                      <w:szCs w:val="21"/>
                      <w:u w:val="none"/>
                      <w:lang w:val="en-US" w:eastAsia="zh-CN" w:bidi="ar-SA"/>
                    </w:rPr>
                  </w:pPr>
                  <w:r>
                    <w:rPr>
                      <w:rFonts w:ascii="Times New Roman" w:hAnsi="Times New Roman" w:eastAsia="宋体" w:cs="Times New Roman"/>
                      <w:b/>
                      <w:color w:val="auto"/>
                      <w:szCs w:val="21"/>
                      <w:u w:val="none"/>
                    </w:rPr>
                    <w:t>202</w:t>
                  </w:r>
                  <w:r>
                    <w:rPr>
                      <w:rFonts w:hint="eastAsia" w:cs="Times New Roman"/>
                      <w:b/>
                      <w:color w:val="auto"/>
                      <w:szCs w:val="21"/>
                      <w:u w:val="none"/>
                      <w:lang w:val="en-US" w:eastAsia="zh-CN"/>
                    </w:rPr>
                    <w:t>1.12.15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autoSpaceDN w:val="0"/>
                    <w:spacing w:beforeLines="10" w:afterLines="10"/>
                    <w:contextualSpacing/>
                    <w:jc w:val="center"/>
                    <w:textAlignment w:val="center"/>
                    <w:rPr>
                      <w:b/>
                      <w:bCs/>
                      <w:color w:val="auto"/>
                      <w:szCs w:val="21"/>
                      <w:u w:val="none"/>
                    </w:rPr>
                  </w:pPr>
                </w:p>
              </w:tc>
              <w:tc>
                <w:tcPr>
                  <w:tcW w:w="882" w:type="pct"/>
                  <w:vMerge w:val="continue"/>
                  <w:vAlign w:val="center"/>
                </w:tcPr>
                <w:p>
                  <w:pPr>
                    <w:autoSpaceDN w:val="0"/>
                    <w:spacing w:beforeLines="10" w:afterLines="10"/>
                    <w:contextualSpacing/>
                    <w:jc w:val="center"/>
                    <w:textAlignment w:val="center"/>
                    <w:rPr>
                      <w:b/>
                      <w:bCs/>
                      <w:color w:val="auto"/>
                      <w:szCs w:val="21"/>
                      <w:u w:val="none"/>
                    </w:rPr>
                  </w:pPr>
                </w:p>
              </w:tc>
              <w:tc>
                <w:tcPr>
                  <w:tcW w:w="576" w:type="pct"/>
                  <w:vAlign w:val="center"/>
                </w:tcPr>
                <w:p>
                  <w:pPr>
                    <w:spacing w:beforeLines="10" w:afterLines="10"/>
                    <w:jc w:val="center"/>
                    <w:rPr>
                      <w:b/>
                      <w:bCs/>
                      <w:color w:val="auto"/>
                      <w:szCs w:val="21"/>
                      <w:u w:val="none"/>
                    </w:rPr>
                  </w:pPr>
                  <w:r>
                    <w:rPr>
                      <w:b/>
                      <w:bCs/>
                      <w:color w:val="auto"/>
                      <w:szCs w:val="21"/>
                      <w:u w:val="none"/>
                    </w:rPr>
                    <w:t>第一次</w:t>
                  </w:r>
                </w:p>
              </w:tc>
              <w:tc>
                <w:tcPr>
                  <w:tcW w:w="594" w:type="pct"/>
                  <w:vAlign w:val="center"/>
                </w:tcPr>
                <w:p>
                  <w:pPr>
                    <w:spacing w:beforeLines="10" w:afterLines="10"/>
                    <w:jc w:val="center"/>
                    <w:rPr>
                      <w:rFonts w:ascii="Times New Roman" w:hAnsi="Times New Roman" w:eastAsia="宋体" w:cs="Times New Roman"/>
                      <w:b/>
                      <w:bCs/>
                      <w:color w:val="auto"/>
                      <w:kern w:val="2"/>
                      <w:sz w:val="21"/>
                      <w:szCs w:val="21"/>
                      <w:u w:val="none"/>
                      <w:lang w:val="en-US" w:eastAsia="zh-CN" w:bidi="ar-SA"/>
                    </w:rPr>
                  </w:pPr>
                  <w:r>
                    <w:rPr>
                      <w:b/>
                      <w:bCs/>
                      <w:color w:val="auto"/>
                      <w:szCs w:val="21"/>
                      <w:u w:val="none"/>
                    </w:rPr>
                    <w:t>第二次</w:t>
                  </w:r>
                </w:p>
              </w:tc>
              <w:tc>
                <w:tcPr>
                  <w:tcW w:w="599" w:type="pct"/>
                  <w:vAlign w:val="center"/>
                </w:tcPr>
                <w:p>
                  <w:pPr>
                    <w:spacing w:beforeLines="10" w:afterLines="10"/>
                    <w:jc w:val="center"/>
                    <w:rPr>
                      <w:rFonts w:ascii="Times New Roman" w:hAnsi="Times New Roman" w:eastAsia="宋体" w:cs="Times New Roman"/>
                      <w:b/>
                      <w:bCs/>
                      <w:color w:val="auto"/>
                      <w:kern w:val="2"/>
                      <w:sz w:val="21"/>
                      <w:szCs w:val="21"/>
                      <w:u w:val="none"/>
                      <w:lang w:val="en-US" w:eastAsia="zh-CN" w:bidi="ar-SA"/>
                    </w:rPr>
                  </w:pPr>
                  <w:r>
                    <w:rPr>
                      <w:b/>
                      <w:bCs/>
                      <w:color w:val="auto"/>
                      <w:szCs w:val="21"/>
                      <w:u w:val="none"/>
                    </w:rPr>
                    <w:t>第三次</w:t>
                  </w:r>
                </w:p>
              </w:tc>
              <w:tc>
                <w:tcPr>
                  <w:tcW w:w="594" w:type="pct"/>
                  <w:vAlign w:val="center"/>
                </w:tcPr>
                <w:p>
                  <w:pPr>
                    <w:spacing w:beforeLines="10" w:afterLines="10"/>
                    <w:jc w:val="center"/>
                    <w:rPr>
                      <w:rFonts w:ascii="Times New Roman" w:hAnsi="Times New Roman" w:eastAsia="宋体" w:cs="Times New Roman"/>
                      <w:b/>
                      <w:bCs/>
                      <w:color w:val="auto"/>
                      <w:kern w:val="2"/>
                      <w:sz w:val="21"/>
                      <w:szCs w:val="21"/>
                      <w:u w:val="none"/>
                      <w:lang w:val="en-US" w:eastAsia="zh-CN" w:bidi="ar-SA"/>
                    </w:rPr>
                  </w:pPr>
                  <w:r>
                    <w:rPr>
                      <w:b/>
                      <w:bCs/>
                      <w:color w:val="auto"/>
                      <w:szCs w:val="21"/>
                      <w:u w:val="none"/>
                    </w:rPr>
                    <w:t>第一次</w:t>
                  </w:r>
                </w:p>
              </w:tc>
              <w:tc>
                <w:tcPr>
                  <w:tcW w:w="538" w:type="pct"/>
                  <w:vAlign w:val="center"/>
                </w:tcPr>
                <w:p>
                  <w:pPr>
                    <w:spacing w:beforeLines="10" w:afterLines="10"/>
                    <w:jc w:val="center"/>
                    <w:rPr>
                      <w:rFonts w:ascii="Times New Roman" w:hAnsi="Times New Roman" w:eastAsia="宋体" w:cs="Times New Roman"/>
                      <w:b/>
                      <w:bCs/>
                      <w:color w:val="auto"/>
                      <w:kern w:val="2"/>
                      <w:sz w:val="21"/>
                      <w:szCs w:val="21"/>
                      <w:u w:val="none"/>
                      <w:lang w:val="en-US" w:eastAsia="zh-CN" w:bidi="ar-SA"/>
                    </w:rPr>
                  </w:pPr>
                  <w:r>
                    <w:rPr>
                      <w:b/>
                      <w:bCs/>
                      <w:color w:val="auto"/>
                      <w:szCs w:val="21"/>
                      <w:u w:val="none"/>
                    </w:rPr>
                    <w:t>第二次</w:t>
                  </w:r>
                </w:p>
              </w:tc>
              <w:tc>
                <w:tcPr>
                  <w:tcW w:w="550" w:type="pct"/>
                  <w:vAlign w:val="center"/>
                </w:tcPr>
                <w:p>
                  <w:pPr>
                    <w:spacing w:beforeLines="10" w:afterLines="10"/>
                    <w:jc w:val="center"/>
                    <w:rPr>
                      <w:rFonts w:ascii="Times New Roman" w:hAnsi="Times New Roman" w:eastAsia="宋体" w:cs="Times New Roman"/>
                      <w:b/>
                      <w:bCs/>
                      <w:color w:val="auto"/>
                      <w:kern w:val="2"/>
                      <w:sz w:val="21"/>
                      <w:szCs w:val="21"/>
                      <w:u w:val="none"/>
                      <w:lang w:val="en-US" w:eastAsia="zh-CN" w:bidi="ar-SA"/>
                    </w:rPr>
                  </w:pPr>
                  <w:r>
                    <w:rPr>
                      <w:b/>
                      <w:bCs/>
                      <w:color w:val="auto"/>
                      <w:szCs w:val="21"/>
                      <w:u w:val="none"/>
                    </w:rPr>
                    <w:t>第三次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95" w:hRule="atLeast"/>
                <w:jc w:val="center"/>
              </w:trPr>
              <w:tc>
                <w:tcPr>
                  <w:tcW w:w="664" w:type="pct"/>
                  <w:vMerge w:val="restart"/>
                  <w:vAlign w:val="center"/>
                </w:tcPr>
                <w:p>
                  <w:pPr>
                    <w:spacing w:beforeLines="10" w:afterLines="10"/>
                    <w:jc w:val="center"/>
                    <w:rPr>
                      <w:rFonts w:hint="default" w:eastAsia="宋体"/>
                      <w:bCs/>
                      <w:color w:val="auto"/>
                      <w:szCs w:val="21"/>
                      <w:u w:val="none"/>
                      <w:lang w:val="en-US" w:eastAsia="zh-CN"/>
                    </w:rPr>
                  </w:pPr>
                  <w:r>
                    <w:rPr>
                      <w:rFonts w:hint="eastAsia"/>
                      <w:bCs/>
                      <w:color w:val="auto"/>
                      <w:szCs w:val="21"/>
                      <w:u w:val="none"/>
                      <w:lang w:val="en-US" w:eastAsia="zh-CN"/>
                    </w:rPr>
                    <w:t>炉料分离粉尘排气筒（DA002）</w:t>
                  </w:r>
                </w:p>
              </w:tc>
              <w:tc>
                <w:tcPr>
                  <w:tcW w:w="882" w:type="pct"/>
                  <w:vAlign w:val="center"/>
                </w:tcPr>
                <w:p>
                  <w:pPr>
                    <w:spacing w:beforeLines="10" w:afterLines="10"/>
                    <w:jc w:val="center"/>
                    <w:rPr>
                      <w:rFonts w:ascii="Times New Roman" w:hAnsi="Times New Roman" w:eastAsia="宋体" w:cs="Times New Roman"/>
                      <w:bCs/>
                      <w:color w:val="auto"/>
                      <w:kern w:val="2"/>
                      <w:sz w:val="21"/>
                      <w:szCs w:val="21"/>
                      <w:u w:val="none"/>
                      <w:lang w:val="en-US" w:eastAsia="zh-CN" w:bidi="ar-SA"/>
                    </w:rPr>
                  </w:pPr>
                  <w:r>
                    <w:rPr>
                      <w:bCs/>
                      <w:color w:val="auto"/>
                      <w:szCs w:val="21"/>
                      <w:u w:val="none"/>
                    </w:rPr>
                    <w:t>颗粒物</w:t>
                  </w:r>
                  <w:r>
                    <w:rPr>
                      <w:rFonts w:hint="eastAsia"/>
                      <w:bCs/>
                      <w:color w:val="auto"/>
                      <w:szCs w:val="21"/>
                      <w:u w:val="none"/>
                      <w:lang w:val="en-US" w:eastAsia="zh-CN"/>
                    </w:rPr>
                    <w:t>实测浓度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8.3</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8.5</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8.4</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8.2</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8.1</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8.5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64" w:type="pct"/>
                  <w:vMerge w:val="continue"/>
                  <w:vAlign w:val="center"/>
                </w:tcPr>
                <w:p>
                  <w:pPr>
                    <w:spacing w:beforeLines="10" w:afterLines="10"/>
                    <w:jc w:val="center"/>
                    <w:rPr>
                      <w:color w:val="auto"/>
                      <w:szCs w:val="21"/>
                      <w:u w:val="none"/>
                    </w:rPr>
                  </w:pPr>
                </w:p>
              </w:tc>
              <w:tc>
                <w:tcPr>
                  <w:tcW w:w="882" w:type="pct"/>
                  <w:vAlign w:val="center"/>
                </w:tcPr>
                <w:p>
                  <w:pPr>
                    <w:spacing w:beforeLines="10" w:afterLines="10"/>
                    <w:jc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排放速率（kg/h）</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0.053</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0.050</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0.053</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0.049</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0.052</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0.050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restart"/>
                  <w:vAlign w:val="center"/>
                </w:tcPr>
                <w:p>
                  <w:pPr>
                    <w:spacing w:beforeLines="10" w:afterLines="10"/>
                    <w:jc w:val="center"/>
                    <w:rPr>
                      <w:rFonts w:hint="default" w:eastAsia="宋体"/>
                      <w:bCs/>
                      <w:color w:val="auto"/>
                      <w:szCs w:val="21"/>
                      <w:u w:val="none"/>
                      <w:lang w:val="en-US" w:eastAsia="zh-CN"/>
                    </w:rPr>
                  </w:pPr>
                  <w:r>
                    <w:rPr>
                      <w:rFonts w:hint="eastAsia"/>
                      <w:bCs/>
                      <w:color w:val="auto"/>
                      <w:szCs w:val="21"/>
                      <w:u w:val="none"/>
                      <w:lang w:val="en-US" w:eastAsia="zh-CN"/>
                    </w:rPr>
                    <w:t>多元合金共渗天然气燃烧烟气排气筒（DA003）</w:t>
                  </w: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bCs/>
                      <w:color w:val="auto"/>
                      <w:szCs w:val="21"/>
                      <w:u w:val="none"/>
                    </w:rPr>
                    <w:t>颗粒物</w:t>
                  </w:r>
                  <w:r>
                    <w:rPr>
                      <w:rFonts w:hint="eastAsia"/>
                      <w:bCs/>
                      <w:color w:val="auto"/>
                      <w:szCs w:val="21"/>
                      <w:u w:val="none"/>
                      <w:lang w:val="en-US" w:eastAsia="zh-CN"/>
                    </w:rPr>
                    <w:t>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13.4</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12.8</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14.4</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14.5</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13.1</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13.8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二氧化硫折算浓度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11</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9</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13</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氮氧化物折算浓度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68</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74</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63</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61</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73</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restart"/>
                  <w:vAlign w:val="center"/>
                </w:tcPr>
                <w:p>
                  <w:pPr>
                    <w:spacing w:beforeLines="10" w:afterLines="10"/>
                    <w:jc w:val="center"/>
                    <w:rPr>
                      <w:bCs/>
                      <w:color w:val="auto"/>
                      <w:szCs w:val="21"/>
                      <w:u w:val="none"/>
                    </w:rPr>
                  </w:pPr>
                  <w:r>
                    <w:rPr>
                      <w:rFonts w:hint="eastAsia"/>
                      <w:bCs/>
                      <w:color w:val="auto"/>
                      <w:szCs w:val="21"/>
                      <w:u w:val="none"/>
                      <w:lang w:val="en-US" w:eastAsia="zh-CN"/>
                    </w:rPr>
                    <w:t>多元合金共渗天然气燃烧烟气排气筒（DA004）</w:t>
                  </w: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bCs/>
                      <w:color w:val="auto"/>
                      <w:szCs w:val="21"/>
                      <w:u w:val="none"/>
                    </w:rPr>
                    <w:t>颗粒物</w:t>
                  </w:r>
                  <w:r>
                    <w:rPr>
                      <w:rFonts w:hint="eastAsia"/>
                      <w:bCs/>
                      <w:color w:val="auto"/>
                      <w:szCs w:val="21"/>
                      <w:u w:val="none"/>
                      <w:lang w:val="en-US" w:eastAsia="zh-CN"/>
                    </w:rPr>
                    <w:t>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16.5</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16.6</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16.8</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15.6</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15.1</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15.3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二氧化硫折算浓度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12</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9</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氮氧化物折算浓度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61</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71</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56</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79</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69</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63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restart"/>
                  <w:vAlign w:val="center"/>
                </w:tcPr>
                <w:p>
                  <w:pPr>
                    <w:spacing w:beforeLines="10" w:afterLines="10"/>
                    <w:jc w:val="center"/>
                    <w:rPr>
                      <w:rFonts w:hint="default" w:eastAsia="宋体"/>
                      <w:bCs/>
                      <w:color w:val="auto"/>
                      <w:szCs w:val="21"/>
                      <w:u w:val="none"/>
                      <w:lang w:val="en-US" w:eastAsia="zh-CN"/>
                    </w:rPr>
                  </w:pPr>
                  <w:r>
                    <w:rPr>
                      <w:rFonts w:hint="eastAsia"/>
                      <w:bCs/>
                      <w:color w:val="auto"/>
                      <w:szCs w:val="21"/>
                      <w:u w:val="none"/>
                      <w:lang w:val="en-US" w:eastAsia="zh-CN"/>
                    </w:rPr>
                    <w:t>烘干固化有机废气及烘干室天然气燃烧烟气排气筒（DA005）</w:t>
                  </w: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bCs/>
                      <w:color w:val="auto"/>
                      <w:szCs w:val="21"/>
                      <w:u w:val="none"/>
                    </w:rPr>
                    <w:t>颗粒物</w:t>
                  </w:r>
                  <w:r>
                    <w:rPr>
                      <w:rFonts w:hint="eastAsia"/>
                      <w:bCs/>
                      <w:color w:val="auto"/>
                      <w:szCs w:val="21"/>
                      <w:u w:val="none"/>
                      <w:lang w:val="en-US" w:eastAsia="zh-CN"/>
                    </w:rPr>
                    <w:t>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15.9</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17.0</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16.8</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15.9</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17.0</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二氧化硫折算浓度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7L</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氮氧化物折算浓度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35</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29</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40</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40</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47</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VOCs实测浓度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1.96</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1.82</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1.68</w:t>
                  </w:r>
                </w:p>
              </w:tc>
              <w:tc>
                <w:tcPr>
                  <w:tcW w:w="594" w:type="pct"/>
                  <w:vAlign w:val="center"/>
                </w:tcPr>
                <w:p>
                  <w:pPr>
                    <w:widowControl/>
                    <w:jc w:val="center"/>
                    <w:textAlignment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1.91</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2.29</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2.31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restart"/>
                  <w:vAlign w:val="center"/>
                </w:tcPr>
                <w:p>
                  <w:pPr>
                    <w:spacing w:beforeLines="10" w:afterLines="10"/>
                    <w:jc w:val="center"/>
                    <w:rPr>
                      <w:rFonts w:hint="default" w:eastAsia="宋体"/>
                      <w:bCs/>
                      <w:color w:val="auto"/>
                      <w:szCs w:val="21"/>
                      <w:u w:val="none"/>
                      <w:lang w:val="en-US" w:eastAsia="zh-CN"/>
                    </w:rPr>
                  </w:pPr>
                  <w:r>
                    <w:rPr>
                      <w:rFonts w:hint="eastAsia"/>
                      <w:bCs/>
                      <w:color w:val="auto"/>
                      <w:szCs w:val="21"/>
                      <w:u w:val="none"/>
                      <w:lang w:val="en-US" w:eastAsia="zh-CN"/>
                    </w:rPr>
                    <w:t>喷漆废气排气筒（DA006）</w:t>
                  </w: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bCs/>
                      <w:color w:val="auto"/>
                      <w:szCs w:val="21"/>
                      <w:u w:val="none"/>
                    </w:rPr>
                    <w:t>颗粒物</w:t>
                  </w:r>
                  <w:r>
                    <w:rPr>
                      <w:rFonts w:hint="eastAsia"/>
                      <w:bCs/>
                      <w:color w:val="auto"/>
                      <w:szCs w:val="21"/>
                      <w:u w:val="none"/>
                      <w:lang w:val="en-US" w:eastAsia="zh-CN"/>
                    </w:rPr>
                    <w:t>实测浓度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7.0</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7.1</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7.2</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7.1</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7.2</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64" w:type="pct"/>
                  <w:vMerge w:val="continue"/>
                  <w:vAlign w:val="center"/>
                </w:tcPr>
                <w:p>
                  <w:pPr>
                    <w:spacing w:beforeLines="10" w:afterLines="10"/>
                    <w:jc w:val="center"/>
                    <w:rPr>
                      <w:bCs/>
                      <w:color w:val="auto"/>
                      <w:szCs w:val="21"/>
                      <w:u w:val="none"/>
                    </w:rPr>
                  </w:pPr>
                </w:p>
              </w:tc>
              <w:tc>
                <w:tcPr>
                  <w:tcW w:w="882" w:type="pct"/>
                  <w:vAlign w:val="center"/>
                </w:tcPr>
                <w:p>
                  <w:pPr>
                    <w:spacing w:beforeLines="10" w:afterLines="10"/>
                    <w:jc w:val="center"/>
                    <w:rPr>
                      <w:rFonts w:hint="eastAsia"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VOCs实测浓度</w:t>
                  </w:r>
                  <w:r>
                    <w:rPr>
                      <w:bCs/>
                      <w:color w:val="auto"/>
                      <w:szCs w:val="21"/>
                      <w:u w:val="none"/>
                    </w:rPr>
                    <w:t>（mg/m</w:t>
                  </w:r>
                  <w:r>
                    <w:rPr>
                      <w:bCs/>
                      <w:color w:val="auto"/>
                      <w:szCs w:val="21"/>
                      <w:u w:val="none"/>
                      <w:vertAlign w:val="superscript"/>
                    </w:rPr>
                    <w:t>3</w:t>
                  </w:r>
                  <w:r>
                    <w:rPr>
                      <w:bCs/>
                      <w:color w:val="auto"/>
                      <w:szCs w:val="21"/>
                      <w:u w:val="none"/>
                    </w:rPr>
                    <w:t>）</w:t>
                  </w:r>
                </w:p>
              </w:tc>
              <w:tc>
                <w:tcPr>
                  <w:tcW w:w="576"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2.42</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2.35</w:t>
                  </w:r>
                </w:p>
              </w:tc>
              <w:tc>
                <w:tcPr>
                  <w:tcW w:w="599"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2.62</w:t>
                  </w:r>
                </w:p>
              </w:tc>
              <w:tc>
                <w:tcPr>
                  <w:tcW w:w="594"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2.63</w:t>
                  </w:r>
                </w:p>
              </w:tc>
              <w:tc>
                <w:tcPr>
                  <w:tcW w:w="538"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2.66</w:t>
                  </w:r>
                </w:p>
              </w:tc>
              <w:tc>
                <w:tcPr>
                  <w:tcW w:w="550" w:type="pct"/>
                  <w:vAlign w:val="center"/>
                </w:tcPr>
                <w:p>
                  <w:pPr>
                    <w:widowControl/>
                    <w:jc w:val="center"/>
                    <w:textAlignment w:val="center"/>
                    <w:rPr>
                      <w:rFonts w:hint="default" w:ascii="Times New Roman" w:hAnsi="Times New Roman" w:eastAsia="宋体" w:cs="Times New Roman"/>
                      <w:bCs/>
                      <w:color w:val="auto"/>
                      <w:kern w:val="2"/>
                      <w:sz w:val="21"/>
                      <w:szCs w:val="21"/>
                      <w:u w:val="none"/>
                      <w:lang w:val="en-US" w:eastAsia="zh-CN" w:bidi="ar-SA"/>
                    </w:rPr>
                  </w:pPr>
                  <w:r>
                    <w:rPr>
                      <w:rFonts w:hint="eastAsia"/>
                      <w:bCs/>
                      <w:color w:val="auto"/>
                      <w:szCs w:val="21"/>
                      <w:u w:val="none"/>
                      <w:lang w:val="en-US" w:eastAsia="zh-CN"/>
                    </w:rPr>
                    <w:t>2.42</w:t>
                  </w:r>
                </w:p>
              </w:tc>
            </w:tr>
          </w:tbl>
          <w:p>
            <w:pPr>
              <w:adjustRightInd w:val="0"/>
              <w:snapToGrid w:val="0"/>
              <w:spacing w:line="360" w:lineRule="auto"/>
              <w:ind w:firstLine="480" w:firstLineChars="200"/>
              <w:rPr>
                <w:rFonts w:hint="eastAsia" w:eastAsia="宋体"/>
                <w:color w:val="auto"/>
                <w:sz w:val="24"/>
                <w:u w:val="none"/>
                <w:lang w:eastAsia="zh-CN"/>
              </w:rPr>
            </w:pPr>
            <w:r>
              <w:rPr>
                <w:rFonts w:hint="eastAsia"/>
                <w:bCs/>
                <w:color w:val="auto"/>
                <w:sz w:val="24"/>
                <w:u w:val="none"/>
              </w:rPr>
              <w:t>监测结果表明，验收监测期间，多元合金共渗</w:t>
            </w:r>
            <w:r>
              <w:rPr>
                <w:rFonts w:hint="eastAsia"/>
                <w:bCs/>
                <w:color w:val="auto"/>
                <w:sz w:val="24"/>
                <w:u w:val="none"/>
                <w:lang w:val="en-US" w:eastAsia="zh-CN"/>
              </w:rPr>
              <w:t>炉料分离</w:t>
            </w:r>
            <w:r>
              <w:rPr>
                <w:rFonts w:hint="eastAsia"/>
                <w:bCs/>
                <w:color w:val="auto"/>
                <w:sz w:val="24"/>
                <w:u w:val="none"/>
              </w:rPr>
              <w:t>排放口</w:t>
            </w:r>
            <w:r>
              <w:rPr>
                <w:rFonts w:hint="eastAsia"/>
                <w:bCs/>
                <w:color w:val="auto"/>
                <w:sz w:val="24"/>
                <w:u w:val="none"/>
                <w:lang w:eastAsia="zh-CN"/>
              </w:rPr>
              <w:t>（</w:t>
            </w:r>
            <w:r>
              <w:rPr>
                <w:rFonts w:hint="eastAsia"/>
                <w:bCs/>
                <w:color w:val="auto"/>
                <w:sz w:val="24"/>
                <w:u w:val="none"/>
                <w:lang w:val="en-US" w:eastAsia="zh-CN"/>
              </w:rPr>
              <w:t>DA002</w:t>
            </w:r>
            <w:r>
              <w:rPr>
                <w:rFonts w:hint="eastAsia"/>
                <w:bCs/>
                <w:color w:val="auto"/>
                <w:sz w:val="24"/>
                <w:u w:val="none"/>
                <w:lang w:eastAsia="zh-CN"/>
              </w:rPr>
              <w:t>）</w:t>
            </w:r>
            <w:r>
              <w:rPr>
                <w:rFonts w:hint="eastAsia"/>
                <w:bCs/>
                <w:color w:val="auto"/>
                <w:sz w:val="24"/>
                <w:u w:val="none"/>
              </w:rPr>
              <w:t>中颗粒物浓度最大值为8.5mg/m</w:t>
            </w:r>
            <w:r>
              <w:rPr>
                <w:rFonts w:hint="eastAsia"/>
                <w:bCs/>
                <w:color w:val="auto"/>
                <w:sz w:val="24"/>
                <w:u w:val="none"/>
                <w:vertAlign w:val="superscript"/>
              </w:rPr>
              <w:t>3</w:t>
            </w:r>
            <w:r>
              <w:rPr>
                <w:rFonts w:hint="eastAsia"/>
                <w:bCs/>
                <w:color w:val="auto"/>
                <w:sz w:val="24"/>
                <w:u w:val="none"/>
              </w:rPr>
              <w:t>，符合《大气污染物综合排放标准》（GB16297-1996）表</w:t>
            </w:r>
            <w:r>
              <w:rPr>
                <w:rFonts w:hint="eastAsia"/>
                <w:bCs/>
                <w:color w:val="auto"/>
                <w:sz w:val="24"/>
                <w:u w:val="none"/>
                <w:lang w:val="en-US" w:eastAsia="zh-CN"/>
              </w:rPr>
              <w:t>2</w:t>
            </w:r>
            <w:r>
              <w:rPr>
                <w:rFonts w:hint="eastAsia"/>
                <w:bCs/>
                <w:color w:val="auto"/>
                <w:sz w:val="24"/>
                <w:u w:val="none"/>
              </w:rPr>
              <w:t>中二级标准限值</w:t>
            </w:r>
            <w:r>
              <w:rPr>
                <w:rFonts w:hint="eastAsia"/>
                <w:color w:val="auto"/>
                <w:sz w:val="24"/>
                <w:u w:val="none"/>
                <w:lang w:eastAsia="zh-CN"/>
              </w:rPr>
              <w:t>；</w:t>
            </w:r>
            <w:r>
              <w:rPr>
                <w:rFonts w:hint="eastAsia" w:eastAsia="宋体"/>
                <w:color w:val="auto"/>
                <w:sz w:val="24"/>
                <w:u w:val="none"/>
                <w:lang w:eastAsia="zh-CN"/>
              </w:rPr>
              <w:t>多元合金共渗天然气燃烧</w:t>
            </w:r>
            <w:r>
              <w:rPr>
                <w:rFonts w:hint="eastAsia"/>
                <w:color w:val="auto"/>
                <w:sz w:val="24"/>
                <w:u w:val="none"/>
                <w:lang w:val="en-US" w:eastAsia="zh-CN"/>
              </w:rPr>
              <w:t>烟气</w:t>
            </w:r>
            <w:r>
              <w:rPr>
                <w:rFonts w:hint="eastAsia" w:eastAsia="宋体"/>
                <w:color w:val="auto"/>
                <w:sz w:val="24"/>
                <w:u w:val="none"/>
                <w:lang w:eastAsia="zh-CN"/>
              </w:rPr>
              <w:t>排放口</w:t>
            </w:r>
            <w:r>
              <w:rPr>
                <w:rFonts w:hint="eastAsia"/>
                <w:color w:val="auto"/>
                <w:sz w:val="24"/>
                <w:u w:val="none"/>
                <w:lang w:eastAsia="zh-CN"/>
              </w:rPr>
              <w:t>（</w:t>
            </w:r>
            <w:r>
              <w:rPr>
                <w:rFonts w:hint="eastAsia"/>
                <w:color w:val="auto"/>
                <w:sz w:val="24"/>
                <w:u w:val="none"/>
                <w:lang w:val="en-US" w:eastAsia="zh-CN"/>
              </w:rPr>
              <w:t>DA003</w:t>
            </w:r>
            <w:r>
              <w:rPr>
                <w:rFonts w:hint="eastAsia"/>
                <w:color w:val="auto"/>
                <w:sz w:val="24"/>
                <w:u w:val="none"/>
                <w:lang w:eastAsia="zh-CN"/>
              </w:rPr>
              <w:t>）</w:t>
            </w:r>
            <w:r>
              <w:rPr>
                <w:rFonts w:hint="eastAsia" w:eastAsia="宋体"/>
                <w:color w:val="auto"/>
                <w:sz w:val="24"/>
                <w:u w:val="none"/>
                <w:lang w:eastAsia="zh-CN"/>
              </w:rPr>
              <w:t>中颗粒物浓度最大值为14.5mg/m</w:t>
            </w:r>
            <w:r>
              <w:rPr>
                <w:rFonts w:hint="eastAsia" w:eastAsia="宋体"/>
                <w:color w:val="auto"/>
                <w:sz w:val="24"/>
                <w:u w:val="none"/>
                <w:vertAlign w:val="superscript"/>
                <w:lang w:eastAsia="zh-CN"/>
              </w:rPr>
              <w:t>3</w:t>
            </w:r>
            <w:r>
              <w:rPr>
                <w:rFonts w:hint="eastAsia" w:eastAsia="宋体"/>
                <w:color w:val="auto"/>
                <w:sz w:val="24"/>
                <w:u w:val="none"/>
                <w:lang w:eastAsia="zh-CN"/>
              </w:rPr>
              <w:t>，二氧化硫浓度最大值为16mg/m</w:t>
            </w:r>
            <w:r>
              <w:rPr>
                <w:rFonts w:hint="eastAsia" w:eastAsia="宋体"/>
                <w:color w:val="auto"/>
                <w:sz w:val="24"/>
                <w:u w:val="none"/>
                <w:vertAlign w:val="superscript"/>
                <w:lang w:eastAsia="zh-CN"/>
              </w:rPr>
              <w:t>3</w:t>
            </w:r>
            <w:r>
              <w:rPr>
                <w:rFonts w:hint="eastAsia" w:eastAsia="宋体"/>
                <w:color w:val="auto"/>
                <w:sz w:val="24"/>
                <w:u w:val="none"/>
                <w:lang w:eastAsia="zh-CN"/>
              </w:rPr>
              <w:t>，氮氧化物浓度最大值为73mg/m</w:t>
            </w:r>
            <w:r>
              <w:rPr>
                <w:rFonts w:hint="eastAsia" w:eastAsia="宋体"/>
                <w:color w:val="auto"/>
                <w:sz w:val="24"/>
                <w:u w:val="none"/>
                <w:vertAlign w:val="superscript"/>
                <w:lang w:eastAsia="zh-CN"/>
              </w:rPr>
              <w:t>3</w:t>
            </w:r>
            <w:r>
              <w:rPr>
                <w:rFonts w:hint="eastAsia" w:eastAsia="宋体"/>
                <w:color w:val="auto"/>
                <w:sz w:val="24"/>
                <w:u w:val="none"/>
                <w:lang w:eastAsia="zh-CN"/>
              </w:rPr>
              <w:t>，均符合《工业炉窑大气污染物排放标准》（GB9078-1996）表2及《湖南省工业炉窑大气环境污染综合治理实施方案》附件1标准限值较严者要求</w:t>
            </w:r>
            <w:r>
              <w:rPr>
                <w:rFonts w:hint="eastAsia"/>
                <w:color w:val="auto"/>
                <w:sz w:val="24"/>
                <w:u w:val="none"/>
                <w:lang w:eastAsia="zh-CN"/>
              </w:rPr>
              <w:t>；</w:t>
            </w:r>
            <w:r>
              <w:rPr>
                <w:rFonts w:hint="eastAsia" w:eastAsia="宋体"/>
                <w:color w:val="auto"/>
                <w:sz w:val="24"/>
                <w:u w:val="none"/>
                <w:lang w:eastAsia="zh-CN"/>
              </w:rPr>
              <w:t>多元合金共渗天然气燃烧</w:t>
            </w:r>
            <w:r>
              <w:rPr>
                <w:rFonts w:hint="eastAsia"/>
                <w:color w:val="auto"/>
                <w:sz w:val="24"/>
                <w:u w:val="none"/>
                <w:lang w:val="en-US" w:eastAsia="zh-CN"/>
              </w:rPr>
              <w:t>烟气</w:t>
            </w:r>
            <w:r>
              <w:rPr>
                <w:rFonts w:hint="eastAsia" w:eastAsia="宋体"/>
                <w:color w:val="auto"/>
                <w:sz w:val="24"/>
                <w:u w:val="none"/>
                <w:lang w:eastAsia="zh-CN"/>
              </w:rPr>
              <w:t>排放口</w:t>
            </w:r>
            <w:r>
              <w:rPr>
                <w:rFonts w:hint="eastAsia"/>
                <w:color w:val="auto"/>
                <w:sz w:val="24"/>
                <w:u w:val="none"/>
                <w:lang w:eastAsia="zh-CN"/>
              </w:rPr>
              <w:t>（</w:t>
            </w:r>
            <w:r>
              <w:rPr>
                <w:rFonts w:hint="eastAsia"/>
                <w:color w:val="auto"/>
                <w:sz w:val="24"/>
                <w:u w:val="none"/>
                <w:lang w:val="en-US" w:eastAsia="zh-CN"/>
              </w:rPr>
              <w:t>DA004</w:t>
            </w:r>
            <w:r>
              <w:rPr>
                <w:rFonts w:hint="eastAsia"/>
                <w:color w:val="auto"/>
                <w:sz w:val="24"/>
                <w:u w:val="none"/>
                <w:lang w:eastAsia="zh-CN"/>
              </w:rPr>
              <w:t>）</w:t>
            </w:r>
            <w:r>
              <w:rPr>
                <w:rFonts w:hint="eastAsia" w:eastAsia="宋体"/>
                <w:color w:val="auto"/>
                <w:sz w:val="24"/>
                <w:u w:val="none"/>
                <w:lang w:eastAsia="zh-CN"/>
              </w:rPr>
              <w:t>中颗粒物浓度最大值为1</w:t>
            </w:r>
            <w:r>
              <w:rPr>
                <w:rFonts w:hint="eastAsia"/>
                <w:color w:val="auto"/>
                <w:sz w:val="24"/>
                <w:u w:val="none"/>
                <w:lang w:val="en-US" w:eastAsia="zh-CN"/>
              </w:rPr>
              <w:t>6.8</w:t>
            </w:r>
            <w:r>
              <w:rPr>
                <w:rFonts w:hint="eastAsia" w:eastAsia="宋体"/>
                <w:color w:val="auto"/>
                <w:sz w:val="24"/>
                <w:u w:val="none"/>
                <w:lang w:eastAsia="zh-CN"/>
              </w:rPr>
              <w:t>mg/m</w:t>
            </w:r>
            <w:r>
              <w:rPr>
                <w:rFonts w:hint="eastAsia" w:eastAsia="宋体"/>
                <w:color w:val="auto"/>
                <w:sz w:val="24"/>
                <w:u w:val="none"/>
                <w:vertAlign w:val="superscript"/>
                <w:lang w:eastAsia="zh-CN"/>
              </w:rPr>
              <w:t>3</w:t>
            </w:r>
            <w:r>
              <w:rPr>
                <w:rFonts w:hint="eastAsia" w:eastAsia="宋体"/>
                <w:color w:val="auto"/>
                <w:sz w:val="24"/>
                <w:u w:val="none"/>
                <w:lang w:eastAsia="zh-CN"/>
              </w:rPr>
              <w:t>，二氧化硫浓度最大值为1</w:t>
            </w:r>
            <w:r>
              <w:rPr>
                <w:rFonts w:hint="eastAsia"/>
                <w:color w:val="auto"/>
                <w:sz w:val="24"/>
                <w:u w:val="none"/>
                <w:lang w:val="en-US" w:eastAsia="zh-CN"/>
              </w:rPr>
              <w:t>2</w:t>
            </w:r>
            <w:r>
              <w:rPr>
                <w:rFonts w:hint="eastAsia" w:eastAsia="宋体"/>
                <w:color w:val="auto"/>
                <w:sz w:val="24"/>
                <w:u w:val="none"/>
                <w:lang w:eastAsia="zh-CN"/>
              </w:rPr>
              <w:t>mg/m</w:t>
            </w:r>
            <w:r>
              <w:rPr>
                <w:rFonts w:hint="eastAsia" w:eastAsia="宋体"/>
                <w:color w:val="auto"/>
                <w:sz w:val="24"/>
                <w:u w:val="none"/>
                <w:vertAlign w:val="superscript"/>
                <w:lang w:eastAsia="zh-CN"/>
              </w:rPr>
              <w:t>3</w:t>
            </w:r>
            <w:r>
              <w:rPr>
                <w:rFonts w:hint="eastAsia" w:eastAsia="宋体"/>
                <w:color w:val="auto"/>
                <w:sz w:val="24"/>
                <w:u w:val="none"/>
                <w:lang w:eastAsia="zh-CN"/>
              </w:rPr>
              <w:t>，氮氧化物浓度最大值为7</w:t>
            </w:r>
            <w:r>
              <w:rPr>
                <w:rFonts w:hint="eastAsia"/>
                <w:color w:val="auto"/>
                <w:sz w:val="24"/>
                <w:u w:val="none"/>
                <w:lang w:val="en-US" w:eastAsia="zh-CN"/>
              </w:rPr>
              <w:t>9</w:t>
            </w:r>
            <w:r>
              <w:rPr>
                <w:rFonts w:hint="eastAsia" w:eastAsia="宋体"/>
                <w:color w:val="auto"/>
                <w:sz w:val="24"/>
                <w:u w:val="none"/>
                <w:lang w:eastAsia="zh-CN"/>
              </w:rPr>
              <w:t>mg/m</w:t>
            </w:r>
            <w:r>
              <w:rPr>
                <w:rFonts w:hint="eastAsia" w:eastAsia="宋体"/>
                <w:color w:val="auto"/>
                <w:sz w:val="24"/>
                <w:u w:val="none"/>
                <w:vertAlign w:val="superscript"/>
                <w:lang w:eastAsia="zh-CN"/>
              </w:rPr>
              <w:t>3</w:t>
            </w:r>
            <w:r>
              <w:rPr>
                <w:rFonts w:hint="eastAsia" w:eastAsia="宋体"/>
                <w:color w:val="auto"/>
                <w:sz w:val="24"/>
                <w:u w:val="none"/>
                <w:lang w:eastAsia="zh-CN"/>
              </w:rPr>
              <w:t>，均符合《工业炉窑大气污染物排放标准》（GB9078-1996）表2及《湖南省工业炉窑大气环境污染综合治理实施方案》附件1标准限值较严者要求</w:t>
            </w:r>
            <w:r>
              <w:rPr>
                <w:rFonts w:hint="eastAsia"/>
                <w:color w:val="auto"/>
                <w:sz w:val="24"/>
                <w:u w:val="none"/>
                <w:lang w:eastAsia="zh-CN"/>
              </w:rPr>
              <w:t>；烘干</w:t>
            </w:r>
            <w:r>
              <w:rPr>
                <w:rFonts w:hint="eastAsia"/>
                <w:color w:val="auto"/>
                <w:sz w:val="24"/>
                <w:u w:val="none"/>
                <w:lang w:val="en-US" w:eastAsia="zh-CN"/>
              </w:rPr>
              <w:t>固化有机废气及烘干室</w:t>
            </w:r>
            <w:r>
              <w:rPr>
                <w:rFonts w:hint="eastAsia"/>
                <w:color w:val="auto"/>
                <w:sz w:val="24"/>
                <w:u w:val="none"/>
                <w:lang w:eastAsia="zh-CN"/>
              </w:rPr>
              <w:t>天然气</w:t>
            </w:r>
            <w:r>
              <w:rPr>
                <w:rFonts w:hint="eastAsia"/>
                <w:color w:val="auto"/>
                <w:sz w:val="24"/>
                <w:u w:val="none"/>
                <w:lang w:val="en-US" w:eastAsia="zh-CN"/>
              </w:rPr>
              <w:t>燃烧烟气</w:t>
            </w:r>
            <w:r>
              <w:rPr>
                <w:rFonts w:hint="eastAsia"/>
                <w:color w:val="auto"/>
                <w:sz w:val="24"/>
                <w:u w:val="none"/>
                <w:lang w:eastAsia="zh-CN"/>
              </w:rPr>
              <w:t>排放口（</w:t>
            </w:r>
            <w:r>
              <w:rPr>
                <w:rFonts w:hint="eastAsia"/>
                <w:color w:val="auto"/>
                <w:sz w:val="24"/>
                <w:u w:val="none"/>
                <w:lang w:val="en-US" w:eastAsia="zh-CN"/>
              </w:rPr>
              <w:t>DA005</w:t>
            </w:r>
            <w:r>
              <w:rPr>
                <w:rFonts w:hint="eastAsia"/>
                <w:color w:val="auto"/>
                <w:sz w:val="24"/>
                <w:u w:val="none"/>
                <w:lang w:eastAsia="zh-CN"/>
              </w:rPr>
              <w:t>）中颗粒物浓度平均值为16.7mg/m</w:t>
            </w:r>
            <w:r>
              <w:rPr>
                <w:rFonts w:hint="eastAsia"/>
                <w:color w:val="auto"/>
                <w:sz w:val="24"/>
                <w:u w:val="none"/>
                <w:vertAlign w:val="superscript"/>
                <w:lang w:eastAsia="zh-CN"/>
              </w:rPr>
              <w:t>3</w:t>
            </w:r>
            <w:r>
              <w:rPr>
                <w:rFonts w:hint="eastAsia"/>
                <w:color w:val="auto"/>
                <w:sz w:val="24"/>
                <w:u w:val="none"/>
                <w:lang w:eastAsia="zh-CN"/>
              </w:rPr>
              <w:t>，二氧化硫浓度平均值为7mg/m</w:t>
            </w:r>
            <w:r>
              <w:rPr>
                <w:rFonts w:hint="eastAsia"/>
                <w:color w:val="auto"/>
                <w:sz w:val="24"/>
                <w:u w:val="none"/>
                <w:vertAlign w:val="superscript"/>
                <w:lang w:eastAsia="zh-CN"/>
              </w:rPr>
              <w:t>3</w:t>
            </w:r>
            <w:r>
              <w:rPr>
                <w:rFonts w:hint="eastAsia"/>
                <w:color w:val="auto"/>
                <w:sz w:val="24"/>
                <w:u w:val="none"/>
                <w:lang w:eastAsia="zh-CN"/>
              </w:rPr>
              <w:t>，氮氧化物浓度平均值为37.7mg/m</w:t>
            </w:r>
            <w:r>
              <w:rPr>
                <w:rFonts w:hint="eastAsia"/>
                <w:color w:val="auto"/>
                <w:sz w:val="24"/>
                <w:u w:val="none"/>
                <w:vertAlign w:val="superscript"/>
                <w:lang w:eastAsia="zh-CN"/>
              </w:rPr>
              <w:t>3</w:t>
            </w:r>
            <w:r>
              <w:rPr>
                <w:rFonts w:hint="eastAsia"/>
                <w:color w:val="auto"/>
                <w:sz w:val="24"/>
                <w:u w:val="none"/>
                <w:lang w:eastAsia="zh-CN"/>
              </w:rPr>
              <w:t>，均符合《工业炉窑大气污染物排放标准》（GB9078-1996）表2及《湖南省工业炉窑大气环境污染综合治理实施方案》附件1标准限值较严者要求</w:t>
            </w:r>
            <w:r>
              <w:rPr>
                <w:rFonts w:hint="eastAsia"/>
                <w:color w:val="auto"/>
                <w:sz w:val="24"/>
                <w:u w:val="none"/>
                <w:lang w:val="en-US" w:eastAsia="zh-CN"/>
              </w:rPr>
              <w:t>，</w:t>
            </w:r>
            <w:r>
              <w:rPr>
                <w:rFonts w:hint="eastAsia"/>
                <w:color w:val="auto"/>
                <w:sz w:val="24"/>
                <w:u w:val="none"/>
                <w:lang w:eastAsia="zh-CN"/>
              </w:rPr>
              <w:t>挥发性有机物浓度平均值为2mg/m</w:t>
            </w:r>
            <w:r>
              <w:rPr>
                <w:rFonts w:hint="eastAsia"/>
                <w:color w:val="auto"/>
                <w:sz w:val="24"/>
                <w:u w:val="none"/>
                <w:vertAlign w:val="superscript"/>
                <w:lang w:eastAsia="zh-CN"/>
              </w:rPr>
              <w:t>3</w:t>
            </w:r>
            <w:r>
              <w:rPr>
                <w:rFonts w:hint="eastAsia"/>
                <w:color w:val="auto"/>
                <w:sz w:val="24"/>
                <w:u w:val="none"/>
                <w:lang w:eastAsia="zh-CN"/>
              </w:rPr>
              <w:t>，符合《表面涂装（汽车制造及维修）挥发性有机物、镍排放标准》（DB43/1356-2017）表1；喷漆废气排放口（</w:t>
            </w:r>
            <w:r>
              <w:rPr>
                <w:rFonts w:hint="eastAsia"/>
                <w:color w:val="auto"/>
                <w:sz w:val="24"/>
                <w:u w:val="none"/>
                <w:lang w:val="en-US" w:eastAsia="zh-CN"/>
              </w:rPr>
              <w:t>DA006</w:t>
            </w:r>
            <w:r>
              <w:rPr>
                <w:rFonts w:hint="eastAsia"/>
                <w:color w:val="auto"/>
                <w:sz w:val="24"/>
                <w:u w:val="none"/>
                <w:lang w:eastAsia="zh-CN"/>
              </w:rPr>
              <w:t>）中颗粒物浓度平均值为7.2mg/m</w:t>
            </w:r>
            <w:r>
              <w:rPr>
                <w:rFonts w:hint="eastAsia"/>
                <w:color w:val="auto"/>
                <w:sz w:val="24"/>
                <w:u w:val="none"/>
                <w:vertAlign w:val="superscript"/>
                <w:lang w:eastAsia="zh-CN"/>
              </w:rPr>
              <w:t>3</w:t>
            </w:r>
            <w:r>
              <w:rPr>
                <w:rFonts w:hint="eastAsia"/>
                <w:color w:val="auto"/>
                <w:sz w:val="24"/>
                <w:u w:val="none"/>
                <w:lang w:eastAsia="zh-CN"/>
              </w:rPr>
              <w:t>符合《大气污染物综合排放标准》（GB16297-1996）表</w:t>
            </w:r>
            <w:r>
              <w:rPr>
                <w:rFonts w:hint="eastAsia"/>
                <w:color w:val="auto"/>
                <w:sz w:val="24"/>
                <w:u w:val="none"/>
                <w:lang w:val="en-US" w:eastAsia="zh-CN"/>
              </w:rPr>
              <w:t>2</w:t>
            </w:r>
            <w:r>
              <w:rPr>
                <w:rFonts w:hint="eastAsia"/>
                <w:color w:val="auto"/>
                <w:sz w:val="24"/>
                <w:u w:val="none"/>
                <w:lang w:eastAsia="zh-CN"/>
              </w:rPr>
              <w:t>中二级标准；挥发性有机物浓度平均值为2.5mg/m</w:t>
            </w:r>
            <w:r>
              <w:rPr>
                <w:rFonts w:hint="eastAsia"/>
                <w:color w:val="auto"/>
                <w:sz w:val="24"/>
                <w:u w:val="none"/>
                <w:vertAlign w:val="superscript"/>
                <w:lang w:eastAsia="zh-CN"/>
              </w:rPr>
              <w:t>3</w:t>
            </w:r>
            <w:r>
              <w:rPr>
                <w:rFonts w:hint="eastAsia"/>
                <w:color w:val="auto"/>
                <w:sz w:val="24"/>
                <w:u w:val="none"/>
                <w:lang w:eastAsia="zh-CN"/>
              </w:rPr>
              <w:t>，符合《表面涂装（汽车制造及维修）挥发性有机物、镍排放标准》（DB43/1356-2017）表1</w:t>
            </w:r>
            <w:r>
              <w:rPr>
                <w:rFonts w:hint="eastAsia" w:eastAsia="宋体"/>
                <w:color w:val="auto"/>
                <w:sz w:val="24"/>
                <w:u w:val="none"/>
                <w:lang w:eastAsia="zh-CN"/>
              </w:rPr>
              <w:t>。</w:t>
            </w:r>
          </w:p>
          <w:p>
            <w:pPr>
              <w:pStyle w:val="75"/>
              <w:spacing w:beforeLines="50" w:afterLines="0"/>
              <w:rPr>
                <w:rFonts w:hint="eastAsia"/>
                <w:color w:val="auto"/>
                <w:sz w:val="21"/>
                <w:szCs w:val="21"/>
                <w:u w:val="none"/>
              </w:rPr>
            </w:pPr>
            <w:r>
              <w:rPr>
                <w:rFonts w:hint="eastAsia"/>
                <w:color w:val="auto"/>
                <w:sz w:val="21"/>
                <w:szCs w:val="21"/>
                <w:u w:val="none"/>
              </w:rPr>
              <w:t>表2-7  现有项目无组织废气检测结果</w:t>
            </w:r>
          </w:p>
          <w:tbl>
            <w:tblPr>
              <w:tblStyle w:val="25"/>
              <w:tblW w:w="499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171"/>
              <w:gridCol w:w="1016"/>
              <w:gridCol w:w="1006"/>
              <w:gridCol w:w="1006"/>
              <w:gridCol w:w="1024"/>
              <w:gridCol w:w="1006"/>
              <w:gridCol w:w="1012"/>
              <w:gridCol w:w="103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3" w:hRule="atLeast"/>
                <w:jc w:val="center"/>
              </w:trPr>
              <w:tc>
                <w:tcPr>
                  <w:tcW w:w="1170" w:type="pct"/>
                  <w:vMerge w:val="restart"/>
                  <w:vAlign w:val="center"/>
                </w:tcPr>
                <w:p>
                  <w:pPr>
                    <w:autoSpaceDN w:val="0"/>
                    <w:contextualSpacing/>
                    <w:jc w:val="center"/>
                    <w:textAlignment w:val="center"/>
                    <w:rPr>
                      <w:rFonts w:ascii="Times New Roman" w:hAnsi="Times New Roman" w:eastAsia="宋体" w:cs="Times New Roman"/>
                      <w:b/>
                      <w:bCs/>
                      <w:szCs w:val="21"/>
                    </w:rPr>
                  </w:pPr>
                  <w:r>
                    <w:rPr>
                      <w:rFonts w:ascii="Times New Roman" w:hAnsi="Times New Roman" w:eastAsia="宋体" w:cs="Times New Roman"/>
                      <w:b/>
                      <w:bCs/>
                      <w:szCs w:val="21"/>
                    </w:rPr>
                    <w:t>检测点位</w:t>
                  </w:r>
                </w:p>
              </w:tc>
              <w:tc>
                <w:tcPr>
                  <w:tcW w:w="547" w:type="pct"/>
                  <w:vMerge w:val="restart"/>
                  <w:vAlign w:val="center"/>
                </w:tcPr>
                <w:p>
                  <w:pPr>
                    <w:autoSpaceDN w:val="0"/>
                    <w:contextualSpacing/>
                    <w:jc w:val="center"/>
                    <w:textAlignment w:val="center"/>
                    <w:rPr>
                      <w:rFonts w:ascii="Times New Roman" w:hAnsi="Times New Roman" w:eastAsia="宋体" w:cs="Times New Roman"/>
                      <w:b/>
                      <w:bCs/>
                      <w:szCs w:val="21"/>
                    </w:rPr>
                  </w:pPr>
                  <w:r>
                    <w:rPr>
                      <w:rFonts w:ascii="Times New Roman" w:hAnsi="Times New Roman" w:eastAsia="宋体" w:cs="Times New Roman"/>
                      <w:b/>
                      <w:bCs/>
                      <w:szCs w:val="21"/>
                    </w:rPr>
                    <w:t>检测项目</w:t>
                  </w:r>
                </w:p>
              </w:tc>
              <w:tc>
                <w:tcPr>
                  <w:tcW w:w="3282" w:type="pct"/>
                  <w:gridSpan w:val="6"/>
                  <w:vAlign w:val="center"/>
                </w:tcPr>
                <w:p>
                  <w:pPr>
                    <w:widowControl/>
                    <w:adjustRightInd w:val="0"/>
                    <w:spacing w:beforeLines="10" w:afterLines="10"/>
                    <w:jc w:val="center"/>
                    <w:textAlignment w:val="center"/>
                    <w:rPr>
                      <w:rFonts w:ascii="Times New Roman" w:hAnsi="Times New Roman" w:eastAsia="宋体" w:cs="Times New Roman"/>
                      <w:b/>
                      <w:bCs/>
                      <w:szCs w:val="21"/>
                    </w:rPr>
                  </w:pPr>
                  <w:r>
                    <w:rPr>
                      <w:rFonts w:ascii="Times New Roman" w:hAnsi="Times New Roman" w:eastAsia="宋体" w:cs="Times New Roman"/>
                      <w:b/>
                      <w:bCs/>
                      <w:szCs w:val="21"/>
                    </w:rPr>
                    <w:t>采样日期及检测结果</w:t>
                  </w:r>
                  <w:r>
                    <w:rPr>
                      <w:rFonts w:ascii="Times New Roman" w:hAnsi="Times New Roman" w:eastAsia="宋体" w:cs="Times New Roman"/>
                      <w:b/>
                      <w:color w:val="000000"/>
                      <w:szCs w:val="21"/>
                    </w:rPr>
                    <w:t>（浓度：mg/m</w:t>
                  </w:r>
                  <w:r>
                    <w:rPr>
                      <w:rFonts w:ascii="Times New Roman" w:hAnsi="Times New Roman" w:eastAsia="宋体" w:cs="Times New Roman"/>
                      <w:b/>
                      <w:color w:val="000000"/>
                      <w:szCs w:val="21"/>
                      <w:vertAlign w:val="superscript"/>
                    </w:rPr>
                    <w:t>3</w:t>
                  </w:r>
                  <w:r>
                    <w:rPr>
                      <w:rFonts w:ascii="Times New Roman" w:hAnsi="Times New Roman" w:eastAsia="宋体" w:cs="Times New Roman"/>
                      <w:b/>
                      <w:color w:val="000000"/>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3" w:hRule="atLeast"/>
                <w:jc w:val="center"/>
              </w:trPr>
              <w:tc>
                <w:tcPr>
                  <w:tcW w:w="1170" w:type="pct"/>
                  <w:vMerge w:val="continue"/>
                  <w:vAlign w:val="center"/>
                </w:tcPr>
                <w:p>
                  <w:pPr>
                    <w:widowControl/>
                    <w:adjustRightInd w:val="0"/>
                    <w:spacing w:beforeLines="10" w:afterLines="10"/>
                    <w:jc w:val="center"/>
                    <w:textAlignment w:val="center"/>
                    <w:rPr>
                      <w:rFonts w:ascii="Times New Roman" w:hAnsi="Times New Roman" w:eastAsia="宋体" w:cs="Times New Roman"/>
                      <w:b/>
                      <w:szCs w:val="21"/>
                    </w:rPr>
                  </w:pPr>
                </w:p>
              </w:tc>
              <w:tc>
                <w:tcPr>
                  <w:tcW w:w="547" w:type="pct"/>
                  <w:vMerge w:val="continue"/>
                  <w:vAlign w:val="center"/>
                </w:tcPr>
                <w:p>
                  <w:pPr>
                    <w:widowControl/>
                    <w:adjustRightInd w:val="0"/>
                    <w:spacing w:beforeLines="10" w:afterLines="10"/>
                    <w:jc w:val="center"/>
                    <w:textAlignment w:val="center"/>
                    <w:rPr>
                      <w:rFonts w:ascii="Times New Roman" w:hAnsi="Times New Roman" w:eastAsia="宋体" w:cs="Times New Roman"/>
                      <w:b/>
                      <w:szCs w:val="21"/>
                    </w:rPr>
                  </w:pPr>
                </w:p>
              </w:tc>
              <w:tc>
                <w:tcPr>
                  <w:tcW w:w="1636" w:type="pct"/>
                  <w:gridSpan w:val="3"/>
                  <w:vAlign w:val="center"/>
                </w:tcPr>
                <w:p>
                  <w:pPr>
                    <w:widowControl/>
                    <w:adjustRightInd w:val="0"/>
                    <w:spacing w:beforeLines="10" w:afterLines="10"/>
                    <w:jc w:val="center"/>
                    <w:textAlignment w:val="center"/>
                    <w:rPr>
                      <w:rFonts w:hint="default" w:ascii="Times New Roman" w:hAnsi="Times New Roman" w:eastAsia="宋体" w:cs="Times New Roman"/>
                      <w:b/>
                      <w:szCs w:val="21"/>
                      <w:lang w:val="en-US" w:eastAsia="zh-CN"/>
                    </w:rPr>
                  </w:pPr>
                  <w:r>
                    <w:rPr>
                      <w:rFonts w:ascii="Times New Roman" w:hAnsi="Times New Roman" w:eastAsia="宋体" w:cs="Times New Roman"/>
                      <w:b/>
                      <w:szCs w:val="21"/>
                    </w:rPr>
                    <w:t>202</w:t>
                  </w:r>
                  <w:r>
                    <w:rPr>
                      <w:rFonts w:hint="eastAsia" w:cs="Times New Roman"/>
                      <w:b/>
                      <w:szCs w:val="21"/>
                      <w:lang w:val="en-US" w:eastAsia="zh-CN"/>
                    </w:rPr>
                    <w:t>1.12.14</w:t>
                  </w:r>
                </w:p>
              </w:tc>
              <w:tc>
                <w:tcPr>
                  <w:tcW w:w="1645" w:type="pct"/>
                  <w:gridSpan w:val="3"/>
                  <w:vAlign w:val="center"/>
                </w:tcPr>
                <w:p>
                  <w:pPr>
                    <w:widowControl/>
                    <w:adjustRightInd w:val="0"/>
                    <w:spacing w:beforeLines="10" w:afterLines="10"/>
                    <w:jc w:val="center"/>
                    <w:textAlignment w:val="center"/>
                    <w:rPr>
                      <w:rFonts w:hint="default" w:ascii="Times New Roman" w:hAnsi="Times New Roman" w:eastAsia="宋体" w:cs="Times New Roman"/>
                      <w:b/>
                      <w:szCs w:val="21"/>
                      <w:lang w:val="en-US" w:eastAsia="zh-CN"/>
                    </w:rPr>
                  </w:pPr>
                  <w:r>
                    <w:rPr>
                      <w:rFonts w:ascii="Times New Roman" w:hAnsi="Times New Roman" w:eastAsia="宋体" w:cs="Times New Roman"/>
                      <w:b/>
                      <w:szCs w:val="21"/>
                    </w:rPr>
                    <w:t>202</w:t>
                  </w:r>
                  <w:r>
                    <w:rPr>
                      <w:rFonts w:hint="eastAsia" w:cs="Times New Roman"/>
                      <w:b/>
                      <w:szCs w:val="21"/>
                      <w:lang w:val="en-US" w:eastAsia="zh-CN"/>
                    </w:rPr>
                    <w:t>1.12.15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3" w:hRule="atLeast"/>
                <w:jc w:val="center"/>
              </w:trPr>
              <w:tc>
                <w:tcPr>
                  <w:tcW w:w="1170" w:type="pct"/>
                  <w:vMerge w:val="continue"/>
                  <w:vAlign w:val="center"/>
                </w:tcPr>
                <w:p>
                  <w:pPr>
                    <w:widowControl/>
                    <w:adjustRightInd w:val="0"/>
                    <w:spacing w:beforeLines="10" w:afterLines="10"/>
                    <w:jc w:val="center"/>
                    <w:textAlignment w:val="center"/>
                    <w:rPr>
                      <w:rFonts w:ascii="Times New Roman" w:hAnsi="Times New Roman" w:eastAsia="宋体" w:cs="Times New Roman"/>
                      <w:b/>
                      <w:szCs w:val="21"/>
                    </w:rPr>
                  </w:pPr>
                </w:p>
              </w:tc>
              <w:tc>
                <w:tcPr>
                  <w:tcW w:w="547" w:type="pct"/>
                  <w:vMerge w:val="continue"/>
                  <w:vAlign w:val="center"/>
                </w:tcPr>
                <w:p>
                  <w:pPr>
                    <w:widowControl/>
                    <w:adjustRightInd w:val="0"/>
                    <w:spacing w:beforeLines="10" w:afterLines="10"/>
                    <w:jc w:val="center"/>
                    <w:textAlignment w:val="center"/>
                    <w:rPr>
                      <w:rFonts w:ascii="Times New Roman" w:hAnsi="Times New Roman" w:eastAsia="宋体" w:cs="Times New Roman"/>
                      <w:b/>
                      <w:szCs w:val="21"/>
                    </w:rPr>
                  </w:pPr>
                </w:p>
              </w:tc>
              <w:tc>
                <w:tcPr>
                  <w:tcW w:w="542"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第一次</w:t>
                  </w:r>
                </w:p>
              </w:tc>
              <w:tc>
                <w:tcPr>
                  <w:tcW w:w="542"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第二次</w:t>
                  </w:r>
                </w:p>
              </w:tc>
              <w:tc>
                <w:tcPr>
                  <w:tcW w:w="552"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第三次</w:t>
                  </w:r>
                </w:p>
              </w:tc>
              <w:tc>
                <w:tcPr>
                  <w:tcW w:w="542"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第一次</w:t>
                  </w:r>
                </w:p>
              </w:tc>
              <w:tc>
                <w:tcPr>
                  <w:tcW w:w="545"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第二次</w:t>
                  </w:r>
                </w:p>
              </w:tc>
              <w:tc>
                <w:tcPr>
                  <w:tcW w:w="558" w:type="pct"/>
                  <w:vAlign w:val="center"/>
                </w:tcPr>
                <w:p>
                  <w:pPr>
                    <w:jc w:val="center"/>
                    <w:rPr>
                      <w:rFonts w:ascii="Times New Roman" w:hAnsi="Times New Roman" w:eastAsia="宋体" w:cs="Times New Roman"/>
                      <w:b/>
                      <w:bCs/>
                      <w:szCs w:val="21"/>
                    </w:rPr>
                  </w:pPr>
                  <w:r>
                    <w:rPr>
                      <w:rFonts w:ascii="Times New Roman" w:hAnsi="Times New Roman" w:eastAsia="宋体" w:cs="Times New Roman"/>
                      <w:b/>
                      <w:bCs/>
                      <w:szCs w:val="21"/>
                    </w:rPr>
                    <w:t>第三次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default" w:ascii="Times New Roman" w:hAnsi="Times New Roman" w:cs="Times New Roman" w:eastAsiaTheme="majorEastAsia"/>
                      <w:bCs/>
                      <w:szCs w:val="21"/>
                      <w:lang w:val="en-US" w:eastAsia="zh-CN"/>
                    </w:rPr>
                  </w:pPr>
                  <w:r>
                    <w:rPr>
                      <w:rFonts w:hint="eastAsia" w:ascii="Times New Roman" w:cs="Times New Roman" w:hAnsiTheme="majorEastAsia" w:eastAsiaTheme="majorEastAsia"/>
                      <w:szCs w:val="21"/>
                    </w:rPr>
                    <w:t>G1厂界上风向</w:t>
                  </w:r>
                  <w:r>
                    <w:rPr>
                      <w:rFonts w:hint="eastAsia" w:cs="Times New Roman" w:hAnsiTheme="majorEastAsia" w:eastAsiaTheme="majorEastAsia"/>
                      <w:szCs w:val="21"/>
                      <w:lang w:val="en-US" w:eastAsia="zh-CN"/>
                    </w:rPr>
                    <w:t>1#</w:t>
                  </w:r>
                </w:p>
              </w:tc>
              <w:tc>
                <w:tcPr>
                  <w:tcW w:w="547" w:type="pct"/>
                  <w:vMerge w:val="restart"/>
                  <w:vAlign w:val="center"/>
                </w:tcPr>
                <w:p>
                  <w:pPr>
                    <w:jc w:val="center"/>
                    <w:rPr>
                      <w:rFonts w:ascii="Times New Roman" w:hAnsi="Times New Roman" w:eastAsia="宋体" w:cs="Times New Roman"/>
                      <w:bCs/>
                      <w:szCs w:val="21"/>
                    </w:rPr>
                  </w:pPr>
                  <w:r>
                    <w:rPr>
                      <w:rFonts w:ascii="Times New Roman" w:hAnsi="Times New Roman" w:eastAsia="宋体" w:cs="Times New Roman"/>
                      <w:bCs/>
                      <w:szCs w:val="21"/>
                    </w:rPr>
                    <w:t>颗粒物</w:t>
                  </w:r>
                </w:p>
              </w:tc>
              <w:tc>
                <w:tcPr>
                  <w:tcW w:w="542"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0.208</w:t>
                  </w:r>
                </w:p>
              </w:tc>
              <w:tc>
                <w:tcPr>
                  <w:tcW w:w="542"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0.216</w:t>
                  </w:r>
                </w:p>
              </w:tc>
              <w:tc>
                <w:tcPr>
                  <w:tcW w:w="552"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0.212</w:t>
                  </w:r>
                </w:p>
              </w:tc>
              <w:tc>
                <w:tcPr>
                  <w:tcW w:w="542"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0.250</w:t>
                  </w:r>
                </w:p>
              </w:tc>
              <w:tc>
                <w:tcPr>
                  <w:tcW w:w="545"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0.283</w:t>
                  </w:r>
                </w:p>
              </w:tc>
              <w:tc>
                <w:tcPr>
                  <w:tcW w:w="558" w:type="pct"/>
                  <w:vAlign w:val="center"/>
                </w:tcPr>
                <w:p>
                  <w:pPr>
                    <w:widowControl/>
                    <w:jc w:val="center"/>
                    <w:textAlignment w:val="center"/>
                    <w:rPr>
                      <w:rFonts w:hint="default" w:ascii="Times New Roman" w:hAnsi="Times New Roman" w:eastAsia="宋体" w:cs="Times New Roman"/>
                      <w:bCs/>
                      <w:szCs w:val="21"/>
                      <w:lang w:val="en-US" w:eastAsia="zh-CN"/>
                    </w:rPr>
                  </w:pPr>
                  <w:r>
                    <w:rPr>
                      <w:rFonts w:hint="eastAsia" w:cs="Times New Roman"/>
                      <w:bCs/>
                      <w:szCs w:val="21"/>
                      <w:lang w:val="en-US" w:eastAsia="zh-CN"/>
                    </w:rPr>
                    <w:t>0.283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ascii="Times New Roman" w:hAnsi="Times New Roman" w:eastAsia="宋体" w:cs="Times New Roman"/>
                      <w:bCs/>
                      <w:szCs w:val="21"/>
                    </w:rPr>
                  </w:pPr>
                  <w:r>
                    <w:rPr>
                      <w:rFonts w:hint="eastAsia" w:ascii="Times New Roman" w:cs="Times New Roman" w:hAnsiTheme="majorEastAsia" w:eastAsiaTheme="majorEastAsia"/>
                      <w:szCs w:val="21"/>
                    </w:rPr>
                    <w:t>G2厂界下风向</w:t>
                  </w:r>
                  <w:r>
                    <w:rPr>
                      <w:rFonts w:hint="eastAsia" w:cs="Times New Roman" w:hAnsiTheme="majorEastAsia" w:eastAsiaTheme="majorEastAsia"/>
                      <w:szCs w:val="21"/>
                      <w:lang w:val="en-US" w:eastAsia="zh-CN"/>
                    </w:rPr>
                    <w:t>2#</w:t>
                  </w:r>
                </w:p>
              </w:tc>
              <w:tc>
                <w:tcPr>
                  <w:tcW w:w="547" w:type="pct"/>
                  <w:vMerge w:val="continue"/>
                  <w:vAlign w:val="center"/>
                </w:tcPr>
                <w:p>
                  <w:pPr>
                    <w:jc w:val="center"/>
                  </w:pP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0.294</w:t>
                  </w: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0.308</w:t>
                  </w:r>
                </w:p>
              </w:tc>
              <w:tc>
                <w:tcPr>
                  <w:tcW w:w="55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0.318</w:t>
                  </w: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0.333</w:t>
                  </w:r>
                </w:p>
              </w:tc>
              <w:tc>
                <w:tcPr>
                  <w:tcW w:w="545"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0.367</w:t>
                  </w:r>
                </w:p>
              </w:tc>
              <w:tc>
                <w:tcPr>
                  <w:tcW w:w="558"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0.317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ascii="Times New Roman" w:hAnsi="Times New Roman" w:eastAsia="宋体" w:cs="Times New Roman"/>
                      <w:bCs/>
                      <w:szCs w:val="21"/>
                    </w:rPr>
                  </w:pPr>
                  <w:r>
                    <w:rPr>
                      <w:rFonts w:hint="eastAsia" w:ascii="Times New Roman" w:cs="Times New Roman" w:hAnsiTheme="majorEastAsia" w:eastAsiaTheme="majorEastAsia"/>
                      <w:szCs w:val="21"/>
                    </w:rPr>
                    <w:t>G3厂界下风向</w:t>
                  </w:r>
                  <w:r>
                    <w:rPr>
                      <w:rFonts w:hint="eastAsia" w:cs="Times New Roman" w:hAnsiTheme="majorEastAsia" w:eastAsiaTheme="majorEastAsia"/>
                      <w:szCs w:val="21"/>
                      <w:lang w:val="en-US" w:eastAsia="zh-CN"/>
                    </w:rPr>
                    <w:t>3#</w:t>
                  </w:r>
                </w:p>
              </w:tc>
              <w:tc>
                <w:tcPr>
                  <w:tcW w:w="547" w:type="pct"/>
                  <w:vMerge w:val="continue"/>
                  <w:vAlign w:val="center"/>
                </w:tcPr>
                <w:p>
                  <w:pPr>
                    <w:jc w:val="center"/>
                  </w:pP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0.317</w:t>
                  </w: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0.324</w:t>
                  </w:r>
                </w:p>
              </w:tc>
              <w:tc>
                <w:tcPr>
                  <w:tcW w:w="55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0.344</w:t>
                  </w:r>
                </w:p>
              </w:tc>
              <w:tc>
                <w:tcPr>
                  <w:tcW w:w="542"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0.317</w:t>
                  </w:r>
                </w:p>
              </w:tc>
              <w:tc>
                <w:tcPr>
                  <w:tcW w:w="545"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0.367</w:t>
                  </w:r>
                </w:p>
              </w:tc>
              <w:tc>
                <w:tcPr>
                  <w:tcW w:w="558" w:type="pc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0.350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eastAsia" w:ascii="Times New Roman" w:cs="Times New Roman" w:hAnsiTheme="majorEastAsia" w:eastAsiaTheme="majorEastAsia"/>
                      <w:szCs w:val="21"/>
                    </w:rPr>
                  </w:pPr>
                  <w:r>
                    <w:rPr>
                      <w:rFonts w:hint="eastAsia" w:ascii="Times New Roman" w:cs="Times New Roman" w:hAnsiTheme="majorEastAsia" w:eastAsiaTheme="majorEastAsia"/>
                      <w:szCs w:val="21"/>
                    </w:rPr>
                    <w:t>G</w:t>
                  </w:r>
                  <w:r>
                    <w:rPr>
                      <w:rFonts w:hint="eastAsia" w:cs="Times New Roman" w:hAnsiTheme="majorEastAsia" w:eastAsiaTheme="majorEastAsia"/>
                      <w:szCs w:val="21"/>
                      <w:lang w:val="en-US" w:eastAsia="zh-CN"/>
                    </w:rPr>
                    <w:t>4</w:t>
                  </w:r>
                  <w:r>
                    <w:rPr>
                      <w:rFonts w:hint="eastAsia" w:ascii="Times New Roman" w:cs="Times New Roman" w:hAnsiTheme="majorEastAsia" w:eastAsiaTheme="majorEastAsia"/>
                      <w:szCs w:val="21"/>
                    </w:rPr>
                    <w:t>厂界下风向</w:t>
                  </w:r>
                  <w:r>
                    <w:rPr>
                      <w:rFonts w:hint="eastAsia" w:cs="Times New Roman" w:hAnsiTheme="majorEastAsia" w:eastAsiaTheme="majorEastAsia"/>
                      <w:szCs w:val="21"/>
                      <w:lang w:val="en-US" w:eastAsia="zh-CN"/>
                    </w:rPr>
                    <w:t>4#</w:t>
                  </w:r>
                </w:p>
              </w:tc>
              <w:tc>
                <w:tcPr>
                  <w:tcW w:w="547" w:type="pct"/>
                  <w:vMerge w:val="continue"/>
                  <w:vAlign w:val="center"/>
                </w:tcPr>
                <w:p>
                  <w:pPr>
                    <w:jc w:val="center"/>
                    <w:rPr>
                      <w:rFonts w:ascii="Times New Roman" w:hAnsi="Times New Roman" w:eastAsia="宋体" w:cs="Times New Roman"/>
                      <w:bCs/>
                      <w:szCs w:val="21"/>
                    </w:rPr>
                  </w:pP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0.329</w:t>
                  </w: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0.336</w:t>
                  </w:r>
                </w:p>
              </w:tc>
              <w:tc>
                <w:tcPr>
                  <w:tcW w:w="552" w:type="pct"/>
                  <w:vAlign w:val="center"/>
                </w:tcPr>
                <w:p>
                  <w:pPr>
                    <w:jc w:val="center"/>
                    <w:rPr>
                      <w:rFonts w:hint="default" w:cs="Times New Roman"/>
                      <w:bCs/>
                      <w:szCs w:val="21"/>
                      <w:lang w:val="en-US" w:eastAsia="zh-CN"/>
                    </w:rPr>
                  </w:pPr>
                  <w:r>
                    <w:rPr>
                      <w:rFonts w:hint="eastAsia" w:cs="Times New Roman"/>
                      <w:bCs/>
                      <w:szCs w:val="21"/>
                      <w:lang w:val="en-US" w:eastAsia="zh-CN"/>
                    </w:rPr>
                    <w:t>0.356</w:t>
                  </w: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0.300</w:t>
                  </w:r>
                </w:p>
              </w:tc>
              <w:tc>
                <w:tcPr>
                  <w:tcW w:w="545" w:type="pct"/>
                  <w:vAlign w:val="center"/>
                </w:tcPr>
                <w:p>
                  <w:pPr>
                    <w:jc w:val="center"/>
                    <w:rPr>
                      <w:rFonts w:hint="default" w:cs="Times New Roman"/>
                      <w:bCs/>
                      <w:szCs w:val="21"/>
                      <w:lang w:val="en-US" w:eastAsia="zh-CN"/>
                    </w:rPr>
                  </w:pPr>
                  <w:r>
                    <w:rPr>
                      <w:rFonts w:hint="eastAsia" w:cs="Times New Roman"/>
                      <w:bCs/>
                      <w:szCs w:val="21"/>
                      <w:lang w:val="en-US" w:eastAsia="zh-CN"/>
                    </w:rPr>
                    <w:t>0.400</w:t>
                  </w:r>
                </w:p>
              </w:tc>
              <w:tc>
                <w:tcPr>
                  <w:tcW w:w="558" w:type="pct"/>
                  <w:vAlign w:val="center"/>
                </w:tcPr>
                <w:p>
                  <w:pPr>
                    <w:jc w:val="center"/>
                    <w:rPr>
                      <w:rFonts w:hint="default" w:cs="Times New Roman"/>
                      <w:bCs/>
                      <w:szCs w:val="21"/>
                      <w:lang w:val="en-US" w:eastAsia="zh-CN"/>
                    </w:rPr>
                  </w:pPr>
                  <w:r>
                    <w:rPr>
                      <w:rFonts w:hint="eastAsia" w:cs="Times New Roman"/>
                      <w:bCs/>
                      <w:szCs w:val="21"/>
                      <w:lang w:val="en-US" w:eastAsia="zh-CN"/>
                    </w:rPr>
                    <w:t>0.350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eastAsia" w:ascii="Times New Roman" w:hAnsi="Times New Roman" w:cs="Times New Roman" w:eastAsiaTheme="majorEastAsia"/>
                      <w:bCs/>
                      <w:kern w:val="2"/>
                      <w:sz w:val="21"/>
                      <w:szCs w:val="21"/>
                      <w:lang w:val="en-US" w:eastAsia="zh-CN" w:bidi="ar-SA"/>
                    </w:rPr>
                  </w:pPr>
                  <w:r>
                    <w:rPr>
                      <w:rFonts w:hint="eastAsia" w:ascii="Times New Roman" w:cs="Times New Roman" w:hAnsiTheme="majorEastAsia" w:eastAsiaTheme="majorEastAsia"/>
                      <w:szCs w:val="21"/>
                    </w:rPr>
                    <w:t>G1厂界上风向</w:t>
                  </w:r>
                  <w:r>
                    <w:rPr>
                      <w:rFonts w:hint="eastAsia" w:cs="Times New Roman" w:hAnsiTheme="majorEastAsia" w:eastAsiaTheme="majorEastAsia"/>
                      <w:szCs w:val="21"/>
                      <w:lang w:val="en-US" w:eastAsia="zh-CN"/>
                    </w:rPr>
                    <w:t>1#</w:t>
                  </w:r>
                </w:p>
              </w:tc>
              <w:tc>
                <w:tcPr>
                  <w:tcW w:w="547" w:type="pct"/>
                  <w:vMerge w:val="restart"/>
                  <w:vAlign w:val="center"/>
                </w:tcPr>
                <w:p>
                  <w:pPr>
                    <w:jc w:val="center"/>
                    <w:rPr>
                      <w:rFonts w:hint="default" w:ascii="Times New Roman" w:hAnsi="Times New Roman" w:eastAsia="宋体" w:cs="Times New Roman"/>
                      <w:bCs/>
                      <w:szCs w:val="21"/>
                      <w:lang w:val="en-US" w:eastAsia="zh-CN"/>
                    </w:rPr>
                  </w:pPr>
                  <w:r>
                    <w:rPr>
                      <w:rFonts w:hint="eastAsia" w:cs="Times New Roman"/>
                      <w:bCs/>
                      <w:szCs w:val="21"/>
                      <w:lang w:val="en-US" w:eastAsia="zh-CN"/>
                    </w:rPr>
                    <w:t>TVOC</w:t>
                  </w: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0.0426</w:t>
                  </w: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0.0436</w:t>
                  </w:r>
                </w:p>
              </w:tc>
              <w:tc>
                <w:tcPr>
                  <w:tcW w:w="552" w:type="pct"/>
                  <w:vAlign w:val="center"/>
                </w:tcPr>
                <w:p>
                  <w:pPr>
                    <w:jc w:val="center"/>
                    <w:rPr>
                      <w:rFonts w:hint="default" w:cs="Times New Roman"/>
                      <w:bCs/>
                      <w:szCs w:val="21"/>
                      <w:lang w:val="en-US" w:eastAsia="zh-CN"/>
                    </w:rPr>
                  </w:pPr>
                  <w:r>
                    <w:rPr>
                      <w:rFonts w:hint="eastAsia" w:cs="Times New Roman"/>
                      <w:bCs/>
                      <w:szCs w:val="21"/>
                      <w:lang w:val="en-US" w:eastAsia="zh-CN"/>
                    </w:rPr>
                    <w:t>0.0392</w:t>
                  </w:r>
                </w:p>
              </w:tc>
              <w:tc>
                <w:tcPr>
                  <w:tcW w:w="542" w:type="pct"/>
                  <w:vAlign w:val="center"/>
                </w:tcPr>
                <w:p>
                  <w:pPr>
                    <w:jc w:val="center"/>
                    <w:rPr>
                      <w:rFonts w:hint="default" w:cs="Times New Roman"/>
                      <w:bCs/>
                      <w:szCs w:val="21"/>
                      <w:lang w:val="en-US" w:eastAsia="zh-CN"/>
                    </w:rPr>
                  </w:pPr>
                  <w:r>
                    <w:rPr>
                      <w:rFonts w:hint="eastAsia" w:cs="Times New Roman"/>
                      <w:bCs/>
                      <w:szCs w:val="21"/>
                      <w:lang w:val="en-US" w:eastAsia="zh-CN"/>
                    </w:rPr>
                    <w:t>0.0391</w:t>
                  </w:r>
                </w:p>
              </w:tc>
              <w:tc>
                <w:tcPr>
                  <w:tcW w:w="545" w:type="pct"/>
                  <w:vAlign w:val="center"/>
                </w:tcPr>
                <w:p>
                  <w:pPr>
                    <w:jc w:val="center"/>
                    <w:rPr>
                      <w:rFonts w:hint="default" w:cs="Times New Roman"/>
                      <w:bCs/>
                      <w:szCs w:val="21"/>
                      <w:lang w:val="en-US" w:eastAsia="zh-CN"/>
                    </w:rPr>
                  </w:pPr>
                  <w:r>
                    <w:rPr>
                      <w:rFonts w:hint="eastAsia" w:cs="Times New Roman"/>
                      <w:bCs/>
                      <w:szCs w:val="21"/>
                      <w:lang w:val="en-US" w:eastAsia="zh-CN"/>
                    </w:rPr>
                    <w:t>0.0304</w:t>
                  </w:r>
                </w:p>
              </w:tc>
              <w:tc>
                <w:tcPr>
                  <w:tcW w:w="558" w:type="pct"/>
                  <w:vAlign w:val="center"/>
                </w:tcPr>
                <w:p>
                  <w:pPr>
                    <w:jc w:val="center"/>
                    <w:rPr>
                      <w:rFonts w:hint="default" w:cs="Times New Roman"/>
                      <w:bCs/>
                      <w:szCs w:val="21"/>
                      <w:lang w:val="en-US" w:eastAsia="zh-CN"/>
                    </w:rPr>
                  </w:pPr>
                  <w:r>
                    <w:rPr>
                      <w:rFonts w:hint="eastAsia" w:cs="Times New Roman"/>
                      <w:bCs/>
                      <w:szCs w:val="21"/>
                      <w:lang w:val="en-US" w:eastAsia="zh-CN"/>
                    </w:rPr>
                    <w:t>0.0548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eastAsia" w:ascii="Times New Roman" w:hAnsi="Times New Roman" w:eastAsia="宋体" w:cs="Times New Roman"/>
                      <w:bCs/>
                      <w:kern w:val="2"/>
                      <w:sz w:val="21"/>
                      <w:szCs w:val="21"/>
                      <w:lang w:val="en-US" w:eastAsia="zh-CN" w:bidi="ar-SA"/>
                    </w:rPr>
                  </w:pPr>
                  <w:r>
                    <w:rPr>
                      <w:rFonts w:hint="eastAsia" w:ascii="Times New Roman" w:cs="Times New Roman" w:hAnsiTheme="majorEastAsia" w:eastAsiaTheme="majorEastAsia"/>
                      <w:szCs w:val="21"/>
                    </w:rPr>
                    <w:t>G2厂界下风向</w:t>
                  </w:r>
                  <w:r>
                    <w:rPr>
                      <w:rFonts w:hint="eastAsia" w:cs="Times New Roman" w:hAnsiTheme="majorEastAsia" w:eastAsiaTheme="majorEastAsia"/>
                      <w:szCs w:val="21"/>
                      <w:lang w:val="en-US" w:eastAsia="zh-CN"/>
                    </w:rPr>
                    <w:t>2#</w:t>
                  </w:r>
                </w:p>
              </w:tc>
              <w:tc>
                <w:tcPr>
                  <w:tcW w:w="547" w:type="pct"/>
                  <w:vMerge w:val="continue"/>
                  <w:vAlign w:val="center"/>
                </w:tcPr>
                <w:p>
                  <w:pPr>
                    <w:jc w:val="center"/>
                    <w:rPr>
                      <w:rFonts w:ascii="Times New Roman" w:hAnsi="Times New Roman" w:eastAsia="宋体" w:cs="Times New Roman"/>
                      <w:bCs/>
                      <w:szCs w:val="21"/>
                    </w:rPr>
                  </w:pP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0.0906</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0.0876</w:t>
                  </w:r>
                </w:p>
              </w:tc>
              <w:tc>
                <w:tcPr>
                  <w:tcW w:w="1036" w:type="dxa"/>
                  <w:vAlign w:val="center"/>
                </w:tcPr>
                <w:p>
                  <w:pPr>
                    <w:jc w:val="center"/>
                    <w:rPr>
                      <w:rFonts w:hint="default" w:cs="Times New Roman"/>
                      <w:bCs/>
                      <w:szCs w:val="21"/>
                      <w:lang w:val="en-US" w:eastAsia="zh-CN"/>
                    </w:rPr>
                  </w:pPr>
                  <w:r>
                    <w:rPr>
                      <w:rFonts w:hint="eastAsia" w:cs="Times New Roman"/>
                      <w:bCs/>
                      <w:szCs w:val="21"/>
                      <w:lang w:val="en-US" w:eastAsia="zh-CN"/>
                    </w:rPr>
                    <w:t>0.0605</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0.0752</w:t>
                  </w:r>
                </w:p>
              </w:tc>
              <w:tc>
                <w:tcPr>
                  <w:tcW w:w="1024" w:type="dxa"/>
                  <w:vAlign w:val="center"/>
                </w:tcPr>
                <w:p>
                  <w:pPr>
                    <w:jc w:val="center"/>
                    <w:rPr>
                      <w:rFonts w:hint="default" w:cs="Times New Roman"/>
                      <w:bCs/>
                      <w:szCs w:val="21"/>
                      <w:lang w:val="en-US" w:eastAsia="zh-CN"/>
                    </w:rPr>
                  </w:pPr>
                  <w:r>
                    <w:rPr>
                      <w:rFonts w:hint="eastAsia" w:cs="Times New Roman"/>
                      <w:bCs/>
                      <w:szCs w:val="21"/>
                      <w:lang w:val="en-US" w:eastAsia="zh-CN"/>
                    </w:rPr>
                    <w:t>0.0677</w:t>
                  </w:r>
                </w:p>
              </w:tc>
              <w:tc>
                <w:tcPr>
                  <w:tcW w:w="1050" w:type="dxa"/>
                  <w:vAlign w:val="center"/>
                </w:tcPr>
                <w:p>
                  <w:pPr>
                    <w:jc w:val="center"/>
                    <w:rPr>
                      <w:rFonts w:hint="default" w:cs="Times New Roman"/>
                      <w:bCs/>
                      <w:szCs w:val="21"/>
                      <w:lang w:val="en-US" w:eastAsia="zh-CN"/>
                    </w:rPr>
                  </w:pPr>
                  <w:r>
                    <w:rPr>
                      <w:rFonts w:hint="eastAsia" w:cs="Times New Roman"/>
                      <w:bCs/>
                      <w:szCs w:val="21"/>
                      <w:lang w:val="en-US" w:eastAsia="zh-CN"/>
                    </w:rPr>
                    <w:t>0.0925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eastAsia" w:ascii="Times New Roman" w:hAnsi="Times New Roman" w:eastAsia="宋体" w:cs="Times New Roman"/>
                      <w:bCs/>
                      <w:kern w:val="2"/>
                      <w:sz w:val="21"/>
                      <w:szCs w:val="21"/>
                      <w:lang w:val="en-US" w:eastAsia="zh-CN" w:bidi="ar-SA"/>
                    </w:rPr>
                  </w:pPr>
                  <w:r>
                    <w:rPr>
                      <w:rFonts w:hint="eastAsia" w:ascii="Times New Roman" w:cs="Times New Roman" w:hAnsiTheme="majorEastAsia" w:eastAsiaTheme="majorEastAsia"/>
                      <w:szCs w:val="21"/>
                    </w:rPr>
                    <w:t>G3厂界下风向</w:t>
                  </w:r>
                  <w:r>
                    <w:rPr>
                      <w:rFonts w:hint="eastAsia" w:cs="Times New Roman" w:hAnsiTheme="majorEastAsia" w:eastAsiaTheme="majorEastAsia"/>
                      <w:szCs w:val="21"/>
                      <w:lang w:val="en-US" w:eastAsia="zh-CN"/>
                    </w:rPr>
                    <w:t>3#</w:t>
                  </w:r>
                </w:p>
              </w:tc>
              <w:tc>
                <w:tcPr>
                  <w:tcW w:w="547" w:type="pct"/>
                  <w:vMerge w:val="continue"/>
                  <w:vAlign w:val="center"/>
                </w:tcPr>
                <w:p>
                  <w:pPr>
                    <w:jc w:val="center"/>
                    <w:rPr>
                      <w:rFonts w:ascii="Times New Roman" w:hAnsi="Times New Roman" w:eastAsia="宋体" w:cs="Times New Roman"/>
                      <w:bCs/>
                      <w:szCs w:val="21"/>
                    </w:rPr>
                  </w:pP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0.0921</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0.0560</w:t>
                  </w:r>
                </w:p>
              </w:tc>
              <w:tc>
                <w:tcPr>
                  <w:tcW w:w="1036" w:type="dxa"/>
                  <w:vAlign w:val="center"/>
                </w:tcPr>
                <w:p>
                  <w:pPr>
                    <w:jc w:val="center"/>
                    <w:rPr>
                      <w:rFonts w:hint="default" w:cs="Times New Roman"/>
                      <w:bCs/>
                      <w:szCs w:val="21"/>
                      <w:lang w:val="en-US" w:eastAsia="zh-CN"/>
                    </w:rPr>
                  </w:pPr>
                  <w:r>
                    <w:rPr>
                      <w:rFonts w:hint="eastAsia" w:cs="Times New Roman"/>
                      <w:bCs/>
                      <w:szCs w:val="21"/>
                      <w:lang w:val="en-US" w:eastAsia="zh-CN"/>
                    </w:rPr>
                    <w:t>0.0604</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0.0677</w:t>
                  </w:r>
                </w:p>
              </w:tc>
              <w:tc>
                <w:tcPr>
                  <w:tcW w:w="1024" w:type="dxa"/>
                  <w:vAlign w:val="center"/>
                </w:tcPr>
                <w:p>
                  <w:pPr>
                    <w:jc w:val="center"/>
                    <w:rPr>
                      <w:rFonts w:hint="default" w:cs="Times New Roman"/>
                      <w:bCs/>
                      <w:szCs w:val="21"/>
                      <w:lang w:val="en-US" w:eastAsia="zh-CN"/>
                    </w:rPr>
                  </w:pPr>
                  <w:r>
                    <w:rPr>
                      <w:rFonts w:hint="eastAsia" w:cs="Times New Roman"/>
                      <w:bCs/>
                      <w:szCs w:val="21"/>
                      <w:lang w:val="en-US" w:eastAsia="zh-CN"/>
                    </w:rPr>
                    <w:t>0.0690</w:t>
                  </w:r>
                </w:p>
              </w:tc>
              <w:tc>
                <w:tcPr>
                  <w:tcW w:w="1050" w:type="dxa"/>
                  <w:vAlign w:val="center"/>
                </w:tcPr>
                <w:p>
                  <w:pPr>
                    <w:jc w:val="center"/>
                    <w:rPr>
                      <w:rFonts w:hint="default" w:cs="Times New Roman"/>
                      <w:bCs/>
                      <w:szCs w:val="21"/>
                      <w:lang w:val="en-US" w:eastAsia="zh-CN"/>
                    </w:rPr>
                  </w:pPr>
                  <w:r>
                    <w:rPr>
                      <w:rFonts w:hint="eastAsia" w:cs="Times New Roman"/>
                      <w:bCs/>
                      <w:szCs w:val="21"/>
                      <w:lang w:val="en-US" w:eastAsia="zh-CN"/>
                    </w:rPr>
                    <w:t>0.0685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5" w:hRule="atLeast"/>
                <w:jc w:val="center"/>
              </w:trPr>
              <w:tc>
                <w:tcPr>
                  <w:tcW w:w="1170" w:type="pct"/>
                  <w:vAlign w:val="center"/>
                </w:tcPr>
                <w:p>
                  <w:pPr>
                    <w:jc w:val="center"/>
                    <w:rPr>
                      <w:rFonts w:hint="eastAsia" w:ascii="Times New Roman" w:cs="Times New Roman" w:hAnsiTheme="majorEastAsia" w:eastAsiaTheme="majorEastAsia"/>
                      <w:kern w:val="2"/>
                      <w:sz w:val="21"/>
                      <w:szCs w:val="21"/>
                      <w:lang w:val="en-US" w:eastAsia="zh-CN" w:bidi="ar-SA"/>
                    </w:rPr>
                  </w:pPr>
                  <w:r>
                    <w:rPr>
                      <w:rFonts w:hint="eastAsia" w:ascii="Times New Roman" w:cs="Times New Roman" w:hAnsiTheme="majorEastAsia" w:eastAsiaTheme="majorEastAsia"/>
                      <w:szCs w:val="21"/>
                    </w:rPr>
                    <w:t>G</w:t>
                  </w:r>
                  <w:r>
                    <w:rPr>
                      <w:rFonts w:hint="eastAsia" w:cs="Times New Roman" w:hAnsiTheme="majorEastAsia" w:eastAsiaTheme="majorEastAsia"/>
                      <w:szCs w:val="21"/>
                      <w:lang w:val="en-US" w:eastAsia="zh-CN"/>
                    </w:rPr>
                    <w:t>4</w:t>
                  </w:r>
                  <w:r>
                    <w:rPr>
                      <w:rFonts w:hint="eastAsia" w:ascii="Times New Roman" w:cs="Times New Roman" w:hAnsiTheme="majorEastAsia" w:eastAsiaTheme="majorEastAsia"/>
                      <w:szCs w:val="21"/>
                    </w:rPr>
                    <w:t>厂界下风向</w:t>
                  </w:r>
                  <w:r>
                    <w:rPr>
                      <w:rFonts w:hint="eastAsia" w:cs="Times New Roman" w:hAnsiTheme="majorEastAsia" w:eastAsiaTheme="majorEastAsia"/>
                      <w:szCs w:val="21"/>
                      <w:lang w:val="en-US" w:eastAsia="zh-CN"/>
                    </w:rPr>
                    <w:t>4#</w:t>
                  </w:r>
                </w:p>
              </w:tc>
              <w:tc>
                <w:tcPr>
                  <w:tcW w:w="547" w:type="pct"/>
                  <w:vMerge w:val="continue"/>
                  <w:vAlign w:val="center"/>
                </w:tcPr>
                <w:p>
                  <w:pPr>
                    <w:jc w:val="center"/>
                    <w:rPr>
                      <w:rFonts w:ascii="Times New Roman" w:hAnsi="Times New Roman" w:eastAsia="宋体" w:cs="Times New Roman"/>
                      <w:bCs/>
                      <w:szCs w:val="21"/>
                    </w:rPr>
                  </w:pP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0.0602</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0.0889</w:t>
                  </w:r>
                </w:p>
              </w:tc>
              <w:tc>
                <w:tcPr>
                  <w:tcW w:w="1036" w:type="dxa"/>
                  <w:vAlign w:val="center"/>
                </w:tcPr>
                <w:p>
                  <w:pPr>
                    <w:jc w:val="center"/>
                    <w:rPr>
                      <w:rFonts w:hint="default" w:cs="Times New Roman"/>
                      <w:bCs/>
                      <w:szCs w:val="21"/>
                      <w:lang w:val="en-US" w:eastAsia="zh-CN"/>
                    </w:rPr>
                  </w:pPr>
                  <w:r>
                    <w:rPr>
                      <w:rFonts w:hint="eastAsia" w:cs="Times New Roman"/>
                      <w:bCs/>
                      <w:szCs w:val="21"/>
                      <w:lang w:val="en-US" w:eastAsia="zh-CN"/>
                    </w:rPr>
                    <w:t>0.0645</w:t>
                  </w:r>
                </w:p>
              </w:tc>
              <w:tc>
                <w:tcPr>
                  <w:tcW w:w="1017" w:type="dxa"/>
                  <w:vAlign w:val="center"/>
                </w:tcPr>
                <w:p>
                  <w:pPr>
                    <w:jc w:val="center"/>
                    <w:rPr>
                      <w:rFonts w:hint="default" w:cs="Times New Roman"/>
                      <w:bCs/>
                      <w:szCs w:val="21"/>
                      <w:lang w:val="en-US" w:eastAsia="zh-CN"/>
                    </w:rPr>
                  </w:pPr>
                  <w:r>
                    <w:rPr>
                      <w:rFonts w:hint="eastAsia" w:cs="Times New Roman"/>
                      <w:bCs/>
                      <w:szCs w:val="21"/>
                      <w:lang w:val="en-US" w:eastAsia="zh-CN"/>
                    </w:rPr>
                    <w:t>0.0621</w:t>
                  </w:r>
                </w:p>
              </w:tc>
              <w:tc>
                <w:tcPr>
                  <w:tcW w:w="1024" w:type="dxa"/>
                  <w:vAlign w:val="center"/>
                </w:tcPr>
                <w:p>
                  <w:pPr>
                    <w:jc w:val="center"/>
                    <w:rPr>
                      <w:rFonts w:hint="default" w:cs="Times New Roman"/>
                      <w:bCs/>
                      <w:szCs w:val="21"/>
                      <w:lang w:val="en-US" w:eastAsia="zh-CN"/>
                    </w:rPr>
                  </w:pPr>
                  <w:r>
                    <w:rPr>
                      <w:rFonts w:hint="eastAsia" w:cs="Times New Roman"/>
                      <w:bCs/>
                      <w:szCs w:val="21"/>
                      <w:lang w:val="en-US" w:eastAsia="zh-CN"/>
                    </w:rPr>
                    <w:t>0.0602</w:t>
                  </w:r>
                </w:p>
              </w:tc>
              <w:tc>
                <w:tcPr>
                  <w:tcW w:w="1050" w:type="dxa"/>
                  <w:vAlign w:val="center"/>
                </w:tcPr>
                <w:p>
                  <w:pPr>
                    <w:jc w:val="center"/>
                    <w:rPr>
                      <w:rFonts w:hint="default" w:cs="Times New Roman"/>
                      <w:bCs/>
                      <w:szCs w:val="21"/>
                      <w:lang w:val="en-US" w:eastAsia="zh-CN"/>
                    </w:rPr>
                  </w:pPr>
                  <w:r>
                    <w:rPr>
                      <w:rFonts w:hint="eastAsia" w:cs="Times New Roman"/>
                      <w:bCs/>
                      <w:szCs w:val="21"/>
                      <w:lang w:val="en-US" w:eastAsia="zh-CN"/>
                    </w:rPr>
                    <w:t>0.0783</w:t>
                  </w:r>
                </w:p>
              </w:tc>
            </w:tr>
          </w:tbl>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eastAsia="宋体" w:cs="Times New Roman"/>
                <w:color w:val="000000" w:themeColor="text1"/>
                <w:kern w:val="0"/>
                <w:sz w:val="24"/>
                <w:szCs w:val="24"/>
                <w:lang w:val="en-US" w:eastAsia="zh-CN" w:bidi="ar-SA"/>
              </w:rPr>
            </w:pPr>
            <w:r>
              <w:rPr>
                <w:rFonts w:hint="default" w:ascii="Times New Roman" w:hAnsi="Times New Roman" w:eastAsia="宋体" w:cs="Times New Roman"/>
                <w:color w:val="000000" w:themeColor="text1"/>
                <w:kern w:val="0"/>
                <w:sz w:val="24"/>
                <w:szCs w:val="24"/>
                <w:lang w:val="en-US" w:eastAsia="zh-CN" w:bidi="ar-SA"/>
              </w:rPr>
              <w:t>检测结果表明，厂界无组织废气中颗粒物最大值为0.400mg/m</w:t>
            </w:r>
            <w:r>
              <w:rPr>
                <w:rFonts w:hint="default" w:ascii="Times New Roman" w:hAnsi="Times New Roman" w:eastAsia="宋体" w:cs="Times New Roman"/>
                <w:color w:val="000000" w:themeColor="text1"/>
                <w:kern w:val="0"/>
                <w:sz w:val="24"/>
                <w:szCs w:val="24"/>
                <w:vertAlign w:val="superscript"/>
                <w:lang w:val="en-US" w:eastAsia="zh-CN" w:bidi="ar-SA"/>
              </w:rPr>
              <w:t>3</w:t>
            </w:r>
            <w:r>
              <w:rPr>
                <w:rFonts w:hint="default" w:ascii="Times New Roman" w:hAnsi="Times New Roman" w:eastAsia="宋体" w:cs="Times New Roman"/>
                <w:color w:val="000000" w:themeColor="text1"/>
                <w:kern w:val="0"/>
                <w:sz w:val="24"/>
                <w:szCs w:val="24"/>
                <w:lang w:val="en-US" w:eastAsia="zh-CN" w:bidi="ar-SA"/>
              </w:rPr>
              <w:t>，符合《大气污染物综合排放标准》（GB16297-1996）表</w:t>
            </w:r>
            <w:r>
              <w:rPr>
                <w:rFonts w:hint="eastAsia" w:cs="Times New Roman"/>
                <w:color w:val="000000" w:themeColor="text1"/>
                <w:kern w:val="0"/>
                <w:sz w:val="24"/>
                <w:szCs w:val="24"/>
                <w:lang w:val="en-US" w:eastAsia="zh-CN" w:bidi="ar-SA"/>
              </w:rPr>
              <w:t>2</w:t>
            </w:r>
            <w:r>
              <w:rPr>
                <w:rFonts w:hint="default" w:ascii="Times New Roman" w:hAnsi="Times New Roman" w:eastAsia="宋体" w:cs="Times New Roman"/>
                <w:color w:val="000000" w:themeColor="text1"/>
                <w:kern w:val="0"/>
                <w:sz w:val="24"/>
                <w:szCs w:val="24"/>
                <w:lang w:val="en-US" w:eastAsia="zh-CN" w:bidi="ar-SA"/>
              </w:rPr>
              <w:t>中无组织排放监控浓度限值。TVOC最大值为 0.921mg/m</w:t>
            </w:r>
            <w:r>
              <w:rPr>
                <w:rFonts w:hint="default" w:ascii="Times New Roman" w:hAnsi="Times New Roman" w:eastAsia="宋体" w:cs="Times New Roman"/>
                <w:color w:val="000000" w:themeColor="text1"/>
                <w:kern w:val="0"/>
                <w:sz w:val="24"/>
                <w:szCs w:val="24"/>
                <w:vertAlign w:val="superscript"/>
                <w:lang w:val="en-US" w:eastAsia="zh-CN" w:bidi="ar-SA"/>
              </w:rPr>
              <w:t>3</w:t>
            </w:r>
            <w:r>
              <w:rPr>
                <w:rFonts w:hint="default" w:ascii="Times New Roman" w:hAnsi="Times New Roman" w:eastAsia="宋体" w:cs="Times New Roman"/>
                <w:color w:val="000000" w:themeColor="text1"/>
                <w:kern w:val="0"/>
                <w:sz w:val="24"/>
                <w:szCs w:val="24"/>
                <w:lang w:val="en-US" w:eastAsia="zh-CN" w:bidi="ar-SA"/>
              </w:rPr>
              <w:t>，可满足《挥发性有机物无组织排放控制标准》（GB378922-2019）中表A.1规定的排放限值。</w:t>
            </w:r>
          </w:p>
          <w:p>
            <w:pPr>
              <w:pStyle w:val="2"/>
              <w:spacing w:line="360" w:lineRule="auto"/>
              <w:ind w:firstLine="482" w:firstLineChars="200"/>
              <w:jc w:val="both"/>
              <w:rPr>
                <w:rFonts w:hint="eastAsia" w:ascii="Times New Roman" w:cs="Times New Roman"/>
                <w:b/>
                <w:bCs/>
                <w:sz w:val="24"/>
                <w:szCs w:val="24"/>
                <w:lang w:val="en-US" w:eastAsia="zh-CN"/>
              </w:rPr>
            </w:pPr>
            <w:r>
              <w:rPr>
                <w:rFonts w:hint="eastAsia" w:ascii="Times New Roman" w:cs="Times New Roman"/>
                <w:b/>
                <w:bCs/>
                <w:sz w:val="24"/>
                <w:szCs w:val="24"/>
                <w:lang w:val="en-US" w:eastAsia="zh-CN"/>
              </w:rPr>
              <w:t>3、噪声</w:t>
            </w: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r>
              <w:rPr>
                <w:color w:val="000000" w:themeColor="text1"/>
                <w:sz w:val="24"/>
              </w:rPr>
              <w:t>现有工程主要噪声源为各机械设备，均位于厂房内部，各噪声源采</w:t>
            </w:r>
            <w:r>
              <w:rPr>
                <w:rFonts w:asciiTheme="minorEastAsia" w:hAnsiTheme="minorEastAsia" w:eastAsiaTheme="minorEastAsia"/>
                <w:color w:val="000000" w:themeColor="text1"/>
                <w:sz w:val="24"/>
              </w:rPr>
              <w:t>取“以防为主，防治结合”的方</w:t>
            </w:r>
            <w:r>
              <w:rPr>
                <w:color w:val="000000" w:themeColor="text1"/>
                <w:sz w:val="24"/>
              </w:rPr>
              <w:t>式，在确保满足生产工艺的情况下，本项目主要噪声设备均位于厂房内部，经过距离削减、厂房隔声等措施后，降低对厂界周围的影响，</w:t>
            </w:r>
            <w:r>
              <w:rPr>
                <w:rFonts w:hint="eastAsia" w:ascii="宋体" w:hAnsi="Times New Roman" w:eastAsia="宋体" w:cs="宋体"/>
                <w:color w:val="auto"/>
                <w:kern w:val="0"/>
                <w:sz w:val="24"/>
                <w:szCs w:val="24"/>
                <w:u w:val="none"/>
                <w:lang w:val="en-US" w:eastAsia="zh-CN" w:bidi="ar-SA"/>
              </w:rPr>
              <w:t>根据《衡阳市新德力交通材料有限公司改扩建项目竣工环境保护验收监测报告》</w:t>
            </w:r>
            <w:r>
              <w:rPr>
                <w:rFonts w:hint="eastAsia" w:cs="宋体"/>
                <w:color w:val="auto"/>
                <w:kern w:val="0"/>
                <w:sz w:val="24"/>
                <w:szCs w:val="24"/>
                <w:u w:val="none"/>
                <w:lang w:val="en-US" w:eastAsia="zh-CN" w:bidi="ar-SA"/>
              </w:rPr>
              <w:t>可知，厂界东侧、南侧、西侧、北侧监控点昼间厂界噪声最大</w:t>
            </w:r>
            <w:r>
              <w:rPr>
                <w:rFonts w:hint="default" w:ascii="Times New Roman" w:hAnsi="Times New Roman" w:cs="Times New Roman"/>
                <w:color w:val="auto"/>
                <w:kern w:val="0"/>
                <w:sz w:val="24"/>
                <w:szCs w:val="24"/>
                <w:u w:val="none"/>
                <w:lang w:val="en-US" w:eastAsia="zh-CN" w:bidi="ar-SA"/>
              </w:rPr>
              <w:t>值为59dB，夜间厂界噪声最大值49dB，均符合 GB12348-2008《工业企业厂界环境噪声排放标准》3类标准限值要求。</w:t>
            </w:r>
          </w:p>
          <w:p>
            <w:pPr>
              <w:pStyle w:val="75"/>
              <w:spacing w:beforeLines="50" w:afterLines="0"/>
              <w:rPr>
                <w:rFonts w:hint="eastAsia"/>
                <w:color w:val="auto"/>
                <w:sz w:val="21"/>
                <w:szCs w:val="21"/>
                <w:u w:val="none"/>
              </w:rPr>
            </w:pPr>
            <w:r>
              <w:rPr>
                <w:rFonts w:hint="eastAsia"/>
                <w:color w:val="auto"/>
                <w:sz w:val="21"/>
                <w:szCs w:val="21"/>
                <w:u w:val="none"/>
              </w:rPr>
              <w:t>表2-8  厂界噪声监测结果</w:t>
            </w:r>
          </w:p>
          <w:tbl>
            <w:tblPr>
              <w:tblStyle w:val="25"/>
              <w:tblW w:w="499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076"/>
              <w:gridCol w:w="1700"/>
              <w:gridCol w:w="1331"/>
              <w:gridCol w:w="1463"/>
              <w:gridCol w:w="170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Merge w:val="restart"/>
                  <w:vAlign w:val="center"/>
                </w:tcPr>
                <w:p>
                  <w:pPr>
                    <w:adjustRightInd w:val="0"/>
                    <w:snapToGrid w:val="0"/>
                    <w:jc w:val="center"/>
                    <w:rPr>
                      <w:b/>
                      <w:color w:val="auto"/>
                      <w:szCs w:val="21"/>
                      <w:u w:val="none"/>
                    </w:rPr>
                  </w:pPr>
                  <w:r>
                    <w:rPr>
                      <w:b/>
                      <w:color w:val="auto"/>
                      <w:szCs w:val="21"/>
                      <w:u w:val="none"/>
                    </w:rPr>
                    <w:t>监测点位</w:t>
                  </w:r>
                </w:p>
              </w:tc>
              <w:tc>
                <w:tcPr>
                  <w:tcW w:w="3342" w:type="pct"/>
                  <w:gridSpan w:val="4"/>
                  <w:vAlign w:val="center"/>
                </w:tcPr>
                <w:p>
                  <w:pPr>
                    <w:jc w:val="center"/>
                    <w:rPr>
                      <w:b/>
                      <w:color w:val="auto"/>
                      <w:szCs w:val="21"/>
                      <w:u w:val="none"/>
                    </w:rPr>
                  </w:pPr>
                  <w:r>
                    <w:rPr>
                      <w:b/>
                      <w:color w:val="auto"/>
                      <w:szCs w:val="21"/>
                      <w:u w:val="none"/>
                    </w:rPr>
                    <w:t>监测结果dB（A）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jc w:val="center"/>
              </w:trPr>
              <w:tc>
                <w:tcPr>
                  <w:tcW w:w="1657" w:type="pct"/>
                  <w:vMerge w:val="continue"/>
                  <w:vAlign w:val="center"/>
                </w:tcPr>
                <w:p>
                  <w:pPr>
                    <w:adjustRightInd w:val="0"/>
                    <w:snapToGrid w:val="0"/>
                    <w:jc w:val="center"/>
                    <w:rPr>
                      <w:color w:val="auto"/>
                      <w:szCs w:val="21"/>
                      <w:u w:val="none"/>
                    </w:rPr>
                  </w:pPr>
                </w:p>
              </w:tc>
              <w:tc>
                <w:tcPr>
                  <w:tcW w:w="1633" w:type="pct"/>
                  <w:gridSpan w:val="2"/>
                  <w:vAlign w:val="center"/>
                </w:tcPr>
                <w:p>
                  <w:pPr>
                    <w:jc w:val="center"/>
                    <w:rPr>
                      <w:rFonts w:hint="default" w:eastAsia="宋体"/>
                      <w:b/>
                      <w:color w:val="auto"/>
                      <w:szCs w:val="21"/>
                      <w:u w:val="none"/>
                      <w:lang w:val="en-US" w:eastAsia="zh-CN"/>
                    </w:rPr>
                  </w:pPr>
                  <w:r>
                    <w:rPr>
                      <w:rFonts w:hint="eastAsia"/>
                      <w:b/>
                      <w:color w:val="auto"/>
                      <w:szCs w:val="21"/>
                      <w:u w:val="none"/>
                      <w:lang w:val="en-US" w:eastAsia="zh-CN"/>
                    </w:rPr>
                    <w:t>2021.5.24</w:t>
                  </w:r>
                </w:p>
              </w:tc>
              <w:tc>
                <w:tcPr>
                  <w:tcW w:w="1709" w:type="pct"/>
                  <w:gridSpan w:val="2"/>
                  <w:vAlign w:val="center"/>
                </w:tcPr>
                <w:p>
                  <w:pPr>
                    <w:jc w:val="center"/>
                    <w:rPr>
                      <w:rFonts w:hint="default" w:eastAsia="宋体"/>
                      <w:b/>
                      <w:color w:val="auto"/>
                      <w:szCs w:val="21"/>
                      <w:u w:val="none"/>
                      <w:lang w:val="en-US" w:eastAsia="zh-CN"/>
                    </w:rPr>
                  </w:pPr>
                  <w:r>
                    <w:rPr>
                      <w:rFonts w:hint="eastAsia"/>
                      <w:b/>
                      <w:color w:val="auto"/>
                      <w:szCs w:val="21"/>
                      <w:u w:val="none"/>
                      <w:lang w:val="en-US" w:eastAsia="zh-CN"/>
                    </w:rPr>
                    <w:t>2021.5.25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Merge w:val="continue"/>
                  <w:vAlign w:val="center"/>
                </w:tcPr>
                <w:p>
                  <w:pPr>
                    <w:adjustRightInd w:val="0"/>
                    <w:snapToGrid w:val="0"/>
                    <w:jc w:val="center"/>
                    <w:rPr>
                      <w:color w:val="auto"/>
                      <w:szCs w:val="21"/>
                      <w:u w:val="none"/>
                    </w:rPr>
                  </w:pPr>
                </w:p>
              </w:tc>
              <w:tc>
                <w:tcPr>
                  <w:tcW w:w="916" w:type="pct"/>
                  <w:vAlign w:val="center"/>
                </w:tcPr>
                <w:p>
                  <w:pPr>
                    <w:jc w:val="center"/>
                    <w:rPr>
                      <w:b/>
                      <w:color w:val="auto"/>
                      <w:szCs w:val="21"/>
                      <w:u w:val="none"/>
                    </w:rPr>
                  </w:pPr>
                  <w:r>
                    <w:rPr>
                      <w:b/>
                      <w:color w:val="auto"/>
                      <w:szCs w:val="21"/>
                      <w:u w:val="none"/>
                    </w:rPr>
                    <w:t>昼间</w:t>
                  </w:r>
                </w:p>
              </w:tc>
              <w:tc>
                <w:tcPr>
                  <w:tcW w:w="717" w:type="pct"/>
                  <w:vAlign w:val="center"/>
                </w:tcPr>
                <w:p>
                  <w:pPr>
                    <w:jc w:val="center"/>
                    <w:rPr>
                      <w:b/>
                      <w:color w:val="auto"/>
                      <w:szCs w:val="21"/>
                      <w:u w:val="none"/>
                    </w:rPr>
                  </w:pPr>
                  <w:r>
                    <w:rPr>
                      <w:b/>
                      <w:color w:val="auto"/>
                      <w:szCs w:val="21"/>
                      <w:u w:val="none"/>
                    </w:rPr>
                    <w:t>夜间</w:t>
                  </w:r>
                </w:p>
              </w:tc>
              <w:tc>
                <w:tcPr>
                  <w:tcW w:w="788" w:type="pct"/>
                  <w:vAlign w:val="center"/>
                </w:tcPr>
                <w:p>
                  <w:pPr>
                    <w:jc w:val="center"/>
                    <w:rPr>
                      <w:rFonts w:ascii="Times New Roman" w:hAnsi="Times New Roman" w:eastAsia="宋体" w:cs="Times New Roman"/>
                      <w:b/>
                      <w:color w:val="auto"/>
                      <w:kern w:val="2"/>
                      <w:sz w:val="21"/>
                      <w:szCs w:val="21"/>
                      <w:u w:val="none"/>
                      <w:lang w:val="en-US" w:eastAsia="zh-CN" w:bidi="ar-SA"/>
                    </w:rPr>
                  </w:pPr>
                  <w:r>
                    <w:rPr>
                      <w:b/>
                      <w:color w:val="auto"/>
                      <w:szCs w:val="21"/>
                      <w:u w:val="none"/>
                    </w:rPr>
                    <w:t>昼间</w:t>
                  </w:r>
                </w:p>
              </w:tc>
              <w:tc>
                <w:tcPr>
                  <w:tcW w:w="920" w:type="pct"/>
                  <w:vAlign w:val="center"/>
                </w:tcPr>
                <w:p>
                  <w:pPr>
                    <w:jc w:val="center"/>
                    <w:rPr>
                      <w:rFonts w:ascii="Times New Roman" w:hAnsi="Times New Roman" w:eastAsia="宋体" w:cs="Times New Roman"/>
                      <w:b/>
                      <w:color w:val="auto"/>
                      <w:kern w:val="2"/>
                      <w:sz w:val="21"/>
                      <w:szCs w:val="21"/>
                      <w:u w:val="none"/>
                      <w:lang w:val="en-US" w:eastAsia="zh-CN" w:bidi="ar-SA"/>
                    </w:rPr>
                  </w:pPr>
                  <w:r>
                    <w:rPr>
                      <w:b/>
                      <w:color w:val="auto"/>
                      <w:szCs w:val="21"/>
                      <w:u w:val="none"/>
                    </w:rPr>
                    <w:t>夜间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jc w:val="center"/>
              </w:trPr>
              <w:tc>
                <w:tcPr>
                  <w:tcW w:w="1657" w:type="pct"/>
                  <w:vAlign w:val="center"/>
                </w:tcPr>
                <w:p>
                  <w:pPr>
                    <w:jc w:val="center"/>
                    <w:rPr>
                      <w:color w:val="auto"/>
                      <w:szCs w:val="21"/>
                      <w:u w:val="none"/>
                    </w:rPr>
                  </w:pPr>
                  <w:r>
                    <w:rPr>
                      <w:color w:val="auto"/>
                      <w:szCs w:val="21"/>
                      <w:u w:val="none"/>
                    </w:rPr>
                    <w:t>N</w:t>
                  </w:r>
                  <w:r>
                    <w:rPr>
                      <w:rFonts w:hint="eastAsia"/>
                      <w:color w:val="auto"/>
                      <w:szCs w:val="21"/>
                      <w:u w:val="none"/>
                    </w:rPr>
                    <w:t>1</w:t>
                  </w:r>
                  <w:r>
                    <w:rPr>
                      <w:color w:val="auto"/>
                      <w:szCs w:val="21"/>
                      <w:u w:val="none"/>
                    </w:rPr>
                    <w:t>项目东侧厂界外</w:t>
                  </w:r>
                  <w:r>
                    <w:rPr>
                      <w:rFonts w:hint="eastAsia"/>
                      <w:color w:val="auto"/>
                      <w:szCs w:val="21"/>
                      <w:u w:val="none"/>
                    </w:rPr>
                    <w:t>1m处</w:t>
                  </w:r>
                </w:p>
              </w:tc>
              <w:tc>
                <w:tcPr>
                  <w:tcW w:w="916" w:type="pct"/>
                  <w:vAlign w:val="center"/>
                </w:tcPr>
                <w:p>
                  <w:pPr>
                    <w:snapToGrid w:val="0"/>
                    <w:spacing w:beforeLines="10" w:afterLines="10"/>
                    <w:jc w:val="center"/>
                    <w:textAlignment w:val="center"/>
                    <w:rPr>
                      <w:rFonts w:hint="default" w:eastAsia="宋体"/>
                      <w:color w:val="auto"/>
                      <w:szCs w:val="21"/>
                      <w:u w:val="none"/>
                      <w:lang w:val="en-US" w:eastAsia="zh-CN"/>
                    </w:rPr>
                  </w:pPr>
                  <w:r>
                    <w:rPr>
                      <w:rFonts w:hint="eastAsia"/>
                      <w:color w:val="auto"/>
                      <w:szCs w:val="21"/>
                      <w:u w:val="none"/>
                      <w:lang w:val="en-US" w:eastAsia="zh-CN"/>
                    </w:rPr>
                    <w:t>58</w:t>
                  </w:r>
                </w:p>
              </w:tc>
              <w:tc>
                <w:tcPr>
                  <w:tcW w:w="717"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47</w:t>
                  </w:r>
                </w:p>
              </w:tc>
              <w:tc>
                <w:tcPr>
                  <w:tcW w:w="788"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58</w:t>
                  </w:r>
                </w:p>
              </w:tc>
              <w:tc>
                <w:tcPr>
                  <w:tcW w:w="920"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jc w:val="center"/>
              </w:trPr>
              <w:tc>
                <w:tcPr>
                  <w:tcW w:w="1657" w:type="pct"/>
                  <w:vAlign w:val="center"/>
                </w:tcPr>
                <w:p>
                  <w:pPr>
                    <w:jc w:val="center"/>
                    <w:rPr>
                      <w:color w:val="auto"/>
                      <w:szCs w:val="21"/>
                      <w:u w:val="none"/>
                    </w:rPr>
                  </w:pPr>
                  <w:r>
                    <w:rPr>
                      <w:color w:val="auto"/>
                      <w:szCs w:val="21"/>
                      <w:u w:val="none"/>
                    </w:rPr>
                    <w:t>N</w:t>
                  </w:r>
                  <w:r>
                    <w:rPr>
                      <w:rFonts w:hint="eastAsia"/>
                      <w:color w:val="auto"/>
                      <w:szCs w:val="21"/>
                      <w:u w:val="none"/>
                    </w:rPr>
                    <w:t>2</w:t>
                  </w:r>
                  <w:r>
                    <w:rPr>
                      <w:color w:val="auto"/>
                      <w:szCs w:val="21"/>
                      <w:u w:val="none"/>
                    </w:rPr>
                    <w:t>项目南侧厂界外</w:t>
                  </w:r>
                  <w:r>
                    <w:rPr>
                      <w:rFonts w:hint="eastAsia"/>
                      <w:color w:val="auto"/>
                      <w:szCs w:val="21"/>
                      <w:u w:val="none"/>
                    </w:rPr>
                    <w:t>1m处</w:t>
                  </w:r>
                </w:p>
              </w:tc>
              <w:tc>
                <w:tcPr>
                  <w:tcW w:w="916" w:type="pct"/>
                  <w:vAlign w:val="center"/>
                </w:tcPr>
                <w:p>
                  <w:pPr>
                    <w:snapToGrid w:val="0"/>
                    <w:spacing w:beforeLines="10" w:afterLines="10"/>
                    <w:jc w:val="center"/>
                    <w:textAlignment w:val="center"/>
                    <w:rPr>
                      <w:rFonts w:hint="default" w:eastAsia="宋体"/>
                      <w:color w:val="auto"/>
                      <w:szCs w:val="21"/>
                      <w:u w:val="none"/>
                      <w:lang w:val="en-US" w:eastAsia="zh-CN"/>
                    </w:rPr>
                  </w:pPr>
                  <w:r>
                    <w:rPr>
                      <w:rFonts w:hint="eastAsia"/>
                      <w:color w:val="auto"/>
                      <w:szCs w:val="21"/>
                      <w:u w:val="none"/>
                      <w:lang w:val="en-US" w:eastAsia="zh-CN"/>
                    </w:rPr>
                    <w:t>56</w:t>
                  </w:r>
                </w:p>
              </w:tc>
              <w:tc>
                <w:tcPr>
                  <w:tcW w:w="717"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45</w:t>
                  </w:r>
                </w:p>
              </w:tc>
              <w:tc>
                <w:tcPr>
                  <w:tcW w:w="788"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55</w:t>
                  </w:r>
                </w:p>
              </w:tc>
              <w:tc>
                <w:tcPr>
                  <w:tcW w:w="920"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jc w:val="center"/>
                    <w:rPr>
                      <w:color w:val="auto"/>
                      <w:szCs w:val="21"/>
                      <w:u w:val="none"/>
                    </w:rPr>
                  </w:pPr>
                  <w:r>
                    <w:rPr>
                      <w:color w:val="auto"/>
                      <w:szCs w:val="21"/>
                      <w:u w:val="none"/>
                    </w:rPr>
                    <w:t>N</w:t>
                  </w:r>
                  <w:r>
                    <w:rPr>
                      <w:rFonts w:hint="eastAsia"/>
                      <w:color w:val="auto"/>
                      <w:szCs w:val="21"/>
                      <w:u w:val="none"/>
                    </w:rPr>
                    <w:t>3</w:t>
                  </w:r>
                  <w:r>
                    <w:rPr>
                      <w:color w:val="auto"/>
                      <w:szCs w:val="21"/>
                      <w:u w:val="none"/>
                    </w:rPr>
                    <w:t>项目西侧厂界外</w:t>
                  </w:r>
                  <w:r>
                    <w:rPr>
                      <w:rFonts w:hint="eastAsia"/>
                      <w:color w:val="auto"/>
                      <w:szCs w:val="21"/>
                      <w:u w:val="none"/>
                    </w:rPr>
                    <w:t>1m处</w:t>
                  </w:r>
                </w:p>
              </w:tc>
              <w:tc>
                <w:tcPr>
                  <w:tcW w:w="916" w:type="pct"/>
                  <w:vAlign w:val="center"/>
                </w:tcPr>
                <w:p>
                  <w:pPr>
                    <w:snapToGrid w:val="0"/>
                    <w:spacing w:beforeLines="10" w:afterLines="10"/>
                    <w:jc w:val="center"/>
                    <w:textAlignment w:val="center"/>
                    <w:rPr>
                      <w:rFonts w:hint="default" w:eastAsia="宋体"/>
                      <w:color w:val="auto"/>
                      <w:szCs w:val="21"/>
                      <w:u w:val="none"/>
                      <w:lang w:val="en-US" w:eastAsia="zh-CN"/>
                    </w:rPr>
                  </w:pPr>
                  <w:r>
                    <w:rPr>
                      <w:rFonts w:hint="eastAsia"/>
                      <w:color w:val="auto"/>
                      <w:szCs w:val="21"/>
                      <w:u w:val="none"/>
                      <w:lang w:val="en-US" w:eastAsia="zh-CN"/>
                    </w:rPr>
                    <w:t>56</w:t>
                  </w:r>
                </w:p>
              </w:tc>
              <w:tc>
                <w:tcPr>
                  <w:tcW w:w="717"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46</w:t>
                  </w:r>
                </w:p>
              </w:tc>
              <w:tc>
                <w:tcPr>
                  <w:tcW w:w="788"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56</w:t>
                  </w:r>
                </w:p>
              </w:tc>
              <w:tc>
                <w:tcPr>
                  <w:tcW w:w="920"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jc w:val="center"/>
                    <w:rPr>
                      <w:color w:val="auto"/>
                      <w:szCs w:val="21"/>
                      <w:u w:val="none"/>
                    </w:rPr>
                  </w:pPr>
                  <w:r>
                    <w:rPr>
                      <w:color w:val="auto"/>
                      <w:szCs w:val="21"/>
                      <w:u w:val="none"/>
                    </w:rPr>
                    <w:t>N</w:t>
                  </w:r>
                  <w:r>
                    <w:rPr>
                      <w:rFonts w:hint="eastAsia"/>
                      <w:color w:val="auto"/>
                      <w:szCs w:val="21"/>
                      <w:u w:val="none"/>
                    </w:rPr>
                    <w:t>4</w:t>
                  </w:r>
                  <w:r>
                    <w:rPr>
                      <w:color w:val="auto"/>
                      <w:szCs w:val="21"/>
                      <w:u w:val="none"/>
                    </w:rPr>
                    <w:t>项目北侧厂界外</w:t>
                  </w:r>
                  <w:r>
                    <w:rPr>
                      <w:rFonts w:hint="eastAsia"/>
                      <w:color w:val="auto"/>
                      <w:szCs w:val="21"/>
                      <w:u w:val="none"/>
                    </w:rPr>
                    <w:t>1m处</w:t>
                  </w:r>
                </w:p>
              </w:tc>
              <w:tc>
                <w:tcPr>
                  <w:tcW w:w="916" w:type="pct"/>
                  <w:vAlign w:val="center"/>
                </w:tcPr>
                <w:p>
                  <w:pPr>
                    <w:snapToGrid w:val="0"/>
                    <w:spacing w:beforeLines="10" w:afterLines="10"/>
                    <w:jc w:val="center"/>
                    <w:textAlignment w:val="center"/>
                    <w:rPr>
                      <w:rFonts w:hint="default" w:eastAsia="宋体"/>
                      <w:color w:val="auto"/>
                      <w:szCs w:val="21"/>
                      <w:u w:val="none"/>
                      <w:lang w:val="en-US" w:eastAsia="zh-CN"/>
                    </w:rPr>
                  </w:pPr>
                  <w:r>
                    <w:rPr>
                      <w:rFonts w:hint="eastAsia"/>
                      <w:color w:val="auto"/>
                      <w:szCs w:val="21"/>
                      <w:u w:val="none"/>
                      <w:lang w:val="en-US" w:eastAsia="zh-CN"/>
                    </w:rPr>
                    <w:t>58</w:t>
                  </w:r>
                </w:p>
              </w:tc>
              <w:tc>
                <w:tcPr>
                  <w:tcW w:w="717"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49</w:t>
                  </w:r>
                </w:p>
              </w:tc>
              <w:tc>
                <w:tcPr>
                  <w:tcW w:w="788"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59</w:t>
                  </w:r>
                </w:p>
              </w:tc>
              <w:tc>
                <w:tcPr>
                  <w:tcW w:w="920" w:type="pct"/>
                  <w:vAlign w:val="center"/>
                </w:tcPr>
                <w:p>
                  <w:pPr>
                    <w:snapToGrid w:val="0"/>
                    <w:spacing w:beforeLines="10" w:afterLines="10"/>
                    <w:jc w:val="center"/>
                    <w:rPr>
                      <w:rFonts w:hint="default" w:eastAsia="宋体"/>
                      <w:color w:val="auto"/>
                      <w:szCs w:val="21"/>
                      <w:u w:val="none"/>
                      <w:lang w:val="en-US" w:eastAsia="zh-CN"/>
                    </w:rPr>
                  </w:pPr>
                  <w:r>
                    <w:rPr>
                      <w:rFonts w:hint="eastAsia"/>
                      <w:color w:val="auto"/>
                      <w:szCs w:val="21"/>
                      <w:u w:val="none"/>
                      <w:lang w:val="en-US" w:eastAsia="zh-CN"/>
                    </w:rPr>
                    <w:t>49</w:t>
                  </w:r>
                </w:p>
              </w:tc>
            </w:tr>
          </w:tbl>
          <w:p>
            <w:pPr>
              <w:adjustRightInd w:val="0"/>
              <w:snapToGrid w:val="0"/>
              <w:spacing w:line="360" w:lineRule="auto"/>
              <w:ind w:firstLine="482" w:firstLineChars="200"/>
              <w:rPr>
                <w:rFonts w:hAnsi="宋体"/>
                <w:b/>
                <w:bCs/>
                <w:sz w:val="24"/>
              </w:rPr>
            </w:pPr>
            <w:r>
              <w:rPr>
                <w:rFonts w:hint="eastAsia" w:hAnsi="宋体"/>
                <w:b/>
                <w:bCs/>
                <w:sz w:val="24"/>
              </w:rPr>
              <w:t>4、固体废物</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现有项目运营期产生的固体废物主要包括</w:t>
            </w:r>
            <w:r>
              <w:rPr>
                <w:rFonts w:hint="eastAsia" w:ascii="Times New Roman" w:cs="Times New Roman"/>
                <w:sz w:val="24"/>
                <w:szCs w:val="24"/>
                <w:lang w:eastAsia="zh-CN"/>
              </w:rPr>
              <w:t>边角料和金属废屑、除尘器（机加工、抛丸、焊接）收集尘、除尘器（多元合金共渗）收集尘、压滤机压滤泥饼、</w:t>
            </w:r>
            <w:r>
              <w:rPr>
                <w:rFonts w:hint="default" w:ascii="Times New Roman" w:hAnsi="Times New Roman" w:cs="Times New Roman"/>
                <w:sz w:val="24"/>
                <w:szCs w:val="24"/>
              </w:rPr>
              <w:t>废乳化液；</w:t>
            </w:r>
            <w:r>
              <w:rPr>
                <w:rFonts w:hint="eastAsia" w:cs="Times New Roman"/>
                <w:sz w:val="24"/>
                <w:szCs w:val="24"/>
                <w:lang w:val="en-US" w:eastAsia="zh-CN"/>
              </w:rPr>
              <w:t>废润滑油</w:t>
            </w:r>
            <w:r>
              <w:rPr>
                <w:rFonts w:hint="default" w:ascii="Times New Roman" w:hAnsi="Times New Roman" w:cs="Times New Roman"/>
                <w:sz w:val="24"/>
                <w:szCs w:val="24"/>
                <w:lang w:eastAsia="zh-CN"/>
              </w:rPr>
              <w:t>、</w:t>
            </w:r>
            <w:r>
              <w:rPr>
                <w:rFonts w:hint="default" w:ascii="Times New Roman" w:hAnsi="Times New Roman" w:cs="Times New Roman" w:eastAsiaTheme="minorEastAsia"/>
                <w:color w:val="000000"/>
                <w:kern w:val="0"/>
                <w:sz w:val="24"/>
                <w:lang w:val="en-US" w:eastAsia="zh-CN"/>
              </w:rPr>
              <w:t>废</w:t>
            </w:r>
            <w:r>
              <w:rPr>
                <w:rFonts w:hint="eastAsia" w:cs="Times New Roman" w:eastAsiaTheme="minorEastAsia"/>
                <w:color w:val="000000"/>
                <w:kern w:val="0"/>
                <w:sz w:val="24"/>
                <w:lang w:val="en-US" w:eastAsia="zh-CN"/>
              </w:rPr>
              <w:t>液压</w:t>
            </w:r>
            <w:r>
              <w:rPr>
                <w:rFonts w:hint="default" w:ascii="Times New Roman" w:hAnsi="Times New Roman" w:cs="Times New Roman" w:eastAsiaTheme="minorEastAsia"/>
                <w:color w:val="000000"/>
                <w:kern w:val="0"/>
                <w:sz w:val="24"/>
                <w:lang w:val="en-US" w:eastAsia="zh-CN"/>
              </w:rPr>
              <w:t>油</w:t>
            </w:r>
            <w:r>
              <w:rPr>
                <w:rFonts w:hint="eastAsia" w:ascii="Times New Roman" w:cs="Times New Roman" w:eastAsiaTheme="minorEastAsia"/>
                <w:color w:val="000000"/>
                <w:kern w:val="0"/>
                <w:sz w:val="24"/>
                <w:lang w:val="en-US" w:eastAsia="zh-CN"/>
              </w:rPr>
              <w:t>、</w:t>
            </w:r>
            <w:r>
              <w:rPr>
                <w:rFonts w:hint="default" w:ascii="Times New Roman" w:hAnsi="Times New Roman" w:cs="Times New Roman"/>
                <w:sz w:val="24"/>
                <w:szCs w:val="24"/>
              </w:rPr>
              <w:t>废反渗透膜</w:t>
            </w:r>
            <w:r>
              <w:rPr>
                <w:rFonts w:hint="eastAsia" w:ascii="Times New Roman" w:cs="Times New Roman"/>
                <w:sz w:val="24"/>
                <w:szCs w:val="24"/>
                <w:lang w:eastAsia="zh-CN"/>
              </w:rPr>
              <w:t>、</w:t>
            </w:r>
            <w:r>
              <w:rPr>
                <w:rFonts w:hint="eastAsia" w:ascii="Times New Roman" w:cs="Times New Roman"/>
                <w:sz w:val="24"/>
                <w:szCs w:val="24"/>
                <w:lang w:val="en-US" w:eastAsia="zh-CN"/>
              </w:rPr>
              <w:t>废</w:t>
            </w:r>
            <w:r>
              <w:rPr>
                <w:rFonts w:hint="default" w:ascii="Times New Roman" w:hAnsi="Times New Roman" w:cs="Times New Roman"/>
                <w:sz w:val="24"/>
                <w:szCs w:val="24"/>
              </w:rPr>
              <w:t>过滤棉</w:t>
            </w:r>
            <w:r>
              <w:rPr>
                <w:rFonts w:hint="eastAsia" w:ascii="Times New Roman" w:cs="Times New Roman"/>
                <w:sz w:val="24"/>
                <w:szCs w:val="24"/>
                <w:lang w:eastAsia="zh-CN"/>
              </w:rPr>
              <w:t>、</w:t>
            </w:r>
            <w:r>
              <w:rPr>
                <w:rFonts w:hint="default" w:ascii="Times New Roman" w:hAnsi="Times New Roman" w:cs="Times New Roman"/>
                <w:sz w:val="24"/>
                <w:szCs w:val="24"/>
              </w:rPr>
              <w:t>废活性炭</w:t>
            </w:r>
            <w:r>
              <w:rPr>
                <w:rFonts w:hint="eastAsia" w:ascii="Times New Roman" w:cs="Times New Roman"/>
                <w:sz w:val="24"/>
                <w:szCs w:val="24"/>
                <w:lang w:eastAsia="zh-CN"/>
              </w:rPr>
              <w:t>、</w:t>
            </w:r>
            <w:r>
              <w:rPr>
                <w:rFonts w:hint="default" w:ascii="Times New Roman" w:hAnsi="Times New Roman" w:cs="Times New Roman"/>
                <w:sz w:val="24"/>
                <w:szCs w:val="24"/>
              </w:rPr>
              <w:t>废UV灯管</w:t>
            </w:r>
            <w:r>
              <w:rPr>
                <w:rFonts w:hint="eastAsia" w:ascii="Times New Roman" w:cs="Times New Roman"/>
                <w:sz w:val="24"/>
                <w:szCs w:val="24"/>
                <w:lang w:eastAsia="zh-CN"/>
              </w:rPr>
              <w:t>、废包装桶</w:t>
            </w:r>
            <w:r>
              <w:rPr>
                <w:rFonts w:hint="eastAsia" w:hAnsi="宋体"/>
                <w:kern w:val="0"/>
                <w:sz w:val="24"/>
                <w:szCs w:val="24"/>
                <w:lang w:eastAsia="zh-CN"/>
              </w:rPr>
              <w:t>废含油手套及抹布</w:t>
            </w:r>
            <w:r>
              <w:rPr>
                <w:rFonts w:hint="eastAsia" w:hAnsi="宋体"/>
                <w:kern w:val="0"/>
                <w:sz w:val="24"/>
                <w:szCs w:val="24"/>
                <w:lang w:val="en-US" w:eastAsia="zh-CN"/>
              </w:rPr>
              <w:t>和</w:t>
            </w:r>
            <w:r>
              <w:rPr>
                <w:rFonts w:hint="default" w:ascii="Times New Roman" w:hAnsi="Times New Roman" w:cs="Times New Roman"/>
                <w:sz w:val="24"/>
                <w:szCs w:val="24"/>
              </w:rPr>
              <w:t>生活垃圾。</w:t>
            </w:r>
          </w:p>
          <w:p>
            <w:pPr>
              <w:pStyle w:val="2"/>
              <w:spacing w:line="360" w:lineRule="auto"/>
              <w:ind w:firstLine="480" w:firstLineChars="200"/>
              <w:jc w:val="both"/>
              <w:rPr>
                <w:rFonts w:hint="eastAsia" w:ascii="Times New Roman" w:hAnsi="Times New Roman" w:eastAsia="宋体" w:cs="Times New Roman"/>
                <w:sz w:val="24"/>
                <w:szCs w:val="24"/>
                <w:lang w:eastAsia="zh-CN"/>
              </w:rPr>
            </w:pPr>
            <w:r>
              <w:rPr>
                <w:rFonts w:hint="default" w:ascii="Times New Roman" w:hAnsi="Times New Roman" w:cs="Times New Roman"/>
                <w:sz w:val="24"/>
                <w:szCs w:val="24"/>
              </w:rPr>
              <w:t>（1）</w:t>
            </w:r>
            <w:r>
              <w:rPr>
                <w:rFonts w:hint="eastAsia" w:ascii="Times New Roman" w:cs="Times New Roman"/>
                <w:sz w:val="24"/>
                <w:szCs w:val="24"/>
                <w:lang w:eastAsia="zh-CN"/>
              </w:rPr>
              <w:t>边角料和金属废屑</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项目机械加工生产过程中会产生一定量原料边角料和金属废屑，产生量为</w:t>
            </w:r>
            <w:r>
              <w:rPr>
                <w:rFonts w:hint="eastAsia" w:ascii="Times New Roman" w:cs="Times New Roman"/>
                <w:sz w:val="24"/>
                <w:szCs w:val="24"/>
                <w:lang w:val="en-US" w:eastAsia="zh-CN"/>
              </w:rPr>
              <w:t>164.57</w:t>
            </w:r>
            <w:r>
              <w:rPr>
                <w:rFonts w:hint="default" w:ascii="Times New Roman" w:hAnsi="Times New Roman" w:cs="Times New Roman"/>
                <w:sz w:val="24"/>
                <w:szCs w:val="24"/>
              </w:rPr>
              <w:t>t/a。边角料和金属废屑属于一般固废，收集后暂存一般固废暂存间，定期统一交物资回收公司回收利用。</w:t>
            </w:r>
          </w:p>
          <w:p>
            <w:pPr>
              <w:pStyle w:val="2"/>
              <w:spacing w:line="360" w:lineRule="auto"/>
              <w:ind w:firstLine="480" w:firstLineChars="200"/>
              <w:jc w:val="both"/>
              <w:rPr>
                <w:rFonts w:hint="eastAsia" w:ascii="Times New Roman" w:hAnsi="Times New Roman" w:eastAsia="宋体" w:cs="Times New Roman"/>
                <w:sz w:val="24"/>
                <w:szCs w:val="24"/>
                <w:lang w:eastAsia="zh-CN"/>
              </w:rPr>
            </w:pPr>
            <w:r>
              <w:rPr>
                <w:rFonts w:hint="default" w:ascii="Times New Roman" w:hAnsi="Times New Roman" w:cs="Times New Roman"/>
                <w:sz w:val="24"/>
                <w:szCs w:val="24"/>
              </w:rPr>
              <w:t>（2）</w:t>
            </w:r>
            <w:r>
              <w:rPr>
                <w:rFonts w:hint="eastAsia" w:ascii="Times New Roman" w:cs="Times New Roman"/>
                <w:sz w:val="24"/>
                <w:szCs w:val="24"/>
                <w:lang w:eastAsia="zh-CN"/>
              </w:rPr>
              <w:t>除尘器（机加工、抛丸、焊接）收集尘</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项目</w:t>
            </w:r>
            <w:r>
              <w:rPr>
                <w:rFonts w:hint="eastAsia" w:ascii="Times New Roman" w:cs="Times New Roman"/>
                <w:sz w:val="24"/>
                <w:szCs w:val="24"/>
                <w:lang w:eastAsia="zh-CN"/>
              </w:rPr>
              <w:t>机加工、抛丸、焊接</w:t>
            </w:r>
            <w:r>
              <w:rPr>
                <w:rFonts w:hint="default" w:ascii="Times New Roman" w:hAnsi="Times New Roman" w:cs="Times New Roman"/>
                <w:sz w:val="24"/>
                <w:szCs w:val="24"/>
              </w:rPr>
              <w:t>过程产生的粉尘分别经除尘器收集处理，除尘器（</w:t>
            </w:r>
            <w:r>
              <w:rPr>
                <w:rFonts w:hint="eastAsia" w:ascii="Times New Roman" w:cs="Times New Roman"/>
                <w:sz w:val="24"/>
                <w:szCs w:val="24"/>
                <w:lang w:eastAsia="zh-CN"/>
              </w:rPr>
              <w:t>机加工、抛丸、焊接</w:t>
            </w:r>
            <w:r>
              <w:rPr>
                <w:rFonts w:hint="default" w:ascii="Times New Roman" w:hAnsi="Times New Roman" w:cs="Times New Roman"/>
                <w:sz w:val="24"/>
                <w:szCs w:val="24"/>
              </w:rPr>
              <w:t>）收集颗粒物总量约为</w:t>
            </w:r>
            <w:r>
              <w:rPr>
                <w:rFonts w:hint="eastAsia" w:ascii="Times New Roman" w:cs="Times New Roman"/>
                <w:sz w:val="24"/>
                <w:szCs w:val="24"/>
                <w:lang w:val="en-US" w:eastAsia="zh-CN"/>
              </w:rPr>
              <w:t>17.74</w:t>
            </w:r>
            <w:r>
              <w:rPr>
                <w:rFonts w:hint="default" w:ascii="Times New Roman" w:hAnsi="Times New Roman" w:cs="Times New Roman"/>
                <w:sz w:val="24"/>
                <w:szCs w:val="24"/>
              </w:rPr>
              <w:t>t/a。除尘器（</w:t>
            </w:r>
            <w:r>
              <w:rPr>
                <w:rFonts w:hint="eastAsia" w:ascii="Times New Roman" w:cs="Times New Roman"/>
                <w:sz w:val="24"/>
                <w:szCs w:val="24"/>
                <w:lang w:eastAsia="zh-CN"/>
              </w:rPr>
              <w:t>机加工、抛丸、焊接</w:t>
            </w:r>
            <w:r>
              <w:rPr>
                <w:rFonts w:hint="default" w:ascii="Times New Roman" w:hAnsi="Times New Roman" w:cs="Times New Roman"/>
                <w:sz w:val="24"/>
                <w:szCs w:val="24"/>
              </w:rPr>
              <w:t>、打磨）收集颗粒物属于一般固废，收集后暂存一般固废暂存间，统一交物资回收公司回收利用。</w:t>
            </w:r>
          </w:p>
          <w:p>
            <w:pPr>
              <w:pStyle w:val="2"/>
              <w:spacing w:line="360" w:lineRule="auto"/>
              <w:ind w:firstLine="480" w:firstLineChars="200"/>
              <w:jc w:val="both"/>
              <w:rPr>
                <w:rFonts w:hint="eastAsia" w:ascii="Times New Roman" w:hAnsi="Times New Roman" w:eastAsia="宋体" w:cs="Times New Roman"/>
                <w:sz w:val="24"/>
                <w:szCs w:val="24"/>
                <w:lang w:eastAsia="zh-CN"/>
              </w:rPr>
            </w:pPr>
            <w:r>
              <w:rPr>
                <w:rFonts w:hint="default" w:ascii="Times New Roman" w:hAnsi="Times New Roman" w:cs="Times New Roman"/>
                <w:sz w:val="24"/>
                <w:szCs w:val="24"/>
              </w:rPr>
              <w:t>（3）</w:t>
            </w:r>
            <w:r>
              <w:rPr>
                <w:rFonts w:hint="eastAsia" w:ascii="Times New Roman" w:cs="Times New Roman"/>
                <w:sz w:val="24"/>
                <w:szCs w:val="24"/>
                <w:lang w:eastAsia="zh-CN"/>
              </w:rPr>
              <w:t>除尘器（多元合金共渗）收集尘</w:t>
            </w:r>
          </w:p>
          <w:p>
            <w:pPr>
              <w:pStyle w:val="2"/>
              <w:spacing w:line="360" w:lineRule="auto"/>
              <w:ind w:firstLine="480" w:firstLineChars="200"/>
              <w:jc w:val="both"/>
              <w:rPr>
                <w:rFonts w:hint="default" w:ascii="Times New Roman" w:hAnsi="Times New Roman" w:cs="Times New Roman" w:eastAsiaTheme="minorEastAsia"/>
                <w:sz w:val="24"/>
                <w:szCs w:val="24"/>
                <w:lang w:val="zh-CN"/>
              </w:rPr>
            </w:pPr>
            <w:r>
              <w:rPr>
                <w:rFonts w:hint="default" w:ascii="Times New Roman" w:hAnsi="Times New Roman" w:cs="Times New Roman" w:eastAsiaTheme="minorEastAsia"/>
                <w:sz w:val="24"/>
                <w:szCs w:val="24"/>
                <w:lang w:val="zh-CN"/>
              </w:rPr>
              <w:t>项目</w:t>
            </w:r>
            <w:r>
              <w:rPr>
                <w:rFonts w:hint="eastAsia"/>
                <w:sz w:val="24"/>
              </w:rPr>
              <w:t>多元合金共渗</w:t>
            </w:r>
            <w:r>
              <w:rPr>
                <w:rFonts w:hint="eastAsia"/>
                <w:sz w:val="24"/>
                <w:lang w:val="en-US" w:eastAsia="zh-CN"/>
              </w:rPr>
              <w:t>炉料分离</w:t>
            </w:r>
            <w:r>
              <w:rPr>
                <w:rFonts w:hint="eastAsia"/>
                <w:sz w:val="24"/>
              </w:rPr>
              <w:t>过程产生的粉尘经布袋除尘器收集处理</w:t>
            </w:r>
            <w:r>
              <w:rPr>
                <w:rFonts w:hint="default" w:ascii="Times New Roman" w:hAnsi="Times New Roman" w:cs="Times New Roman" w:eastAsiaTheme="minorEastAsia"/>
                <w:sz w:val="24"/>
                <w:szCs w:val="24"/>
                <w:lang w:val="zh-CN"/>
              </w:rPr>
              <w:t>，</w:t>
            </w:r>
            <w:r>
              <w:rPr>
                <w:rFonts w:hint="eastAsia"/>
                <w:sz w:val="24"/>
                <w:lang w:val="en-US" w:eastAsia="zh-CN"/>
              </w:rPr>
              <w:t>炉料分离</w:t>
            </w:r>
            <w:r>
              <w:rPr>
                <w:rFonts w:hint="eastAsia"/>
                <w:sz w:val="24"/>
              </w:rPr>
              <w:t>除尘器收集</w:t>
            </w:r>
            <w:r>
              <w:rPr>
                <w:rFonts w:hint="eastAsia"/>
                <w:sz w:val="24"/>
                <w:lang w:val="en-US" w:eastAsia="zh-CN"/>
              </w:rPr>
              <w:t>尘</w:t>
            </w:r>
            <w:r>
              <w:rPr>
                <w:rFonts w:hint="eastAsia"/>
                <w:sz w:val="24"/>
              </w:rPr>
              <w:t>量</w:t>
            </w:r>
            <w:r>
              <w:rPr>
                <w:rFonts w:hint="default" w:ascii="Times New Roman" w:hAnsi="Times New Roman" w:cs="Times New Roman" w:eastAsiaTheme="minorEastAsia"/>
                <w:sz w:val="24"/>
                <w:szCs w:val="24"/>
                <w:lang w:val="zh-CN"/>
              </w:rPr>
              <w:t>为</w:t>
            </w:r>
            <w:r>
              <w:rPr>
                <w:rFonts w:hint="eastAsia" w:ascii="Times New Roman" w:cs="Times New Roman" w:eastAsiaTheme="minorEastAsia"/>
                <w:sz w:val="24"/>
                <w:szCs w:val="24"/>
                <w:lang w:val="en-US" w:eastAsia="zh-CN"/>
              </w:rPr>
              <w:t>1.519</w:t>
            </w:r>
            <w:r>
              <w:rPr>
                <w:rFonts w:hint="default" w:ascii="Times New Roman" w:hAnsi="Times New Roman" w:cs="Times New Roman" w:eastAsiaTheme="minorEastAsia"/>
                <w:sz w:val="24"/>
                <w:szCs w:val="24"/>
                <w:lang w:val="zh-CN"/>
              </w:rPr>
              <w:t>t/a，</w:t>
            </w:r>
            <w:r>
              <w:rPr>
                <w:rFonts w:hint="eastAsia" w:ascii="Times New Roman" w:cs="Times New Roman" w:eastAsiaTheme="minorEastAsia"/>
                <w:sz w:val="24"/>
                <w:szCs w:val="24"/>
                <w:lang w:val="en-US" w:eastAsia="zh-CN"/>
              </w:rPr>
              <w:t>多</w:t>
            </w:r>
            <w:r>
              <w:rPr>
                <w:rFonts w:hint="default" w:ascii="Times New Roman" w:hAnsi="Times New Roman" w:cs="Times New Roman" w:eastAsiaTheme="minorEastAsia"/>
                <w:sz w:val="24"/>
                <w:szCs w:val="24"/>
                <w:lang w:val="zh-CN"/>
              </w:rPr>
              <w:t>为锌粉、铝粉及石英砂粉尘，</w:t>
            </w:r>
            <w:r>
              <w:rPr>
                <w:rFonts w:hint="eastAsia"/>
                <w:sz w:val="24"/>
              </w:rPr>
              <w:t>作为渗剂回用于渗锌工段</w:t>
            </w:r>
            <w:r>
              <w:rPr>
                <w:rFonts w:hint="default" w:ascii="Times New Roman" w:hAnsi="Times New Roman" w:cs="Times New Roman" w:eastAsiaTheme="minorEastAsia"/>
                <w:sz w:val="24"/>
                <w:szCs w:val="24"/>
                <w:lang w:val="zh-CN"/>
              </w:rPr>
              <w:t>。</w:t>
            </w:r>
          </w:p>
          <w:p>
            <w:pPr>
              <w:pStyle w:val="2"/>
              <w:spacing w:line="360" w:lineRule="auto"/>
              <w:ind w:firstLine="480" w:firstLineChars="200"/>
              <w:jc w:val="both"/>
              <w:rPr>
                <w:rFonts w:hint="default" w:ascii="Times New Roman" w:hAnsi="Times New Roman" w:cs="Times New Roman" w:eastAsiaTheme="minorEastAsia"/>
                <w:sz w:val="24"/>
                <w:szCs w:val="24"/>
                <w:lang w:val="zh-CN"/>
              </w:rPr>
            </w:pPr>
            <w:r>
              <w:rPr>
                <w:rFonts w:hint="default" w:ascii="Times New Roman" w:hAnsi="Times New Roman" w:cs="Times New Roman" w:eastAsiaTheme="minorEastAsia"/>
                <w:sz w:val="24"/>
                <w:szCs w:val="24"/>
                <w:lang w:val="zh-CN"/>
              </w:rPr>
              <w:t>（4）</w:t>
            </w:r>
            <w:r>
              <w:rPr>
                <w:rFonts w:hint="eastAsia" w:ascii="Times New Roman" w:cs="Times New Roman" w:eastAsiaTheme="minorEastAsia"/>
                <w:sz w:val="24"/>
                <w:szCs w:val="24"/>
                <w:lang w:val="zh-CN"/>
              </w:rPr>
              <w:t>压滤机压滤泥饼</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eastAsiaTheme="minorEastAsia"/>
                <w:sz w:val="24"/>
                <w:szCs w:val="24"/>
                <w:lang w:val="zh-CN"/>
              </w:rPr>
              <w:t>项目多元</w:t>
            </w:r>
            <w:r>
              <w:rPr>
                <w:rFonts w:hint="default" w:ascii="Times New Roman" w:hAnsi="Times New Roman" w:cs="Times New Roman"/>
                <w:sz w:val="24"/>
                <w:szCs w:val="24"/>
              </w:rPr>
              <w:t>合金共渗的工件</w:t>
            </w:r>
            <w:r>
              <w:rPr>
                <w:rFonts w:hint="default" w:ascii="Times New Roman" w:hAnsi="Times New Roman" w:cs="Times New Roman" w:eastAsiaTheme="minorEastAsia"/>
                <w:sz w:val="24"/>
                <w:szCs w:val="24"/>
                <w:lang w:val="zh-CN"/>
              </w:rPr>
              <w:t>表面会残留锌粉和石英砂，</w:t>
            </w:r>
            <w:r>
              <w:rPr>
                <w:rFonts w:hint="default" w:ascii="Times New Roman" w:hAnsi="Times New Roman" w:cs="Times New Roman"/>
                <w:sz w:val="24"/>
                <w:szCs w:val="24"/>
              </w:rPr>
              <w:t>需要放入</w:t>
            </w:r>
            <w:r>
              <w:rPr>
                <w:rFonts w:hint="default" w:ascii="Times New Roman" w:hAnsi="Times New Roman" w:cs="Times New Roman" w:eastAsiaTheme="minorEastAsia"/>
                <w:sz w:val="24"/>
                <w:szCs w:val="24"/>
                <w:lang w:val="zh-CN"/>
              </w:rPr>
              <w:t>全自动悬链钝化封闭线喷淋室中进行清洗，经清洗后，清洗废水进入沉淀池，随后进入压滤机进行压滤产生泥饼，此部分沉渣多为多元</w:t>
            </w:r>
            <w:r>
              <w:rPr>
                <w:rFonts w:hint="default" w:ascii="Times New Roman" w:hAnsi="Times New Roman" w:cs="Times New Roman"/>
                <w:sz w:val="24"/>
                <w:szCs w:val="24"/>
              </w:rPr>
              <w:t>合金共渗的工件</w:t>
            </w:r>
            <w:r>
              <w:rPr>
                <w:rFonts w:hint="default" w:ascii="Times New Roman" w:hAnsi="Times New Roman" w:cs="Times New Roman" w:eastAsiaTheme="minorEastAsia"/>
                <w:sz w:val="24"/>
                <w:szCs w:val="24"/>
                <w:lang w:val="zh-CN"/>
              </w:rPr>
              <w:t>表面残留的锌粉和石英砂，</w:t>
            </w:r>
            <w:r>
              <w:rPr>
                <w:rFonts w:hint="default" w:ascii="Times New Roman" w:hAnsi="Times New Roman" w:cs="Times New Roman"/>
                <w:sz w:val="24"/>
                <w:szCs w:val="24"/>
              </w:rPr>
              <w:t>泥饼产生量约为（含水率40%）0.035t/a</w:t>
            </w:r>
            <w:r>
              <w:rPr>
                <w:rFonts w:hint="eastAsia" w:ascii="Times New Roman" w:cs="Times New Roman"/>
                <w:sz w:val="24"/>
                <w:szCs w:val="24"/>
                <w:lang w:eastAsia="zh-CN"/>
              </w:rPr>
              <w:t>，作为渗剂回用于渗锌工段</w:t>
            </w:r>
            <w:r>
              <w:rPr>
                <w:rFonts w:hint="default" w:ascii="Times New Roman" w:hAnsi="Times New Roman" w:cs="Times New Roman"/>
                <w:sz w:val="24"/>
                <w:szCs w:val="24"/>
              </w:rPr>
              <w:t>。</w:t>
            </w:r>
          </w:p>
          <w:p>
            <w:pPr>
              <w:pStyle w:val="2"/>
              <w:spacing w:line="360" w:lineRule="auto"/>
              <w:ind w:firstLine="480" w:firstLineChars="200"/>
              <w:jc w:val="both"/>
              <w:rPr>
                <w:rFonts w:hint="default" w:ascii="Times New Roman" w:hAnsi="Times New Roman" w:cs="Times New Roman" w:eastAsiaTheme="minorEastAsia"/>
                <w:sz w:val="24"/>
                <w:szCs w:val="24"/>
                <w:lang w:val="zh-CN"/>
              </w:rPr>
            </w:pPr>
            <w:r>
              <w:rPr>
                <w:rFonts w:hint="default" w:ascii="Times New Roman" w:hAnsi="Times New Roman" w:cs="Times New Roman" w:eastAsiaTheme="minorEastAsia"/>
                <w:sz w:val="24"/>
                <w:szCs w:val="24"/>
                <w:lang w:val="zh-CN"/>
              </w:rPr>
              <w:t>（</w:t>
            </w:r>
            <w:r>
              <w:rPr>
                <w:rFonts w:hint="eastAsia" w:ascii="Times New Roman" w:cs="Times New Roman" w:eastAsiaTheme="minorEastAsia"/>
                <w:sz w:val="24"/>
                <w:szCs w:val="24"/>
                <w:lang w:val="en-US" w:eastAsia="zh-CN"/>
              </w:rPr>
              <w:t>5</w:t>
            </w:r>
            <w:r>
              <w:rPr>
                <w:rFonts w:hint="default" w:ascii="Times New Roman" w:hAnsi="Times New Roman" w:cs="Times New Roman" w:eastAsiaTheme="minorEastAsia"/>
                <w:sz w:val="24"/>
                <w:szCs w:val="24"/>
                <w:lang w:val="zh-CN"/>
              </w:rPr>
              <w:t>）废反渗透膜</w:t>
            </w:r>
          </w:p>
          <w:p>
            <w:pPr>
              <w:pStyle w:val="2"/>
              <w:spacing w:line="360" w:lineRule="auto"/>
              <w:ind w:firstLine="480" w:firstLineChars="200"/>
              <w:jc w:val="both"/>
              <w:rPr>
                <w:rFonts w:hint="default" w:ascii="Times New Roman" w:hAnsi="Times New Roman" w:cs="Times New Roman" w:eastAsiaTheme="minorEastAsia"/>
                <w:sz w:val="24"/>
                <w:szCs w:val="24"/>
                <w:lang w:val="zh-CN"/>
              </w:rPr>
            </w:pPr>
            <w:r>
              <w:rPr>
                <w:rFonts w:hint="eastAsia" w:ascii="Times New Roman" w:cs="Times New Roman" w:eastAsiaTheme="minorEastAsia"/>
                <w:sz w:val="24"/>
                <w:szCs w:val="24"/>
                <w:lang w:val="en-US" w:eastAsia="zh-CN"/>
              </w:rPr>
              <w:t>项目</w:t>
            </w:r>
            <w:r>
              <w:rPr>
                <w:rFonts w:hint="default" w:ascii="Times New Roman" w:hAnsi="Times New Roman" w:cs="Times New Roman" w:eastAsiaTheme="minorEastAsia"/>
                <w:sz w:val="24"/>
                <w:szCs w:val="24"/>
                <w:lang w:val="zh-CN"/>
              </w:rPr>
              <w:t>纯水制备采取工艺为反渗透膜处理工艺，反渗透膜的更换频率约为3年更换一次，更换下来的废反渗透膜（约0.0</w:t>
            </w:r>
            <w:r>
              <w:rPr>
                <w:rFonts w:hint="eastAsia" w:ascii="Times New Roman" w:cs="Times New Roman" w:eastAsiaTheme="minorEastAsia"/>
                <w:sz w:val="24"/>
                <w:szCs w:val="24"/>
                <w:lang w:val="en-US" w:eastAsia="zh-CN"/>
              </w:rPr>
              <w:t>3</w:t>
            </w:r>
            <w:r>
              <w:rPr>
                <w:rFonts w:hint="default" w:ascii="Times New Roman" w:hAnsi="Times New Roman" w:cs="Times New Roman" w:eastAsiaTheme="minorEastAsia"/>
                <w:sz w:val="24"/>
                <w:szCs w:val="24"/>
                <w:lang w:val="zh-CN"/>
              </w:rPr>
              <w:t>t/a）</w:t>
            </w:r>
            <w:r>
              <w:rPr>
                <w:rFonts w:hint="default" w:ascii="Times New Roman" w:hAnsi="Times New Roman" w:cs="Times New Roman"/>
                <w:sz w:val="24"/>
                <w:szCs w:val="24"/>
              </w:rPr>
              <w:t>由厂家回收处理。</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eastAsia" w:ascii="Times New Roman" w:cs="Times New Roman"/>
                <w:sz w:val="24"/>
                <w:szCs w:val="24"/>
                <w:lang w:val="en-US" w:eastAsia="zh-CN"/>
              </w:rPr>
              <w:t>6</w:t>
            </w:r>
            <w:r>
              <w:rPr>
                <w:rFonts w:hint="default" w:ascii="Times New Roman" w:hAnsi="Times New Roman" w:cs="Times New Roman"/>
                <w:sz w:val="24"/>
                <w:szCs w:val="24"/>
              </w:rPr>
              <w:t>）废乳化液</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eastAsiaTheme="minorEastAsia"/>
                <w:sz w:val="24"/>
                <w:szCs w:val="24"/>
                <w:lang w:val="zh-CN"/>
              </w:rPr>
              <w:t>乳化液主要作用为机械加工其冷却作用，机械设备均自带乳化液回收循环系统，因此，本项目废乳化液产生量占总量的10%左右（即</w:t>
            </w:r>
            <w:r>
              <w:rPr>
                <w:rFonts w:hint="eastAsia" w:ascii="Times New Roman" w:cs="Times New Roman" w:eastAsiaTheme="minorEastAsia"/>
                <w:sz w:val="24"/>
                <w:szCs w:val="24"/>
                <w:lang w:val="en-US" w:eastAsia="zh-CN"/>
              </w:rPr>
              <w:t>0.3</w:t>
            </w:r>
            <w:r>
              <w:rPr>
                <w:rFonts w:hint="default" w:ascii="Times New Roman" w:hAnsi="Times New Roman" w:cs="Times New Roman" w:eastAsiaTheme="minorEastAsia"/>
                <w:sz w:val="24"/>
                <w:szCs w:val="24"/>
                <w:lang w:val="zh-CN"/>
              </w:rPr>
              <w:t>t/a）。</w:t>
            </w:r>
            <w:r>
              <w:rPr>
                <w:rFonts w:hint="default" w:ascii="Times New Roman" w:hAnsi="Times New Roman" w:cs="Times New Roman"/>
                <w:sz w:val="24"/>
                <w:szCs w:val="24"/>
              </w:rPr>
              <w:t>根据</w:t>
            </w:r>
            <w:r>
              <w:rPr>
                <w:rFonts w:hint="eastAsia" w:ascii="Times New Roman" w:hAnsi="Times New Roman" w:cs="Times New Roman"/>
                <w:sz w:val="24"/>
                <w:szCs w:val="24"/>
                <w:lang w:eastAsia="zh-CN"/>
              </w:rPr>
              <w:t>《国家危险废物名录》（2021年版）</w:t>
            </w:r>
            <w:r>
              <w:rPr>
                <w:rFonts w:hint="default" w:ascii="Times New Roman" w:hAnsi="Times New Roman" w:cs="Times New Roman"/>
                <w:sz w:val="24"/>
                <w:szCs w:val="24"/>
              </w:rPr>
              <w:t>，</w:t>
            </w:r>
            <w:r>
              <w:rPr>
                <w:rFonts w:hint="default" w:ascii="Times New Roman" w:hAnsi="Times New Roman" w:cs="Times New Roman" w:eastAsiaTheme="minorEastAsia"/>
                <w:sz w:val="24"/>
                <w:szCs w:val="24"/>
                <w:lang w:val="zh-CN"/>
              </w:rPr>
              <w:t>废乳化液属于危险废物，危废代码为</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inorEastAsia"/>
                <w:sz w:val="24"/>
                <w:szCs w:val="24"/>
                <w:lang w:val="zh-CN"/>
              </w:rPr>
              <w:t>HW09 油/水、烃/水混合物或乳化液 900-006-09</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inorEastAsia"/>
                <w:sz w:val="24"/>
                <w:szCs w:val="24"/>
                <w:lang w:val="zh-CN"/>
              </w:rPr>
              <w:t>，专用容器贮存于危废暂存间，定期委托有资质单位处置。</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eastAsia" w:ascii="Times New Roman" w:cs="Times New Roman"/>
                <w:sz w:val="24"/>
                <w:szCs w:val="24"/>
                <w:lang w:val="en-US" w:eastAsia="zh-CN"/>
              </w:rPr>
              <w:t>7</w:t>
            </w:r>
            <w:r>
              <w:rPr>
                <w:rFonts w:hint="default" w:ascii="Times New Roman" w:hAnsi="Times New Roman" w:cs="Times New Roman"/>
                <w:sz w:val="24"/>
                <w:szCs w:val="24"/>
              </w:rPr>
              <w:t>）</w:t>
            </w:r>
            <w:r>
              <w:rPr>
                <w:rFonts w:hint="eastAsia" w:cs="Times New Roman"/>
                <w:sz w:val="24"/>
                <w:szCs w:val="24"/>
                <w:lang w:val="en-US" w:eastAsia="zh-CN"/>
              </w:rPr>
              <w:t>废润滑油</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eastAsiaTheme="minorEastAsia"/>
                <w:sz w:val="24"/>
                <w:szCs w:val="24"/>
                <w:lang w:val="zh-CN"/>
              </w:rPr>
              <w:t>项目厂区生产设备维修和维护过程中会产生少量的废润滑油，产生量为0.01t/a。</w:t>
            </w:r>
            <w:r>
              <w:rPr>
                <w:rFonts w:hint="default" w:ascii="Times New Roman" w:hAnsi="Times New Roman" w:cs="Times New Roman"/>
                <w:sz w:val="24"/>
                <w:szCs w:val="24"/>
              </w:rPr>
              <w:t>根据</w:t>
            </w:r>
            <w:r>
              <w:rPr>
                <w:rFonts w:hint="eastAsia" w:ascii="Times New Roman" w:hAnsi="Times New Roman" w:cs="Times New Roman"/>
                <w:sz w:val="24"/>
                <w:szCs w:val="24"/>
                <w:lang w:eastAsia="zh-CN"/>
              </w:rPr>
              <w:t>《国家危险废物名录》（2021年版）</w:t>
            </w:r>
            <w:r>
              <w:rPr>
                <w:rFonts w:hint="default" w:ascii="Times New Roman" w:hAnsi="Times New Roman" w:cs="Times New Roman"/>
                <w:sz w:val="24"/>
                <w:szCs w:val="24"/>
              </w:rPr>
              <w:t>，废润滑油</w:t>
            </w:r>
            <w:r>
              <w:rPr>
                <w:rFonts w:hint="default" w:ascii="Times New Roman" w:hAnsi="Times New Roman" w:cs="Times New Roman" w:eastAsiaTheme="minorEastAsia"/>
                <w:sz w:val="24"/>
                <w:szCs w:val="24"/>
                <w:lang w:val="zh-CN"/>
              </w:rPr>
              <w:t>属于危险废物，危废代码为</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inorEastAsia"/>
                <w:sz w:val="24"/>
                <w:szCs w:val="24"/>
                <w:lang w:val="zh-CN"/>
              </w:rPr>
              <w:t>HW08废矿物油与含矿物油废物 900-217-08</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inorEastAsia"/>
                <w:sz w:val="24"/>
                <w:szCs w:val="24"/>
                <w:lang w:val="zh-CN"/>
              </w:rPr>
              <w:t>，专用容器贮存于危废暂存间，定期委托有资质单位处置。</w:t>
            </w:r>
          </w:p>
          <w:p>
            <w:pPr>
              <w:pStyle w:val="2"/>
              <w:spacing w:line="360" w:lineRule="auto"/>
              <w:ind w:firstLine="480" w:firstLineChars="200"/>
              <w:jc w:val="both"/>
              <w:rPr>
                <w:rFonts w:hint="default" w:ascii="Times New Roman" w:hAnsi="Times New Roman" w:cs="Times New Roman"/>
                <w:lang w:val="en-US" w:eastAsia="zh-CN"/>
              </w:rPr>
            </w:pPr>
            <w:r>
              <w:rPr>
                <w:rFonts w:hint="eastAsia" w:ascii="Times New Roman" w:cs="Times New Roman"/>
                <w:lang w:eastAsia="zh-CN"/>
              </w:rPr>
              <w:t>（</w:t>
            </w:r>
            <w:r>
              <w:rPr>
                <w:rFonts w:hint="eastAsia" w:ascii="Times New Roman" w:cs="Times New Roman"/>
                <w:lang w:val="en-US" w:eastAsia="zh-CN"/>
              </w:rPr>
              <w:t>8</w:t>
            </w:r>
            <w:r>
              <w:rPr>
                <w:rFonts w:hint="eastAsia" w:ascii="Times New Roman" w:cs="Times New Roman"/>
                <w:lang w:eastAsia="zh-CN"/>
              </w:rPr>
              <w:t>）</w:t>
            </w:r>
            <w:r>
              <w:rPr>
                <w:rFonts w:hint="eastAsia" w:ascii="Times New Roman" w:cs="Times New Roman"/>
                <w:lang w:val="en-US" w:eastAsia="zh-CN"/>
              </w:rPr>
              <w:t>废液压油</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lang w:eastAsia="zh-CN"/>
              </w:rPr>
              <w:t>液压油就是利用液体压力能的液压系统使用的液压介质，在液压系统中起着能量传递、抗磨、系统润滑、防腐、防锈、冷却等作用。本项目在维护设备时会消耗一定量液压油，根据建设单位提供资料得知，项目液压油每2年更换一次，本项目废液压油液产生量占总量的</w:t>
            </w:r>
            <w:r>
              <w:rPr>
                <w:rFonts w:hint="eastAsia" w:ascii="Times New Roman" w:cs="Times New Roman"/>
                <w:lang w:val="en-US" w:eastAsia="zh-CN"/>
              </w:rPr>
              <w:t>25</w:t>
            </w:r>
            <w:r>
              <w:rPr>
                <w:rFonts w:hint="default" w:ascii="Times New Roman" w:hAnsi="Times New Roman" w:cs="Times New Roman"/>
                <w:lang w:eastAsia="zh-CN"/>
              </w:rPr>
              <w:t>%左右（即0.</w:t>
            </w:r>
            <w:r>
              <w:rPr>
                <w:rFonts w:hint="eastAsia" w:ascii="Times New Roman" w:cs="Times New Roman"/>
                <w:lang w:val="en-US" w:eastAsia="zh-CN"/>
              </w:rPr>
              <w:t>0</w:t>
            </w:r>
            <w:r>
              <w:rPr>
                <w:rFonts w:hint="default" w:ascii="Times New Roman" w:hAnsi="Times New Roman" w:cs="Times New Roman"/>
                <w:lang w:eastAsia="zh-CN"/>
              </w:rPr>
              <w:t>3t/a）</w:t>
            </w:r>
            <w:r>
              <w:rPr>
                <w:rFonts w:hint="eastAsia" w:ascii="Times New Roman" w:cs="Times New Roman"/>
                <w:lang w:eastAsia="zh-CN"/>
              </w:rPr>
              <w:t>。</w:t>
            </w:r>
            <w:r>
              <w:rPr>
                <w:rFonts w:hint="default" w:ascii="Times New Roman" w:hAnsi="Times New Roman" w:cs="Times New Roman"/>
                <w:sz w:val="24"/>
                <w:szCs w:val="24"/>
              </w:rPr>
              <w:t>根据</w:t>
            </w:r>
            <w:r>
              <w:rPr>
                <w:rFonts w:hint="eastAsia" w:ascii="Times New Roman" w:hAnsi="Times New Roman" w:cs="Times New Roman"/>
                <w:sz w:val="24"/>
                <w:szCs w:val="24"/>
                <w:lang w:eastAsia="zh-CN"/>
              </w:rPr>
              <w:t>《国家危险废物名录》（2021年版）</w:t>
            </w:r>
            <w:r>
              <w:rPr>
                <w:rFonts w:hint="default" w:ascii="Times New Roman" w:hAnsi="Times New Roman" w:cs="Times New Roman"/>
                <w:lang w:eastAsia="zh-CN"/>
              </w:rPr>
              <w:t>，废液压油</w:t>
            </w:r>
            <w:r>
              <w:rPr>
                <w:rFonts w:hint="eastAsia" w:ascii="Times New Roman" w:cs="Times New Roman"/>
                <w:lang w:val="en-US" w:eastAsia="zh-CN"/>
              </w:rPr>
              <w:t>属于</w:t>
            </w:r>
            <w:r>
              <w:rPr>
                <w:rFonts w:hint="default" w:ascii="Times New Roman" w:hAnsi="Times New Roman" w:cs="Times New Roman"/>
                <w:lang w:eastAsia="zh-CN"/>
              </w:rPr>
              <w:t>危险固废，</w:t>
            </w:r>
            <w:r>
              <w:rPr>
                <w:rFonts w:hint="default" w:ascii="Times New Roman" w:hAnsi="Times New Roman" w:cs="Times New Roman" w:eastAsiaTheme="minorEastAsia"/>
                <w:sz w:val="24"/>
                <w:szCs w:val="24"/>
                <w:lang w:val="zh-CN"/>
              </w:rPr>
              <w:t>危废代码为</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inorEastAsia"/>
                <w:sz w:val="24"/>
                <w:szCs w:val="24"/>
                <w:lang w:val="zh-CN"/>
              </w:rPr>
              <w:t>HW08</w:t>
            </w:r>
            <w:r>
              <w:rPr>
                <w:rFonts w:hint="eastAsia" w:ascii="Times New Roman" w:cs="Times New Roman" w:eastAsiaTheme="minorEastAsia"/>
                <w:sz w:val="24"/>
                <w:szCs w:val="24"/>
                <w:lang w:val="en-US" w:eastAsia="zh-CN"/>
              </w:rPr>
              <w:t xml:space="preserve"> </w:t>
            </w:r>
            <w:r>
              <w:rPr>
                <w:rFonts w:hint="default" w:ascii="Times New Roman" w:hAnsi="Times New Roman" w:cs="Times New Roman" w:eastAsiaTheme="minorEastAsia"/>
                <w:sz w:val="24"/>
                <w:szCs w:val="24"/>
                <w:lang w:val="zh-CN"/>
              </w:rPr>
              <w:t>废矿物油与含矿物油废物 900-217-08</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lang w:eastAsia="zh-CN"/>
              </w:rPr>
              <w:t>，专用容器储存于危险固废暂存间，定期交由有资质单位进行处理</w:t>
            </w:r>
            <w:r>
              <w:rPr>
                <w:rFonts w:hint="eastAsia" w:ascii="Times New Roman" w:cs="Times New Roman"/>
                <w:lang w:eastAsia="zh-CN"/>
              </w:rPr>
              <w:t>。</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eastAsia" w:ascii="Times New Roman" w:cs="Times New Roman"/>
                <w:sz w:val="24"/>
                <w:szCs w:val="24"/>
                <w:lang w:val="en-US" w:eastAsia="zh-CN"/>
              </w:rPr>
              <w:t>9</w:t>
            </w:r>
            <w:r>
              <w:rPr>
                <w:rFonts w:hint="default" w:ascii="Times New Roman" w:hAnsi="Times New Roman" w:cs="Times New Roman"/>
                <w:sz w:val="24"/>
                <w:szCs w:val="24"/>
              </w:rPr>
              <w:t>）</w:t>
            </w:r>
            <w:r>
              <w:rPr>
                <w:rFonts w:hint="eastAsia" w:ascii="Times New Roman" w:cs="Times New Roman"/>
                <w:sz w:val="24"/>
                <w:szCs w:val="24"/>
                <w:lang w:val="en-US" w:eastAsia="zh-CN"/>
              </w:rPr>
              <w:t>废</w:t>
            </w:r>
            <w:r>
              <w:rPr>
                <w:rFonts w:hint="default" w:ascii="Times New Roman" w:hAnsi="Times New Roman" w:cs="Times New Roman"/>
                <w:sz w:val="24"/>
                <w:szCs w:val="24"/>
              </w:rPr>
              <w:t>过滤棉</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rPr>
              <w:t>项目有机废气处理中干式过滤采用二级过滤，材料为玻璃纤维棉，一级玻璃纤维棉一季度更换一次，二级玻璃纤维棉半年更换一次，废过滤棉产生量约为0.1</w:t>
            </w:r>
            <w:r>
              <w:rPr>
                <w:rFonts w:hint="eastAsia" w:ascii="Times New Roman" w:hAnsi="Times New Roman" w:cs="Times New Roman"/>
                <w:lang w:val="en-US" w:eastAsia="zh-CN"/>
              </w:rPr>
              <w:t>2</w:t>
            </w:r>
            <w:r>
              <w:rPr>
                <w:rFonts w:hint="default" w:ascii="Times New Roman" w:hAnsi="Times New Roman" w:cs="Times New Roman"/>
              </w:rPr>
              <w:t>t/a。根据</w:t>
            </w:r>
            <w:r>
              <w:rPr>
                <w:rFonts w:hint="eastAsia" w:ascii="Times New Roman" w:hAnsi="Times New Roman" w:cs="Times New Roman"/>
                <w:lang w:eastAsia="zh-CN"/>
              </w:rPr>
              <w:t>《国家危险废物名录》（2021年版）</w:t>
            </w:r>
            <w:r>
              <w:rPr>
                <w:rFonts w:hint="default" w:ascii="Times New Roman" w:hAnsi="Times New Roman" w:cs="Times New Roman"/>
              </w:rPr>
              <w:t>，过滤棉属于危险废物，危废代码为</w:t>
            </w:r>
            <w:r>
              <w:rPr>
                <w:rFonts w:hint="eastAsia" w:asciiTheme="majorEastAsia" w:hAnsiTheme="majorEastAsia" w:eastAsiaTheme="majorEastAsia" w:cstheme="majorEastAsia"/>
              </w:rPr>
              <w:t>“</w:t>
            </w:r>
            <w:r>
              <w:rPr>
                <w:rFonts w:hint="default" w:ascii="Times New Roman" w:hAnsi="Times New Roman" w:cs="Times New Roman"/>
              </w:rPr>
              <w:t>HW49 其他废物900-041-49</w:t>
            </w:r>
            <w:r>
              <w:rPr>
                <w:rFonts w:hint="eastAsia" w:asciiTheme="majorEastAsia" w:hAnsiTheme="majorEastAsia" w:eastAsiaTheme="majorEastAsia" w:cstheme="majorEastAsia"/>
              </w:rPr>
              <w:t>”</w:t>
            </w:r>
            <w:r>
              <w:rPr>
                <w:rFonts w:hint="default" w:ascii="Times New Roman" w:hAnsi="Times New Roman" w:cs="Times New Roman"/>
              </w:rPr>
              <w:t>，</w:t>
            </w:r>
            <w:r>
              <w:rPr>
                <w:rFonts w:hint="default" w:ascii="Times New Roman" w:hAnsi="Times New Roman" w:cs="Times New Roman" w:eastAsiaTheme="minorEastAsia"/>
                <w:lang w:val="zh-CN"/>
              </w:rPr>
              <w:t>收集后贮存于危废暂存间，定期委托有资质单位处置</w:t>
            </w:r>
            <w:r>
              <w:rPr>
                <w:rFonts w:hint="default" w:ascii="Times New Roman" w:hAnsi="Times New Roman" w:cs="Times New Roman"/>
                <w:sz w:val="24"/>
                <w:szCs w:val="24"/>
              </w:rPr>
              <w:t>。</w:t>
            </w:r>
          </w:p>
          <w:p>
            <w:pPr>
              <w:pStyle w:val="2"/>
              <w:spacing w:line="360" w:lineRule="auto"/>
              <w:ind w:firstLine="480" w:firstLineChars="200"/>
              <w:jc w:val="both"/>
              <w:rPr>
                <w:rFonts w:hint="default" w:ascii="Times New Roman" w:hAnsi="Times New Roman" w:cs="Times New Roman"/>
                <w:color w:val="auto"/>
                <w:sz w:val="24"/>
                <w:szCs w:val="24"/>
                <w:u w:val="none"/>
              </w:rPr>
            </w:pPr>
            <w:r>
              <w:rPr>
                <w:rFonts w:hint="default" w:ascii="Times New Roman" w:hAnsi="Times New Roman" w:cs="Times New Roman"/>
                <w:color w:val="auto"/>
                <w:sz w:val="24"/>
                <w:szCs w:val="24"/>
                <w:u w:val="none"/>
              </w:rPr>
              <w:t>（</w:t>
            </w:r>
            <w:r>
              <w:rPr>
                <w:rFonts w:hint="eastAsia" w:ascii="Times New Roman" w:cs="Times New Roman"/>
                <w:color w:val="auto"/>
                <w:sz w:val="24"/>
                <w:szCs w:val="24"/>
                <w:u w:val="none"/>
                <w:lang w:val="en-US" w:eastAsia="zh-CN"/>
              </w:rPr>
              <w:t>10</w:t>
            </w:r>
            <w:r>
              <w:rPr>
                <w:rFonts w:hint="default" w:ascii="Times New Roman" w:hAnsi="Times New Roman" w:cs="Times New Roman"/>
                <w:color w:val="auto"/>
                <w:sz w:val="24"/>
                <w:szCs w:val="24"/>
                <w:u w:val="none"/>
              </w:rPr>
              <w:t>）废活性炭</w:t>
            </w:r>
          </w:p>
          <w:p>
            <w:pPr>
              <w:pStyle w:val="2"/>
              <w:spacing w:line="360" w:lineRule="auto"/>
              <w:ind w:firstLine="480" w:firstLineChars="200"/>
              <w:jc w:val="both"/>
              <w:rPr>
                <w:rFonts w:hint="default" w:ascii="Times New Roman" w:hAnsi="Times New Roman" w:cs="Times New Roman"/>
                <w:color w:val="auto"/>
                <w:sz w:val="24"/>
                <w:szCs w:val="24"/>
                <w:u w:val="none"/>
              </w:rPr>
            </w:pPr>
            <w:r>
              <w:rPr>
                <w:rFonts w:hint="default" w:ascii="Times New Roman" w:hAnsi="Times New Roman" w:cs="Times New Roman"/>
                <w:color w:val="auto"/>
                <w:sz w:val="24"/>
                <w:szCs w:val="24"/>
                <w:u w:val="none"/>
              </w:rPr>
              <w:t>项目</w:t>
            </w:r>
            <w:r>
              <w:rPr>
                <w:rFonts w:hint="default" w:ascii="Times New Roman" w:hAnsi="Times New Roman" w:cs="Times New Roman"/>
                <w:sz w:val="24"/>
                <w:szCs w:val="24"/>
              </w:rPr>
              <w:t>废气处理</w:t>
            </w:r>
            <w:r>
              <w:rPr>
                <w:rFonts w:hint="default" w:ascii="Times New Roman" w:hAnsi="Times New Roman" w:cs="Times New Roman"/>
                <w:color w:val="auto"/>
                <w:sz w:val="24"/>
                <w:szCs w:val="24"/>
                <w:u w:val="none"/>
              </w:rPr>
              <w:t>废活性炭产生量约为</w:t>
            </w:r>
            <w:r>
              <w:rPr>
                <w:rFonts w:hint="eastAsia" w:ascii="Times New Roman" w:cs="Times New Roman"/>
                <w:color w:val="auto"/>
                <w:sz w:val="24"/>
                <w:szCs w:val="24"/>
                <w:u w:val="none"/>
                <w:lang w:val="en-US" w:eastAsia="zh-CN"/>
              </w:rPr>
              <w:t>1.298</w:t>
            </w:r>
            <w:r>
              <w:rPr>
                <w:rFonts w:hint="default" w:ascii="Times New Roman" w:hAnsi="Times New Roman" w:cs="Times New Roman"/>
                <w:color w:val="auto"/>
                <w:sz w:val="24"/>
                <w:szCs w:val="24"/>
                <w:u w:val="none"/>
              </w:rPr>
              <w:t>t/a。根据</w:t>
            </w:r>
            <w:r>
              <w:rPr>
                <w:rFonts w:hint="eastAsia" w:ascii="Times New Roman" w:cs="Times New Roman"/>
                <w:color w:val="auto"/>
                <w:sz w:val="24"/>
                <w:szCs w:val="24"/>
                <w:u w:val="none"/>
                <w:lang w:eastAsia="zh-CN"/>
              </w:rPr>
              <w:t>《国家危险废物名录》（2021年版）</w:t>
            </w:r>
            <w:r>
              <w:rPr>
                <w:rFonts w:hint="default" w:ascii="Times New Roman" w:hAnsi="Times New Roman" w:cs="Times New Roman"/>
                <w:color w:val="auto"/>
                <w:sz w:val="24"/>
                <w:szCs w:val="24"/>
                <w:u w:val="none"/>
              </w:rPr>
              <w:t>，废活性炭属于危险废物，危废代码为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color w:val="auto"/>
                <w:sz w:val="24"/>
                <w:szCs w:val="24"/>
                <w:u w:val="none"/>
              </w:rPr>
              <w:t>，</w:t>
            </w:r>
            <w:r>
              <w:rPr>
                <w:rFonts w:hint="default" w:ascii="Times New Roman" w:hAnsi="Times New Roman" w:cs="Times New Roman" w:eastAsiaTheme="minorEastAsia"/>
                <w:color w:val="auto"/>
                <w:sz w:val="24"/>
                <w:szCs w:val="24"/>
                <w:u w:val="none"/>
                <w:lang w:val="zh-CN"/>
              </w:rPr>
              <w:t>收集后贮存于危废暂存间，定期委托有资质单位处置</w:t>
            </w:r>
            <w:r>
              <w:rPr>
                <w:rFonts w:hint="default" w:ascii="Times New Roman" w:hAnsi="Times New Roman" w:cs="Times New Roman"/>
                <w:color w:val="auto"/>
                <w:sz w:val="24"/>
                <w:szCs w:val="24"/>
                <w:u w:val="none"/>
              </w:rPr>
              <w:t>。</w:t>
            </w:r>
          </w:p>
          <w:p>
            <w:pPr>
              <w:pStyle w:val="2"/>
              <w:spacing w:line="360" w:lineRule="auto"/>
              <w:ind w:firstLine="480" w:firstLineChars="200"/>
              <w:jc w:val="both"/>
              <w:rPr>
                <w:rFonts w:hint="default" w:ascii="Times New Roman" w:hAnsi="Times New Roman" w:cs="Times New Roman"/>
                <w:color w:val="auto"/>
                <w:sz w:val="24"/>
                <w:szCs w:val="24"/>
                <w:u w:val="none"/>
              </w:rPr>
            </w:pPr>
            <w:r>
              <w:rPr>
                <w:rFonts w:hint="default" w:ascii="Times New Roman" w:hAnsi="Times New Roman" w:cs="Times New Roman"/>
                <w:color w:val="auto"/>
                <w:sz w:val="24"/>
                <w:szCs w:val="24"/>
                <w:u w:val="none"/>
              </w:rPr>
              <w:t>（1</w:t>
            </w:r>
            <w:r>
              <w:rPr>
                <w:rFonts w:hint="eastAsia" w:ascii="Times New Roman" w:cs="Times New Roman"/>
                <w:color w:val="auto"/>
                <w:sz w:val="24"/>
                <w:szCs w:val="24"/>
                <w:u w:val="none"/>
                <w:lang w:val="en-US" w:eastAsia="zh-CN"/>
              </w:rPr>
              <w:t>1</w:t>
            </w:r>
            <w:r>
              <w:rPr>
                <w:rFonts w:hint="default" w:ascii="Times New Roman" w:hAnsi="Times New Roman" w:cs="Times New Roman"/>
                <w:color w:val="auto"/>
                <w:sz w:val="24"/>
                <w:szCs w:val="24"/>
                <w:u w:val="none"/>
              </w:rPr>
              <w:t>）废UV灯管</w:t>
            </w:r>
          </w:p>
          <w:p>
            <w:pPr>
              <w:pStyle w:val="2"/>
              <w:spacing w:line="360" w:lineRule="auto"/>
              <w:ind w:firstLine="480" w:firstLineChars="200"/>
              <w:jc w:val="both"/>
              <w:rPr>
                <w:rFonts w:hint="default" w:ascii="Times New Roman" w:hAnsi="Times New Roman" w:cs="Times New Roman"/>
                <w:color w:val="auto"/>
                <w:sz w:val="24"/>
                <w:szCs w:val="24"/>
                <w:u w:val="none"/>
              </w:rPr>
            </w:pPr>
            <w:r>
              <w:rPr>
                <w:rFonts w:hint="default" w:ascii="Times New Roman" w:hAnsi="Times New Roman" w:cs="Times New Roman"/>
                <w:color w:val="auto"/>
                <w:sz w:val="24"/>
                <w:szCs w:val="24"/>
                <w:u w:val="none"/>
              </w:rPr>
              <w:t>项目</w:t>
            </w:r>
            <w:r>
              <w:rPr>
                <w:rFonts w:hint="default" w:ascii="Times New Roman" w:hAnsi="Times New Roman" w:cs="Times New Roman"/>
                <w:sz w:val="24"/>
                <w:szCs w:val="24"/>
              </w:rPr>
              <w:t>废气处理</w:t>
            </w:r>
            <w:r>
              <w:rPr>
                <w:rFonts w:hint="default" w:ascii="Times New Roman" w:hAnsi="Times New Roman" w:cs="Times New Roman"/>
                <w:color w:val="auto"/>
                <w:sz w:val="24"/>
                <w:szCs w:val="24"/>
                <w:u w:val="none"/>
              </w:rPr>
              <w:t>UV光解会产生废弃的紫外灯管，属于</w:t>
            </w:r>
            <w:r>
              <w:rPr>
                <w:rFonts w:hint="eastAsia" w:ascii="Times New Roman" w:cs="Times New Roman"/>
                <w:color w:val="auto"/>
                <w:sz w:val="24"/>
                <w:szCs w:val="24"/>
                <w:u w:val="none"/>
                <w:lang w:eastAsia="zh-CN"/>
              </w:rPr>
              <w:t>《国家危险废物名录》（2021年版）</w:t>
            </w:r>
            <w:r>
              <w:rPr>
                <w:rFonts w:hint="default" w:ascii="Times New Roman" w:hAnsi="Times New Roman" w:cs="Times New Roman"/>
                <w:color w:val="auto"/>
                <w:sz w:val="24"/>
                <w:szCs w:val="24"/>
                <w:u w:val="none"/>
              </w:rPr>
              <w:t>中</w:t>
            </w:r>
            <w:r>
              <w:rPr>
                <w:rFonts w:hint="eastAsia" w:asciiTheme="majorEastAsia" w:hAnsiTheme="majorEastAsia" w:eastAsiaTheme="majorEastAsia" w:cstheme="majorEastAsia"/>
                <w:color w:val="auto"/>
                <w:sz w:val="24"/>
                <w:szCs w:val="24"/>
                <w:u w:val="none"/>
              </w:rPr>
              <w:t>“</w:t>
            </w:r>
            <w:r>
              <w:rPr>
                <w:rFonts w:hint="default" w:ascii="Times New Roman" w:hAnsi="Times New Roman" w:cs="Times New Roman"/>
                <w:color w:val="auto"/>
                <w:sz w:val="24"/>
                <w:szCs w:val="24"/>
                <w:u w:val="none"/>
              </w:rPr>
              <w:t>HW29 含汞废物 900-023-29</w:t>
            </w:r>
            <w:r>
              <w:rPr>
                <w:rFonts w:hint="eastAsia" w:asciiTheme="majorEastAsia" w:hAnsiTheme="majorEastAsia" w:eastAsiaTheme="majorEastAsia" w:cstheme="majorEastAsia"/>
                <w:color w:val="auto"/>
                <w:sz w:val="24"/>
                <w:szCs w:val="24"/>
                <w:u w:val="none"/>
              </w:rPr>
              <w:t>”</w:t>
            </w:r>
            <w:r>
              <w:rPr>
                <w:rFonts w:hint="default" w:ascii="Times New Roman" w:hAnsi="Times New Roman" w:cs="Times New Roman"/>
                <w:color w:val="auto"/>
                <w:sz w:val="24"/>
                <w:szCs w:val="24"/>
                <w:u w:val="none"/>
              </w:rPr>
              <w:t>，一年需更换的灯管约为10支（约0.005t/a），</w:t>
            </w:r>
            <w:r>
              <w:rPr>
                <w:rFonts w:hint="default" w:ascii="Times New Roman" w:hAnsi="Times New Roman" w:cs="Times New Roman" w:eastAsiaTheme="minorEastAsia"/>
                <w:color w:val="auto"/>
                <w:sz w:val="24"/>
                <w:szCs w:val="24"/>
                <w:u w:val="none"/>
                <w:lang w:val="zh-CN"/>
              </w:rPr>
              <w:t>收集后贮存于危废暂存间，定期委托有资质单位处置。</w:t>
            </w:r>
          </w:p>
          <w:p>
            <w:pPr>
              <w:pStyle w:val="2"/>
              <w:spacing w:line="360" w:lineRule="auto"/>
              <w:ind w:firstLine="480" w:firstLineChars="200"/>
              <w:jc w:val="both"/>
              <w:rPr>
                <w:rFonts w:hint="eastAsia" w:ascii="Times New Roman" w:hAnsi="Times New Roman" w:eastAsia="宋体" w:cs="Times New Roman"/>
                <w:sz w:val="24"/>
                <w:szCs w:val="24"/>
                <w:lang w:eastAsia="zh-CN"/>
              </w:rPr>
            </w:pPr>
            <w:r>
              <w:rPr>
                <w:rFonts w:hint="default" w:ascii="Times New Roman" w:hAnsi="Times New Roman" w:cs="Times New Roman"/>
                <w:sz w:val="24"/>
                <w:szCs w:val="24"/>
              </w:rPr>
              <w:t>（1</w:t>
            </w:r>
            <w:r>
              <w:rPr>
                <w:rFonts w:hint="eastAsia" w:ascii="Times New Roman" w:cs="Times New Roman"/>
                <w:sz w:val="24"/>
                <w:szCs w:val="24"/>
                <w:lang w:val="en-US" w:eastAsia="zh-CN"/>
              </w:rPr>
              <w:t>2</w:t>
            </w:r>
            <w:r>
              <w:rPr>
                <w:rFonts w:hint="default" w:ascii="Times New Roman" w:hAnsi="Times New Roman" w:cs="Times New Roman"/>
                <w:sz w:val="24"/>
                <w:szCs w:val="24"/>
              </w:rPr>
              <w:t>）</w:t>
            </w:r>
            <w:r>
              <w:rPr>
                <w:rFonts w:hint="eastAsia" w:ascii="Times New Roman" w:cs="Times New Roman"/>
                <w:sz w:val="24"/>
                <w:szCs w:val="24"/>
                <w:lang w:eastAsia="zh-CN"/>
              </w:rPr>
              <w:t>废包装桶</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项目生产过程产生</w:t>
            </w:r>
            <w:r>
              <w:rPr>
                <w:rFonts w:hint="eastAsia" w:ascii="Times New Roman" w:cs="Times New Roman"/>
                <w:sz w:val="24"/>
                <w:szCs w:val="24"/>
                <w:lang w:val="en-US" w:eastAsia="zh-CN"/>
              </w:rPr>
              <w:t>钝化液、水性漆、</w:t>
            </w:r>
            <w:r>
              <w:rPr>
                <w:rFonts w:hint="default" w:ascii="Times New Roman" w:hAnsi="Times New Roman" w:cs="Times New Roman"/>
                <w:sz w:val="24"/>
                <w:szCs w:val="24"/>
              </w:rPr>
              <w:t>油</w:t>
            </w:r>
            <w:r>
              <w:rPr>
                <w:rFonts w:hint="eastAsia" w:ascii="Times New Roman" w:cs="Times New Roman"/>
                <w:sz w:val="24"/>
                <w:szCs w:val="24"/>
                <w:lang w:val="en-US" w:eastAsia="zh-CN"/>
              </w:rPr>
              <w:t>性</w:t>
            </w:r>
            <w:r>
              <w:rPr>
                <w:rFonts w:hint="default" w:ascii="Times New Roman" w:hAnsi="Times New Roman" w:cs="Times New Roman"/>
                <w:sz w:val="24"/>
                <w:szCs w:val="24"/>
              </w:rPr>
              <w:t>漆、固化剂和稀释剂</w:t>
            </w:r>
            <w:r>
              <w:rPr>
                <w:rFonts w:hint="eastAsia" w:ascii="Times New Roman" w:cs="Times New Roman"/>
                <w:sz w:val="24"/>
                <w:szCs w:val="24"/>
                <w:lang w:val="en-US" w:eastAsia="zh-CN"/>
              </w:rPr>
              <w:t>等</w:t>
            </w:r>
            <w:r>
              <w:rPr>
                <w:rFonts w:hint="eastAsia" w:ascii="Times New Roman" w:cs="Times New Roman"/>
                <w:sz w:val="24"/>
                <w:szCs w:val="24"/>
                <w:lang w:eastAsia="zh-CN"/>
              </w:rPr>
              <w:t>废包装桶</w:t>
            </w:r>
            <w:r>
              <w:rPr>
                <w:rFonts w:hint="default" w:ascii="Times New Roman" w:hAnsi="Times New Roman" w:cs="Times New Roman"/>
                <w:sz w:val="24"/>
                <w:szCs w:val="24"/>
              </w:rPr>
              <w:t>，年产生量为0.</w:t>
            </w:r>
            <w:r>
              <w:rPr>
                <w:rFonts w:hint="eastAsia" w:ascii="Times New Roman" w:cs="Times New Roman"/>
                <w:sz w:val="24"/>
                <w:szCs w:val="24"/>
                <w:lang w:val="en-US" w:eastAsia="zh-CN"/>
              </w:rPr>
              <w:t>25</w:t>
            </w:r>
            <w:r>
              <w:rPr>
                <w:rFonts w:hint="default" w:ascii="Times New Roman" w:hAnsi="Times New Roman" w:cs="Times New Roman"/>
                <w:sz w:val="24"/>
                <w:szCs w:val="24"/>
              </w:rPr>
              <w:t>t/a。</w:t>
            </w:r>
            <w:r>
              <w:rPr>
                <w:rFonts w:hint="eastAsia" w:ascii="Times New Roman" w:cs="Times New Roman"/>
                <w:sz w:val="24"/>
                <w:szCs w:val="24"/>
                <w:lang w:eastAsia="zh-CN"/>
              </w:rPr>
              <w:t>废包装桶</w:t>
            </w:r>
            <w:r>
              <w:rPr>
                <w:rFonts w:hint="default" w:ascii="Times New Roman" w:hAnsi="Times New Roman" w:cs="Times New Roman"/>
                <w:sz w:val="24"/>
                <w:szCs w:val="24"/>
              </w:rPr>
              <w:t>属于危险废物，危废代码为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w:t>
            </w:r>
            <w:r>
              <w:rPr>
                <w:rFonts w:hint="default" w:ascii="Times New Roman" w:hAnsi="Times New Roman" w:cs="Times New Roman" w:eastAsiaTheme="minorEastAsia"/>
                <w:sz w:val="24"/>
                <w:szCs w:val="24"/>
                <w:lang w:val="zh-CN"/>
              </w:rPr>
              <w:t>收集后贮存于危废暂存间，定期委托有资质单位处置</w:t>
            </w:r>
            <w:r>
              <w:rPr>
                <w:rFonts w:hint="default" w:ascii="Times New Roman" w:hAnsi="Times New Roman" w:cs="Times New Roman"/>
                <w:sz w:val="24"/>
                <w:szCs w:val="24"/>
              </w:rPr>
              <w:t>。</w:t>
            </w:r>
          </w:p>
          <w:p>
            <w:pPr>
              <w:widowControl/>
              <w:spacing w:line="360" w:lineRule="auto"/>
              <w:ind w:firstLine="480" w:firstLineChars="200"/>
              <w:rPr>
                <w:color w:val="auto"/>
                <w:sz w:val="24"/>
                <w:u w:val="none"/>
              </w:rPr>
            </w:pPr>
            <w:r>
              <w:rPr>
                <w:color w:val="auto"/>
                <w:sz w:val="24"/>
                <w:u w:val="none"/>
              </w:rPr>
              <w:t>（</w:t>
            </w:r>
            <w:r>
              <w:rPr>
                <w:rFonts w:hint="eastAsia"/>
                <w:color w:val="auto"/>
                <w:sz w:val="24"/>
                <w:u w:val="none"/>
                <w:lang w:val="en-US" w:eastAsia="zh-CN"/>
              </w:rPr>
              <w:t>13</w:t>
            </w:r>
            <w:r>
              <w:rPr>
                <w:color w:val="auto"/>
                <w:sz w:val="24"/>
                <w:u w:val="none"/>
              </w:rPr>
              <w:t>）废含油抹布</w:t>
            </w:r>
            <w:r>
              <w:rPr>
                <w:rFonts w:hint="eastAsia"/>
                <w:color w:val="auto"/>
                <w:sz w:val="24"/>
                <w:u w:val="none"/>
              </w:rPr>
              <w:t>及</w:t>
            </w:r>
            <w:r>
              <w:rPr>
                <w:color w:val="auto"/>
                <w:sz w:val="24"/>
                <w:u w:val="none"/>
              </w:rPr>
              <w:t>手套</w:t>
            </w:r>
          </w:p>
          <w:p>
            <w:pPr>
              <w:pStyle w:val="2"/>
              <w:spacing w:line="360" w:lineRule="auto"/>
              <w:ind w:firstLine="480" w:firstLineChars="200"/>
              <w:jc w:val="both"/>
              <w:rPr>
                <w:rFonts w:hint="default" w:ascii="Times New Roman" w:hAnsi="Times New Roman" w:eastAsia="宋体" w:cs="Times New Roman"/>
                <w:sz w:val="24"/>
                <w:szCs w:val="24"/>
                <w:lang w:eastAsia="zh-CN"/>
              </w:rPr>
            </w:pPr>
            <w:r>
              <w:rPr>
                <w:rFonts w:hint="default" w:ascii="Times New Roman" w:hAnsi="Times New Roman" w:cs="Times New Roman"/>
                <w:color w:val="auto"/>
                <w:sz w:val="24"/>
                <w:u w:val="none"/>
              </w:rPr>
              <w:t>项目设备维修等产生的废含油抹布及手套约0.05t/a。废含油废抹布及手套属危险废物，废物类别为</w:t>
            </w:r>
            <w:r>
              <w:rPr>
                <w:rFonts w:hint="eastAsia" w:ascii="Times New Roman" w:hAnsi="Times New Roman" w:cs="Times New Roman"/>
                <w:color w:val="auto"/>
                <w:sz w:val="24"/>
                <w:u w:val="none"/>
                <w:lang w:eastAsia="zh-CN"/>
              </w:rPr>
              <w:t>“</w:t>
            </w:r>
            <w:r>
              <w:rPr>
                <w:rFonts w:hint="default" w:ascii="Times New Roman" w:hAnsi="Times New Roman" w:cs="Times New Roman"/>
                <w:color w:val="auto"/>
                <w:sz w:val="24"/>
                <w:u w:val="none"/>
              </w:rPr>
              <w:t>HW49其他废物，废物代码为900-041-49</w:t>
            </w:r>
            <w:r>
              <w:rPr>
                <w:rFonts w:hint="eastAsia" w:ascii="Times New Roman" w:hAnsi="Times New Roman" w:cs="Times New Roman"/>
                <w:color w:val="auto"/>
                <w:sz w:val="24"/>
                <w:u w:val="none"/>
                <w:lang w:eastAsia="zh-CN"/>
              </w:rPr>
              <w:t>”</w:t>
            </w:r>
            <w:r>
              <w:rPr>
                <w:rFonts w:hint="default" w:ascii="Times New Roman" w:hAnsi="Times New Roman" w:cs="Times New Roman"/>
                <w:color w:val="auto"/>
                <w:sz w:val="24"/>
                <w:u w:val="none"/>
              </w:rPr>
              <w:t>。含有或沾染毒性、感染性危险废物的废弃包装物、容器、过滤吸附介质”，经收集后暂存于危废暂存间内交由有资质的单位处置</w:t>
            </w:r>
            <w:r>
              <w:rPr>
                <w:rFonts w:hint="default" w:ascii="Times New Roman" w:hAnsi="Times New Roman" w:cs="Times New Roman"/>
                <w:color w:val="auto"/>
                <w:sz w:val="24"/>
                <w:u w:val="none"/>
                <w:lang w:eastAsia="zh-CN"/>
              </w:rPr>
              <w:t>。</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（1</w:t>
            </w:r>
            <w:r>
              <w:rPr>
                <w:rFonts w:hint="eastAsia" w:ascii="Times New Roman" w:cs="Times New Roman"/>
                <w:sz w:val="24"/>
                <w:szCs w:val="24"/>
                <w:lang w:val="en-US" w:eastAsia="zh-CN"/>
              </w:rPr>
              <w:t>4</w:t>
            </w:r>
            <w:r>
              <w:rPr>
                <w:rFonts w:hint="default" w:ascii="Times New Roman" w:hAnsi="Times New Roman" w:cs="Times New Roman"/>
                <w:sz w:val="24"/>
                <w:szCs w:val="24"/>
              </w:rPr>
              <w:t>）生活垃圾</w:t>
            </w:r>
          </w:p>
          <w:p>
            <w:pPr>
              <w:tabs>
                <w:tab w:val="left" w:pos="8580"/>
              </w:tabs>
              <w:adjustRightInd w:val="0"/>
              <w:snapToGrid w:val="0"/>
              <w:spacing w:line="360" w:lineRule="auto"/>
              <w:ind w:firstLine="480" w:firstLineChars="200"/>
              <w:rPr>
                <w:rFonts w:hint="default" w:ascii="Times New Roman" w:hAnsi="Times New Roman" w:cs="Times New Roman"/>
                <w:sz w:val="24"/>
                <w:szCs w:val="24"/>
              </w:rPr>
            </w:pPr>
            <w:r>
              <w:rPr>
                <w:rFonts w:hint="eastAsia" w:cs="Times New Roman"/>
                <w:sz w:val="24"/>
                <w:szCs w:val="24"/>
                <w:lang w:val="en-US" w:eastAsia="zh-CN"/>
              </w:rPr>
              <w:t>项目</w:t>
            </w:r>
            <w:r>
              <w:rPr>
                <w:rFonts w:hint="default" w:ascii="Times New Roman" w:hAnsi="Times New Roman" w:cs="Times New Roman"/>
                <w:sz w:val="24"/>
                <w:szCs w:val="24"/>
              </w:rPr>
              <w:t>生活垃圾量</w:t>
            </w:r>
            <w:r>
              <w:rPr>
                <w:rFonts w:hint="eastAsia" w:cs="Times New Roman"/>
                <w:sz w:val="24"/>
                <w:szCs w:val="24"/>
                <w:lang w:val="en-US" w:eastAsia="zh-CN"/>
              </w:rPr>
              <w:t>产生量约为18t/a，</w:t>
            </w:r>
            <w:r>
              <w:rPr>
                <w:rFonts w:hint="eastAsia"/>
                <w:sz w:val="24"/>
              </w:rPr>
              <w:t>生活垃圾经封闭带盖的分类垃圾桶收集，</w:t>
            </w:r>
            <w:r>
              <w:rPr>
                <w:rFonts w:hint="eastAsia" w:cs="Times New Roman"/>
                <w:sz w:val="24"/>
                <w:szCs w:val="24"/>
                <w:lang w:val="en-US" w:eastAsia="zh-CN"/>
              </w:rPr>
              <w:t>委托环卫部门清运处理</w:t>
            </w:r>
            <w:r>
              <w:rPr>
                <w:rFonts w:hint="default" w:ascii="Times New Roman" w:hAnsi="Times New Roman" w:cs="Times New Roman"/>
                <w:sz w:val="24"/>
                <w:szCs w:val="24"/>
              </w:rPr>
              <w:t>。</w:t>
            </w:r>
          </w:p>
          <w:p>
            <w:pPr>
              <w:pStyle w:val="2"/>
              <w:spacing w:line="360" w:lineRule="auto"/>
              <w:ind w:firstLine="482" w:firstLineChars="200"/>
              <w:jc w:val="both"/>
              <w:rPr>
                <w:b/>
                <w:color w:val="auto"/>
              </w:rPr>
            </w:pPr>
            <w:r>
              <w:rPr>
                <w:b/>
                <w:bCs/>
              </w:rPr>
              <w:t>四、现有项目</w:t>
            </w:r>
            <w:r>
              <w:rPr>
                <w:rFonts w:hint="eastAsia"/>
                <w:b/>
                <w:color w:val="auto"/>
              </w:rPr>
              <w:t>存在的的环境问题及拟整改措施</w:t>
            </w:r>
          </w:p>
          <w:p>
            <w:pPr>
              <w:pStyle w:val="2"/>
              <w:spacing w:line="360" w:lineRule="auto"/>
              <w:ind w:firstLine="480" w:firstLineChars="200"/>
              <w:rPr>
                <w:color w:val="auto"/>
              </w:rPr>
            </w:pPr>
            <w:r>
              <w:rPr>
                <w:rFonts w:hint="eastAsia"/>
                <w:color w:val="auto"/>
              </w:rPr>
              <w:t>根据现场调查，现有项目存在的主要环境问题及拟采取的以新带老措施如下：</w:t>
            </w:r>
          </w:p>
          <w:p>
            <w:pPr>
              <w:spacing w:beforeLines="50"/>
              <w:jc w:val="center"/>
              <w:rPr>
                <w:b/>
                <w:color w:val="auto"/>
                <w:szCs w:val="21"/>
                <w:u w:val="none"/>
              </w:rPr>
            </w:pPr>
            <w:r>
              <w:rPr>
                <w:rFonts w:hint="eastAsia"/>
                <w:b/>
                <w:color w:val="auto"/>
                <w:szCs w:val="21"/>
                <w:u w:val="none"/>
              </w:rPr>
              <w:t>表2-9  现有项目存在的主要环境问题及拟采取的以新带老措施</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89"/>
              <w:gridCol w:w="1581"/>
              <w:gridCol w:w="2693"/>
              <w:gridCol w:w="3443"/>
              <w:gridCol w:w="88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 w:type="pct"/>
                  <w:vAlign w:val="center"/>
                </w:tcPr>
                <w:p>
                  <w:pPr>
                    <w:jc w:val="center"/>
                    <w:rPr>
                      <w:rFonts w:hint="default" w:ascii="Times New Roman" w:hAnsi="Times New Roman" w:cs="Times New Roman" w:eastAsiaTheme="majorEastAsia"/>
                      <w:b/>
                      <w:color w:val="auto"/>
                      <w:sz w:val="21"/>
                      <w:szCs w:val="21"/>
                      <w:u w:val="none"/>
                    </w:rPr>
                  </w:pPr>
                  <w:r>
                    <w:rPr>
                      <w:rFonts w:hint="default" w:ascii="Times New Roman" w:hAnsi="Times New Roman" w:cs="Times New Roman" w:eastAsiaTheme="majorEastAsia"/>
                      <w:b/>
                      <w:color w:val="auto"/>
                      <w:sz w:val="21"/>
                      <w:szCs w:val="21"/>
                      <w:u w:val="none"/>
                    </w:rPr>
                    <w:t>序号</w:t>
                  </w:r>
                </w:p>
              </w:tc>
              <w:tc>
                <w:tcPr>
                  <w:tcW w:w="850" w:type="pct"/>
                  <w:vAlign w:val="center"/>
                </w:tcPr>
                <w:p>
                  <w:pPr>
                    <w:jc w:val="center"/>
                    <w:rPr>
                      <w:rFonts w:hint="default" w:ascii="Times New Roman" w:hAnsi="Times New Roman" w:cs="Times New Roman" w:eastAsiaTheme="majorEastAsia"/>
                      <w:b/>
                      <w:color w:val="auto"/>
                      <w:sz w:val="21"/>
                      <w:szCs w:val="21"/>
                      <w:u w:val="none"/>
                    </w:rPr>
                  </w:pPr>
                  <w:r>
                    <w:rPr>
                      <w:rFonts w:hint="default" w:ascii="Times New Roman" w:hAnsi="Times New Roman" w:cs="Times New Roman" w:eastAsiaTheme="majorEastAsia"/>
                      <w:b/>
                      <w:color w:val="auto"/>
                      <w:sz w:val="21"/>
                      <w:szCs w:val="21"/>
                      <w:u w:val="none"/>
                    </w:rPr>
                    <w:t>主题</w:t>
                  </w:r>
                </w:p>
              </w:tc>
              <w:tc>
                <w:tcPr>
                  <w:tcW w:w="1449" w:type="pct"/>
                  <w:vAlign w:val="center"/>
                </w:tcPr>
                <w:p>
                  <w:pPr>
                    <w:jc w:val="center"/>
                    <w:rPr>
                      <w:rFonts w:hint="default" w:ascii="Times New Roman" w:hAnsi="Times New Roman" w:cs="Times New Roman" w:eastAsiaTheme="majorEastAsia"/>
                      <w:b/>
                      <w:color w:val="auto"/>
                      <w:sz w:val="21"/>
                      <w:szCs w:val="21"/>
                      <w:u w:val="none"/>
                    </w:rPr>
                  </w:pPr>
                  <w:r>
                    <w:rPr>
                      <w:rFonts w:hint="default" w:ascii="Times New Roman" w:hAnsi="Times New Roman" w:cs="Times New Roman" w:eastAsiaTheme="majorEastAsia"/>
                      <w:b/>
                      <w:color w:val="auto"/>
                      <w:sz w:val="21"/>
                      <w:szCs w:val="21"/>
                      <w:u w:val="none"/>
                    </w:rPr>
                    <w:t>存在的主要环境问题</w:t>
                  </w:r>
                </w:p>
              </w:tc>
              <w:tc>
                <w:tcPr>
                  <w:tcW w:w="1852" w:type="pct"/>
                  <w:vAlign w:val="center"/>
                </w:tcPr>
                <w:p>
                  <w:pPr>
                    <w:jc w:val="center"/>
                    <w:rPr>
                      <w:rFonts w:hint="default" w:ascii="Times New Roman" w:hAnsi="Times New Roman" w:cs="Times New Roman" w:eastAsiaTheme="majorEastAsia"/>
                      <w:b/>
                      <w:color w:val="auto"/>
                      <w:sz w:val="21"/>
                      <w:szCs w:val="21"/>
                      <w:u w:val="none"/>
                    </w:rPr>
                  </w:pPr>
                  <w:r>
                    <w:rPr>
                      <w:rFonts w:hint="default" w:ascii="Times New Roman" w:hAnsi="Times New Roman" w:cs="Times New Roman" w:eastAsiaTheme="majorEastAsia"/>
                      <w:b/>
                      <w:color w:val="auto"/>
                      <w:sz w:val="21"/>
                      <w:szCs w:val="21"/>
                      <w:u w:val="none"/>
                    </w:rPr>
                    <w:t>拟采取的以新带老措施</w:t>
                  </w:r>
                </w:p>
              </w:tc>
              <w:tc>
                <w:tcPr>
                  <w:tcW w:w="475" w:type="pct"/>
                  <w:vAlign w:val="center"/>
                </w:tcPr>
                <w:p>
                  <w:pPr>
                    <w:jc w:val="center"/>
                    <w:rPr>
                      <w:rFonts w:hint="default" w:ascii="Times New Roman" w:hAnsi="Times New Roman" w:cs="Times New Roman" w:eastAsiaTheme="majorEastAsia"/>
                      <w:b/>
                      <w:color w:val="auto"/>
                      <w:sz w:val="21"/>
                      <w:szCs w:val="21"/>
                      <w:u w:val="none"/>
                    </w:rPr>
                  </w:pPr>
                  <w:r>
                    <w:rPr>
                      <w:rFonts w:hint="default" w:ascii="Times New Roman" w:hAnsi="Times New Roman" w:cs="Times New Roman" w:eastAsiaTheme="majorEastAsia"/>
                      <w:b/>
                      <w:color w:val="auto"/>
                      <w:sz w:val="21"/>
                      <w:szCs w:val="21"/>
                      <w:u w:val="none"/>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 w:type="pct"/>
                  <w:vAlign w:val="center"/>
                </w:tcPr>
                <w:p>
                  <w:pPr>
                    <w:jc w:val="center"/>
                    <w:rPr>
                      <w:rFonts w:hint="default" w:ascii="Times New Roman" w:hAnsi="Times New Roman" w:cs="Times New Roman" w:eastAsiaTheme="majorEastAsia"/>
                      <w:color w:val="auto"/>
                      <w:sz w:val="21"/>
                      <w:szCs w:val="21"/>
                      <w:u w:val="none"/>
                    </w:rPr>
                  </w:pPr>
                  <w:r>
                    <w:rPr>
                      <w:rFonts w:hint="default" w:ascii="Times New Roman" w:hAnsi="Times New Roman" w:cs="Times New Roman" w:eastAsiaTheme="majorEastAsia"/>
                      <w:color w:val="auto"/>
                      <w:sz w:val="21"/>
                      <w:szCs w:val="21"/>
                      <w:u w:val="none"/>
                    </w:rPr>
                    <w:t>1</w:t>
                  </w:r>
                </w:p>
              </w:tc>
              <w:tc>
                <w:tcPr>
                  <w:tcW w:w="850" w:type="pct"/>
                  <w:vAlign w:val="center"/>
                </w:tcPr>
                <w:p>
                  <w:pPr>
                    <w:jc w:val="center"/>
                    <w:rPr>
                      <w:rFonts w:hint="default" w:ascii="Times New Roman" w:hAnsi="Times New Roman" w:cs="Times New Roman" w:eastAsiaTheme="majorEastAsia"/>
                      <w:color w:val="auto"/>
                      <w:kern w:val="2"/>
                      <w:sz w:val="21"/>
                      <w:szCs w:val="21"/>
                      <w:u w:val="none"/>
                      <w:lang w:val="en-US" w:eastAsia="zh-CN" w:bidi="ar-SA"/>
                    </w:rPr>
                  </w:pPr>
                  <w:r>
                    <w:rPr>
                      <w:rFonts w:hint="default" w:ascii="Times New Roman" w:hAnsi="Times New Roman" w:cs="Times New Roman" w:eastAsiaTheme="majorEastAsia"/>
                      <w:color w:val="auto"/>
                      <w:sz w:val="21"/>
                      <w:szCs w:val="21"/>
                      <w:u w:val="none"/>
                    </w:rPr>
                    <w:t>一般固废堆场</w:t>
                  </w:r>
                </w:p>
              </w:tc>
              <w:tc>
                <w:tcPr>
                  <w:tcW w:w="1449" w:type="pct"/>
                  <w:vAlign w:val="center"/>
                </w:tcPr>
                <w:p>
                  <w:pPr>
                    <w:jc w:val="center"/>
                    <w:rPr>
                      <w:rFonts w:hint="default" w:ascii="Times New Roman" w:hAnsi="Times New Roman" w:cs="Times New Roman" w:eastAsiaTheme="majorEastAsia"/>
                      <w:color w:val="auto"/>
                      <w:kern w:val="2"/>
                      <w:sz w:val="21"/>
                      <w:szCs w:val="21"/>
                      <w:u w:val="none"/>
                      <w:lang w:val="en-US" w:eastAsia="zh-CN" w:bidi="ar-SA"/>
                    </w:rPr>
                  </w:pPr>
                  <w:r>
                    <w:rPr>
                      <w:rFonts w:hint="default" w:ascii="Times New Roman" w:hAnsi="Times New Roman" w:cs="Times New Roman" w:eastAsiaTheme="majorEastAsia"/>
                      <w:color w:val="auto"/>
                      <w:sz w:val="21"/>
                      <w:szCs w:val="21"/>
                      <w:u w:val="none"/>
                    </w:rPr>
                    <w:t>未设置环保图形标志</w:t>
                  </w:r>
                </w:p>
              </w:tc>
              <w:tc>
                <w:tcPr>
                  <w:tcW w:w="1852" w:type="pct"/>
                  <w:vAlign w:val="center"/>
                </w:tcPr>
                <w:p>
                  <w:pPr>
                    <w:jc w:val="center"/>
                    <w:rPr>
                      <w:rFonts w:hint="default" w:ascii="Times New Roman" w:hAnsi="Times New Roman" w:cs="Times New Roman" w:eastAsiaTheme="majorEastAsia"/>
                      <w:color w:val="auto"/>
                      <w:kern w:val="2"/>
                      <w:sz w:val="21"/>
                      <w:szCs w:val="21"/>
                      <w:u w:val="none"/>
                      <w:lang w:val="en-US" w:eastAsia="zh-CN" w:bidi="ar-SA"/>
                    </w:rPr>
                  </w:pPr>
                  <w:r>
                    <w:rPr>
                      <w:rFonts w:hint="default" w:ascii="Times New Roman" w:hAnsi="Times New Roman" w:cs="Times New Roman" w:eastAsiaTheme="majorEastAsia"/>
                      <w:color w:val="auto"/>
                      <w:sz w:val="21"/>
                      <w:szCs w:val="21"/>
                      <w:u w:val="none"/>
                    </w:rPr>
                    <w:t>设置一般固废标识牌</w:t>
                  </w:r>
                </w:p>
              </w:tc>
              <w:tc>
                <w:tcPr>
                  <w:tcW w:w="475" w:type="pct"/>
                  <w:vAlign w:val="center"/>
                </w:tcPr>
                <w:p>
                  <w:pPr>
                    <w:jc w:val="center"/>
                    <w:rPr>
                      <w:rFonts w:hint="default" w:ascii="Times New Roman" w:hAnsi="Times New Roman" w:cs="Times New Roman" w:eastAsiaTheme="majorEastAsia"/>
                      <w:color w:val="auto"/>
                      <w:kern w:val="2"/>
                      <w:sz w:val="21"/>
                      <w:szCs w:val="21"/>
                      <w:u w:val="none"/>
                      <w:lang w:val="en-US" w:eastAsia="zh-CN" w:bidi="ar-SA"/>
                    </w:rPr>
                  </w:pPr>
                  <w:r>
                    <w:rPr>
                      <w:rFonts w:hint="default" w:ascii="Times New Roman" w:hAnsi="Times New Roman" w:cs="Times New Roman" w:eastAsiaTheme="majorEastAsia"/>
                      <w:color w:val="auto"/>
                      <w:sz w:val="21"/>
                      <w:szCs w:val="21"/>
                      <w:u w:val="none"/>
                    </w:rPr>
                    <w:t>待整改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 w:type="pct"/>
                  <w:vAlign w:val="center"/>
                </w:tcPr>
                <w:p>
                  <w:pPr>
                    <w:jc w:val="center"/>
                    <w:rPr>
                      <w:rFonts w:hint="default" w:ascii="Times New Roman" w:hAnsi="Times New Roman" w:cs="Times New Roman" w:eastAsiaTheme="majorEastAsia"/>
                      <w:color w:val="auto"/>
                      <w:sz w:val="21"/>
                      <w:szCs w:val="21"/>
                      <w:u w:val="none"/>
                    </w:rPr>
                  </w:pPr>
                  <w:r>
                    <w:rPr>
                      <w:rFonts w:hint="default" w:ascii="Times New Roman" w:hAnsi="Times New Roman" w:cs="Times New Roman" w:eastAsiaTheme="majorEastAsia"/>
                      <w:color w:val="auto"/>
                      <w:sz w:val="21"/>
                      <w:szCs w:val="21"/>
                      <w:u w:val="none"/>
                    </w:rPr>
                    <w:t>2</w:t>
                  </w:r>
                </w:p>
              </w:tc>
              <w:tc>
                <w:tcPr>
                  <w:tcW w:w="850" w:type="pct"/>
                  <w:vAlign w:val="center"/>
                </w:tcPr>
                <w:p>
                  <w:pPr>
                    <w:jc w:val="center"/>
                    <w:rPr>
                      <w:rFonts w:hint="default" w:ascii="Times New Roman" w:hAnsi="Times New Roman" w:cs="Times New Roman" w:eastAsiaTheme="majorEastAsia"/>
                      <w:color w:val="auto"/>
                      <w:sz w:val="21"/>
                      <w:szCs w:val="21"/>
                      <w:u w:val="none"/>
                    </w:rPr>
                  </w:pPr>
                  <w:r>
                    <w:rPr>
                      <w:rFonts w:hint="default" w:ascii="Times New Roman" w:hAnsi="Times New Roman" w:cs="Times New Roman" w:eastAsiaTheme="majorEastAsia"/>
                      <w:color w:val="auto"/>
                      <w:sz w:val="21"/>
                      <w:szCs w:val="21"/>
                      <w:u w:val="none"/>
                    </w:rPr>
                    <w:t>危废暂存间</w:t>
                  </w:r>
                </w:p>
              </w:tc>
              <w:tc>
                <w:tcPr>
                  <w:tcW w:w="1449" w:type="pct"/>
                  <w:vAlign w:val="center"/>
                </w:tcPr>
                <w:p>
                  <w:pPr>
                    <w:jc w:val="center"/>
                    <w:rPr>
                      <w:rFonts w:hint="default" w:ascii="Times New Roman" w:hAnsi="Times New Roman" w:cs="Times New Roman" w:eastAsiaTheme="majorEastAsia"/>
                      <w:color w:val="auto"/>
                      <w:sz w:val="21"/>
                      <w:szCs w:val="21"/>
                      <w:u w:val="none"/>
                      <w:lang w:val="en-US" w:eastAsia="zh-CN"/>
                    </w:rPr>
                  </w:pPr>
                  <w:r>
                    <w:rPr>
                      <w:rFonts w:hint="default" w:ascii="Times New Roman" w:hAnsi="Times New Roman" w:cs="Times New Roman" w:eastAsiaTheme="majorEastAsia"/>
                      <w:color w:val="auto"/>
                      <w:sz w:val="21"/>
                      <w:szCs w:val="21"/>
                      <w:u w:val="none"/>
                      <w:lang w:val="en-US" w:eastAsia="zh-CN"/>
                    </w:rPr>
                    <w:t>未更新</w:t>
                  </w:r>
                  <w:r>
                    <w:rPr>
                      <w:rFonts w:hint="default" w:ascii="Times New Roman" w:hAnsi="Times New Roman" w:cs="Times New Roman" w:eastAsiaTheme="majorEastAsia"/>
                      <w:bCs/>
                      <w:color w:val="auto"/>
                      <w:sz w:val="21"/>
                      <w:szCs w:val="21"/>
                      <w:u w:val="none"/>
                    </w:rPr>
                    <w:t>危险废物标识牌，台账管理不到位</w:t>
                  </w:r>
                </w:p>
              </w:tc>
              <w:tc>
                <w:tcPr>
                  <w:tcW w:w="1852" w:type="pct"/>
                  <w:vAlign w:val="center"/>
                </w:tcPr>
                <w:p>
                  <w:pPr>
                    <w:jc w:val="center"/>
                    <w:rPr>
                      <w:rFonts w:hint="default" w:ascii="Times New Roman" w:hAnsi="Times New Roman" w:cs="Times New Roman" w:eastAsiaTheme="majorEastAsia"/>
                      <w:color w:val="auto"/>
                      <w:sz w:val="21"/>
                      <w:szCs w:val="21"/>
                      <w:u w:val="none"/>
                      <w:lang w:val="en-US" w:eastAsia="zh-CN"/>
                    </w:rPr>
                  </w:pPr>
                  <w:r>
                    <w:rPr>
                      <w:rFonts w:hint="default" w:ascii="Times New Roman" w:hAnsi="Times New Roman" w:cs="Times New Roman" w:eastAsiaTheme="majorEastAsia"/>
                      <w:color w:val="auto"/>
                      <w:sz w:val="21"/>
                      <w:szCs w:val="21"/>
                      <w:u w:val="none"/>
                      <w:lang w:val="en-US" w:eastAsia="zh-CN"/>
                    </w:rPr>
                    <w:t>按</w:t>
                  </w:r>
                  <w:r>
                    <w:rPr>
                      <w:rFonts w:hint="default" w:ascii="Times New Roman" w:hAnsi="Times New Roman" w:cs="Times New Roman" w:eastAsiaTheme="majorEastAsia"/>
                      <w:i w:val="0"/>
                      <w:caps w:val="0"/>
                      <w:color w:val="auto"/>
                      <w:spacing w:val="0"/>
                      <w:sz w:val="21"/>
                      <w:szCs w:val="21"/>
                      <w:u w:val="none"/>
                      <w:shd w:val="clear" w:fill="FFFFFF"/>
                      <w:lang w:eastAsia="zh-CN"/>
                    </w:rPr>
                    <w:t>《</w:t>
                  </w:r>
                  <w:r>
                    <w:rPr>
                      <w:rFonts w:hint="default" w:ascii="Times New Roman" w:hAnsi="Times New Roman" w:cs="Times New Roman" w:eastAsiaTheme="majorEastAsia"/>
                      <w:i w:val="0"/>
                      <w:caps w:val="0"/>
                      <w:color w:val="auto"/>
                      <w:spacing w:val="0"/>
                      <w:sz w:val="21"/>
                      <w:szCs w:val="21"/>
                      <w:u w:val="none"/>
                      <w:shd w:val="clear" w:fill="FFFFFF"/>
                    </w:rPr>
                    <w:fldChar w:fldCharType="begin"/>
                  </w:r>
                  <w:r>
                    <w:rPr>
                      <w:rFonts w:hint="default" w:ascii="Times New Roman" w:hAnsi="Times New Roman" w:cs="Times New Roman" w:eastAsiaTheme="majorEastAsia"/>
                      <w:i w:val="0"/>
                      <w:caps w:val="0"/>
                      <w:color w:val="auto"/>
                      <w:spacing w:val="0"/>
                      <w:sz w:val="21"/>
                      <w:szCs w:val="21"/>
                      <w:u w:val="none"/>
                      <w:shd w:val="clear" w:fill="FFFFFF"/>
                    </w:rPr>
                    <w:instrText xml:space="preserve"> HYPERLINK "https://www.mee.gov.cn/ywgz/fgbz/bz/bzwb/gthw/wxfwjbffbz/202302/W020230224650971041729.pdf" </w:instrText>
                  </w:r>
                  <w:r>
                    <w:rPr>
                      <w:rFonts w:hint="default" w:ascii="Times New Roman" w:hAnsi="Times New Roman" w:cs="Times New Roman" w:eastAsiaTheme="majorEastAsia"/>
                      <w:i w:val="0"/>
                      <w:caps w:val="0"/>
                      <w:color w:val="auto"/>
                      <w:spacing w:val="0"/>
                      <w:sz w:val="21"/>
                      <w:szCs w:val="21"/>
                      <w:u w:val="none"/>
                      <w:shd w:val="clear" w:fill="FFFFFF"/>
                    </w:rPr>
                    <w:fldChar w:fldCharType="separate"/>
                  </w:r>
                  <w:r>
                    <w:rPr>
                      <w:rStyle w:val="31"/>
                      <w:rFonts w:hint="default" w:ascii="Times New Roman" w:hAnsi="Times New Roman" w:cs="Times New Roman" w:eastAsiaTheme="majorEastAsia"/>
                      <w:i w:val="0"/>
                      <w:caps w:val="0"/>
                      <w:color w:val="auto"/>
                      <w:spacing w:val="0"/>
                      <w:sz w:val="21"/>
                      <w:szCs w:val="21"/>
                      <w:u w:val="none"/>
                      <w:shd w:val="clear" w:fill="FFFFFF"/>
                    </w:rPr>
                    <w:t>危险废物识别标志设置技术规范（HJ 1276—2022）</w:t>
                  </w:r>
                  <w:r>
                    <w:rPr>
                      <w:rFonts w:hint="default" w:ascii="Times New Roman" w:hAnsi="Times New Roman" w:cs="Times New Roman" w:eastAsiaTheme="majorEastAsia"/>
                      <w:i w:val="0"/>
                      <w:caps w:val="0"/>
                      <w:color w:val="auto"/>
                      <w:spacing w:val="0"/>
                      <w:sz w:val="21"/>
                      <w:szCs w:val="21"/>
                      <w:u w:val="none"/>
                      <w:shd w:val="clear" w:fill="FFFFFF"/>
                    </w:rPr>
                    <w:fldChar w:fldCharType="end"/>
                  </w:r>
                  <w:r>
                    <w:rPr>
                      <w:rFonts w:hint="default" w:ascii="Times New Roman" w:hAnsi="Times New Roman" w:cs="Times New Roman" w:eastAsiaTheme="majorEastAsia"/>
                      <w:i w:val="0"/>
                      <w:caps w:val="0"/>
                      <w:color w:val="auto"/>
                      <w:spacing w:val="0"/>
                      <w:sz w:val="21"/>
                      <w:szCs w:val="21"/>
                      <w:u w:val="none"/>
                      <w:shd w:val="clear" w:fill="FFFFFF"/>
                      <w:lang w:eastAsia="zh-CN"/>
                    </w:rPr>
                    <w:t>》</w:t>
                  </w:r>
                  <w:r>
                    <w:rPr>
                      <w:rFonts w:hint="default" w:ascii="Times New Roman" w:hAnsi="Times New Roman" w:cs="Times New Roman" w:eastAsiaTheme="majorEastAsia"/>
                      <w:i w:val="0"/>
                      <w:caps w:val="0"/>
                      <w:color w:val="auto"/>
                      <w:spacing w:val="0"/>
                      <w:sz w:val="21"/>
                      <w:szCs w:val="21"/>
                      <w:u w:val="none"/>
                      <w:shd w:val="clear" w:fill="FFFFFF"/>
                      <w:lang w:val="en-US" w:eastAsia="zh-CN"/>
                    </w:rPr>
                    <w:t>更新</w:t>
                  </w:r>
                  <w:r>
                    <w:rPr>
                      <w:rFonts w:hint="default" w:ascii="Times New Roman" w:hAnsi="Times New Roman" w:cs="Times New Roman" w:eastAsiaTheme="majorEastAsia"/>
                      <w:bCs/>
                      <w:color w:val="auto"/>
                      <w:sz w:val="21"/>
                      <w:szCs w:val="21"/>
                      <w:u w:val="none"/>
                    </w:rPr>
                    <w:t>危险废物标识牌；加强台账管理</w:t>
                  </w:r>
                </w:p>
              </w:tc>
              <w:tc>
                <w:tcPr>
                  <w:tcW w:w="475" w:type="pct"/>
                  <w:vAlign w:val="center"/>
                </w:tcPr>
                <w:p>
                  <w:pPr>
                    <w:jc w:val="center"/>
                    <w:rPr>
                      <w:rFonts w:hint="default" w:ascii="Times New Roman" w:hAnsi="Times New Roman" w:cs="Times New Roman" w:eastAsiaTheme="majorEastAsia"/>
                      <w:color w:val="auto"/>
                      <w:sz w:val="21"/>
                      <w:szCs w:val="21"/>
                      <w:u w:val="none"/>
                    </w:rPr>
                  </w:pPr>
                  <w:r>
                    <w:rPr>
                      <w:rFonts w:hint="default" w:ascii="Times New Roman" w:hAnsi="Times New Roman" w:cs="Times New Roman" w:eastAsiaTheme="majorEastAsia"/>
                      <w:color w:val="auto"/>
                      <w:sz w:val="21"/>
                      <w:szCs w:val="21"/>
                      <w:u w:val="none"/>
                    </w:rPr>
                    <w:t>待整改</w:t>
                  </w:r>
                </w:p>
              </w:tc>
            </w:tr>
          </w:tbl>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p>
            <w:pPr>
              <w:pStyle w:val="2"/>
              <w:spacing w:line="360" w:lineRule="auto"/>
              <w:ind w:firstLine="480" w:firstLineChars="200"/>
              <w:jc w:val="both"/>
              <w:rPr>
                <w:rFonts w:hint="default" w:ascii="Times New Roman" w:hAnsi="Times New Roman" w:cs="Times New Roman"/>
                <w:color w:val="auto"/>
                <w:kern w:val="0"/>
                <w:sz w:val="24"/>
                <w:szCs w:val="24"/>
                <w:u w:val="none"/>
                <w:lang w:val="en-US" w:eastAsia="zh-CN" w:bidi="ar-SA"/>
              </w:rPr>
            </w:pPr>
          </w:p>
        </w:tc>
      </w:tr>
    </w:tbl>
    <w:p>
      <w:pPr>
        <w:pStyle w:val="21"/>
        <w:jc w:val="center"/>
        <w:rPr>
          <w:rFonts w:ascii="黑体" w:hAnsi="黑体" w:eastAsia="黑体"/>
          <w:snapToGrid w:val="0"/>
          <w:sz w:val="36"/>
          <w:szCs w:val="36"/>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pStyle w:val="21"/>
        <w:adjustRightInd w:val="0"/>
        <w:snapToGrid w:val="0"/>
        <w:spacing w:before="0" w:beforeAutospacing="0" w:after="0" w:afterAutospacing="0" w:line="14" w:lineRule="auto"/>
        <w:jc w:val="center"/>
        <w:outlineLvl w:val="0"/>
        <w:rPr>
          <w:rFonts w:ascii="黑体" w:hAnsi="黑体" w:eastAsia="黑体"/>
          <w:snapToGrid w:val="0"/>
          <w:sz w:val="30"/>
          <w:szCs w:val="30"/>
        </w:rPr>
      </w:pPr>
    </w:p>
    <w:p>
      <w:pPr>
        <w:pStyle w:val="21"/>
        <w:jc w:val="center"/>
        <w:outlineLvl w:val="0"/>
        <w:rPr>
          <w:rFonts w:ascii="黑体" w:hAnsi="黑体" w:eastAsia="黑体"/>
          <w:snapToGrid w:val="0"/>
          <w:sz w:val="30"/>
          <w:szCs w:val="30"/>
        </w:rPr>
      </w:pPr>
      <w:bookmarkStart w:id="9" w:name="_Toc111712328"/>
      <w:r>
        <w:rPr>
          <w:rFonts w:hint="eastAsia" w:ascii="黑体" w:hAnsi="黑体" w:eastAsia="黑体"/>
          <w:snapToGrid w:val="0"/>
          <w:sz w:val="30"/>
          <w:szCs w:val="30"/>
        </w:rPr>
        <w:t>三、区域环境质量现状、环境保护目标及评价标准</w:t>
      </w:r>
      <w:bookmarkEnd w:id="9"/>
    </w:p>
    <w:tbl>
      <w:tblPr>
        <w:tblStyle w:val="25"/>
        <w:tblW w:w="10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576"/>
        <w:gridCol w:w="963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2" w:type="pct"/>
            <w:vAlign w:val="center"/>
          </w:tcPr>
          <w:p>
            <w:pPr>
              <w:adjustRightInd w:val="0"/>
              <w:snapToGrid w:val="0"/>
              <w:jc w:val="center"/>
              <w:rPr>
                <w:rFonts w:ascii="宋体" w:hAnsi="宋体" w:cs="宋体"/>
                <w:b/>
                <w:kern w:val="0"/>
                <w:sz w:val="24"/>
              </w:rPr>
            </w:pPr>
            <w:r>
              <w:rPr>
                <w:rFonts w:hint="eastAsia" w:ascii="宋体" w:hAnsi="宋体" w:cs="宋体"/>
                <w:b/>
                <w:kern w:val="0"/>
                <w:sz w:val="24"/>
              </w:rPr>
              <w:t>区域</w:t>
            </w:r>
          </w:p>
          <w:p>
            <w:pPr>
              <w:adjustRightInd w:val="0"/>
              <w:snapToGrid w:val="0"/>
              <w:jc w:val="center"/>
              <w:rPr>
                <w:rFonts w:ascii="宋体" w:hAnsi="宋体" w:cs="宋体"/>
                <w:b/>
                <w:kern w:val="0"/>
                <w:sz w:val="24"/>
              </w:rPr>
            </w:pPr>
            <w:r>
              <w:rPr>
                <w:rFonts w:hint="eastAsia" w:ascii="宋体" w:hAnsi="宋体" w:cs="宋体"/>
                <w:b/>
                <w:kern w:val="0"/>
                <w:sz w:val="24"/>
              </w:rPr>
              <w:t>环境</w:t>
            </w:r>
          </w:p>
          <w:p>
            <w:pPr>
              <w:adjustRightInd w:val="0"/>
              <w:snapToGrid w:val="0"/>
              <w:jc w:val="center"/>
              <w:rPr>
                <w:rFonts w:ascii="宋体" w:hAnsi="宋体" w:cs="宋体"/>
                <w:b/>
                <w:kern w:val="0"/>
                <w:sz w:val="24"/>
              </w:rPr>
            </w:pPr>
            <w:r>
              <w:rPr>
                <w:rFonts w:hint="eastAsia" w:ascii="宋体" w:hAnsi="宋体" w:cs="宋体"/>
                <w:b/>
                <w:kern w:val="0"/>
                <w:sz w:val="24"/>
              </w:rPr>
              <w:t>质量</w:t>
            </w:r>
          </w:p>
          <w:p>
            <w:pPr>
              <w:adjustRightInd w:val="0"/>
              <w:snapToGrid w:val="0"/>
              <w:jc w:val="center"/>
              <w:rPr>
                <w:rFonts w:ascii="宋体" w:hAnsi="宋体" w:cs="宋体"/>
                <w:b/>
                <w:kern w:val="0"/>
                <w:sz w:val="24"/>
              </w:rPr>
            </w:pPr>
            <w:r>
              <w:rPr>
                <w:rFonts w:hint="eastAsia" w:ascii="宋体" w:hAnsi="宋体" w:cs="宋体"/>
                <w:b/>
                <w:kern w:val="0"/>
                <w:sz w:val="24"/>
              </w:rPr>
              <w:t>现状</w:t>
            </w:r>
          </w:p>
        </w:tc>
        <w:tc>
          <w:tcPr>
            <w:tcW w:w="4718" w:type="pct"/>
            <w:vAlign w:val="center"/>
          </w:tcPr>
          <w:p>
            <w:pPr>
              <w:adjustRightInd w:val="0"/>
              <w:snapToGrid w:val="0"/>
              <w:spacing w:line="360" w:lineRule="auto"/>
              <w:ind w:firstLine="482" w:firstLineChars="200"/>
              <w:rPr>
                <w:b/>
                <w:sz w:val="24"/>
              </w:rPr>
            </w:pPr>
            <w:r>
              <w:rPr>
                <w:b/>
                <w:sz w:val="24"/>
              </w:rPr>
              <w:t>一、环境空气质量现状</w:t>
            </w:r>
          </w:p>
          <w:p>
            <w:pPr>
              <w:spacing w:line="360" w:lineRule="auto"/>
              <w:ind w:firstLine="482" w:firstLineChars="200"/>
              <w:jc w:val="left"/>
              <w:rPr>
                <w:b/>
                <w:sz w:val="24"/>
              </w:rPr>
            </w:pPr>
            <w:r>
              <w:rPr>
                <w:rFonts w:hint="eastAsia"/>
                <w:b/>
                <w:sz w:val="24"/>
              </w:rPr>
              <w:t>1、区域环境质量</w:t>
            </w:r>
          </w:p>
          <w:p>
            <w:pPr>
              <w:tabs>
                <w:tab w:val="left" w:pos="3544"/>
              </w:tabs>
              <w:adjustRightInd w:val="0"/>
              <w:snapToGrid w:val="0"/>
              <w:spacing w:line="360" w:lineRule="auto"/>
              <w:ind w:firstLine="480" w:firstLineChars="200"/>
              <w:rPr>
                <w:b/>
                <w:bCs/>
                <w:sz w:val="24"/>
              </w:rPr>
            </w:pPr>
            <w:r>
              <w:rPr>
                <w:sz w:val="24"/>
              </w:rPr>
              <w:t>根据《环境影响评价技术导则</w:t>
            </w:r>
            <w:r>
              <w:rPr>
                <w:rFonts w:hint="eastAsia"/>
                <w:sz w:val="24"/>
              </w:rPr>
              <w:t xml:space="preserve">  </w:t>
            </w:r>
            <w:r>
              <w:rPr>
                <w:sz w:val="24"/>
              </w:rPr>
              <w:t>大气环境》（HJ2.2-2018）</w:t>
            </w:r>
            <w:r>
              <w:rPr>
                <w:rFonts w:hint="eastAsia"/>
                <w:sz w:val="24"/>
              </w:rPr>
              <w:t>的要求，优先采用国家或地方生态环境主管部门公开发布的评价基准年环境质量公告或环境质量报告中的数据或结论</w:t>
            </w:r>
            <w:r>
              <w:rPr>
                <w:sz w:val="24"/>
              </w:rPr>
              <w:t>。项目所在区域达标判定采用</w:t>
            </w:r>
            <w:r>
              <w:rPr>
                <w:rFonts w:hint="eastAsia" w:hAnsi="宋体"/>
                <w:kern w:val="0"/>
                <w:sz w:val="24"/>
              </w:rPr>
              <w:t>衡阳市生态环境局公布的《关于2022年12月份及1~12月份全市环境质量状况的通报》</w:t>
            </w:r>
            <w:r>
              <w:rPr>
                <w:sz w:val="24"/>
              </w:rPr>
              <w:t>数据，</w:t>
            </w:r>
            <w:r>
              <w:rPr>
                <w:rFonts w:hint="eastAsia"/>
                <w:sz w:val="24"/>
              </w:rPr>
              <w:t>基本</w:t>
            </w:r>
            <w:r>
              <w:rPr>
                <w:sz w:val="24"/>
              </w:rPr>
              <w:t>污染物环境质量现状数据结果详见表</w:t>
            </w:r>
            <w:r>
              <w:rPr>
                <w:rFonts w:hint="eastAsia"/>
                <w:sz w:val="24"/>
                <w:lang w:val="en-US" w:eastAsia="zh-CN"/>
              </w:rPr>
              <w:t>3</w:t>
            </w:r>
            <w:r>
              <w:rPr>
                <w:rFonts w:hint="eastAsia"/>
                <w:sz w:val="24"/>
              </w:rPr>
              <w:t>-1</w:t>
            </w:r>
            <w:r>
              <w:rPr>
                <w:sz w:val="24"/>
              </w:rPr>
              <w:t>。</w:t>
            </w:r>
          </w:p>
          <w:p>
            <w:pPr>
              <w:autoSpaceDE w:val="0"/>
              <w:autoSpaceDN w:val="0"/>
              <w:adjustRightInd w:val="0"/>
              <w:spacing w:before="120" w:beforeLines="50"/>
              <w:jc w:val="center"/>
              <w:rPr>
                <w:b/>
                <w:kern w:val="0"/>
                <w:szCs w:val="21"/>
              </w:rPr>
            </w:pPr>
            <w:bookmarkStart w:id="10" w:name="_Ref528415780"/>
            <w:r>
              <w:rPr>
                <w:b/>
                <w:kern w:val="0"/>
                <w:szCs w:val="21"/>
              </w:rPr>
              <w:t>表</w:t>
            </w:r>
            <w:bookmarkEnd w:id="10"/>
            <w:r>
              <w:rPr>
                <w:rFonts w:hint="eastAsia"/>
                <w:b/>
                <w:kern w:val="0"/>
                <w:szCs w:val="21"/>
                <w:lang w:val="en-US" w:eastAsia="zh-CN"/>
              </w:rPr>
              <w:t>3</w:t>
            </w:r>
            <w:r>
              <w:rPr>
                <w:b/>
                <w:kern w:val="0"/>
                <w:szCs w:val="21"/>
              </w:rPr>
              <w:t>-1  区域空气质量现状评价表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51"/>
              <w:gridCol w:w="2973"/>
              <w:gridCol w:w="2099"/>
              <w:gridCol w:w="1924"/>
              <w:gridCol w:w="133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12" w:space="0"/>
                    <w:left w:val="single" w:color="auto" w:sz="12" w:space="0"/>
                    <w:bottom w:val="single" w:color="auto" w:sz="6" w:space="0"/>
                    <w:right w:val="single" w:color="auto" w:sz="6" w:space="0"/>
                  </w:tcBorders>
                  <w:noWrap w:val="0"/>
                  <w:vAlign w:val="center"/>
                </w:tcPr>
                <w:p>
                  <w:pPr>
                    <w:snapToGrid w:val="0"/>
                    <w:spacing w:line="0" w:lineRule="atLeast"/>
                    <w:jc w:val="center"/>
                    <w:rPr>
                      <w:b/>
                      <w:szCs w:val="21"/>
                    </w:rPr>
                  </w:pPr>
                  <w:r>
                    <w:rPr>
                      <w:b/>
                      <w:szCs w:val="21"/>
                    </w:rPr>
                    <w:t>污染物</w:t>
                  </w:r>
                </w:p>
              </w:tc>
              <w:tc>
                <w:tcPr>
                  <w:tcW w:w="1584" w:type="pct"/>
                  <w:tcBorders>
                    <w:top w:val="single" w:color="auto" w:sz="12" w:space="0"/>
                    <w:left w:val="single" w:color="auto" w:sz="6" w:space="0"/>
                    <w:bottom w:val="single" w:color="auto" w:sz="6" w:space="0"/>
                    <w:right w:val="single" w:color="auto" w:sz="6" w:space="0"/>
                  </w:tcBorders>
                  <w:noWrap w:val="0"/>
                  <w:vAlign w:val="center"/>
                </w:tcPr>
                <w:p>
                  <w:pPr>
                    <w:snapToGrid w:val="0"/>
                    <w:spacing w:line="0" w:lineRule="atLeast"/>
                    <w:jc w:val="center"/>
                    <w:rPr>
                      <w:b/>
                      <w:szCs w:val="21"/>
                    </w:rPr>
                  </w:pPr>
                  <w:r>
                    <w:rPr>
                      <w:b/>
                      <w:szCs w:val="21"/>
                    </w:rPr>
                    <w:t>年评价指标</w:t>
                  </w:r>
                </w:p>
              </w:tc>
              <w:tc>
                <w:tcPr>
                  <w:tcW w:w="1118" w:type="pct"/>
                  <w:tcBorders>
                    <w:top w:val="single" w:color="auto" w:sz="12" w:space="0"/>
                    <w:left w:val="single" w:color="auto" w:sz="6" w:space="0"/>
                    <w:bottom w:val="single" w:color="auto" w:sz="6" w:space="0"/>
                    <w:right w:val="single" w:color="auto" w:sz="6" w:space="0"/>
                  </w:tcBorders>
                  <w:noWrap w:val="0"/>
                  <w:vAlign w:val="center"/>
                </w:tcPr>
                <w:p>
                  <w:pPr>
                    <w:snapToGrid w:val="0"/>
                    <w:spacing w:line="0" w:lineRule="atLeast"/>
                    <w:jc w:val="center"/>
                    <w:rPr>
                      <w:b/>
                      <w:szCs w:val="21"/>
                    </w:rPr>
                  </w:pPr>
                  <w:r>
                    <w:rPr>
                      <w:b/>
                      <w:szCs w:val="21"/>
                    </w:rPr>
                    <w:t>现状浓度（</w:t>
                  </w:r>
                  <w:r>
                    <w:rPr>
                      <w:b/>
                    </w:rPr>
                    <w:t>µg/m</w:t>
                  </w:r>
                  <w:r>
                    <w:rPr>
                      <w:b/>
                      <w:vertAlign w:val="superscript"/>
                    </w:rPr>
                    <w:t>3</w:t>
                  </w:r>
                  <w:r>
                    <w:rPr>
                      <w:b/>
                      <w:szCs w:val="21"/>
                    </w:rPr>
                    <w:t>）</w:t>
                  </w:r>
                </w:p>
              </w:tc>
              <w:tc>
                <w:tcPr>
                  <w:tcW w:w="1025" w:type="pct"/>
                  <w:tcBorders>
                    <w:top w:val="single" w:color="auto" w:sz="12" w:space="0"/>
                    <w:left w:val="single" w:color="auto" w:sz="6" w:space="0"/>
                    <w:bottom w:val="single" w:color="auto" w:sz="6" w:space="0"/>
                    <w:right w:val="single" w:color="auto" w:sz="6" w:space="0"/>
                  </w:tcBorders>
                  <w:noWrap w:val="0"/>
                  <w:vAlign w:val="center"/>
                </w:tcPr>
                <w:p>
                  <w:pPr>
                    <w:snapToGrid w:val="0"/>
                    <w:spacing w:line="0" w:lineRule="atLeast"/>
                    <w:jc w:val="center"/>
                    <w:rPr>
                      <w:b/>
                      <w:szCs w:val="21"/>
                    </w:rPr>
                  </w:pPr>
                  <w:r>
                    <w:rPr>
                      <w:b/>
                      <w:szCs w:val="21"/>
                    </w:rPr>
                    <w:t>标准值（</w:t>
                  </w:r>
                  <w:r>
                    <w:rPr>
                      <w:b/>
                    </w:rPr>
                    <w:t>µg/m</w:t>
                  </w:r>
                  <w:r>
                    <w:rPr>
                      <w:b/>
                      <w:vertAlign w:val="superscript"/>
                    </w:rPr>
                    <w:t>3</w:t>
                  </w:r>
                  <w:r>
                    <w:rPr>
                      <w:b/>
                      <w:szCs w:val="21"/>
                    </w:rPr>
                    <w:t>）</w:t>
                  </w:r>
                </w:p>
              </w:tc>
              <w:tc>
                <w:tcPr>
                  <w:tcW w:w="712" w:type="pct"/>
                  <w:tcBorders>
                    <w:top w:val="single" w:color="auto" w:sz="12" w:space="0"/>
                    <w:left w:val="single" w:color="auto" w:sz="6" w:space="0"/>
                    <w:bottom w:val="single" w:color="auto" w:sz="6" w:space="0"/>
                    <w:right w:val="single" w:color="auto" w:sz="12" w:space="0"/>
                  </w:tcBorders>
                  <w:noWrap w:val="0"/>
                  <w:vAlign w:val="center"/>
                </w:tcPr>
                <w:p>
                  <w:pPr>
                    <w:snapToGrid w:val="0"/>
                    <w:spacing w:line="0" w:lineRule="atLeast"/>
                    <w:jc w:val="center"/>
                    <w:rPr>
                      <w:b/>
                      <w:szCs w:val="21"/>
                    </w:rPr>
                  </w:pPr>
                  <w:r>
                    <w:rPr>
                      <w:b/>
                      <w:szCs w:val="21"/>
                    </w:rPr>
                    <w:t>达标情况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6" w:space="0"/>
                    <w:right w:val="single" w:color="auto" w:sz="6" w:space="0"/>
                  </w:tcBorders>
                  <w:noWrap w:val="0"/>
                  <w:vAlign w:val="center"/>
                </w:tcPr>
                <w:p>
                  <w:pPr>
                    <w:snapToGrid w:val="0"/>
                    <w:spacing w:line="0" w:lineRule="atLeast"/>
                    <w:jc w:val="center"/>
                    <w:rPr>
                      <w:szCs w:val="21"/>
                    </w:rPr>
                  </w:pPr>
                  <w:r>
                    <w:rPr>
                      <w:szCs w:val="21"/>
                    </w:rPr>
                    <w:t>SO</w:t>
                  </w:r>
                  <w:r>
                    <w:rPr>
                      <w:szCs w:val="21"/>
                      <w:vertAlign w:val="subscript"/>
                    </w:rPr>
                    <w:t>2</w:t>
                  </w:r>
                </w:p>
              </w:tc>
              <w:tc>
                <w:tcPr>
                  <w:tcW w:w="1584"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bCs/>
                      <w:szCs w:val="21"/>
                    </w:rPr>
                    <w:t>年平均质量浓度</w:t>
                  </w:r>
                </w:p>
              </w:tc>
              <w:tc>
                <w:tcPr>
                  <w:tcW w:w="1118"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rFonts w:hint="eastAsia"/>
                      <w:bCs/>
                      <w:szCs w:val="21"/>
                    </w:rPr>
                    <w:t>6</w:t>
                  </w:r>
                </w:p>
              </w:tc>
              <w:tc>
                <w:tcPr>
                  <w:tcW w:w="1025"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bCs/>
                      <w:szCs w:val="21"/>
                    </w:rPr>
                    <w:t>60</w:t>
                  </w:r>
                </w:p>
              </w:tc>
              <w:tc>
                <w:tcPr>
                  <w:tcW w:w="712" w:type="pct"/>
                  <w:tcBorders>
                    <w:top w:val="single" w:color="auto" w:sz="6" w:space="0"/>
                    <w:left w:val="single" w:color="auto" w:sz="6" w:space="0"/>
                    <w:bottom w:val="single" w:color="auto" w:sz="6" w:space="0"/>
                    <w:right w:val="single" w:color="auto" w:sz="12" w:space="0"/>
                  </w:tcBorders>
                  <w:noWrap w:val="0"/>
                  <w:vAlign w:val="center"/>
                </w:tcPr>
                <w:p>
                  <w:pPr>
                    <w:jc w:val="center"/>
                    <w:rPr>
                      <w:bCs/>
                      <w:szCs w:val="21"/>
                    </w:rPr>
                  </w:pPr>
                  <w:r>
                    <w:rPr>
                      <w:bCs/>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6" w:space="0"/>
                    <w:right w:val="single" w:color="auto" w:sz="6" w:space="0"/>
                  </w:tcBorders>
                  <w:noWrap w:val="0"/>
                  <w:vAlign w:val="center"/>
                </w:tcPr>
                <w:p>
                  <w:pPr>
                    <w:snapToGrid w:val="0"/>
                    <w:spacing w:line="0" w:lineRule="atLeast"/>
                    <w:jc w:val="center"/>
                    <w:rPr>
                      <w:szCs w:val="21"/>
                    </w:rPr>
                  </w:pPr>
                  <w:r>
                    <w:rPr>
                      <w:szCs w:val="21"/>
                    </w:rPr>
                    <w:t>NO</w:t>
                  </w:r>
                  <w:r>
                    <w:rPr>
                      <w:szCs w:val="21"/>
                      <w:vertAlign w:val="subscript"/>
                    </w:rPr>
                    <w:t>2</w:t>
                  </w:r>
                </w:p>
              </w:tc>
              <w:tc>
                <w:tcPr>
                  <w:tcW w:w="1584"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bCs/>
                      <w:szCs w:val="21"/>
                    </w:rPr>
                    <w:t>年平均质量浓度</w:t>
                  </w:r>
                </w:p>
              </w:tc>
              <w:tc>
                <w:tcPr>
                  <w:tcW w:w="1118"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rFonts w:hint="eastAsia"/>
                      <w:bCs/>
                      <w:szCs w:val="21"/>
                    </w:rPr>
                    <w:t>13</w:t>
                  </w:r>
                </w:p>
              </w:tc>
              <w:tc>
                <w:tcPr>
                  <w:tcW w:w="1025" w:type="pct"/>
                  <w:tcBorders>
                    <w:top w:val="single" w:color="auto" w:sz="6" w:space="0"/>
                    <w:left w:val="single" w:color="auto" w:sz="6" w:space="0"/>
                    <w:bottom w:val="single" w:color="auto" w:sz="6" w:space="0"/>
                    <w:right w:val="single" w:color="auto" w:sz="6" w:space="0"/>
                  </w:tcBorders>
                  <w:noWrap w:val="0"/>
                  <w:vAlign w:val="center"/>
                </w:tcPr>
                <w:p>
                  <w:pPr>
                    <w:jc w:val="center"/>
                    <w:rPr>
                      <w:bCs/>
                      <w:szCs w:val="21"/>
                    </w:rPr>
                  </w:pPr>
                  <w:r>
                    <w:rPr>
                      <w:bCs/>
                      <w:szCs w:val="21"/>
                    </w:rPr>
                    <w:t>40</w:t>
                  </w:r>
                </w:p>
              </w:tc>
              <w:tc>
                <w:tcPr>
                  <w:tcW w:w="712" w:type="pct"/>
                  <w:tcBorders>
                    <w:top w:val="single" w:color="auto" w:sz="6" w:space="0"/>
                    <w:left w:val="single" w:color="auto" w:sz="6" w:space="0"/>
                    <w:bottom w:val="single" w:color="auto" w:sz="6" w:space="0"/>
                    <w:right w:val="single" w:color="auto" w:sz="12" w:space="0"/>
                  </w:tcBorders>
                  <w:noWrap w:val="0"/>
                  <w:vAlign w:val="center"/>
                </w:tcPr>
                <w:p>
                  <w:pPr>
                    <w:jc w:val="center"/>
                    <w:rPr>
                      <w:bCs/>
                      <w:szCs w:val="21"/>
                    </w:rPr>
                  </w:pPr>
                  <w:r>
                    <w:rPr>
                      <w:bCs/>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6" w:space="0"/>
                    <w:right w:val="single" w:color="auto" w:sz="6" w:space="0"/>
                  </w:tcBorders>
                  <w:noWrap w:val="0"/>
                  <w:vAlign w:val="center"/>
                </w:tcPr>
                <w:p>
                  <w:pPr>
                    <w:snapToGrid w:val="0"/>
                    <w:spacing w:line="0" w:lineRule="atLeast"/>
                    <w:jc w:val="center"/>
                    <w:rPr>
                      <w:szCs w:val="21"/>
                    </w:rPr>
                  </w:pPr>
                  <w:r>
                    <w:rPr>
                      <w:szCs w:val="21"/>
                    </w:rPr>
                    <w:t>CO</w:t>
                  </w:r>
                </w:p>
              </w:tc>
              <w:tc>
                <w:tcPr>
                  <w:tcW w:w="1584" w:type="pct"/>
                  <w:tcBorders>
                    <w:top w:val="single" w:color="auto" w:sz="6" w:space="0"/>
                    <w:left w:val="single" w:color="auto" w:sz="6" w:space="0"/>
                    <w:bottom w:val="single" w:color="auto" w:sz="6" w:space="0"/>
                    <w:right w:val="single" w:color="auto" w:sz="6" w:space="0"/>
                  </w:tcBorders>
                  <w:noWrap w:val="0"/>
                  <w:vAlign w:val="center"/>
                </w:tcPr>
                <w:p>
                  <w:pPr>
                    <w:spacing w:line="280" w:lineRule="exact"/>
                    <w:jc w:val="center"/>
                    <w:rPr>
                      <w:szCs w:val="21"/>
                    </w:rPr>
                  </w:pPr>
                  <w:r>
                    <w:rPr>
                      <w:kern w:val="0"/>
                      <w:szCs w:val="21"/>
                    </w:rPr>
                    <w:t>24小时平均第95百分位数浓度</w:t>
                  </w:r>
                </w:p>
              </w:tc>
              <w:tc>
                <w:tcPr>
                  <w:tcW w:w="1118"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rFonts w:hint="eastAsia"/>
                      <w:szCs w:val="21"/>
                    </w:rPr>
                    <w:t>1000</w:t>
                  </w:r>
                </w:p>
              </w:tc>
              <w:tc>
                <w:tcPr>
                  <w:tcW w:w="1025"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szCs w:val="21"/>
                    </w:rPr>
                    <w:t>4000</w:t>
                  </w:r>
                </w:p>
              </w:tc>
              <w:tc>
                <w:tcPr>
                  <w:tcW w:w="712" w:type="pct"/>
                  <w:tcBorders>
                    <w:top w:val="single" w:color="auto" w:sz="6" w:space="0"/>
                    <w:left w:val="single" w:color="auto" w:sz="6" w:space="0"/>
                    <w:bottom w:val="single" w:color="auto" w:sz="6" w:space="0"/>
                    <w:right w:val="single" w:color="auto" w:sz="12" w:space="0"/>
                  </w:tcBorders>
                  <w:noWrap w:val="0"/>
                  <w:vAlign w:val="center"/>
                </w:tcPr>
                <w:p>
                  <w:pPr>
                    <w:jc w:val="center"/>
                    <w:rPr>
                      <w:szCs w:val="21"/>
                    </w:rPr>
                  </w:pPr>
                  <w:r>
                    <w:rPr>
                      <w:bCs/>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6" w:space="0"/>
                    <w:right w:val="single" w:color="auto" w:sz="6" w:space="0"/>
                  </w:tcBorders>
                  <w:noWrap w:val="0"/>
                  <w:vAlign w:val="center"/>
                </w:tcPr>
                <w:p>
                  <w:pPr>
                    <w:snapToGrid w:val="0"/>
                    <w:spacing w:line="0" w:lineRule="atLeast"/>
                    <w:jc w:val="center"/>
                    <w:rPr>
                      <w:szCs w:val="21"/>
                    </w:rPr>
                  </w:pPr>
                  <w:r>
                    <w:rPr>
                      <w:szCs w:val="21"/>
                    </w:rPr>
                    <w:t>O</w:t>
                  </w:r>
                  <w:r>
                    <w:rPr>
                      <w:szCs w:val="21"/>
                      <w:vertAlign w:val="subscript"/>
                    </w:rPr>
                    <w:t>3</w:t>
                  </w:r>
                </w:p>
              </w:tc>
              <w:tc>
                <w:tcPr>
                  <w:tcW w:w="1584" w:type="pct"/>
                  <w:tcBorders>
                    <w:top w:val="single" w:color="auto" w:sz="6" w:space="0"/>
                    <w:left w:val="single" w:color="auto" w:sz="6" w:space="0"/>
                    <w:bottom w:val="single" w:color="auto" w:sz="6" w:space="0"/>
                    <w:right w:val="single" w:color="auto" w:sz="6" w:space="0"/>
                  </w:tcBorders>
                  <w:noWrap w:val="0"/>
                  <w:vAlign w:val="center"/>
                </w:tcPr>
                <w:p>
                  <w:pPr>
                    <w:spacing w:line="280" w:lineRule="exact"/>
                    <w:jc w:val="center"/>
                    <w:rPr>
                      <w:szCs w:val="21"/>
                    </w:rPr>
                  </w:pPr>
                  <w:r>
                    <w:rPr>
                      <w:szCs w:val="21"/>
                    </w:rPr>
                    <w:t>日最大8h滑动平均值的</w:t>
                  </w:r>
                  <w:r>
                    <w:rPr>
                      <w:kern w:val="0"/>
                      <w:szCs w:val="21"/>
                    </w:rPr>
                    <w:t>第90百分位数浓度</w:t>
                  </w:r>
                </w:p>
              </w:tc>
              <w:tc>
                <w:tcPr>
                  <w:tcW w:w="1118"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rFonts w:hint="eastAsia"/>
                      <w:szCs w:val="21"/>
                    </w:rPr>
                    <w:t>147</w:t>
                  </w:r>
                </w:p>
              </w:tc>
              <w:tc>
                <w:tcPr>
                  <w:tcW w:w="1025"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szCs w:val="21"/>
                    </w:rPr>
                    <w:t>160</w:t>
                  </w:r>
                </w:p>
              </w:tc>
              <w:tc>
                <w:tcPr>
                  <w:tcW w:w="712" w:type="pct"/>
                  <w:tcBorders>
                    <w:top w:val="single" w:color="auto" w:sz="6" w:space="0"/>
                    <w:left w:val="single" w:color="auto" w:sz="6" w:space="0"/>
                    <w:bottom w:val="single" w:color="auto" w:sz="6" w:space="0"/>
                    <w:right w:val="single" w:color="auto" w:sz="12" w:space="0"/>
                  </w:tcBorders>
                  <w:noWrap w:val="0"/>
                  <w:vAlign w:val="center"/>
                </w:tcPr>
                <w:p>
                  <w:pPr>
                    <w:jc w:val="center"/>
                    <w:rPr>
                      <w:szCs w:val="21"/>
                    </w:rPr>
                  </w:pPr>
                  <w:r>
                    <w:rPr>
                      <w:bCs/>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6" w:space="0"/>
                    <w:right w:val="single" w:color="auto" w:sz="6" w:space="0"/>
                  </w:tcBorders>
                  <w:noWrap w:val="0"/>
                  <w:vAlign w:val="center"/>
                </w:tcPr>
                <w:p>
                  <w:pPr>
                    <w:snapToGrid w:val="0"/>
                    <w:spacing w:line="0" w:lineRule="atLeast"/>
                    <w:jc w:val="center"/>
                    <w:rPr>
                      <w:szCs w:val="21"/>
                      <w:vertAlign w:val="subscript"/>
                    </w:rPr>
                  </w:pPr>
                  <w:r>
                    <w:rPr>
                      <w:szCs w:val="21"/>
                    </w:rPr>
                    <w:t>PM</w:t>
                  </w:r>
                  <w:r>
                    <w:rPr>
                      <w:szCs w:val="21"/>
                      <w:vertAlign w:val="subscript"/>
                    </w:rPr>
                    <w:t>10</w:t>
                  </w:r>
                </w:p>
              </w:tc>
              <w:tc>
                <w:tcPr>
                  <w:tcW w:w="1584"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bCs/>
                      <w:szCs w:val="21"/>
                    </w:rPr>
                    <w:t>年平均质量浓度</w:t>
                  </w:r>
                </w:p>
              </w:tc>
              <w:tc>
                <w:tcPr>
                  <w:tcW w:w="1118"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rFonts w:hint="eastAsia"/>
                      <w:szCs w:val="21"/>
                    </w:rPr>
                    <w:t>54</w:t>
                  </w:r>
                </w:p>
              </w:tc>
              <w:tc>
                <w:tcPr>
                  <w:tcW w:w="1025" w:type="pct"/>
                  <w:tcBorders>
                    <w:top w:val="single" w:color="auto" w:sz="6" w:space="0"/>
                    <w:left w:val="single" w:color="auto" w:sz="6" w:space="0"/>
                    <w:bottom w:val="single" w:color="auto" w:sz="6" w:space="0"/>
                    <w:right w:val="single" w:color="auto" w:sz="6" w:space="0"/>
                  </w:tcBorders>
                  <w:noWrap w:val="0"/>
                  <w:vAlign w:val="center"/>
                </w:tcPr>
                <w:p>
                  <w:pPr>
                    <w:jc w:val="center"/>
                    <w:rPr>
                      <w:szCs w:val="21"/>
                    </w:rPr>
                  </w:pPr>
                  <w:r>
                    <w:rPr>
                      <w:szCs w:val="21"/>
                    </w:rPr>
                    <w:t>70</w:t>
                  </w:r>
                </w:p>
              </w:tc>
              <w:tc>
                <w:tcPr>
                  <w:tcW w:w="712" w:type="pct"/>
                  <w:tcBorders>
                    <w:top w:val="single" w:color="auto" w:sz="6" w:space="0"/>
                    <w:left w:val="single" w:color="auto" w:sz="6" w:space="0"/>
                    <w:bottom w:val="single" w:color="auto" w:sz="6" w:space="0"/>
                    <w:right w:val="single" w:color="auto" w:sz="12" w:space="0"/>
                  </w:tcBorders>
                  <w:noWrap w:val="0"/>
                  <w:vAlign w:val="center"/>
                </w:tcPr>
                <w:p>
                  <w:pPr>
                    <w:jc w:val="center"/>
                    <w:rPr>
                      <w:szCs w:val="21"/>
                    </w:rPr>
                  </w:pPr>
                  <w:r>
                    <w:rPr>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60" w:type="pct"/>
                  <w:tcBorders>
                    <w:top w:val="single" w:color="auto" w:sz="6" w:space="0"/>
                    <w:left w:val="single" w:color="auto" w:sz="12" w:space="0"/>
                    <w:bottom w:val="single" w:color="auto" w:sz="12" w:space="0"/>
                    <w:right w:val="single" w:color="auto" w:sz="6" w:space="0"/>
                  </w:tcBorders>
                  <w:noWrap w:val="0"/>
                  <w:vAlign w:val="center"/>
                </w:tcPr>
                <w:p>
                  <w:pPr>
                    <w:snapToGrid w:val="0"/>
                    <w:spacing w:line="0" w:lineRule="atLeast"/>
                    <w:jc w:val="center"/>
                    <w:rPr>
                      <w:szCs w:val="21"/>
                      <w:vertAlign w:val="subscript"/>
                    </w:rPr>
                  </w:pPr>
                  <w:r>
                    <w:rPr>
                      <w:szCs w:val="21"/>
                    </w:rPr>
                    <w:t>PM</w:t>
                  </w:r>
                  <w:r>
                    <w:rPr>
                      <w:szCs w:val="21"/>
                      <w:vertAlign w:val="subscript"/>
                    </w:rPr>
                    <w:t>2.5</w:t>
                  </w:r>
                </w:p>
              </w:tc>
              <w:tc>
                <w:tcPr>
                  <w:tcW w:w="1584" w:type="pct"/>
                  <w:tcBorders>
                    <w:top w:val="single" w:color="auto" w:sz="6" w:space="0"/>
                    <w:left w:val="single" w:color="auto" w:sz="6" w:space="0"/>
                    <w:bottom w:val="single" w:color="auto" w:sz="12" w:space="0"/>
                    <w:right w:val="single" w:color="auto" w:sz="6" w:space="0"/>
                  </w:tcBorders>
                  <w:noWrap w:val="0"/>
                  <w:vAlign w:val="center"/>
                </w:tcPr>
                <w:p>
                  <w:pPr>
                    <w:snapToGrid w:val="0"/>
                    <w:spacing w:line="0" w:lineRule="atLeast"/>
                    <w:jc w:val="center"/>
                    <w:rPr>
                      <w:szCs w:val="21"/>
                      <w:vertAlign w:val="subscript"/>
                    </w:rPr>
                  </w:pPr>
                  <w:r>
                    <w:rPr>
                      <w:bCs/>
                      <w:szCs w:val="21"/>
                    </w:rPr>
                    <w:t>年平均质量浓度</w:t>
                  </w:r>
                </w:p>
              </w:tc>
              <w:tc>
                <w:tcPr>
                  <w:tcW w:w="1118" w:type="pct"/>
                  <w:tcBorders>
                    <w:top w:val="single" w:color="auto" w:sz="6" w:space="0"/>
                    <w:left w:val="single" w:color="auto" w:sz="6" w:space="0"/>
                    <w:bottom w:val="single" w:color="auto" w:sz="12" w:space="0"/>
                    <w:right w:val="single" w:color="auto" w:sz="6" w:space="0"/>
                  </w:tcBorders>
                  <w:noWrap w:val="0"/>
                  <w:vAlign w:val="center"/>
                </w:tcPr>
                <w:p>
                  <w:pPr>
                    <w:jc w:val="center"/>
                    <w:rPr>
                      <w:szCs w:val="21"/>
                    </w:rPr>
                  </w:pPr>
                  <w:r>
                    <w:rPr>
                      <w:rFonts w:hint="eastAsia"/>
                      <w:szCs w:val="21"/>
                    </w:rPr>
                    <w:t>35</w:t>
                  </w:r>
                </w:p>
              </w:tc>
              <w:tc>
                <w:tcPr>
                  <w:tcW w:w="1025" w:type="pct"/>
                  <w:tcBorders>
                    <w:top w:val="single" w:color="auto" w:sz="6" w:space="0"/>
                    <w:left w:val="single" w:color="auto" w:sz="6" w:space="0"/>
                    <w:bottom w:val="single" w:color="auto" w:sz="12" w:space="0"/>
                    <w:right w:val="single" w:color="auto" w:sz="6" w:space="0"/>
                  </w:tcBorders>
                  <w:noWrap w:val="0"/>
                  <w:vAlign w:val="center"/>
                </w:tcPr>
                <w:p>
                  <w:pPr>
                    <w:jc w:val="center"/>
                    <w:rPr>
                      <w:szCs w:val="21"/>
                    </w:rPr>
                  </w:pPr>
                  <w:r>
                    <w:rPr>
                      <w:szCs w:val="21"/>
                    </w:rPr>
                    <w:t>35</w:t>
                  </w:r>
                </w:p>
              </w:tc>
              <w:tc>
                <w:tcPr>
                  <w:tcW w:w="712" w:type="pct"/>
                  <w:tcBorders>
                    <w:top w:val="single" w:color="auto" w:sz="6" w:space="0"/>
                    <w:left w:val="single" w:color="auto" w:sz="6" w:space="0"/>
                    <w:bottom w:val="single" w:color="auto" w:sz="12" w:space="0"/>
                    <w:right w:val="single" w:color="auto" w:sz="12" w:space="0"/>
                  </w:tcBorders>
                  <w:noWrap w:val="0"/>
                  <w:vAlign w:val="center"/>
                </w:tcPr>
                <w:p>
                  <w:pPr>
                    <w:jc w:val="center"/>
                    <w:rPr>
                      <w:szCs w:val="21"/>
                    </w:rPr>
                  </w:pPr>
                  <w:r>
                    <w:rPr>
                      <w:szCs w:val="21"/>
                    </w:rPr>
                    <w:t>达标</w:t>
                  </w:r>
                </w:p>
              </w:tc>
            </w:tr>
          </w:tbl>
          <w:p>
            <w:pPr>
              <w:tabs>
                <w:tab w:val="left" w:pos="3544"/>
              </w:tabs>
              <w:adjustRightInd w:val="0"/>
              <w:snapToGrid w:val="0"/>
              <w:spacing w:line="360" w:lineRule="auto"/>
              <w:ind w:firstLine="480" w:firstLineChars="200"/>
              <w:rPr>
                <w:rFonts w:hint="eastAsia" w:hAnsi="宋体" w:eastAsia="宋体"/>
                <w:kern w:val="0"/>
                <w:sz w:val="24"/>
                <w:lang w:eastAsia="zh-CN"/>
              </w:rPr>
            </w:pPr>
            <w:r>
              <w:rPr>
                <w:rFonts w:hint="eastAsia" w:hAnsi="宋体"/>
                <w:kern w:val="0"/>
                <w:sz w:val="24"/>
              </w:rPr>
              <w:t>由上表可知，衡阳县2022年度环境空气各因子平均浓度满足《环境空气质量标准》（GB3095-2012）中二级标准限值，判定为达标区</w:t>
            </w:r>
            <w:r>
              <w:rPr>
                <w:rFonts w:hint="eastAsia" w:hAnsi="宋体"/>
                <w:kern w:val="0"/>
                <w:sz w:val="24"/>
                <w:lang w:eastAsia="zh-CN"/>
              </w:rPr>
              <w:t>。</w:t>
            </w:r>
          </w:p>
          <w:p>
            <w:pPr>
              <w:tabs>
                <w:tab w:val="left" w:pos="3544"/>
              </w:tabs>
              <w:adjustRightInd w:val="0"/>
              <w:snapToGrid w:val="0"/>
              <w:spacing w:line="360" w:lineRule="auto"/>
              <w:ind w:firstLine="482" w:firstLineChars="200"/>
              <w:rPr>
                <w:rFonts w:hint="eastAsia" w:ascii="Times New Roman" w:hAnsi="宋体" w:eastAsia="宋体" w:cs="Times New Roman"/>
                <w:b/>
                <w:bCs/>
                <w:kern w:val="0"/>
                <w:sz w:val="24"/>
              </w:rPr>
            </w:pPr>
            <w:r>
              <w:rPr>
                <w:rFonts w:hint="eastAsia" w:ascii="Times New Roman" w:hAnsi="宋体" w:eastAsia="宋体" w:cs="Times New Roman"/>
                <w:b/>
                <w:bCs/>
                <w:kern w:val="0"/>
                <w:sz w:val="24"/>
              </w:rPr>
              <w:t>2、特征监测因子</w:t>
            </w:r>
          </w:p>
          <w:p>
            <w:pPr>
              <w:tabs>
                <w:tab w:val="left" w:pos="3544"/>
              </w:tabs>
              <w:adjustRightInd w:val="0"/>
              <w:snapToGrid w:val="0"/>
              <w:spacing w:line="360" w:lineRule="auto"/>
              <w:ind w:firstLine="480" w:firstLineChars="200"/>
              <w:rPr>
                <w:color w:val="FF0000"/>
                <w:sz w:val="24"/>
                <w:u w:val="wave"/>
              </w:rPr>
            </w:pPr>
            <w:r>
              <w:rPr>
                <w:rFonts w:hint="eastAsia" w:ascii="Times New Roman" w:hAnsi="宋体" w:eastAsia="宋体" w:cs="Times New Roman"/>
                <w:kern w:val="0"/>
                <w:sz w:val="24"/>
              </w:rPr>
              <w:t>本项目排放的其他污染因子为TVOC，</w:t>
            </w:r>
            <w:r>
              <w:rPr>
                <w:rFonts w:hint="default" w:ascii="Times New Roman" w:hAnsi="宋体" w:eastAsia="宋体" w:cs="Times New Roman"/>
                <w:kern w:val="0"/>
                <w:sz w:val="24"/>
              </w:rPr>
              <w:t>引用《湖南峰致远鞋业有限公司年产300万双成品鞋生产项目环境影响报告</w:t>
            </w:r>
            <w:r>
              <w:rPr>
                <w:rFonts w:hint="default" w:ascii="Times New Roman" w:hAnsi="宋体" w:eastAsia="宋体" w:cs="Times New Roman"/>
                <w:kern w:val="0"/>
                <w:sz w:val="24"/>
                <w:lang w:val="en-US" w:eastAsia="zh-CN"/>
              </w:rPr>
              <w:t>表</w:t>
            </w:r>
            <w:r>
              <w:rPr>
                <w:rFonts w:hint="default" w:ascii="Times New Roman" w:hAnsi="宋体" w:eastAsia="宋体" w:cs="Times New Roman"/>
                <w:kern w:val="0"/>
                <w:sz w:val="24"/>
              </w:rPr>
              <w:t>》中委托湖南精博监测科技有限公司于20</w:t>
            </w:r>
            <w:r>
              <w:rPr>
                <w:rFonts w:hint="default" w:ascii="Times New Roman" w:hAnsi="宋体" w:eastAsia="宋体" w:cs="Times New Roman"/>
                <w:kern w:val="0"/>
                <w:sz w:val="24"/>
                <w:lang w:val="en-US" w:eastAsia="zh-CN"/>
              </w:rPr>
              <w:t>22</w:t>
            </w:r>
            <w:r>
              <w:rPr>
                <w:rFonts w:hint="default" w:ascii="Times New Roman" w:hAnsi="宋体" w:eastAsia="宋体" w:cs="Times New Roman"/>
                <w:kern w:val="0"/>
                <w:sz w:val="24"/>
              </w:rPr>
              <w:t>年</w:t>
            </w:r>
            <w:r>
              <w:rPr>
                <w:rFonts w:hint="default" w:ascii="Times New Roman" w:hAnsi="Times New Roman" w:cs="Times New Roman"/>
                <w:color w:val="000000" w:themeColor="text1"/>
                <w:kern w:val="0"/>
                <w:sz w:val="24"/>
                <w:szCs w:val="24"/>
                <w:lang w:val="en-US" w:eastAsia="zh-CN"/>
              </w:rPr>
              <w:t>6</w:t>
            </w:r>
            <w:r>
              <w:rPr>
                <w:rFonts w:hint="default" w:ascii="Times New Roman" w:hAnsi="Times New Roman" w:eastAsia="宋体" w:cs="Times New Roman"/>
                <w:color w:val="000000" w:themeColor="text1"/>
                <w:kern w:val="0"/>
                <w:sz w:val="24"/>
                <w:szCs w:val="24"/>
              </w:rPr>
              <w:t>月</w:t>
            </w:r>
            <w:r>
              <w:rPr>
                <w:rFonts w:hint="default" w:ascii="Times New Roman" w:hAnsi="Times New Roman" w:cs="Times New Roman"/>
                <w:color w:val="000000" w:themeColor="text1"/>
                <w:kern w:val="0"/>
                <w:sz w:val="24"/>
                <w:szCs w:val="24"/>
                <w:lang w:val="en-US" w:eastAsia="zh-CN"/>
              </w:rPr>
              <w:t>26</w:t>
            </w:r>
            <w:r>
              <w:rPr>
                <w:rFonts w:hint="default" w:ascii="Times New Roman" w:hAnsi="Times New Roman" w:eastAsia="宋体" w:cs="Times New Roman"/>
                <w:color w:val="000000" w:themeColor="text1"/>
                <w:kern w:val="0"/>
                <w:sz w:val="24"/>
                <w:szCs w:val="24"/>
              </w:rPr>
              <w:t>日</w:t>
            </w:r>
            <w:r>
              <w:rPr>
                <w:rFonts w:hint="eastAsia" w:ascii="Times New Roman" w:hAnsi="Times New Roman" w:cs="Times New Roman"/>
                <w:color w:val="000000" w:themeColor="text1"/>
                <w:kern w:val="0"/>
                <w:sz w:val="24"/>
                <w:szCs w:val="24"/>
                <w:lang w:val="en-US" w:eastAsia="zh-CN"/>
              </w:rPr>
              <w:t>~6</w:t>
            </w:r>
            <w:r>
              <w:rPr>
                <w:rFonts w:hint="default" w:ascii="Times New Roman" w:hAnsi="Times New Roman" w:eastAsia="宋体" w:cs="Times New Roman"/>
                <w:color w:val="000000" w:themeColor="text1"/>
                <w:kern w:val="0"/>
                <w:sz w:val="24"/>
                <w:szCs w:val="24"/>
              </w:rPr>
              <w:t>月</w:t>
            </w:r>
            <w:r>
              <w:rPr>
                <w:rFonts w:hint="eastAsia" w:ascii="Times New Roman" w:hAnsi="Times New Roman" w:cs="Times New Roman"/>
                <w:color w:val="000000" w:themeColor="text1"/>
                <w:kern w:val="0"/>
                <w:sz w:val="24"/>
                <w:szCs w:val="24"/>
                <w:lang w:val="en-US" w:eastAsia="zh-CN"/>
              </w:rPr>
              <w:t>28</w:t>
            </w:r>
            <w:r>
              <w:rPr>
                <w:rFonts w:hint="default" w:ascii="Times New Roman" w:hAnsi="Times New Roman" w:eastAsia="宋体" w:cs="Times New Roman"/>
                <w:color w:val="000000" w:themeColor="text1"/>
                <w:kern w:val="0"/>
                <w:sz w:val="24"/>
                <w:szCs w:val="24"/>
              </w:rPr>
              <w:t>日对项目所在区域环境空气中TVOC进行的现状监测数据，监测结果见表</w:t>
            </w:r>
            <w:r>
              <w:rPr>
                <w:rFonts w:hint="eastAsia" w:ascii="Times New Roman" w:hAnsi="Times New Roman" w:cs="Times New Roman"/>
                <w:color w:val="000000" w:themeColor="text1"/>
                <w:kern w:val="0"/>
                <w:sz w:val="24"/>
                <w:szCs w:val="24"/>
                <w:lang w:val="en-US" w:eastAsia="zh-CN"/>
              </w:rPr>
              <w:t>3-2</w:t>
            </w:r>
            <w:r>
              <w:rPr>
                <w:color w:val="auto"/>
                <w:sz w:val="24"/>
                <w:u w:val="none"/>
              </w:rPr>
              <w:t>。</w:t>
            </w:r>
          </w:p>
          <w:p>
            <w:pPr>
              <w:autoSpaceDE w:val="0"/>
              <w:autoSpaceDN w:val="0"/>
              <w:adjustRightInd w:val="0"/>
              <w:spacing w:before="120" w:beforeLines="50"/>
              <w:jc w:val="center"/>
              <w:rPr>
                <w:rFonts w:hint="default" w:ascii="Times New Roman" w:hAnsi="Times New Roman" w:eastAsia="宋体" w:cs="Times New Roman"/>
                <w:b/>
                <w:kern w:val="0"/>
                <w:szCs w:val="21"/>
                <w:lang w:val="en-US" w:eastAsia="zh-CN"/>
              </w:rPr>
            </w:pPr>
            <w:r>
              <w:rPr>
                <w:rFonts w:hint="default" w:ascii="Times New Roman" w:hAnsi="Times New Roman" w:eastAsia="宋体" w:cs="Times New Roman"/>
                <w:b/>
                <w:kern w:val="0"/>
                <w:szCs w:val="21"/>
              </w:rPr>
              <w:t>表3-</w:t>
            </w:r>
            <w:r>
              <w:rPr>
                <w:rFonts w:hint="eastAsia" w:ascii="Times New Roman" w:hAnsi="Times New Roman" w:eastAsia="宋体" w:cs="Times New Roman"/>
                <w:b/>
                <w:kern w:val="0"/>
                <w:szCs w:val="21"/>
                <w:lang w:val="en-US" w:eastAsia="zh-CN"/>
              </w:rPr>
              <w:t>2</w:t>
            </w:r>
            <w:r>
              <w:rPr>
                <w:rFonts w:hint="default" w:ascii="Times New Roman" w:hAnsi="Times New Roman" w:eastAsia="宋体" w:cs="Times New Roman"/>
                <w:b/>
                <w:kern w:val="0"/>
                <w:szCs w:val="21"/>
              </w:rPr>
              <w:t xml:space="preserve">  </w:t>
            </w:r>
            <w:r>
              <w:rPr>
                <w:rFonts w:hint="eastAsia" w:ascii="Times New Roman" w:hAnsi="Times New Roman" w:eastAsia="宋体" w:cs="Times New Roman"/>
                <w:b/>
                <w:kern w:val="0"/>
                <w:szCs w:val="21"/>
                <w:lang w:val="en-US" w:eastAsia="zh-CN"/>
              </w:rPr>
              <w:t>监测结果表（峰致远鞋业）  单位mg/m</w:t>
            </w:r>
            <w:r>
              <w:rPr>
                <w:rFonts w:hint="eastAsia" w:ascii="Times New Roman" w:hAnsi="Times New Roman" w:eastAsia="宋体" w:cs="Times New Roman"/>
                <w:b/>
                <w:kern w:val="0"/>
                <w:szCs w:val="21"/>
                <w:vertAlign w:val="superscript"/>
                <w:lang w:val="en-US" w:eastAsia="zh-CN"/>
              </w:rPr>
              <w:t>3</w:t>
            </w:r>
          </w:p>
          <w:tbl>
            <w:tblPr>
              <w:tblStyle w:val="2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51"/>
              <w:gridCol w:w="2673"/>
              <w:gridCol w:w="1120"/>
              <w:gridCol w:w="1319"/>
              <w:gridCol w:w="1264"/>
              <w:gridCol w:w="1274"/>
              <w:gridCol w:w="77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7"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监测</w:t>
                  </w:r>
                </w:p>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项目</w:t>
                  </w:r>
                </w:p>
              </w:tc>
              <w:tc>
                <w:tcPr>
                  <w:tcW w:w="1425"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lang w:eastAsia="zh-CN"/>
                    </w:rPr>
                  </w:pPr>
                  <w:r>
                    <w:rPr>
                      <w:rFonts w:hint="default" w:ascii="Times New Roman" w:hAnsi="Times New Roman" w:eastAsia="宋体" w:cs="Times New Roman"/>
                      <w:b/>
                      <w:bCs w:val="0"/>
                      <w:color w:val="auto"/>
                      <w:sz w:val="21"/>
                      <w:szCs w:val="21"/>
                    </w:rPr>
                    <w:t>监测</w:t>
                  </w:r>
                  <w:r>
                    <w:rPr>
                      <w:rFonts w:hint="default" w:ascii="Times New Roman" w:hAnsi="Times New Roman" w:eastAsia="宋体" w:cs="Times New Roman"/>
                      <w:b/>
                      <w:bCs w:val="0"/>
                      <w:color w:val="auto"/>
                      <w:sz w:val="21"/>
                      <w:szCs w:val="21"/>
                      <w:lang w:val="en-US" w:eastAsia="zh-CN"/>
                    </w:rPr>
                    <w:t>点位</w:t>
                  </w:r>
                </w:p>
              </w:tc>
              <w:tc>
                <w:tcPr>
                  <w:tcW w:w="597"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lang w:eastAsia="zh-CN"/>
                    </w:rPr>
                  </w:pPr>
                  <w:r>
                    <w:rPr>
                      <w:rFonts w:hint="default" w:ascii="Times New Roman" w:hAnsi="Times New Roman" w:eastAsia="宋体" w:cs="Times New Roman"/>
                      <w:b/>
                      <w:bCs w:val="0"/>
                      <w:color w:val="auto"/>
                      <w:sz w:val="21"/>
                      <w:szCs w:val="21"/>
                      <w:lang w:eastAsia="zh-CN"/>
                    </w:rPr>
                    <w:t>采样</w:t>
                  </w:r>
                </w:p>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lang w:eastAsia="zh-CN"/>
                    </w:rPr>
                  </w:pPr>
                  <w:r>
                    <w:rPr>
                      <w:rFonts w:hint="default" w:ascii="Times New Roman" w:hAnsi="Times New Roman" w:eastAsia="宋体" w:cs="Times New Roman"/>
                      <w:b/>
                      <w:bCs w:val="0"/>
                      <w:color w:val="auto"/>
                      <w:sz w:val="21"/>
                      <w:szCs w:val="21"/>
                      <w:lang w:eastAsia="zh-CN"/>
                    </w:rPr>
                    <w:t>频次</w:t>
                  </w:r>
                </w:p>
              </w:tc>
              <w:tc>
                <w:tcPr>
                  <w:tcW w:w="2056" w:type="pct"/>
                  <w:gridSpan w:val="3"/>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监测结果</w:t>
                  </w:r>
                </w:p>
              </w:tc>
              <w:tc>
                <w:tcPr>
                  <w:tcW w:w="413"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auto"/>
                      <w:sz w:val="21"/>
                      <w:szCs w:val="21"/>
                      <w:lang w:val="en-US" w:eastAsia="zh-CN"/>
                    </w:rPr>
                  </w:pPr>
                  <w:r>
                    <w:rPr>
                      <w:rFonts w:hint="default" w:ascii="Times New Roman" w:hAnsi="Times New Roman" w:eastAsia="宋体" w:cs="Times New Roman"/>
                      <w:b/>
                      <w:bCs w:val="0"/>
                      <w:color w:val="auto"/>
                      <w:sz w:val="21"/>
                      <w:szCs w:val="21"/>
                      <w:lang w:val="en-US" w:eastAsia="zh-CN"/>
                    </w:rPr>
                    <w:t>参考</w:t>
                  </w:r>
                </w:p>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
                      <w:bCs w:val="0"/>
                      <w:color w:val="auto"/>
                      <w:sz w:val="21"/>
                      <w:szCs w:val="21"/>
                      <w:lang w:val="en-US" w:eastAsia="zh-CN"/>
                    </w:rPr>
                    <w:t>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7"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1425"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597"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p>
              </w:tc>
              <w:tc>
                <w:tcPr>
                  <w:tcW w:w="703"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rPr>
                  </w:pPr>
                  <w:r>
                    <w:rPr>
                      <w:rFonts w:hint="default" w:ascii="Times New Roman" w:hAnsi="Times New Roman" w:eastAsia="宋体" w:cs="Times New Roman"/>
                      <w:bCs/>
                      <w:color w:val="auto"/>
                      <w:sz w:val="21"/>
                      <w:szCs w:val="21"/>
                    </w:rPr>
                    <w:t>202</w:t>
                  </w:r>
                  <w:r>
                    <w:rPr>
                      <w:rFonts w:hint="default" w:ascii="Times New Roman" w:hAnsi="Times New Roman" w:eastAsia="宋体" w:cs="Times New Roman"/>
                      <w:bCs/>
                      <w:color w:val="auto"/>
                      <w:sz w:val="21"/>
                      <w:szCs w:val="21"/>
                      <w:lang w:val="en-US" w:eastAsia="zh-CN"/>
                    </w:rPr>
                    <w:t>2.6.26</w:t>
                  </w:r>
                </w:p>
              </w:tc>
              <w:tc>
                <w:tcPr>
                  <w:tcW w:w="674"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rPr>
                  </w:pPr>
                  <w:r>
                    <w:rPr>
                      <w:rFonts w:hint="default" w:ascii="Times New Roman" w:hAnsi="Times New Roman" w:eastAsia="宋体" w:cs="Times New Roman"/>
                      <w:bCs/>
                      <w:color w:val="auto"/>
                      <w:sz w:val="21"/>
                      <w:szCs w:val="21"/>
                    </w:rPr>
                    <w:t>202</w:t>
                  </w:r>
                  <w:r>
                    <w:rPr>
                      <w:rFonts w:hint="default" w:ascii="Times New Roman" w:hAnsi="Times New Roman" w:eastAsia="宋体" w:cs="Times New Roman"/>
                      <w:bCs/>
                      <w:color w:val="auto"/>
                      <w:sz w:val="21"/>
                      <w:szCs w:val="21"/>
                      <w:lang w:val="en-US" w:eastAsia="zh-CN"/>
                    </w:rPr>
                    <w:t>2.6.27</w:t>
                  </w:r>
                </w:p>
              </w:tc>
              <w:tc>
                <w:tcPr>
                  <w:tcW w:w="678"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rPr>
                  </w:pPr>
                  <w:r>
                    <w:rPr>
                      <w:rFonts w:hint="default" w:ascii="Times New Roman" w:hAnsi="Times New Roman" w:eastAsia="宋体" w:cs="Times New Roman"/>
                      <w:bCs/>
                      <w:color w:val="auto"/>
                      <w:sz w:val="21"/>
                      <w:szCs w:val="21"/>
                    </w:rPr>
                    <w:t>202</w:t>
                  </w:r>
                  <w:r>
                    <w:rPr>
                      <w:rFonts w:hint="default" w:ascii="Times New Roman" w:hAnsi="Times New Roman" w:eastAsia="宋体" w:cs="Times New Roman"/>
                      <w:bCs/>
                      <w:color w:val="auto"/>
                      <w:sz w:val="21"/>
                      <w:szCs w:val="21"/>
                      <w:lang w:val="en-US" w:eastAsia="zh-CN"/>
                    </w:rPr>
                    <w:t>2.6.28</w:t>
                  </w:r>
                </w:p>
              </w:tc>
              <w:tc>
                <w:tcPr>
                  <w:tcW w:w="413"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507"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TVOC</w:t>
                  </w:r>
                </w:p>
              </w:tc>
              <w:tc>
                <w:tcPr>
                  <w:tcW w:w="1425"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G1项目拟建地</w:t>
                  </w:r>
                </w:p>
              </w:tc>
              <w:tc>
                <w:tcPr>
                  <w:tcW w:w="597"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1</w:t>
                  </w:r>
                  <w:r>
                    <w:rPr>
                      <w:rFonts w:hint="default" w:ascii="Times New Roman" w:hAnsi="Times New Roman" w:eastAsia="宋体" w:cs="Times New Roman"/>
                      <w:bCs/>
                      <w:color w:val="auto"/>
                      <w:sz w:val="21"/>
                      <w:szCs w:val="21"/>
                      <w:lang w:val="en-US" w:eastAsia="zh-CN"/>
                    </w:rPr>
                    <w:t>次</w:t>
                  </w:r>
                  <w:r>
                    <w:rPr>
                      <w:rFonts w:hint="eastAsia" w:ascii="Times New Roman" w:hAnsi="Times New Roman" w:cs="Times New Roman"/>
                      <w:bCs/>
                      <w:color w:val="auto"/>
                      <w:sz w:val="21"/>
                      <w:szCs w:val="21"/>
                      <w:lang w:val="en-US" w:eastAsia="zh-CN"/>
                    </w:rPr>
                    <w:t>/天</w:t>
                  </w:r>
                </w:p>
              </w:tc>
              <w:tc>
                <w:tcPr>
                  <w:tcW w:w="703"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0.29</w:t>
                  </w:r>
                </w:p>
              </w:tc>
              <w:tc>
                <w:tcPr>
                  <w:tcW w:w="674"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0.26</w:t>
                  </w:r>
                </w:p>
              </w:tc>
              <w:tc>
                <w:tcPr>
                  <w:tcW w:w="678"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0.28</w:t>
                  </w:r>
                </w:p>
              </w:tc>
              <w:tc>
                <w:tcPr>
                  <w:tcW w:w="413" w:type="pct"/>
                  <w:vMerge w:val="restar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0.6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7"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p>
              </w:tc>
              <w:tc>
                <w:tcPr>
                  <w:tcW w:w="1425"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G2项目拟建地下风向</w:t>
                  </w:r>
                </w:p>
              </w:tc>
              <w:tc>
                <w:tcPr>
                  <w:tcW w:w="597"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p>
              </w:tc>
              <w:tc>
                <w:tcPr>
                  <w:tcW w:w="703"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ND</w:t>
                  </w:r>
                </w:p>
              </w:tc>
              <w:tc>
                <w:tcPr>
                  <w:tcW w:w="674"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ND</w:t>
                  </w:r>
                </w:p>
              </w:tc>
              <w:tc>
                <w:tcPr>
                  <w:tcW w:w="678" w:type="pct"/>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ND</w:t>
                  </w:r>
                </w:p>
              </w:tc>
              <w:tc>
                <w:tcPr>
                  <w:tcW w:w="413" w:type="pct"/>
                  <w:vMerge w:val="continue"/>
                  <w:tcBorders>
                    <w:tl2br w:val="nil"/>
                    <w:tr2bl w:val="nil"/>
                  </w:tcBorders>
                  <w:noWrap w:val="0"/>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7"/>
                  <w:tcBorders>
                    <w:tl2br w:val="nil"/>
                    <w:tr2bl w:val="nil"/>
                  </w:tcBorders>
                  <w:noWrap w:val="0"/>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sz w:val="21"/>
                      <w:szCs w:val="21"/>
                      <w:lang w:val="en-US" w:eastAsia="zh-CN"/>
                    </w:rPr>
                    <w:t>备注：TVOC参考</w:t>
                  </w:r>
                  <w:r>
                    <w:rPr>
                      <w:rFonts w:hint="default" w:ascii="Times New Roman" w:hAnsi="Times New Roman" w:eastAsia="宋体" w:cs="Times New Roman"/>
                      <w:sz w:val="21"/>
                      <w:szCs w:val="21"/>
                      <w:lang w:val="de" w:eastAsia="zh-CN"/>
                    </w:rPr>
                    <w:t>执行</w:t>
                  </w:r>
                  <w:r>
                    <w:rPr>
                      <w:rFonts w:hint="default" w:ascii="Times New Roman" w:hAnsi="Times New Roman" w:eastAsia="宋体" w:cs="Times New Roman"/>
                      <w:sz w:val="21"/>
                      <w:szCs w:val="21"/>
                      <w:lang w:val="en-US" w:eastAsia="zh-CN"/>
                    </w:rPr>
                    <w:t>《</w:t>
                  </w:r>
                  <w:r>
                    <w:rPr>
                      <w:rFonts w:hint="default" w:ascii="Times New Roman" w:hAnsi="Times New Roman" w:eastAsia="宋体" w:cs="Times New Roman"/>
                      <w:color w:val="000000"/>
                      <w:kern w:val="0"/>
                      <w:sz w:val="21"/>
                      <w:szCs w:val="21"/>
                      <w:lang w:val="en-US" w:eastAsia="zh-CN" w:bidi="ar"/>
                    </w:rPr>
                    <w:t>环境影响评价技术导则 大气环境</w:t>
                  </w:r>
                  <w:r>
                    <w:rPr>
                      <w:rFonts w:hint="default" w:ascii="Times New Roman" w:hAnsi="Times New Roman" w:eastAsia="宋体" w:cs="Times New Roman"/>
                      <w:sz w:val="21"/>
                      <w:szCs w:val="21"/>
                      <w:lang w:val="en-US" w:eastAsia="zh-CN"/>
                    </w:rPr>
                    <w:t>》（HJ2.2-2018）。</w:t>
                  </w:r>
                </w:p>
              </w:tc>
            </w:tr>
          </w:tbl>
          <w:p>
            <w:pPr>
              <w:spacing w:line="360" w:lineRule="auto"/>
              <w:ind w:firstLine="480" w:firstLineChars="200"/>
              <w:rPr>
                <w:rFonts w:hAnsi="宋体"/>
                <w:color w:val="FF0000"/>
                <w:kern w:val="0"/>
                <w:sz w:val="24"/>
                <w:u w:val="wave"/>
              </w:rPr>
            </w:pPr>
            <w:r>
              <w:rPr>
                <w:rFonts w:hint="eastAsia" w:ascii="Times New Roman" w:hAnsi="Times New Roman" w:eastAsia="宋体" w:cs="Times New Roman"/>
                <w:color w:val="000000" w:themeColor="text1"/>
                <w:sz w:val="24"/>
                <w:szCs w:val="24"/>
                <w:shd w:val="clear" w:color="auto" w:fill="FFFFFF"/>
                <w:lang w:eastAsia="zh-CN"/>
              </w:rPr>
              <w:t>由监测结果可知，引用监测点位TVOC监测数据能够满足《环境影响评价技术导则 大气环境》</w:t>
            </w:r>
            <w:r>
              <w:rPr>
                <w:rFonts w:hint="eastAsia" w:ascii="Times New Roman" w:hAnsi="Times New Roman" w:cs="Times New Roman"/>
                <w:color w:val="000000" w:themeColor="text1"/>
                <w:sz w:val="24"/>
                <w:szCs w:val="24"/>
                <w:shd w:val="clear" w:color="auto" w:fill="FFFFFF"/>
                <w:lang w:val="en-US" w:eastAsia="zh-CN"/>
              </w:rPr>
              <w:t>（</w:t>
            </w:r>
            <w:r>
              <w:rPr>
                <w:rFonts w:hint="eastAsia" w:ascii="Times New Roman" w:hAnsi="Times New Roman" w:eastAsia="宋体" w:cs="Times New Roman"/>
                <w:color w:val="000000" w:themeColor="text1"/>
                <w:sz w:val="24"/>
                <w:szCs w:val="24"/>
                <w:shd w:val="clear" w:color="auto" w:fill="FFFFFF"/>
                <w:lang w:eastAsia="zh-CN"/>
              </w:rPr>
              <w:t>HJ2.2-2018</w:t>
            </w:r>
            <w:r>
              <w:rPr>
                <w:rFonts w:hint="eastAsia" w:ascii="Times New Roman" w:hAnsi="Times New Roman" w:cs="Times New Roman"/>
                <w:color w:val="000000" w:themeColor="text1"/>
                <w:sz w:val="24"/>
                <w:szCs w:val="24"/>
                <w:shd w:val="clear" w:color="auto" w:fill="FFFFFF"/>
                <w:lang w:val="en-US" w:eastAsia="zh-CN"/>
              </w:rPr>
              <w:t>）</w:t>
            </w:r>
            <w:r>
              <w:rPr>
                <w:rFonts w:hint="eastAsia" w:ascii="Times New Roman" w:hAnsi="Times New Roman" w:eastAsia="宋体" w:cs="Times New Roman"/>
                <w:color w:val="000000" w:themeColor="text1"/>
                <w:sz w:val="24"/>
                <w:szCs w:val="24"/>
                <w:shd w:val="clear" w:color="auto" w:fill="FFFFFF"/>
                <w:lang w:eastAsia="zh-CN"/>
              </w:rPr>
              <w:t>附录D中推荐标准限值</w:t>
            </w:r>
            <w:r>
              <w:rPr>
                <w:rFonts w:hint="eastAsia" w:ascii="Times New Roman" w:hAnsi="Times New Roman" w:cs="Times New Roman"/>
                <w:color w:val="000000" w:themeColor="text1"/>
                <w:sz w:val="24"/>
                <w:szCs w:val="24"/>
                <w:shd w:val="clear" w:color="auto" w:fill="FFFFFF"/>
                <w:lang w:eastAsia="zh-CN"/>
              </w:rPr>
              <w:t>，</w:t>
            </w:r>
            <w:r>
              <w:rPr>
                <w:rFonts w:hint="eastAsia" w:ascii="Times New Roman" w:hAnsi="Times New Roman" w:eastAsia="宋体" w:cs="Times New Roman"/>
                <w:color w:val="000000" w:themeColor="text1"/>
                <w:sz w:val="24"/>
                <w:szCs w:val="24"/>
                <w:shd w:val="clear" w:color="auto" w:fill="FFFFFF"/>
                <w:lang w:eastAsia="zh-CN"/>
              </w:rPr>
              <w:t>说明项目所在地环境空气质量良好</w:t>
            </w:r>
            <w:r>
              <w:rPr>
                <w:rFonts w:hAnsi="宋体"/>
                <w:color w:val="auto"/>
                <w:kern w:val="0"/>
                <w:sz w:val="24"/>
                <w:u w:val="none"/>
              </w:rPr>
              <w:t>。</w:t>
            </w:r>
          </w:p>
          <w:p>
            <w:pPr>
              <w:pStyle w:val="52"/>
              <w:ind w:firstLine="514"/>
              <w:rPr>
                <w:b/>
              </w:rPr>
            </w:pPr>
            <w:r>
              <w:rPr>
                <w:b/>
                <w:spacing w:val="8"/>
                <w:szCs w:val="24"/>
              </w:rPr>
              <w:t>二、</w:t>
            </w:r>
            <w:r>
              <w:rPr>
                <w:b/>
              </w:rPr>
              <w:t>地表水质量现状</w:t>
            </w:r>
          </w:p>
          <w:p>
            <w:pPr>
              <w:spacing w:line="360" w:lineRule="auto"/>
              <w:ind w:firstLine="480" w:firstLineChars="200"/>
              <w:rPr>
                <w:rFonts w:hAnsi="宋体"/>
                <w:kern w:val="0"/>
                <w:sz w:val="24"/>
              </w:rPr>
            </w:pPr>
            <w:r>
              <w:rPr>
                <w:rFonts w:hint="eastAsia" w:hAnsi="宋体"/>
                <w:kern w:val="0"/>
                <w:sz w:val="24"/>
              </w:rPr>
              <w:t>根据《环境影响评价技术导则  地表水环境》（HJ2.3-2018）：“6.6.3.2环境现状调查与评价应优先采用国务院生态环境保护主管部门统一发布的水环境状况信息”。本次地表水环境质量现状评价引用衡阳市生态环境局《关于2022年12月份及1~12月份全市环境质量状况的通报》中结论，距离本项目最近的地表水监测断面为</w:t>
            </w:r>
            <w:r>
              <w:rPr>
                <w:rFonts w:hint="default" w:ascii="Times New Roman" w:hAnsi="Times New Roman" w:eastAsia="宋体" w:cs="Times New Roman"/>
                <w:bCs/>
                <w:color w:val="000000" w:themeColor="text1"/>
                <w:sz w:val="24"/>
                <w:szCs w:val="24"/>
              </w:rPr>
              <w:t>湘江蒸水西渡水厂断面和新化</w:t>
            </w:r>
            <w:r>
              <w:rPr>
                <w:rFonts w:hint="eastAsia" w:ascii="Times New Roman" w:hAnsi="Times New Roman" w:cs="Times New Roman"/>
                <w:bCs/>
                <w:color w:val="000000" w:themeColor="text1"/>
                <w:sz w:val="24"/>
                <w:szCs w:val="24"/>
                <w:lang w:val="en-US" w:eastAsia="zh-CN"/>
              </w:rPr>
              <w:t>村</w:t>
            </w:r>
            <w:r>
              <w:rPr>
                <w:rFonts w:hint="default" w:ascii="Times New Roman" w:hAnsi="Times New Roman" w:eastAsia="宋体" w:cs="Times New Roman"/>
                <w:bCs/>
                <w:color w:val="000000" w:themeColor="text1"/>
                <w:sz w:val="24"/>
                <w:szCs w:val="24"/>
              </w:rPr>
              <w:t>断面</w:t>
            </w:r>
            <w:r>
              <w:rPr>
                <w:rFonts w:hint="eastAsia" w:hAnsi="宋体"/>
                <w:kern w:val="0"/>
                <w:sz w:val="24"/>
              </w:rPr>
              <w:t>，其水质监测情况如下图所示。</w:t>
            </w:r>
          </w:p>
          <w:p>
            <w:pPr>
              <w:spacing w:line="360" w:lineRule="auto"/>
              <w:jc w:val="center"/>
              <w:rPr>
                <w:rFonts w:hAnsi="宋体"/>
                <w:kern w:val="0"/>
                <w:sz w:val="24"/>
              </w:rPr>
            </w:pPr>
            <w:r>
              <w:drawing>
                <wp:inline distT="0" distB="0" distL="114300" distR="114300">
                  <wp:extent cx="5440680" cy="5289550"/>
                  <wp:effectExtent l="0" t="0" r="762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stretch>
                            <a:fillRect/>
                          </a:stretch>
                        </pic:blipFill>
                        <pic:spPr>
                          <a:xfrm>
                            <a:off x="0" y="0"/>
                            <a:ext cx="5440680" cy="5289550"/>
                          </a:xfrm>
                          <a:prstGeom prst="rect">
                            <a:avLst/>
                          </a:prstGeom>
                          <a:noFill/>
                          <a:ln>
                            <a:noFill/>
                          </a:ln>
                        </pic:spPr>
                      </pic:pic>
                    </a:graphicData>
                  </a:graphic>
                </wp:inline>
              </w:drawing>
            </w:r>
          </w:p>
          <w:p>
            <w:pPr>
              <w:adjustRightInd w:val="0"/>
              <w:snapToGrid w:val="0"/>
              <w:spacing w:afterLines="50"/>
              <w:jc w:val="center"/>
              <w:rPr>
                <w:b/>
                <w:bCs/>
                <w:szCs w:val="21"/>
              </w:rPr>
            </w:pPr>
            <w:r>
              <w:rPr>
                <w:b/>
                <w:bCs/>
                <w:szCs w:val="21"/>
              </w:rPr>
              <w:t>图</w:t>
            </w:r>
            <w:r>
              <w:rPr>
                <w:rFonts w:hint="eastAsia"/>
                <w:b/>
                <w:bCs/>
                <w:szCs w:val="21"/>
              </w:rPr>
              <w:t>3-</w:t>
            </w:r>
            <w:r>
              <w:rPr>
                <w:rFonts w:hint="eastAsia"/>
                <w:b/>
                <w:bCs/>
                <w:szCs w:val="21"/>
                <w:lang w:val="en-US" w:eastAsia="zh-CN"/>
              </w:rPr>
              <w:t>1</w:t>
            </w:r>
            <w:r>
              <w:rPr>
                <w:b/>
                <w:bCs/>
                <w:szCs w:val="21"/>
              </w:rPr>
              <w:t xml:space="preserve"> </w:t>
            </w:r>
            <w:r>
              <w:rPr>
                <w:rFonts w:hint="eastAsia"/>
                <w:b/>
                <w:bCs/>
                <w:szCs w:val="21"/>
              </w:rPr>
              <w:t xml:space="preserve"> 2022年1~12月衡阳市地表水水质情况</w:t>
            </w:r>
          </w:p>
          <w:p>
            <w:pPr>
              <w:pStyle w:val="2"/>
              <w:spacing w:line="360" w:lineRule="auto"/>
              <w:ind w:firstLine="480" w:firstLineChars="200"/>
              <w:jc w:val="both"/>
              <w:rPr>
                <w:rFonts w:ascii="Times New Roman" w:hAnsi="宋体" w:cs="Times New Roman"/>
                <w:bCs/>
                <w:color w:val="auto"/>
              </w:rPr>
            </w:pPr>
            <w:r>
              <w:rPr>
                <w:rFonts w:hint="eastAsia" w:ascii="Times New Roman" w:hAnsi="宋体" w:cs="Times New Roman"/>
                <w:bCs/>
                <w:color w:val="auto"/>
              </w:rPr>
              <w:t>根据上表可知，监测断面水质满足《地表水环境质量标准》（</w:t>
            </w:r>
            <w:r>
              <w:rPr>
                <w:rFonts w:ascii="Times New Roman" w:hAnsi="宋体" w:cs="Times New Roman"/>
                <w:bCs/>
                <w:color w:val="auto"/>
              </w:rPr>
              <w:t>GB3838-2002</w:t>
            </w:r>
            <w:r>
              <w:rPr>
                <w:rFonts w:hint="eastAsia" w:ascii="Times New Roman" w:hAnsi="宋体" w:cs="Times New Roman"/>
                <w:bCs/>
                <w:color w:val="auto"/>
              </w:rPr>
              <w:t>）Ⅱ、Ⅲ类标准的要求，项目所在区域地表水环境质量现状较好。</w:t>
            </w:r>
          </w:p>
          <w:p>
            <w:pPr>
              <w:pStyle w:val="52"/>
              <w:ind w:firstLine="514"/>
              <w:rPr>
                <w:b/>
              </w:rPr>
            </w:pPr>
            <w:r>
              <w:rPr>
                <w:b/>
                <w:spacing w:val="8"/>
                <w:szCs w:val="24"/>
              </w:rPr>
              <w:t>三、噪声环境</w:t>
            </w:r>
            <w:r>
              <w:rPr>
                <w:b/>
              </w:rPr>
              <w:t>质量现状</w:t>
            </w:r>
          </w:p>
          <w:p>
            <w:pPr>
              <w:pStyle w:val="2"/>
              <w:spacing w:line="360" w:lineRule="auto"/>
              <w:ind w:firstLine="480" w:firstLineChars="200"/>
              <w:jc w:val="both"/>
              <w:rPr>
                <w:rFonts w:ascii="Times New Roman" w:hAnsi="宋体" w:cs="Times New Roman"/>
                <w:bCs/>
                <w:color w:val="auto"/>
              </w:rPr>
            </w:pPr>
            <w:r>
              <w:rPr>
                <w:rFonts w:ascii="Times New Roman" w:hAnsi="宋体" w:cs="Times New Roman"/>
                <w:bCs/>
                <w:color w:val="auto"/>
              </w:rPr>
              <w:t>根据《建设项目环境影响报告表编制技术指南（污染影响类）（试行）》，厂界外周边50米范围内存在声环境保护目标的建设项目，应监测保护目标声环境质量现状并评价达标情况。</w:t>
            </w:r>
          </w:p>
          <w:p>
            <w:pPr>
              <w:pStyle w:val="2"/>
              <w:spacing w:line="360" w:lineRule="auto"/>
              <w:ind w:firstLine="480" w:firstLineChars="200"/>
              <w:jc w:val="both"/>
              <w:rPr>
                <w:rFonts w:ascii="Times New Roman" w:hAnsi="宋体" w:cs="Times New Roman"/>
                <w:bCs/>
                <w:color w:val="auto"/>
              </w:rPr>
            </w:pPr>
            <w:r>
              <w:rPr>
                <w:rFonts w:ascii="Times New Roman" w:hAnsi="宋体" w:cs="Times New Roman"/>
                <w:bCs/>
                <w:color w:val="auto"/>
              </w:rPr>
              <w:t>为了解评价区域内的声环境质量现状，</w:t>
            </w:r>
            <w:r>
              <w:rPr>
                <w:rFonts w:hint="eastAsia" w:hAnsi="宋体"/>
              </w:rPr>
              <w:t>本次环评</w:t>
            </w:r>
            <w:r>
              <w:t>委托湖南乾诚检测技术有限公司</w:t>
            </w:r>
            <w:r>
              <w:rPr>
                <w:rFonts w:ascii="Times New Roman" w:hAnsi="宋体" w:cs="Times New Roman"/>
                <w:bCs/>
                <w:color w:val="auto"/>
              </w:rPr>
              <w:t>对本项目周边环境进行</w:t>
            </w:r>
            <w:r>
              <w:rPr>
                <w:rFonts w:hint="eastAsia" w:ascii="Times New Roman" w:hAnsi="宋体" w:cs="Times New Roman"/>
                <w:bCs/>
                <w:color w:val="auto"/>
              </w:rPr>
              <w:t>了</w:t>
            </w:r>
            <w:r>
              <w:rPr>
                <w:rFonts w:ascii="Times New Roman" w:hAnsi="宋体" w:cs="Times New Roman"/>
                <w:bCs/>
                <w:color w:val="auto"/>
              </w:rPr>
              <w:t>噪声实测。</w:t>
            </w:r>
          </w:p>
          <w:p>
            <w:pPr>
              <w:pStyle w:val="2"/>
              <w:spacing w:line="360" w:lineRule="auto"/>
              <w:ind w:firstLine="482" w:firstLineChars="200"/>
              <w:jc w:val="both"/>
              <w:rPr>
                <w:rFonts w:ascii="Times New Roman" w:hAnsi="宋体" w:cs="Times New Roman"/>
                <w:b/>
                <w:bCs/>
                <w:color w:val="auto"/>
              </w:rPr>
            </w:pPr>
            <w:r>
              <w:rPr>
                <w:rFonts w:hint="eastAsia" w:ascii="Times New Roman" w:hAnsi="宋体" w:cs="Times New Roman"/>
                <w:b/>
                <w:bCs/>
                <w:color w:val="auto"/>
              </w:rPr>
              <w:t>1、</w:t>
            </w:r>
            <w:r>
              <w:rPr>
                <w:rFonts w:ascii="Times New Roman" w:hAnsi="宋体" w:cs="Times New Roman"/>
                <w:b/>
                <w:bCs/>
                <w:color w:val="auto"/>
              </w:rPr>
              <w:t>监测布点</w:t>
            </w:r>
          </w:p>
          <w:p>
            <w:pPr>
              <w:pStyle w:val="2"/>
              <w:spacing w:line="360" w:lineRule="auto"/>
              <w:ind w:firstLine="480" w:firstLineChars="200"/>
              <w:jc w:val="both"/>
              <w:rPr>
                <w:rFonts w:ascii="Times New Roman" w:hAnsi="宋体" w:cs="Times New Roman"/>
                <w:bCs/>
                <w:color w:val="auto"/>
              </w:rPr>
            </w:pPr>
            <w:r>
              <w:rPr>
                <w:rFonts w:ascii="Times New Roman" w:hAnsi="宋体" w:cs="Times New Roman"/>
                <w:bCs/>
                <w:color w:val="auto"/>
              </w:rPr>
              <w:t>本次噪声现状监测共布设了</w:t>
            </w:r>
            <w:r>
              <w:rPr>
                <w:rFonts w:hint="eastAsia" w:ascii="Times New Roman" w:hAnsi="宋体" w:cs="Times New Roman"/>
                <w:bCs/>
                <w:color w:val="auto"/>
                <w:lang w:val="en-US" w:eastAsia="zh-CN"/>
              </w:rPr>
              <w:t>5</w:t>
            </w:r>
            <w:r>
              <w:rPr>
                <w:rFonts w:ascii="Times New Roman" w:hAnsi="宋体" w:cs="Times New Roman"/>
                <w:bCs/>
                <w:color w:val="auto"/>
              </w:rPr>
              <w:t>个监测点详见表3-</w:t>
            </w:r>
            <w:r>
              <w:rPr>
                <w:rFonts w:hint="eastAsia" w:ascii="Times New Roman" w:hAnsi="宋体" w:cs="Times New Roman"/>
                <w:bCs/>
                <w:color w:val="auto"/>
                <w:lang w:val="en-US" w:eastAsia="zh-CN"/>
              </w:rPr>
              <w:t>3</w:t>
            </w:r>
            <w:r>
              <w:rPr>
                <w:rFonts w:ascii="Times New Roman" w:hAnsi="宋体" w:cs="Times New Roman"/>
                <w:bCs/>
                <w:color w:val="auto"/>
              </w:rPr>
              <w:t>。</w:t>
            </w:r>
          </w:p>
          <w:p>
            <w:pPr>
              <w:autoSpaceDE w:val="0"/>
              <w:autoSpaceDN w:val="0"/>
              <w:adjustRightInd w:val="0"/>
              <w:spacing w:before="120" w:beforeLines="50"/>
              <w:ind w:firstLine="422" w:firstLineChars="200"/>
              <w:jc w:val="center"/>
              <w:rPr>
                <w:b/>
                <w:color w:val="000000" w:themeColor="text1"/>
                <w:szCs w:val="21"/>
              </w:rPr>
            </w:pPr>
            <w:r>
              <w:rPr>
                <w:b/>
                <w:color w:val="000000" w:themeColor="text1"/>
                <w:szCs w:val="21"/>
              </w:rPr>
              <w:t>表3-</w:t>
            </w:r>
            <w:r>
              <w:rPr>
                <w:rFonts w:hint="eastAsia"/>
                <w:b/>
                <w:color w:val="000000" w:themeColor="text1"/>
                <w:szCs w:val="21"/>
              </w:rPr>
              <w:t>4</w:t>
            </w:r>
            <w:r>
              <w:rPr>
                <w:b/>
                <w:color w:val="000000" w:themeColor="text1"/>
                <w:szCs w:val="21"/>
              </w:rPr>
              <w:t xml:space="preserve">  声环境监测点位设置一览表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928"/>
              <w:gridCol w:w="645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b/>
                      <w:sz w:val="21"/>
                      <w:szCs w:val="21"/>
                    </w:rPr>
                  </w:pPr>
                  <w:r>
                    <w:rPr>
                      <w:b/>
                      <w:sz w:val="21"/>
                      <w:szCs w:val="21"/>
                    </w:rPr>
                    <w:t>编号</w:t>
                  </w:r>
                </w:p>
              </w:tc>
              <w:tc>
                <w:tcPr>
                  <w:tcW w:w="3440" w:type="pct"/>
                  <w:vAlign w:val="center"/>
                </w:tcPr>
                <w:p>
                  <w:pPr>
                    <w:pStyle w:val="63"/>
                    <w:widowControl w:val="0"/>
                    <w:adjustRightInd/>
                    <w:snapToGrid/>
                    <w:rPr>
                      <w:b/>
                      <w:sz w:val="21"/>
                      <w:szCs w:val="21"/>
                    </w:rPr>
                  </w:pPr>
                  <w:r>
                    <w:rPr>
                      <w:b/>
                      <w:sz w:val="21"/>
                      <w:szCs w:val="21"/>
                    </w:rPr>
                    <w:t>具体位置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sz w:val="21"/>
                      <w:szCs w:val="21"/>
                    </w:rPr>
                  </w:pPr>
                  <w:r>
                    <w:rPr>
                      <w:sz w:val="21"/>
                      <w:szCs w:val="21"/>
                      <w:lang w:val="zh-CN"/>
                    </w:rPr>
                    <w:t>N1</w:t>
                  </w:r>
                </w:p>
              </w:tc>
              <w:tc>
                <w:tcPr>
                  <w:tcW w:w="6456" w:type="dxa"/>
                  <w:vAlign w:val="center"/>
                </w:tcPr>
                <w:p>
                  <w:pPr>
                    <w:jc w:val="center"/>
                    <w:rPr>
                      <w:sz w:val="21"/>
                      <w:szCs w:val="21"/>
                    </w:rPr>
                  </w:pPr>
                  <w:r>
                    <w:rPr>
                      <w:szCs w:val="21"/>
                    </w:rPr>
                    <w:t>项目东边界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sz w:val="21"/>
                      <w:szCs w:val="21"/>
                    </w:rPr>
                  </w:pPr>
                  <w:r>
                    <w:rPr>
                      <w:sz w:val="21"/>
                      <w:szCs w:val="21"/>
                      <w:lang w:val="zh-CN"/>
                    </w:rPr>
                    <w:t>N2</w:t>
                  </w:r>
                </w:p>
              </w:tc>
              <w:tc>
                <w:tcPr>
                  <w:tcW w:w="6456" w:type="dxa"/>
                  <w:vAlign w:val="center"/>
                </w:tcPr>
                <w:p>
                  <w:pPr>
                    <w:jc w:val="center"/>
                    <w:rPr>
                      <w:sz w:val="21"/>
                      <w:szCs w:val="21"/>
                    </w:rPr>
                  </w:pPr>
                  <w:r>
                    <w:rPr>
                      <w:szCs w:val="21"/>
                    </w:rPr>
                    <w:t>项目南边界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sz w:val="21"/>
                      <w:szCs w:val="21"/>
                    </w:rPr>
                  </w:pPr>
                  <w:r>
                    <w:rPr>
                      <w:sz w:val="21"/>
                      <w:szCs w:val="21"/>
                      <w:lang w:val="zh-CN"/>
                    </w:rPr>
                    <w:t>N3</w:t>
                  </w:r>
                </w:p>
              </w:tc>
              <w:tc>
                <w:tcPr>
                  <w:tcW w:w="6456" w:type="dxa"/>
                  <w:vAlign w:val="center"/>
                </w:tcPr>
                <w:p>
                  <w:pPr>
                    <w:jc w:val="center"/>
                    <w:rPr>
                      <w:sz w:val="21"/>
                      <w:szCs w:val="21"/>
                    </w:rPr>
                  </w:pPr>
                  <w:r>
                    <w:rPr>
                      <w:szCs w:val="21"/>
                    </w:rPr>
                    <w:t>项目西边界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rFonts w:hint="default" w:eastAsia="宋体"/>
                      <w:sz w:val="21"/>
                      <w:szCs w:val="21"/>
                      <w:lang w:val="en-US" w:eastAsia="zh-CN"/>
                    </w:rPr>
                  </w:pPr>
                  <w:r>
                    <w:rPr>
                      <w:rFonts w:hint="eastAsia"/>
                      <w:sz w:val="21"/>
                      <w:szCs w:val="21"/>
                      <w:lang w:val="en-US" w:eastAsia="zh-CN"/>
                    </w:rPr>
                    <w:t>N4</w:t>
                  </w:r>
                </w:p>
              </w:tc>
              <w:tc>
                <w:tcPr>
                  <w:tcW w:w="6456" w:type="dxa"/>
                  <w:vAlign w:val="center"/>
                </w:tcPr>
                <w:p>
                  <w:pPr>
                    <w:jc w:val="center"/>
                    <w:rPr>
                      <w:sz w:val="21"/>
                      <w:szCs w:val="21"/>
                    </w:rPr>
                  </w:pPr>
                  <w:r>
                    <w:rPr>
                      <w:szCs w:val="21"/>
                    </w:rPr>
                    <w:t>项目北边界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60" w:type="pct"/>
                  <w:vAlign w:val="center"/>
                </w:tcPr>
                <w:p>
                  <w:pPr>
                    <w:pStyle w:val="63"/>
                    <w:widowControl w:val="0"/>
                    <w:adjustRightInd/>
                    <w:snapToGrid/>
                    <w:rPr>
                      <w:rFonts w:hint="default"/>
                      <w:sz w:val="21"/>
                      <w:szCs w:val="21"/>
                      <w:lang w:val="en-US" w:eastAsia="zh-CN"/>
                    </w:rPr>
                  </w:pPr>
                  <w:r>
                    <w:rPr>
                      <w:rFonts w:hint="eastAsia"/>
                      <w:sz w:val="21"/>
                      <w:szCs w:val="21"/>
                      <w:lang w:val="en-US" w:eastAsia="zh-CN"/>
                    </w:rPr>
                    <w:t>N5</w:t>
                  </w:r>
                </w:p>
              </w:tc>
              <w:tc>
                <w:tcPr>
                  <w:tcW w:w="6456" w:type="dxa"/>
                  <w:vAlign w:val="center"/>
                </w:tcPr>
                <w:p>
                  <w:pPr>
                    <w:jc w:val="center"/>
                    <w:rPr>
                      <w:sz w:val="21"/>
                      <w:szCs w:val="21"/>
                    </w:rPr>
                  </w:pPr>
                  <w:r>
                    <w:rPr>
                      <w:rFonts w:hint="eastAsia"/>
                      <w:szCs w:val="21"/>
                    </w:rPr>
                    <w:t>项目</w:t>
                  </w:r>
                  <w:r>
                    <w:rPr>
                      <w:rFonts w:hint="eastAsia"/>
                      <w:szCs w:val="21"/>
                      <w:lang w:val="en-US" w:eastAsia="zh-CN"/>
                    </w:rPr>
                    <w:t>西南侧锦富新村</w:t>
                  </w:r>
                </w:p>
              </w:tc>
            </w:tr>
          </w:tbl>
          <w:p>
            <w:pPr>
              <w:spacing w:line="360" w:lineRule="auto"/>
              <w:ind w:firstLine="482" w:firstLineChars="200"/>
              <w:rPr>
                <w:b/>
                <w:sz w:val="24"/>
              </w:rPr>
            </w:pPr>
            <w:r>
              <w:rPr>
                <w:rFonts w:hint="eastAsia"/>
                <w:b/>
                <w:sz w:val="24"/>
              </w:rPr>
              <w:t>2、</w:t>
            </w:r>
            <w:r>
              <w:rPr>
                <w:b/>
                <w:sz w:val="24"/>
              </w:rPr>
              <w:t>监测因子</w:t>
            </w:r>
          </w:p>
          <w:p>
            <w:pPr>
              <w:spacing w:line="360" w:lineRule="auto"/>
              <w:ind w:firstLine="480" w:firstLineChars="200"/>
              <w:rPr>
                <w:sz w:val="24"/>
              </w:rPr>
            </w:pPr>
            <w:r>
              <w:rPr>
                <w:sz w:val="24"/>
              </w:rPr>
              <w:t>等效连续A声级LAeq。</w:t>
            </w:r>
          </w:p>
          <w:p>
            <w:pPr>
              <w:spacing w:line="360" w:lineRule="auto"/>
              <w:ind w:firstLine="482" w:firstLineChars="200"/>
              <w:rPr>
                <w:b/>
                <w:sz w:val="24"/>
              </w:rPr>
            </w:pPr>
            <w:r>
              <w:rPr>
                <w:rFonts w:hint="eastAsia"/>
                <w:b/>
                <w:sz w:val="24"/>
              </w:rPr>
              <w:t>3、</w:t>
            </w:r>
            <w:r>
              <w:rPr>
                <w:b/>
                <w:sz w:val="24"/>
              </w:rPr>
              <w:t>监测时间及频次</w:t>
            </w:r>
          </w:p>
          <w:p>
            <w:pPr>
              <w:spacing w:line="360" w:lineRule="auto"/>
              <w:ind w:firstLine="480" w:firstLineChars="200"/>
              <w:rPr>
                <w:sz w:val="24"/>
              </w:rPr>
            </w:pPr>
            <w:r>
              <w:rPr>
                <w:sz w:val="24"/>
              </w:rPr>
              <w:t>202</w:t>
            </w:r>
            <w:r>
              <w:rPr>
                <w:rFonts w:hint="eastAsia"/>
                <w:sz w:val="24"/>
                <w:lang w:val="en-US" w:eastAsia="zh-CN"/>
              </w:rPr>
              <w:t>3</w:t>
            </w:r>
            <w:r>
              <w:rPr>
                <w:sz w:val="24"/>
              </w:rPr>
              <w:t>年</w:t>
            </w:r>
            <w:r>
              <w:rPr>
                <w:rFonts w:hint="eastAsia"/>
                <w:sz w:val="24"/>
                <w:lang w:val="en-US" w:eastAsia="zh-CN"/>
              </w:rPr>
              <w:t>10</w:t>
            </w:r>
            <w:r>
              <w:rPr>
                <w:sz w:val="24"/>
              </w:rPr>
              <w:t>月</w:t>
            </w:r>
            <w:r>
              <w:rPr>
                <w:rFonts w:hint="eastAsia"/>
                <w:sz w:val="24"/>
              </w:rPr>
              <w:t>7日~</w:t>
            </w:r>
            <w:r>
              <w:rPr>
                <w:rFonts w:hint="eastAsia"/>
                <w:sz w:val="24"/>
                <w:lang w:val="en-US" w:eastAsia="zh-CN"/>
              </w:rPr>
              <w:t>10</w:t>
            </w:r>
            <w:r>
              <w:rPr>
                <w:sz w:val="24"/>
              </w:rPr>
              <w:t>月</w:t>
            </w:r>
            <w:r>
              <w:rPr>
                <w:rFonts w:hint="eastAsia"/>
                <w:sz w:val="24"/>
              </w:rPr>
              <w:t>8日，</w:t>
            </w:r>
            <w:r>
              <w:rPr>
                <w:sz w:val="24"/>
              </w:rPr>
              <w:t>昼间监测一次，监测2天。</w:t>
            </w:r>
          </w:p>
          <w:p>
            <w:pPr>
              <w:spacing w:line="360" w:lineRule="auto"/>
              <w:ind w:firstLine="482" w:firstLineChars="200"/>
              <w:rPr>
                <w:b/>
                <w:sz w:val="24"/>
              </w:rPr>
            </w:pPr>
            <w:r>
              <w:rPr>
                <w:rFonts w:hint="eastAsia"/>
                <w:b/>
                <w:sz w:val="24"/>
              </w:rPr>
              <w:t>4、</w:t>
            </w:r>
            <w:r>
              <w:rPr>
                <w:b/>
                <w:sz w:val="24"/>
              </w:rPr>
              <w:t>监测结果</w:t>
            </w:r>
          </w:p>
          <w:p>
            <w:pPr>
              <w:spacing w:line="360" w:lineRule="auto"/>
              <w:ind w:firstLine="480" w:firstLineChars="200"/>
              <w:rPr>
                <w:sz w:val="24"/>
              </w:rPr>
            </w:pPr>
            <w:r>
              <w:rPr>
                <w:sz w:val="24"/>
              </w:rPr>
              <w:t>噪声监测结果见表3</w:t>
            </w:r>
            <w:r>
              <w:rPr>
                <w:rFonts w:hint="eastAsia"/>
                <w:sz w:val="24"/>
              </w:rPr>
              <w:t>-</w:t>
            </w:r>
            <w:r>
              <w:rPr>
                <w:rFonts w:hint="eastAsia"/>
                <w:sz w:val="24"/>
                <w:lang w:val="en-US" w:eastAsia="zh-CN"/>
              </w:rPr>
              <w:t>4</w:t>
            </w:r>
            <w:r>
              <w:rPr>
                <w:sz w:val="24"/>
              </w:rPr>
              <w:t>。</w:t>
            </w:r>
          </w:p>
          <w:p>
            <w:pPr>
              <w:autoSpaceDE w:val="0"/>
              <w:autoSpaceDN w:val="0"/>
              <w:adjustRightInd w:val="0"/>
              <w:spacing w:before="120" w:beforeLines="50"/>
              <w:ind w:firstLine="422" w:firstLineChars="200"/>
              <w:jc w:val="center"/>
              <w:rPr>
                <w:b/>
                <w:color w:val="000000" w:themeColor="text1"/>
                <w:szCs w:val="21"/>
              </w:rPr>
            </w:pPr>
            <w:r>
              <w:rPr>
                <w:b/>
                <w:color w:val="000000" w:themeColor="text1"/>
                <w:szCs w:val="21"/>
              </w:rPr>
              <w:t>表3-</w:t>
            </w:r>
            <w:r>
              <w:rPr>
                <w:rFonts w:hint="eastAsia"/>
                <w:b/>
                <w:color w:val="000000" w:themeColor="text1"/>
                <w:szCs w:val="21"/>
                <w:lang w:val="en-US" w:eastAsia="zh-CN"/>
              </w:rPr>
              <w:t>4</w:t>
            </w:r>
            <w:r>
              <w:rPr>
                <w:b/>
                <w:color w:val="000000" w:themeColor="text1"/>
                <w:szCs w:val="21"/>
              </w:rPr>
              <w:t xml:space="preserve">  声环境现状监测统计结果</w:t>
            </w:r>
            <w:r>
              <w:rPr>
                <w:rFonts w:hint="eastAsia"/>
                <w:b/>
                <w:color w:val="000000" w:themeColor="text1"/>
                <w:szCs w:val="21"/>
              </w:rPr>
              <w:t xml:space="preserve"> </w:t>
            </w:r>
            <w:r>
              <w:rPr>
                <w:b/>
                <w:color w:val="000000" w:themeColor="text1"/>
                <w:szCs w:val="21"/>
              </w:rPr>
              <w:t xml:space="preserve"> 单位：dB（</w:t>
            </w:r>
            <w:r>
              <w:rPr>
                <w:rFonts w:hint="eastAsia"/>
                <w:b/>
                <w:color w:val="000000" w:themeColor="text1"/>
                <w:szCs w:val="21"/>
              </w:rPr>
              <w:t>A</w:t>
            </w:r>
            <w:r>
              <w:rPr>
                <w:b/>
                <w:color w:val="000000" w:themeColor="text1"/>
                <w:szCs w:val="21"/>
              </w:rPr>
              <w:t>）</w:t>
            </w:r>
          </w:p>
          <w:tbl>
            <w:tblPr>
              <w:tblStyle w:val="25"/>
              <w:tblW w:w="4997"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4803"/>
              <w:gridCol w:w="1197"/>
              <w:gridCol w:w="1100"/>
              <w:gridCol w:w="1193"/>
              <w:gridCol w:w="8"/>
              <w:gridCol w:w="1068"/>
              <w:gridCol w:w="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60" w:type="pct"/>
                  <w:vMerge w:val="restart"/>
                  <w:vAlign w:val="center"/>
                </w:tcPr>
                <w:p>
                  <w:pPr>
                    <w:adjustRightInd w:val="0"/>
                    <w:snapToGrid w:val="0"/>
                    <w:jc w:val="center"/>
                    <w:rPr>
                      <w:b/>
                      <w:szCs w:val="21"/>
                    </w:rPr>
                  </w:pPr>
                  <w:r>
                    <w:rPr>
                      <w:b/>
                      <w:szCs w:val="21"/>
                    </w:rPr>
                    <w:t>监测点位</w:t>
                  </w:r>
                </w:p>
              </w:tc>
              <w:tc>
                <w:tcPr>
                  <w:tcW w:w="1224" w:type="pct"/>
                  <w:gridSpan w:val="2"/>
                  <w:vAlign w:val="center"/>
                </w:tcPr>
                <w:p>
                  <w:pPr>
                    <w:jc w:val="center"/>
                    <w:rPr>
                      <w:b/>
                      <w:szCs w:val="21"/>
                    </w:rPr>
                  </w:pPr>
                  <w:r>
                    <w:rPr>
                      <w:b/>
                      <w:szCs w:val="21"/>
                    </w:rPr>
                    <w:t>监测结果dB（A）</w:t>
                  </w:r>
                </w:p>
              </w:tc>
              <w:tc>
                <w:tcPr>
                  <w:tcW w:w="640" w:type="pct"/>
                  <w:gridSpan w:val="2"/>
                  <w:vMerge w:val="restart"/>
                  <w:vAlign w:val="center"/>
                </w:tcPr>
                <w:p>
                  <w:pPr>
                    <w:adjustRightInd w:val="0"/>
                    <w:snapToGrid w:val="0"/>
                    <w:jc w:val="center"/>
                    <w:rPr>
                      <w:b/>
                      <w:szCs w:val="21"/>
                    </w:rPr>
                  </w:pPr>
                  <w:r>
                    <w:rPr>
                      <w:b/>
                      <w:szCs w:val="21"/>
                    </w:rPr>
                    <w:t>评价标准dB（A）</w:t>
                  </w:r>
                </w:p>
              </w:tc>
              <w:tc>
                <w:tcPr>
                  <w:tcW w:w="574" w:type="pct"/>
                  <w:gridSpan w:val="2"/>
                  <w:vMerge w:val="restart"/>
                  <w:vAlign w:val="center"/>
                </w:tcPr>
                <w:p>
                  <w:pPr>
                    <w:adjustRightInd w:val="0"/>
                    <w:snapToGrid w:val="0"/>
                    <w:jc w:val="center"/>
                    <w:rPr>
                      <w:b/>
                      <w:szCs w:val="21"/>
                    </w:rPr>
                  </w:pPr>
                  <w:r>
                    <w:rPr>
                      <w:b/>
                      <w:szCs w:val="21"/>
                    </w:rPr>
                    <w:t>评价结果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60" w:type="pct"/>
                  <w:vMerge w:val="continue"/>
                  <w:vAlign w:val="center"/>
                </w:tcPr>
                <w:p>
                  <w:pPr>
                    <w:adjustRightInd w:val="0"/>
                    <w:snapToGrid w:val="0"/>
                    <w:jc w:val="center"/>
                    <w:rPr>
                      <w:szCs w:val="21"/>
                    </w:rPr>
                  </w:pPr>
                </w:p>
              </w:tc>
              <w:tc>
                <w:tcPr>
                  <w:tcW w:w="638" w:type="pct"/>
                  <w:vAlign w:val="center"/>
                </w:tcPr>
                <w:p>
                  <w:pPr>
                    <w:jc w:val="center"/>
                    <w:rPr>
                      <w:b/>
                      <w:szCs w:val="21"/>
                    </w:rPr>
                  </w:pPr>
                  <w:r>
                    <w:rPr>
                      <w:rFonts w:hint="eastAsia"/>
                      <w:b/>
                      <w:szCs w:val="21"/>
                      <w:lang w:val="en-US" w:eastAsia="zh-CN"/>
                    </w:rPr>
                    <w:t>10</w:t>
                  </w:r>
                  <w:r>
                    <w:rPr>
                      <w:rFonts w:hint="eastAsia"/>
                      <w:b/>
                      <w:szCs w:val="21"/>
                    </w:rPr>
                    <w:t>月7日</w:t>
                  </w:r>
                </w:p>
              </w:tc>
              <w:tc>
                <w:tcPr>
                  <w:tcW w:w="586" w:type="pct"/>
                  <w:vAlign w:val="center"/>
                </w:tcPr>
                <w:p>
                  <w:pPr>
                    <w:jc w:val="center"/>
                    <w:rPr>
                      <w:b/>
                      <w:szCs w:val="21"/>
                    </w:rPr>
                  </w:pPr>
                  <w:r>
                    <w:rPr>
                      <w:rFonts w:hint="eastAsia"/>
                      <w:b/>
                      <w:szCs w:val="21"/>
                      <w:lang w:val="en-US" w:eastAsia="zh-CN"/>
                    </w:rPr>
                    <w:t>10</w:t>
                  </w:r>
                  <w:r>
                    <w:rPr>
                      <w:rFonts w:hint="eastAsia"/>
                      <w:b/>
                      <w:szCs w:val="21"/>
                    </w:rPr>
                    <w:t>月8日</w:t>
                  </w:r>
                </w:p>
              </w:tc>
              <w:tc>
                <w:tcPr>
                  <w:tcW w:w="640" w:type="pct"/>
                  <w:gridSpan w:val="2"/>
                  <w:vMerge w:val="continue"/>
                  <w:vAlign w:val="center"/>
                </w:tcPr>
                <w:p>
                  <w:pPr>
                    <w:adjustRightInd w:val="0"/>
                    <w:snapToGrid w:val="0"/>
                    <w:jc w:val="center"/>
                    <w:rPr>
                      <w:b/>
                      <w:szCs w:val="21"/>
                    </w:rPr>
                  </w:pPr>
                </w:p>
              </w:tc>
              <w:tc>
                <w:tcPr>
                  <w:tcW w:w="574" w:type="pct"/>
                  <w:gridSpan w:val="2"/>
                  <w:vMerge w:val="continue"/>
                  <w:vAlign w:val="center"/>
                </w:tcPr>
                <w:p>
                  <w:pPr>
                    <w:adjustRightInd w:val="0"/>
                    <w:snapToGri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4" w:type="pct"/>
                <w:trHeight w:val="340" w:hRule="atLeast"/>
                <w:jc w:val="center"/>
              </w:trPr>
              <w:tc>
                <w:tcPr>
                  <w:tcW w:w="2560" w:type="pct"/>
                  <w:vAlign w:val="center"/>
                </w:tcPr>
                <w:p>
                  <w:pPr>
                    <w:jc w:val="center"/>
                    <w:rPr>
                      <w:szCs w:val="21"/>
                    </w:rPr>
                  </w:pPr>
                  <w:r>
                    <w:rPr>
                      <w:szCs w:val="21"/>
                    </w:rPr>
                    <w:t>N</w:t>
                  </w:r>
                  <w:r>
                    <w:rPr>
                      <w:rFonts w:hint="eastAsia"/>
                      <w:szCs w:val="21"/>
                    </w:rPr>
                    <w:t>1</w:t>
                  </w:r>
                  <w:r>
                    <w:rPr>
                      <w:szCs w:val="21"/>
                    </w:rPr>
                    <w:t>项目东侧厂界外</w:t>
                  </w:r>
                  <w:r>
                    <w:rPr>
                      <w:rFonts w:hint="eastAsia"/>
                      <w:szCs w:val="21"/>
                    </w:rPr>
                    <w:t>1m处</w:t>
                  </w:r>
                </w:p>
              </w:tc>
              <w:tc>
                <w:tcPr>
                  <w:tcW w:w="638" w:type="pct"/>
                  <w:vAlign w:val="center"/>
                </w:tcPr>
                <w:p>
                  <w:pPr>
                    <w:snapToGrid w:val="0"/>
                    <w:spacing w:beforeLines="10" w:afterLines="10"/>
                    <w:jc w:val="center"/>
                    <w:textAlignment w:val="center"/>
                    <w:rPr>
                      <w:rFonts w:hint="default" w:eastAsia="宋体"/>
                      <w:szCs w:val="21"/>
                      <w:lang w:val="en-US" w:eastAsia="zh-CN"/>
                    </w:rPr>
                  </w:pPr>
                  <w:r>
                    <w:rPr>
                      <w:rFonts w:hint="eastAsia"/>
                      <w:szCs w:val="21"/>
                      <w:lang w:val="en-US" w:eastAsia="zh-CN"/>
                    </w:rPr>
                    <w:t>56</w:t>
                  </w:r>
                </w:p>
              </w:tc>
              <w:tc>
                <w:tcPr>
                  <w:tcW w:w="586" w:type="pct"/>
                  <w:vAlign w:val="center"/>
                </w:tcPr>
                <w:p>
                  <w:pPr>
                    <w:spacing w:beforeLines="10" w:afterLines="10"/>
                    <w:jc w:val="center"/>
                    <w:rPr>
                      <w:rFonts w:hint="default" w:eastAsia="宋体"/>
                      <w:szCs w:val="21"/>
                      <w:lang w:val="en-US" w:eastAsia="zh-CN"/>
                    </w:rPr>
                  </w:pPr>
                  <w:r>
                    <w:rPr>
                      <w:rFonts w:hint="eastAsia"/>
                      <w:szCs w:val="21"/>
                      <w:lang w:val="en-US" w:eastAsia="zh-CN"/>
                    </w:rPr>
                    <w:t>58</w:t>
                  </w:r>
                </w:p>
              </w:tc>
              <w:tc>
                <w:tcPr>
                  <w:tcW w:w="636" w:type="pct"/>
                  <w:vAlign w:val="center"/>
                </w:tcPr>
                <w:p>
                  <w:pPr>
                    <w:jc w:val="center"/>
                    <w:rPr>
                      <w:szCs w:val="21"/>
                    </w:rPr>
                  </w:pPr>
                  <w:r>
                    <w:rPr>
                      <w:rFonts w:hint="eastAsia"/>
                      <w:szCs w:val="21"/>
                    </w:rPr>
                    <w:t>65</w:t>
                  </w:r>
                </w:p>
              </w:tc>
              <w:tc>
                <w:tcPr>
                  <w:tcW w:w="573" w:type="pct"/>
                  <w:gridSpan w:val="2"/>
                  <w:vAlign w:val="center"/>
                </w:tcPr>
                <w:p>
                  <w:pPr>
                    <w:adjustRightInd w:val="0"/>
                    <w:snapToGrid w:val="0"/>
                    <w:jc w:val="center"/>
                    <w:rPr>
                      <w:szCs w:val="21"/>
                    </w:rPr>
                  </w:pPr>
                  <w:r>
                    <w:rPr>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4" w:type="pct"/>
                <w:trHeight w:val="340" w:hRule="atLeast"/>
                <w:jc w:val="center"/>
              </w:trPr>
              <w:tc>
                <w:tcPr>
                  <w:tcW w:w="2560" w:type="pct"/>
                  <w:vAlign w:val="center"/>
                </w:tcPr>
                <w:p>
                  <w:pPr>
                    <w:jc w:val="center"/>
                    <w:rPr>
                      <w:szCs w:val="21"/>
                    </w:rPr>
                  </w:pPr>
                  <w:r>
                    <w:rPr>
                      <w:szCs w:val="21"/>
                    </w:rPr>
                    <w:t>N</w:t>
                  </w:r>
                  <w:r>
                    <w:rPr>
                      <w:rFonts w:hint="eastAsia"/>
                      <w:szCs w:val="21"/>
                    </w:rPr>
                    <w:t>2</w:t>
                  </w:r>
                  <w:r>
                    <w:rPr>
                      <w:szCs w:val="21"/>
                    </w:rPr>
                    <w:t>项目南侧厂界外</w:t>
                  </w:r>
                  <w:r>
                    <w:rPr>
                      <w:rFonts w:hint="eastAsia"/>
                      <w:szCs w:val="21"/>
                    </w:rPr>
                    <w:t>1m处</w:t>
                  </w:r>
                </w:p>
              </w:tc>
              <w:tc>
                <w:tcPr>
                  <w:tcW w:w="638" w:type="pct"/>
                  <w:vAlign w:val="center"/>
                </w:tcPr>
                <w:p>
                  <w:pPr>
                    <w:snapToGrid w:val="0"/>
                    <w:spacing w:beforeLines="10" w:afterLines="10"/>
                    <w:jc w:val="center"/>
                    <w:textAlignment w:val="center"/>
                    <w:rPr>
                      <w:rFonts w:hint="default" w:eastAsia="宋体"/>
                      <w:szCs w:val="21"/>
                      <w:lang w:val="en-US" w:eastAsia="zh-CN"/>
                    </w:rPr>
                  </w:pPr>
                  <w:r>
                    <w:rPr>
                      <w:rFonts w:hint="eastAsia"/>
                      <w:szCs w:val="21"/>
                      <w:lang w:val="en-US" w:eastAsia="zh-CN"/>
                    </w:rPr>
                    <w:t>56</w:t>
                  </w:r>
                </w:p>
              </w:tc>
              <w:tc>
                <w:tcPr>
                  <w:tcW w:w="586" w:type="pct"/>
                  <w:vAlign w:val="center"/>
                </w:tcPr>
                <w:p>
                  <w:pPr>
                    <w:spacing w:beforeLines="10" w:afterLines="10"/>
                    <w:jc w:val="center"/>
                    <w:rPr>
                      <w:rFonts w:hint="default" w:eastAsia="宋体"/>
                      <w:szCs w:val="21"/>
                      <w:lang w:val="en-US" w:eastAsia="zh-CN"/>
                    </w:rPr>
                  </w:pPr>
                  <w:r>
                    <w:rPr>
                      <w:rFonts w:hint="eastAsia"/>
                      <w:szCs w:val="21"/>
                      <w:lang w:val="en-US" w:eastAsia="zh-CN"/>
                    </w:rPr>
                    <w:t>57</w:t>
                  </w:r>
                </w:p>
              </w:tc>
              <w:tc>
                <w:tcPr>
                  <w:tcW w:w="636" w:type="pct"/>
                  <w:vAlign w:val="center"/>
                </w:tcPr>
                <w:p>
                  <w:pPr>
                    <w:jc w:val="center"/>
                    <w:rPr>
                      <w:szCs w:val="21"/>
                    </w:rPr>
                  </w:pPr>
                  <w:r>
                    <w:rPr>
                      <w:rFonts w:hint="eastAsia"/>
                      <w:szCs w:val="21"/>
                    </w:rPr>
                    <w:t>65</w:t>
                  </w:r>
                </w:p>
              </w:tc>
              <w:tc>
                <w:tcPr>
                  <w:tcW w:w="573" w:type="pct"/>
                  <w:gridSpan w:val="2"/>
                  <w:vAlign w:val="center"/>
                </w:tcPr>
                <w:p>
                  <w:pPr>
                    <w:adjustRightInd w:val="0"/>
                    <w:snapToGrid w:val="0"/>
                    <w:jc w:val="center"/>
                    <w:rPr>
                      <w:szCs w:val="21"/>
                    </w:rPr>
                  </w:pPr>
                  <w:r>
                    <w:rPr>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4" w:type="pct"/>
                <w:trHeight w:val="340" w:hRule="atLeast"/>
                <w:jc w:val="center"/>
              </w:trPr>
              <w:tc>
                <w:tcPr>
                  <w:tcW w:w="2560" w:type="pct"/>
                  <w:vAlign w:val="center"/>
                </w:tcPr>
                <w:p>
                  <w:pPr>
                    <w:jc w:val="center"/>
                    <w:rPr>
                      <w:szCs w:val="21"/>
                    </w:rPr>
                  </w:pPr>
                  <w:r>
                    <w:rPr>
                      <w:szCs w:val="21"/>
                    </w:rPr>
                    <w:t>N</w:t>
                  </w:r>
                  <w:r>
                    <w:rPr>
                      <w:rFonts w:hint="eastAsia"/>
                      <w:szCs w:val="21"/>
                    </w:rPr>
                    <w:t>3</w:t>
                  </w:r>
                  <w:r>
                    <w:rPr>
                      <w:szCs w:val="21"/>
                    </w:rPr>
                    <w:t>项目西侧厂界外</w:t>
                  </w:r>
                  <w:r>
                    <w:rPr>
                      <w:rFonts w:hint="eastAsia"/>
                      <w:szCs w:val="21"/>
                    </w:rPr>
                    <w:t>1m处</w:t>
                  </w:r>
                </w:p>
              </w:tc>
              <w:tc>
                <w:tcPr>
                  <w:tcW w:w="638" w:type="pct"/>
                  <w:vAlign w:val="center"/>
                </w:tcPr>
                <w:p>
                  <w:pPr>
                    <w:snapToGrid w:val="0"/>
                    <w:spacing w:beforeLines="10" w:afterLines="10"/>
                    <w:jc w:val="center"/>
                    <w:textAlignment w:val="center"/>
                    <w:rPr>
                      <w:rFonts w:hint="default" w:eastAsia="宋体"/>
                      <w:szCs w:val="21"/>
                      <w:lang w:val="en-US" w:eastAsia="zh-CN"/>
                    </w:rPr>
                  </w:pPr>
                  <w:r>
                    <w:rPr>
                      <w:rFonts w:hint="eastAsia"/>
                      <w:szCs w:val="21"/>
                      <w:lang w:val="en-US" w:eastAsia="zh-CN"/>
                    </w:rPr>
                    <w:t>57</w:t>
                  </w:r>
                </w:p>
              </w:tc>
              <w:tc>
                <w:tcPr>
                  <w:tcW w:w="586" w:type="pct"/>
                  <w:vAlign w:val="center"/>
                </w:tcPr>
                <w:p>
                  <w:pPr>
                    <w:spacing w:beforeLines="10" w:afterLines="10"/>
                    <w:jc w:val="center"/>
                    <w:rPr>
                      <w:rFonts w:hint="default" w:eastAsia="宋体"/>
                      <w:szCs w:val="21"/>
                      <w:lang w:val="en-US" w:eastAsia="zh-CN"/>
                    </w:rPr>
                  </w:pPr>
                  <w:r>
                    <w:rPr>
                      <w:rFonts w:hint="eastAsia"/>
                      <w:szCs w:val="21"/>
                      <w:lang w:val="en-US" w:eastAsia="zh-CN"/>
                    </w:rPr>
                    <w:t>56</w:t>
                  </w:r>
                </w:p>
              </w:tc>
              <w:tc>
                <w:tcPr>
                  <w:tcW w:w="636" w:type="pct"/>
                  <w:vAlign w:val="center"/>
                </w:tcPr>
                <w:p>
                  <w:pPr>
                    <w:jc w:val="center"/>
                    <w:rPr>
                      <w:szCs w:val="21"/>
                    </w:rPr>
                  </w:pPr>
                  <w:r>
                    <w:rPr>
                      <w:rFonts w:hint="eastAsia"/>
                      <w:szCs w:val="21"/>
                    </w:rPr>
                    <w:t>65</w:t>
                  </w:r>
                </w:p>
              </w:tc>
              <w:tc>
                <w:tcPr>
                  <w:tcW w:w="573" w:type="pct"/>
                  <w:gridSpan w:val="2"/>
                  <w:vAlign w:val="center"/>
                </w:tcPr>
                <w:p>
                  <w:pPr>
                    <w:adjustRightInd w:val="0"/>
                    <w:snapToGrid w:val="0"/>
                    <w:jc w:val="center"/>
                    <w:rPr>
                      <w:szCs w:val="21"/>
                    </w:rPr>
                  </w:pPr>
                  <w:r>
                    <w:rPr>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4" w:type="pct"/>
                <w:trHeight w:val="340" w:hRule="atLeast"/>
                <w:jc w:val="center"/>
              </w:trPr>
              <w:tc>
                <w:tcPr>
                  <w:tcW w:w="2560" w:type="pct"/>
                  <w:vAlign w:val="center"/>
                </w:tcPr>
                <w:p>
                  <w:pPr>
                    <w:jc w:val="center"/>
                    <w:rPr>
                      <w:szCs w:val="21"/>
                    </w:rPr>
                  </w:pPr>
                  <w:r>
                    <w:rPr>
                      <w:szCs w:val="21"/>
                    </w:rPr>
                    <w:t>N</w:t>
                  </w:r>
                  <w:r>
                    <w:rPr>
                      <w:rFonts w:hint="eastAsia"/>
                      <w:szCs w:val="21"/>
                    </w:rPr>
                    <w:t>4</w:t>
                  </w:r>
                  <w:r>
                    <w:rPr>
                      <w:szCs w:val="21"/>
                    </w:rPr>
                    <w:t>项目北侧厂界外</w:t>
                  </w:r>
                  <w:r>
                    <w:rPr>
                      <w:rFonts w:hint="eastAsia"/>
                      <w:szCs w:val="21"/>
                    </w:rPr>
                    <w:t>1m处</w:t>
                  </w:r>
                </w:p>
              </w:tc>
              <w:tc>
                <w:tcPr>
                  <w:tcW w:w="638" w:type="pct"/>
                  <w:vAlign w:val="center"/>
                </w:tcPr>
                <w:p>
                  <w:pPr>
                    <w:snapToGrid w:val="0"/>
                    <w:spacing w:beforeLines="10" w:afterLines="10"/>
                    <w:jc w:val="center"/>
                    <w:textAlignment w:val="center"/>
                    <w:rPr>
                      <w:rFonts w:hint="default" w:eastAsia="宋体"/>
                      <w:szCs w:val="21"/>
                      <w:lang w:val="en-US" w:eastAsia="zh-CN"/>
                    </w:rPr>
                  </w:pPr>
                  <w:r>
                    <w:rPr>
                      <w:rFonts w:hint="eastAsia"/>
                      <w:szCs w:val="21"/>
                      <w:lang w:val="en-US" w:eastAsia="zh-CN"/>
                    </w:rPr>
                    <w:t>55</w:t>
                  </w:r>
                </w:p>
              </w:tc>
              <w:tc>
                <w:tcPr>
                  <w:tcW w:w="586" w:type="pct"/>
                  <w:vAlign w:val="center"/>
                </w:tcPr>
                <w:p>
                  <w:pPr>
                    <w:spacing w:beforeLines="10" w:afterLines="10"/>
                    <w:jc w:val="center"/>
                    <w:rPr>
                      <w:rFonts w:hint="default" w:eastAsia="宋体"/>
                      <w:szCs w:val="21"/>
                      <w:lang w:val="en-US" w:eastAsia="zh-CN"/>
                    </w:rPr>
                  </w:pPr>
                  <w:r>
                    <w:rPr>
                      <w:rFonts w:hint="eastAsia"/>
                      <w:szCs w:val="21"/>
                      <w:lang w:val="en-US" w:eastAsia="zh-CN"/>
                    </w:rPr>
                    <w:t>57</w:t>
                  </w:r>
                </w:p>
              </w:tc>
              <w:tc>
                <w:tcPr>
                  <w:tcW w:w="636" w:type="pct"/>
                  <w:vAlign w:val="center"/>
                </w:tcPr>
                <w:p>
                  <w:pPr>
                    <w:jc w:val="center"/>
                    <w:rPr>
                      <w:szCs w:val="21"/>
                    </w:rPr>
                  </w:pPr>
                  <w:r>
                    <w:rPr>
                      <w:rFonts w:hint="eastAsia"/>
                      <w:szCs w:val="21"/>
                    </w:rPr>
                    <w:t>65</w:t>
                  </w:r>
                </w:p>
              </w:tc>
              <w:tc>
                <w:tcPr>
                  <w:tcW w:w="573" w:type="pct"/>
                  <w:gridSpan w:val="2"/>
                  <w:vAlign w:val="center"/>
                </w:tcPr>
                <w:p>
                  <w:pPr>
                    <w:adjustRightInd w:val="0"/>
                    <w:snapToGrid w:val="0"/>
                    <w:jc w:val="center"/>
                    <w:rPr>
                      <w:szCs w:val="21"/>
                    </w:rPr>
                  </w:pPr>
                  <w:r>
                    <w:rPr>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4" w:type="pct"/>
                <w:trHeight w:val="340" w:hRule="atLeast"/>
                <w:jc w:val="center"/>
              </w:trPr>
              <w:tc>
                <w:tcPr>
                  <w:tcW w:w="2560" w:type="pct"/>
                  <w:vAlign w:val="center"/>
                </w:tcPr>
                <w:p>
                  <w:pPr>
                    <w:jc w:val="center"/>
                    <w:rPr>
                      <w:szCs w:val="21"/>
                    </w:rPr>
                  </w:pPr>
                  <w:r>
                    <w:rPr>
                      <w:rFonts w:hint="eastAsia"/>
                      <w:szCs w:val="21"/>
                    </w:rPr>
                    <w:t>N5项目</w:t>
                  </w:r>
                  <w:r>
                    <w:rPr>
                      <w:rFonts w:hint="eastAsia"/>
                      <w:szCs w:val="21"/>
                      <w:lang w:val="en-US" w:eastAsia="zh-CN"/>
                    </w:rPr>
                    <w:t>西南</w:t>
                  </w:r>
                  <w:r>
                    <w:rPr>
                      <w:rFonts w:hint="eastAsia"/>
                      <w:szCs w:val="21"/>
                    </w:rPr>
                    <w:t>侧锦富新村</w:t>
                  </w:r>
                </w:p>
              </w:tc>
              <w:tc>
                <w:tcPr>
                  <w:tcW w:w="638" w:type="pct"/>
                  <w:vAlign w:val="center"/>
                </w:tcPr>
                <w:p>
                  <w:pPr>
                    <w:snapToGrid w:val="0"/>
                    <w:spacing w:beforeLines="10" w:afterLines="10"/>
                    <w:jc w:val="center"/>
                    <w:textAlignment w:val="center"/>
                    <w:rPr>
                      <w:rFonts w:hint="default" w:eastAsia="宋体"/>
                      <w:szCs w:val="21"/>
                      <w:lang w:val="en-US" w:eastAsia="zh-CN"/>
                    </w:rPr>
                  </w:pPr>
                  <w:r>
                    <w:rPr>
                      <w:rFonts w:hint="eastAsia"/>
                      <w:szCs w:val="21"/>
                      <w:lang w:val="en-US" w:eastAsia="zh-CN"/>
                    </w:rPr>
                    <w:t>52</w:t>
                  </w:r>
                </w:p>
              </w:tc>
              <w:tc>
                <w:tcPr>
                  <w:tcW w:w="586" w:type="pct"/>
                  <w:vAlign w:val="center"/>
                </w:tcPr>
                <w:p>
                  <w:pPr>
                    <w:spacing w:beforeLines="10" w:afterLines="10"/>
                    <w:jc w:val="center"/>
                    <w:rPr>
                      <w:rFonts w:hint="default" w:eastAsia="宋体"/>
                      <w:szCs w:val="21"/>
                      <w:lang w:val="en-US" w:eastAsia="zh-CN"/>
                    </w:rPr>
                  </w:pPr>
                  <w:r>
                    <w:rPr>
                      <w:rFonts w:hint="eastAsia"/>
                      <w:szCs w:val="21"/>
                      <w:lang w:val="en-US" w:eastAsia="zh-CN"/>
                    </w:rPr>
                    <w:t>53</w:t>
                  </w:r>
                </w:p>
              </w:tc>
              <w:tc>
                <w:tcPr>
                  <w:tcW w:w="636" w:type="pct"/>
                  <w:vAlign w:val="center"/>
                </w:tcPr>
                <w:p>
                  <w:pPr>
                    <w:jc w:val="center"/>
                    <w:rPr>
                      <w:rFonts w:hint="eastAsia" w:eastAsia="宋体"/>
                      <w:szCs w:val="21"/>
                      <w:lang w:val="en-US" w:eastAsia="zh-CN"/>
                    </w:rPr>
                  </w:pPr>
                  <w:r>
                    <w:rPr>
                      <w:rFonts w:hint="eastAsia"/>
                      <w:szCs w:val="21"/>
                    </w:rPr>
                    <w:t>6</w:t>
                  </w:r>
                  <w:r>
                    <w:rPr>
                      <w:rFonts w:hint="eastAsia"/>
                      <w:szCs w:val="21"/>
                      <w:lang w:val="en-US" w:eastAsia="zh-CN"/>
                    </w:rPr>
                    <w:t>0</w:t>
                  </w:r>
                </w:p>
              </w:tc>
              <w:tc>
                <w:tcPr>
                  <w:tcW w:w="573" w:type="pct"/>
                  <w:gridSpan w:val="2"/>
                  <w:vAlign w:val="center"/>
                </w:tcPr>
                <w:p>
                  <w:pPr>
                    <w:adjustRightInd w:val="0"/>
                    <w:snapToGrid w:val="0"/>
                    <w:jc w:val="center"/>
                    <w:rPr>
                      <w:szCs w:val="21"/>
                    </w:rPr>
                  </w:pPr>
                  <w:r>
                    <w:rPr>
                      <w:szCs w:val="21"/>
                    </w:rPr>
                    <w:t>达标</w:t>
                  </w:r>
                </w:p>
              </w:tc>
            </w:tr>
          </w:tbl>
          <w:p>
            <w:pPr>
              <w:pStyle w:val="2"/>
              <w:spacing w:line="360" w:lineRule="auto"/>
              <w:ind w:firstLine="480" w:firstLineChars="200"/>
              <w:jc w:val="both"/>
              <w:rPr>
                <w:rFonts w:ascii="Times New Roman" w:hAnsi="宋体" w:cs="Times New Roman"/>
                <w:bCs/>
                <w:color w:val="auto"/>
              </w:rPr>
            </w:pPr>
            <w:r>
              <w:rPr>
                <w:rFonts w:ascii="Times New Roman"/>
              </w:rPr>
              <w:t>监测结果表明，该项目</w:t>
            </w:r>
            <w:r>
              <w:rPr>
                <w:rFonts w:hint="eastAsia" w:ascii="Times New Roman"/>
                <w:lang w:val="en-US" w:eastAsia="zh-CN"/>
              </w:rPr>
              <w:t>厂界</w:t>
            </w:r>
            <w:r>
              <w:rPr>
                <w:rFonts w:ascii="Times New Roman"/>
              </w:rPr>
              <w:t>昼间噪声满足《声环境质量标准》（GB3096-2008）</w:t>
            </w:r>
            <w:r>
              <w:rPr>
                <w:rFonts w:hint="eastAsia" w:ascii="Times New Roman"/>
                <w:lang w:val="en-US" w:eastAsia="zh-CN"/>
              </w:rPr>
              <w:t>3</w:t>
            </w:r>
            <w:r>
              <w:rPr>
                <w:rFonts w:ascii="Times New Roman"/>
              </w:rPr>
              <w:t>类标准</w:t>
            </w:r>
            <w:r>
              <w:rPr>
                <w:rFonts w:hint="eastAsia" w:ascii="Times New Roman"/>
              </w:rPr>
              <w:t>要求，</w:t>
            </w:r>
            <w:r>
              <w:rPr>
                <w:rFonts w:ascii="Times New Roman"/>
              </w:rPr>
              <w:t>周边环境敏感点昼间噪声满足《声环境质量标准》（GB3096-2008）</w:t>
            </w:r>
            <w:r>
              <w:rPr>
                <w:rFonts w:hint="eastAsia" w:ascii="Times New Roman"/>
                <w:lang w:val="en-US" w:eastAsia="zh-CN"/>
              </w:rPr>
              <w:t>2</w:t>
            </w:r>
            <w:r>
              <w:rPr>
                <w:rFonts w:ascii="Times New Roman"/>
              </w:rPr>
              <w:t>类标准</w:t>
            </w:r>
            <w:r>
              <w:rPr>
                <w:rFonts w:hint="eastAsia" w:ascii="Times New Roman"/>
              </w:rPr>
              <w:t>要求</w:t>
            </w:r>
            <w:r>
              <w:rPr>
                <w:rFonts w:hint="eastAsia" w:ascii="Times New Roman"/>
                <w:lang w:eastAsia="zh-CN"/>
              </w:rPr>
              <w:t>，</w:t>
            </w:r>
            <w:r>
              <w:rPr>
                <w:rFonts w:hint="eastAsia" w:ascii="Times New Roman"/>
              </w:rPr>
              <w:t>区域声环境质量良好</w:t>
            </w:r>
            <w:r>
              <w:rPr>
                <w:rFonts w:ascii="Times New Roman" w:hAnsi="宋体" w:cs="Times New Roman"/>
                <w:bCs/>
                <w:color w:val="auto"/>
              </w:rPr>
              <w:t>。</w:t>
            </w:r>
          </w:p>
          <w:p>
            <w:pPr>
              <w:pStyle w:val="52"/>
              <w:spacing w:before="72"/>
              <w:ind w:firstLine="514"/>
              <w:rPr>
                <w:b/>
              </w:rPr>
            </w:pPr>
            <w:r>
              <w:rPr>
                <w:b/>
                <w:spacing w:val="8"/>
                <w:szCs w:val="24"/>
              </w:rPr>
              <w:t>四、</w:t>
            </w:r>
            <w:r>
              <w:rPr>
                <w:rFonts w:hint="eastAsia"/>
                <w:b/>
              </w:rPr>
              <w:t>生态环境现状</w:t>
            </w:r>
          </w:p>
          <w:p>
            <w:pPr>
              <w:snapToGrid w:val="0"/>
              <w:spacing w:line="360" w:lineRule="auto"/>
              <w:ind w:firstLine="480" w:firstLineChars="200"/>
              <w:rPr>
                <w:sz w:val="24"/>
              </w:rPr>
            </w:pPr>
            <w:r>
              <w:rPr>
                <w:rFonts w:hint="eastAsia"/>
                <w:sz w:val="24"/>
                <w:lang w:val="en-US" w:eastAsia="zh-CN"/>
              </w:rPr>
              <w:t>本</w:t>
            </w:r>
            <w:r>
              <w:rPr>
                <w:rFonts w:hint="eastAsia"/>
                <w:sz w:val="24"/>
              </w:rPr>
              <w:t>项目未新增用地，无需进行生态现状调查。</w:t>
            </w:r>
          </w:p>
          <w:p>
            <w:pPr>
              <w:snapToGrid w:val="0"/>
              <w:spacing w:line="360" w:lineRule="auto"/>
              <w:ind w:firstLine="482" w:firstLineChars="200"/>
              <w:rPr>
                <w:b/>
                <w:sz w:val="24"/>
              </w:rPr>
            </w:pPr>
            <w:r>
              <w:rPr>
                <w:rFonts w:hint="eastAsia"/>
                <w:b/>
                <w:sz w:val="24"/>
              </w:rPr>
              <w:t>五、土壤、地下水环境</w:t>
            </w:r>
          </w:p>
          <w:p>
            <w:pPr>
              <w:snapToGrid w:val="0"/>
              <w:spacing w:line="360" w:lineRule="auto"/>
              <w:ind w:firstLine="480" w:firstLineChars="200"/>
              <w:rPr>
                <w:sz w:val="24"/>
              </w:rPr>
            </w:pPr>
            <w:r>
              <w:rPr>
                <w:sz w:val="24"/>
              </w:rPr>
              <w:t>本项目厂区重点防渗区按照《危险废物贮存污染控制标准》（GB18597-2001）要求进行地面防渗；一般防渗区地面防渗按等效黏土防渗层Mb≥1.5m，K≤1×10</w:t>
            </w:r>
            <w:r>
              <w:rPr>
                <w:sz w:val="24"/>
                <w:vertAlign w:val="superscript"/>
              </w:rPr>
              <w:t>-7</w:t>
            </w:r>
            <w:r>
              <w:rPr>
                <w:sz w:val="24"/>
              </w:rPr>
              <w:t>cm/s或参照《生活垃圾填埋场污染控制标准》（GB16889-2008）执行；简单防渗区进行一般地面硬化要求进行建设。企业根据近年的运行管理经验，在采取源头和分区防控措施的基础上，正常状况下不存在土壤、地下水环境污染途径，因此，本项目原则上可不开展地下水和土壤环境质量现状调查。</w:t>
            </w:r>
          </w:p>
          <w:p>
            <w:pPr>
              <w:tabs>
                <w:tab w:val="left" w:pos="3544"/>
              </w:tabs>
              <w:adjustRightInd w:val="0"/>
              <w:snapToGrid w:val="0"/>
              <w:spacing w:line="360" w:lineRule="auto"/>
              <w:ind w:firstLine="482" w:firstLineChars="200"/>
              <w:rPr>
                <w:b/>
                <w:sz w:val="24"/>
              </w:rPr>
            </w:pPr>
            <w:r>
              <w:rPr>
                <w:rFonts w:hint="eastAsia"/>
                <w:b/>
                <w:sz w:val="24"/>
              </w:rPr>
              <w:t>六、电磁辐射</w:t>
            </w:r>
          </w:p>
          <w:p>
            <w:pPr>
              <w:snapToGrid w:val="0"/>
              <w:spacing w:line="360" w:lineRule="auto"/>
              <w:ind w:firstLine="480" w:firstLineChars="200"/>
              <w:rPr>
                <w:sz w:val="24"/>
              </w:rPr>
            </w:pPr>
            <w:r>
              <w:rPr>
                <w:sz w:val="24"/>
              </w:rPr>
              <w:t>本项目不涉及电磁辐射设备，不进行电磁辐射影响评价，因此无需进行电磁辐射环境现状调查</w:t>
            </w:r>
            <w:r>
              <w:rPr>
                <w:rFonts w:hint="eastAsia"/>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2" w:type="pct"/>
            <w:vAlign w:val="center"/>
          </w:tcPr>
          <w:p>
            <w:pPr>
              <w:adjustRightInd w:val="0"/>
              <w:snapToGrid w:val="0"/>
              <w:jc w:val="center"/>
              <w:rPr>
                <w:b/>
                <w:kern w:val="0"/>
                <w:sz w:val="24"/>
              </w:rPr>
            </w:pPr>
            <w:r>
              <w:rPr>
                <w:rFonts w:hint="eastAsia"/>
                <w:b/>
                <w:kern w:val="0"/>
                <w:sz w:val="24"/>
              </w:rPr>
              <w:t>环境</w:t>
            </w:r>
          </w:p>
          <w:p>
            <w:pPr>
              <w:adjustRightInd w:val="0"/>
              <w:snapToGrid w:val="0"/>
              <w:jc w:val="center"/>
              <w:rPr>
                <w:b/>
                <w:kern w:val="0"/>
                <w:sz w:val="24"/>
              </w:rPr>
            </w:pPr>
            <w:r>
              <w:rPr>
                <w:rFonts w:hint="eastAsia"/>
                <w:b/>
                <w:kern w:val="0"/>
                <w:sz w:val="24"/>
              </w:rPr>
              <w:t>保护</w:t>
            </w:r>
          </w:p>
          <w:p>
            <w:pPr>
              <w:adjustRightInd w:val="0"/>
              <w:snapToGrid w:val="0"/>
              <w:jc w:val="center"/>
              <w:rPr>
                <w:kern w:val="0"/>
                <w:sz w:val="24"/>
              </w:rPr>
            </w:pPr>
            <w:r>
              <w:rPr>
                <w:rFonts w:hint="eastAsia"/>
                <w:b/>
                <w:kern w:val="0"/>
                <w:sz w:val="24"/>
              </w:rPr>
              <w:t>目标</w:t>
            </w:r>
          </w:p>
        </w:tc>
        <w:tc>
          <w:tcPr>
            <w:tcW w:w="4718" w:type="pct"/>
            <w:vAlign w:val="center"/>
          </w:tcPr>
          <w:p>
            <w:pPr>
              <w:adjustRightInd w:val="0"/>
              <w:snapToGrid w:val="0"/>
              <w:spacing w:line="360" w:lineRule="auto"/>
              <w:ind w:firstLine="482" w:firstLineChars="200"/>
              <w:rPr>
                <w:b/>
                <w:kern w:val="0"/>
                <w:sz w:val="24"/>
              </w:rPr>
            </w:pPr>
            <w:r>
              <w:rPr>
                <w:b/>
                <w:kern w:val="0"/>
                <w:sz w:val="24"/>
              </w:rPr>
              <w:t>一、大气环境保护目标</w:t>
            </w:r>
          </w:p>
          <w:p>
            <w:pPr>
              <w:snapToGrid w:val="0"/>
              <w:spacing w:line="360" w:lineRule="auto"/>
              <w:ind w:firstLine="480" w:firstLineChars="200"/>
              <w:rPr>
                <w:rFonts w:ascii="Times New Roman" w:hAnsi="Times New Roman" w:eastAsia="宋体" w:cs="Times New Roman"/>
                <w:sz w:val="24"/>
              </w:rPr>
            </w:pPr>
            <w:r>
              <w:rPr>
                <w:rFonts w:hint="eastAsia" w:ascii="Times New Roman" w:hAnsi="Times New Roman" w:eastAsia="宋体" w:cs="Times New Roman"/>
                <w:sz w:val="24"/>
              </w:rPr>
              <w:t>厂界外500m范围内大气环境敏感点主要为居住区等，具体情况见下表，敏感点分布情况见附表3-</w:t>
            </w:r>
            <w:r>
              <w:rPr>
                <w:rFonts w:hint="eastAsia" w:cs="Times New Roman"/>
                <w:sz w:val="24"/>
                <w:lang w:val="en-US" w:eastAsia="zh-CN"/>
              </w:rPr>
              <w:t>5</w:t>
            </w:r>
            <w:r>
              <w:rPr>
                <w:rFonts w:hint="eastAsia" w:ascii="Times New Roman" w:hAnsi="Times New Roman" w:eastAsia="宋体" w:cs="Times New Roman"/>
                <w:sz w:val="24"/>
              </w:rPr>
              <w:t>及附图。</w:t>
            </w:r>
          </w:p>
          <w:p>
            <w:pPr>
              <w:adjustRightInd w:val="0"/>
              <w:snapToGrid w:val="0"/>
              <w:spacing w:beforeLines="50"/>
              <w:jc w:val="center"/>
              <w:rPr>
                <w:rFonts w:ascii="Times New Roman" w:hAnsi="Times New Roman" w:eastAsia="宋体" w:cs="Times New Roman"/>
                <w:b/>
                <w:bCs/>
                <w:szCs w:val="21"/>
              </w:rPr>
            </w:pPr>
            <w:r>
              <w:rPr>
                <w:rFonts w:ascii="Times New Roman" w:hAnsi="Times New Roman" w:eastAsia="宋体" w:cs="Times New Roman"/>
                <w:b/>
                <w:bCs/>
                <w:szCs w:val="21"/>
              </w:rPr>
              <w:t>表</w:t>
            </w:r>
            <w:r>
              <w:rPr>
                <w:rFonts w:hint="eastAsia" w:ascii="Times New Roman" w:hAnsi="Times New Roman" w:eastAsia="宋体" w:cs="Times New Roman"/>
                <w:b/>
                <w:bCs/>
                <w:szCs w:val="21"/>
              </w:rPr>
              <w:t>3-</w:t>
            </w:r>
            <w:r>
              <w:rPr>
                <w:rFonts w:hint="eastAsia" w:cs="Times New Roman"/>
                <w:b/>
                <w:bCs/>
                <w:szCs w:val="21"/>
                <w:lang w:val="en-US" w:eastAsia="zh-CN"/>
              </w:rPr>
              <w:t>5</w:t>
            </w:r>
            <w:r>
              <w:rPr>
                <w:rFonts w:hint="eastAsia" w:ascii="Times New Roman" w:hAnsi="Times New Roman" w:eastAsia="宋体" w:cs="Times New Roman"/>
                <w:b/>
                <w:bCs/>
                <w:szCs w:val="21"/>
              </w:rPr>
              <w:t xml:space="preserve"> </w:t>
            </w:r>
            <w:r>
              <w:rPr>
                <w:rFonts w:ascii="Times New Roman" w:hAnsi="Times New Roman" w:eastAsia="宋体" w:cs="Times New Roman"/>
                <w:b/>
                <w:bCs/>
                <w:szCs w:val="21"/>
              </w:rPr>
              <w:t xml:space="preserve"> 项目环境敏感保护目标一览表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271"/>
              <w:gridCol w:w="1485"/>
              <w:gridCol w:w="1369"/>
              <w:gridCol w:w="1455"/>
              <w:gridCol w:w="787"/>
              <w:gridCol w:w="954"/>
              <w:gridCol w:w="907"/>
              <w:gridCol w:w="115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名称</w:t>
                  </w:r>
                </w:p>
              </w:tc>
              <w:tc>
                <w:tcPr>
                  <w:tcW w:w="1520" w:type="pct"/>
                  <w:gridSpan w:val="2"/>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坐标/m</w:t>
                  </w:r>
                </w:p>
              </w:tc>
              <w:tc>
                <w:tcPr>
                  <w:tcW w:w="775"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保护对象</w:t>
                  </w:r>
                </w:p>
              </w:tc>
              <w:tc>
                <w:tcPr>
                  <w:tcW w:w="419"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保护内容</w:t>
                  </w:r>
                </w:p>
              </w:tc>
              <w:tc>
                <w:tcPr>
                  <w:tcW w:w="508"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环境功能区</w:t>
                  </w:r>
                </w:p>
              </w:tc>
              <w:tc>
                <w:tcPr>
                  <w:tcW w:w="483"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相对厂址方位</w:t>
                  </w:r>
                </w:p>
              </w:tc>
              <w:tc>
                <w:tcPr>
                  <w:tcW w:w="615" w:type="pct"/>
                  <w:vMerge w:val="restar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相对厂界距离/m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c>
                <w:tcPr>
                  <w:tcW w:w="791" w:type="pc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X</w:t>
                  </w:r>
                </w:p>
              </w:tc>
              <w:tc>
                <w:tcPr>
                  <w:tcW w:w="729" w:type="pct"/>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r>
                    <w:rPr>
                      <w:rFonts w:hint="default" w:ascii="Times New Roman" w:hAnsi="Times New Roman" w:cs="Times New Roman"/>
                      <w:b/>
                      <w:color w:val="auto"/>
                      <w:kern w:val="0"/>
                      <w:sz w:val="21"/>
                      <w:szCs w:val="21"/>
                      <w:u w:val="none"/>
                    </w:rPr>
                    <w:t>Y</w:t>
                  </w:r>
                </w:p>
              </w:tc>
              <w:tc>
                <w:tcPr>
                  <w:tcW w:w="775"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c>
                <w:tcPr>
                  <w:tcW w:w="419"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c>
                <w:tcPr>
                  <w:tcW w:w="508"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c>
                <w:tcPr>
                  <w:tcW w:w="483"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c>
                <w:tcPr>
                  <w:tcW w:w="615" w:type="pct"/>
                  <w:vMerge w:val="continue"/>
                  <w:shd w:val="clear" w:color="auto" w:fill="auto"/>
                  <w:vAlign w:val="center"/>
                </w:tcPr>
                <w:p>
                  <w:pPr>
                    <w:autoSpaceDE w:val="0"/>
                    <w:autoSpaceDN w:val="0"/>
                    <w:adjustRightInd w:val="0"/>
                    <w:jc w:val="center"/>
                    <w:rPr>
                      <w:rFonts w:hint="default" w:ascii="Times New Roman" w:hAnsi="Times New Roman" w:cs="Times New Roman"/>
                      <w:b/>
                      <w:color w:val="auto"/>
                      <w:kern w:val="0"/>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蒸水阳光</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112.394034°</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26.970411°</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33</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东北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140~200m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罗马时代</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112.393013°</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26.968287°</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133</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eastAsia="zh-CN"/>
                    </w:rPr>
                  </w:pPr>
                  <w:r>
                    <w:rPr>
                      <w:rFonts w:hint="eastAsia" w:cs="Times New Roman"/>
                      <w:color w:val="auto"/>
                      <w:kern w:val="0"/>
                      <w:sz w:val="21"/>
                      <w:szCs w:val="21"/>
                      <w:u w:val="none"/>
                      <w:lang w:val="en-US" w:eastAsia="zh-CN"/>
                    </w:rPr>
                    <w:t>东</w:t>
                  </w:r>
                </w:p>
              </w:tc>
              <w:tc>
                <w:tcPr>
                  <w:tcW w:w="61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3</w:t>
                  </w:r>
                  <w:r>
                    <w:rPr>
                      <w:rFonts w:hint="eastAsia" w:cs="Times New Roman"/>
                      <w:color w:val="auto"/>
                      <w:kern w:val="0"/>
                      <w:sz w:val="21"/>
                      <w:szCs w:val="21"/>
                      <w:u w:val="none"/>
                      <w:lang w:val="en-US" w:eastAsia="zh-CN"/>
                    </w:rPr>
                    <w:t>5</w:t>
                  </w:r>
                  <w:r>
                    <w:rPr>
                      <w:rFonts w:hint="default" w:ascii="Times New Roman" w:hAnsi="Times New Roman" w:cs="Times New Roman"/>
                      <w:color w:val="auto"/>
                      <w:kern w:val="0"/>
                      <w:sz w:val="21"/>
                      <w:szCs w:val="21"/>
                      <w:u w:val="none"/>
                    </w:rPr>
                    <w:t>~</w:t>
                  </w:r>
                  <w:r>
                    <w:rPr>
                      <w:rFonts w:hint="eastAsia" w:cs="Times New Roman"/>
                      <w:color w:val="auto"/>
                      <w:kern w:val="0"/>
                      <w:sz w:val="21"/>
                      <w:szCs w:val="21"/>
                      <w:u w:val="none"/>
                      <w:lang w:val="en-US" w:eastAsia="zh-CN"/>
                    </w:rPr>
                    <w:t>7</w:t>
                  </w:r>
                  <w:r>
                    <w:rPr>
                      <w:rFonts w:hint="default" w:ascii="Times New Roman" w:hAnsi="Times New Roman" w:cs="Times New Roman"/>
                      <w:color w:val="auto"/>
                      <w:kern w:val="0"/>
                      <w:sz w:val="21"/>
                      <w:szCs w:val="21"/>
                      <w:u w:val="none"/>
                    </w:rPr>
                    <w:t>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飞翔华府</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112.392069°</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26.967082°</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67</w:t>
                  </w:r>
                  <w:r>
                    <w:rPr>
                      <w:rFonts w:hint="default" w:ascii="Times New Roman" w:hAnsi="Times New Roman" w:cs="Times New Roman"/>
                      <w:color w:val="auto"/>
                      <w:kern w:val="0"/>
                      <w:sz w:val="21"/>
                      <w:szCs w:val="21"/>
                      <w:u w:val="none"/>
                    </w:rPr>
                    <w:t>7户</w:t>
                  </w:r>
                </w:p>
              </w:tc>
              <w:tc>
                <w:tcPr>
                  <w:tcW w:w="41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eastAsia" w:cs="Times New Roman"/>
                      <w:color w:val="auto"/>
                      <w:kern w:val="0"/>
                      <w:sz w:val="21"/>
                      <w:szCs w:val="21"/>
                      <w:u w:val="none"/>
                      <w:lang w:val="en-US" w:eastAsia="zh-CN"/>
                    </w:rPr>
                    <w:t>东</w:t>
                  </w:r>
                  <w:r>
                    <w:rPr>
                      <w:rFonts w:hint="default" w:ascii="Times New Roman" w:hAnsi="Times New Roman" w:cs="Times New Roman"/>
                      <w:color w:val="auto"/>
                      <w:kern w:val="0"/>
                      <w:sz w:val="21"/>
                      <w:szCs w:val="21"/>
                      <w:u w:val="none"/>
                    </w:rPr>
                    <w:t>南</w:t>
                  </w:r>
                </w:p>
              </w:tc>
              <w:tc>
                <w:tcPr>
                  <w:tcW w:w="61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eastAsia" w:cs="Times New Roman"/>
                      <w:color w:val="auto"/>
                      <w:kern w:val="0"/>
                      <w:sz w:val="21"/>
                      <w:szCs w:val="21"/>
                      <w:u w:val="none"/>
                      <w:lang w:val="en-US" w:eastAsia="zh-CN"/>
                    </w:rPr>
                    <w:t>5</w:t>
                  </w:r>
                  <w:r>
                    <w:rPr>
                      <w:rFonts w:hint="default" w:ascii="Times New Roman" w:hAnsi="Times New Roman" w:cs="Times New Roman"/>
                      <w:color w:val="auto"/>
                      <w:kern w:val="0"/>
                      <w:sz w:val="21"/>
                      <w:szCs w:val="21"/>
                      <w:u w:val="none"/>
                    </w:rPr>
                    <w:t>0~</w:t>
                  </w:r>
                  <w:r>
                    <w:rPr>
                      <w:rFonts w:hint="eastAsia" w:cs="Times New Roman"/>
                      <w:color w:val="auto"/>
                      <w:kern w:val="0"/>
                      <w:sz w:val="21"/>
                      <w:szCs w:val="21"/>
                      <w:u w:val="none"/>
                      <w:lang w:val="en-US" w:eastAsia="zh-CN"/>
                    </w:rPr>
                    <w:t>27</w:t>
                  </w:r>
                  <w:r>
                    <w:rPr>
                      <w:rFonts w:hint="default" w:ascii="Times New Roman" w:hAnsi="Times New Roman" w:cs="Times New Roman"/>
                      <w:color w:val="auto"/>
                      <w:kern w:val="0"/>
                      <w:sz w:val="21"/>
                      <w:szCs w:val="21"/>
                      <w:u w:val="none"/>
                    </w:rPr>
                    <w:t>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茗瑞瑜景</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112.390125°</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26.965598°</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620</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280~480m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家兴华府</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112.388805°</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26.967548°</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540</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西南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185~440m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39"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清风雅郡</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112.387645°</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26.968924°</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649</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西南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190~365m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琼鑫佳苑</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112.386636°</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26.969679°</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229</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西南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230~360m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富源春天</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112.385943°</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26.969061°</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42</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西南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345~415m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旭丰怡园</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112.386657°</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26.968235°</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default" w:ascii="Times New Roman" w:hAnsi="Times New Roman" w:cs="Times New Roman"/>
                      <w:color w:val="auto"/>
                      <w:kern w:val="0"/>
                      <w:sz w:val="21"/>
                      <w:szCs w:val="21"/>
                      <w:u w:val="none"/>
                      <w:lang w:val="en-US" w:eastAsia="zh-CN"/>
                    </w:rPr>
                    <w:t>237</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西南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360~425m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衡都名城</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112.390125°</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26.968563°</w:t>
                  </w:r>
                </w:p>
              </w:tc>
              <w:tc>
                <w:tcPr>
                  <w:tcW w:w="77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居民，约</w:t>
                  </w:r>
                  <w:r>
                    <w:rPr>
                      <w:rFonts w:hint="eastAsia" w:cs="Times New Roman"/>
                      <w:color w:val="auto"/>
                      <w:kern w:val="0"/>
                      <w:sz w:val="21"/>
                      <w:szCs w:val="21"/>
                      <w:u w:val="none"/>
                      <w:lang w:val="en-US" w:eastAsia="zh-CN"/>
                    </w:rPr>
                    <w:t>5</w:t>
                  </w:r>
                  <w:r>
                    <w:rPr>
                      <w:rFonts w:hint="default" w:ascii="Times New Roman" w:hAnsi="Times New Roman" w:cs="Times New Roman"/>
                      <w:color w:val="auto"/>
                      <w:kern w:val="0"/>
                      <w:sz w:val="21"/>
                      <w:szCs w:val="21"/>
                      <w:u w:val="none"/>
                    </w:rPr>
                    <w:t>35户</w:t>
                  </w:r>
                </w:p>
              </w:tc>
              <w:tc>
                <w:tcPr>
                  <w:tcW w:w="41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eastAsia" w:cs="Times New Roman"/>
                      <w:color w:val="auto"/>
                      <w:kern w:val="0"/>
                      <w:sz w:val="21"/>
                      <w:szCs w:val="21"/>
                      <w:u w:val="none"/>
                      <w:lang w:val="en-US" w:eastAsia="zh-CN"/>
                    </w:rPr>
                    <w:t>西</w:t>
                  </w:r>
                  <w:r>
                    <w:rPr>
                      <w:rFonts w:hint="default" w:ascii="Times New Roman" w:hAnsi="Times New Roman" w:cs="Times New Roman"/>
                      <w:color w:val="auto"/>
                      <w:kern w:val="0"/>
                      <w:sz w:val="21"/>
                      <w:szCs w:val="21"/>
                      <w:u w:val="none"/>
                    </w:rPr>
                    <w:t>南</w:t>
                  </w:r>
                </w:p>
              </w:tc>
              <w:tc>
                <w:tcPr>
                  <w:tcW w:w="615"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eastAsia" w:cs="Times New Roman"/>
                      <w:color w:val="auto"/>
                      <w:kern w:val="0"/>
                      <w:sz w:val="21"/>
                      <w:szCs w:val="21"/>
                      <w:u w:val="none"/>
                      <w:lang w:val="en-US" w:eastAsia="zh-CN"/>
                    </w:rPr>
                    <w:t>6</w:t>
                  </w:r>
                  <w:r>
                    <w:rPr>
                      <w:rFonts w:hint="default" w:ascii="Times New Roman" w:hAnsi="Times New Roman" w:cs="Times New Roman"/>
                      <w:color w:val="auto"/>
                      <w:kern w:val="0"/>
                      <w:sz w:val="21"/>
                      <w:szCs w:val="21"/>
                      <w:u w:val="none"/>
                    </w:rPr>
                    <w:t>0~</w:t>
                  </w:r>
                  <w:r>
                    <w:rPr>
                      <w:rFonts w:hint="eastAsia" w:cs="Times New Roman"/>
                      <w:color w:val="auto"/>
                      <w:kern w:val="0"/>
                      <w:sz w:val="21"/>
                      <w:szCs w:val="21"/>
                      <w:u w:val="none"/>
                      <w:lang w:val="en-US" w:eastAsia="zh-CN"/>
                    </w:rPr>
                    <w:t>24</w:t>
                  </w:r>
                  <w:r>
                    <w:rPr>
                      <w:rFonts w:hint="default" w:ascii="Times New Roman" w:hAnsi="Times New Roman" w:cs="Times New Roman"/>
                      <w:color w:val="auto"/>
                      <w:kern w:val="0"/>
                      <w:sz w:val="21"/>
                      <w:szCs w:val="21"/>
                      <w:u w:val="none"/>
                    </w:rPr>
                    <w:t>0m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77"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锦富新村</w:t>
                  </w:r>
                </w:p>
              </w:tc>
              <w:tc>
                <w:tcPr>
                  <w:tcW w:w="791"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112.389717°</w:t>
                  </w:r>
                </w:p>
              </w:tc>
              <w:tc>
                <w:tcPr>
                  <w:tcW w:w="729" w:type="pct"/>
                  <w:shd w:val="clear" w:color="auto" w:fill="auto"/>
                  <w:vAlign w:val="center"/>
                </w:tcPr>
                <w:p>
                  <w:pPr>
                    <w:autoSpaceDE w:val="0"/>
                    <w:autoSpaceDN w:val="0"/>
                    <w:adjustRightInd w:val="0"/>
                    <w:jc w:val="center"/>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26.969500°</w:t>
                  </w:r>
                </w:p>
              </w:tc>
              <w:tc>
                <w:tcPr>
                  <w:tcW w:w="77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居民，约</w:t>
                  </w:r>
                  <w:r>
                    <w:rPr>
                      <w:rFonts w:hint="eastAsia" w:cs="Times New Roman"/>
                      <w:color w:val="auto"/>
                      <w:kern w:val="0"/>
                      <w:sz w:val="21"/>
                      <w:szCs w:val="21"/>
                      <w:u w:val="none"/>
                      <w:lang w:val="en-US" w:eastAsia="zh-CN"/>
                    </w:rPr>
                    <w:t>70</w:t>
                  </w:r>
                  <w:r>
                    <w:rPr>
                      <w:rFonts w:hint="default" w:ascii="Times New Roman" w:hAnsi="Times New Roman" w:cs="Times New Roman"/>
                      <w:color w:val="auto"/>
                      <w:kern w:val="0"/>
                      <w:sz w:val="21"/>
                      <w:szCs w:val="21"/>
                      <w:u w:val="none"/>
                    </w:rPr>
                    <w:t>户</w:t>
                  </w:r>
                </w:p>
              </w:tc>
              <w:tc>
                <w:tcPr>
                  <w:tcW w:w="419"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人群</w:t>
                  </w:r>
                </w:p>
              </w:tc>
              <w:tc>
                <w:tcPr>
                  <w:tcW w:w="508"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default" w:ascii="Times New Roman" w:hAnsi="Times New Roman" w:cs="Times New Roman"/>
                      <w:color w:val="auto"/>
                      <w:kern w:val="0"/>
                      <w:sz w:val="21"/>
                      <w:szCs w:val="21"/>
                      <w:u w:val="none"/>
                    </w:rPr>
                    <w:t>二类区</w:t>
                  </w:r>
                </w:p>
              </w:tc>
              <w:tc>
                <w:tcPr>
                  <w:tcW w:w="483"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eastAsia" w:cs="Times New Roman"/>
                      <w:color w:val="auto"/>
                      <w:kern w:val="0"/>
                      <w:sz w:val="21"/>
                      <w:szCs w:val="21"/>
                      <w:u w:val="none"/>
                      <w:lang w:val="en-US" w:eastAsia="zh-CN"/>
                    </w:rPr>
                    <w:t>西</w:t>
                  </w:r>
                  <w:r>
                    <w:rPr>
                      <w:rFonts w:hint="default" w:ascii="Times New Roman" w:hAnsi="Times New Roman" w:cs="Times New Roman"/>
                      <w:color w:val="auto"/>
                      <w:kern w:val="0"/>
                      <w:sz w:val="21"/>
                      <w:szCs w:val="21"/>
                      <w:u w:val="none"/>
                    </w:rPr>
                    <w:t>南</w:t>
                  </w:r>
                </w:p>
              </w:tc>
              <w:tc>
                <w:tcPr>
                  <w:tcW w:w="615" w:type="pct"/>
                  <w:shd w:val="clear" w:color="auto" w:fill="auto"/>
                  <w:vAlign w:val="center"/>
                </w:tcPr>
                <w:p>
                  <w:pPr>
                    <w:autoSpaceDE w:val="0"/>
                    <w:autoSpaceDN w:val="0"/>
                    <w:adjustRightInd w:val="0"/>
                    <w:jc w:val="center"/>
                    <w:rPr>
                      <w:rFonts w:hint="default" w:ascii="Times New Roman" w:hAnsi="Times New Roman" w:eastAsia="宋体" w:cs="Times New Roman"/>
                      <w:color w:val="auto"/>
                      <w:kern w:val="0"/>
                      <w:sz w:val="21"/>
                      <w:szCs w:val="21"/>
                      <w:u w:val="none"/>
                      <w:lang w:val="en-US" w:eastAsia="zh-CN" w:bidi="ar-SA"/>
                    </w:rPr>
                  </w:pPr>
                  <w:r>
                    <w:rPr>
                      <w:rFonts w:hint="eastAsia" w:cs="Times New Roman"/>
                      <w:color w:val="auto"/>
                      <w:kern w:val="0"/>
                      <w:sz w:val="21"/>
                      <w:szCs w:val="21"/>
                      <w:u w:val="none"/>
                      <w:lang w:val="en-US" w:eastAsia="zh-CN"/>
                    </w:rPr>
                    <w:t>1</w:t>
                  </w:r>
                  <w:r>
                    <w:rPr>
                      <w:rFonts w:hint="default" w:ascii="Times New Roman" w:hAnsi="Times New Roman" w:cs="Times New Roman"/>
                      <w:color w:val="auto"/>
                      <w:kern w:val="0"/>
                      <w:sz w:val="21"/>
                      <w:szCs w:val="21"/>
                      <w:u w:val="none"/>
                    </w:rPr>
                    <w:t>0~</w:t>
                  </w:r>
                  <w:r>
                    <w:rPr>
                      <w:rFonts w:hint="eastAsia" w:cs="Times New Roman"/>
                      <w:color w:val="auto"/>
                      <w:kern w:val="0"/>
                      <w:sz w:val="21"/>
                      <w:szCs w:val="21"/>
                      <w:u w:val="none"/>
                      <w:lang w:val="en-US" w:eastAsia="zh-CN"/>
                    </w:rPr>
                    <w:t>14</w:t>
                  </w:r>
                  <w:r>
                    <w:rPr>
                      <w:rFonts w:hint="default" w:ascii="Times New Roman" w:hAnsi="Times New Roman" w:cs="Times New Roman"/>
                      <w:color w:val="auto"/>
                      <w:kern w:val="0"/>
                      <w:sz w:val="21"/>
                      <w:szCs w:val="21"/>
                      <w:u w:val="none"/>
                    </w:rPr>
                    <w:t>0m</w:t>
                  </w:r>
                </w:p>
              </w:tc>
            </w:tr>
          </w:tbl>
          <w:p>
            <w:pPr>
              <w:adjustRightInd w:val="0"/>
              <w:snapToGrid w:val="0"/>
              <w:spacing w:line="360" w:lineRule="auto"/>
              <w:ind w:firstLine="482" w:firstLineChars="200"/>
              <w:rPr>
                <w:b/>
                <w:kern w:val="0"/>
                <w:sz w:val="24"/>
              </w:rPr>
            </w:pPr>
            <w:r>
              <w:rPr>
                <w:b/>
                <w:kern w:val="0"/>
                <w:sz w:val="24"/>
              </w:rPr>
              <w:t>二、水环境保护目标</w:t>
            </w:r>
          </w:p>
          <w:p>
            <w:pPr>
              <w:adjustRightInd w:val="0"/>
              <w:snapToGrid w:val="0"/>
              <w:spacing w:line="360" w:lineRule="auto"/>
              <w:ind w:firstLine="480" w:firstLineChars="200"/>
              <w:rPr>
                <w:kern w:val="0"/>
                <w:sz w:val="24"/>
              </w:rPr>
            </w:pPr>
            <w:r>
              <w:rPr>
                <w:kern w:val="0"/>
                <w:sz w:val="24"/>
              </w:rPr>
              <w:t>项目周边水体为耒水，本项目具体的地表水环境保护目标详见下表：</w:t>
            </w:r>
          </w:p>
          <w:p>
            <w:pPr>
              <w:adjustRightInd w:val="0"/>
              <w:snapToGrid w:val="0"/>
              <w:spacing w:beforeLines="50"/>
              <w:jc w:val="center"/>
              <w:rPr>
                <w:b/>
                <w:bCs/>
                <w:szCs w:val="21"/>
              </w:rPr>
            </w:pPr>
            <w:r>
              <w:rPr>
                <w:b/>
                <w:bCs/>
                <w:szCs w:val="21"/>
              </w:rPr>
              <w:t>表3-</w:t>
            </w:r>
            <w:r>
              <w:rPr>
                <w:rFonts w:hint="eastAsia"/>
                <w:b/>
                <w:bCs/>
                <w:szCs w:val="21"/>
                <w:lang w:val="en-US" w:eastAsia="zh-CN"/>
              </w:rPr>
              <w:t>6</w:t>
            </w:r>
            <w:r>
              <w:rPr>
                <w:b/>
                <w:bCs/>
                <w:szCs w:val="21"/>
              </w:rPr>
              <w:t xml:space="preserve">  地表水环境保护目标一览表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72"/>
              <w:gridCol w:w="1813"/>
              <w:gridCol w:w="1368"/>
              <w:gridCol w:w="1368"/>
              <w:gridCol w:w="1539"/>
              <w:gridCol w:w="222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571" w:type="pct"/>
                  <w:vAlign w:val="center"/>
                </w:tcPr>
                <w:p>
                  <w:pPr>
                    <w:spacing w:line="0" w:lineRule="atLeast"/>
                    <w:jc w:val="center"/>
                    <w:rPr>
                      <w:b/>
                      <w:szCs w:val="21"/>
                    </w:rPr>
                  </w:pPr>
                  <w:r>
                    <w:rPr>
                      <w:b/>
                      <w:szCs w:val="21"/>
                    </w:rPr>
                    <w:t>类别</w:t>
                  </w:r>
                </w:p>
              </w:tc>
              <w:tc>
                <w:tcPr>
                  <w:tcW w:w="966" w:type="pct"/>
                  <w:vAlign w:val="center"/>
                </w:tcPr>
                <w:p>
                  <w:pPr>
                    <w:spacing w:line="0" w:lineRule="atLeast"/>
                    <w:jc w:val="center"/>
                    <w:rPr>
                      <w:b/>
                      <w:szCs w:val="21"/>
                    </w:rPr>
                  </w:pPr>
                  <w:r>
                    <w:rPr>
                      <w:b/>
                      <w:szCs w:val="21"/>
                    </w:rPr>
                    <w:t>保护目标</w:t>
                  </w:r>
                </w:p>
              </w:tc>
              <w:tc>
                <w:tcPr>
                  <w:tcW w:w="729" w:type="pct"/>
                  <w:vAlign w:val="center"/>
                </w:tcPr>
                <w:p>
                  <w:pPr>
                    <w:spacing w:line="0" w:lineRule="atLeast"/>
                    <w:ind w:right="-80" w:rightChars="-38"/>
                    <w:jc w:val="center"/>
                    <w:rPr>
                      <w:b/>
                      <w:szCs w:val="21"/>
                    </w:rPr>
                  </w:pPr>
                  <w:r>
                    <w:rPr>
                      <w:b/>
                      <w:szCs w:val="21"/>
                    </w:rPr>
                    <w:t>规模</w:t>
                  </w:r>
                  <w:r>
                    <w:rPr>
                      <w:rFonts w:hint="eastAsia"/>
                      <w:b/>
                      <w:szCs w:val="21"/>
                    </w:rPr>
                    <w:t>/功能</w:t>
                  </w:r>
                </w:p>
              </w:tc>
              <w:tc>
                <w:tcPr>
                  <w:tcW w:w="729" w:type="pct"/>
                  <w:vAlign w:val="center"/>
                </w:tcPr>
                <w:p>
                  <w:pPr>
                    <w:spacing w:line="0" w:lineRule="atLeast"/>
                    <w:jc w:val="center"/>
                    <w:rPr>
                      <w:b/>
                      <w:szCs w:val="21"/>
                    </w:rPr>
                  </w:pPr>
                  <w:r>
                    <w:rPr>
                      <w:b/>
                      <w:szCs w:val="21"/>
                    </w:rPr>
                    <w:t>与项目相对位置</w:t>
                  </w:r>
                </w:p>
              </w:tc>
              <w:tc>
                <w:tcPr>
                  <w:tcW w:w="820" w:type="pct"/>
                  <w:vAlign w:val="center"/>
                </w:tcPr>
                <w:p>
                  <w:pPr>
                    <w:spacing w:line="0" w:lineRule="atLeast"/>
                    <w:jc w:val="center"/>
                    <w:rPr>
                      <w:b/>
                      <w:szCs w:val="21"/>
                    </w:rPr>
                  </w:pPr>
                  <w:r>
                    <w:rPr>
                      <w:b/>
                      <w:szCs w:val="21"/>
                    </w:rPr>
                    <w:t>距离项目区最近距离</w:t>
                  </w:r>
                </w:p>
              </w:tc>
              <w:tc>
                <w:tcPr>
                  <w:tcW w:w="1185" w:type="pct"/>
                  <w:vAlign w:val="center"/>
                </w:tcPr>
                <w:p>
                  <w:pPr>
                    <w:spacing w:line="0" w:lineRule="atLeast"/>
                    <w:jc w:val="center"/>
                    <w:rPr>
                      <w:b/>
                      <w:szCs w:val="21"/>
                    </w:rPr>
                  </w:pPr>
                  <w:r>
                    <w:rPr>
                      <w:b/>
                      <w:szCs w:val="21"/>
                    </w:rPr>
                    <w:t>执行标准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571" w:type="pct"/>
                  <w:vAlign w:val="center"/>
                </w:tcPr>
                <w:p>
                  <w:pPr>
                    <w:spacing w:line="0" w:lineRule="atLeast"/>
                    <w:ind w:left="-78" w:leftChars="-37" w:right="-86" w:rightChars="-41"/>
                    <w:jc w:val="center"/>
                    <w:rPr>
                      <w:szCs w:val="21"/>
                    </w:rPr>
                  </w:pPr>
                  <w:r>
                    <w:rPr>
                      <w:szCs w:val="21"/>
                    </w:rPr>
                    <w:t>水环境</w:t>
                  </w:r>
                </w:p>
              </w:tc>
              <w:tc>
                <w:tcPr>
                  <w:tcW w:w="966" w:type="pct"/>
                  <w:vAlign w:val="center"/>
                </w:tcPr>
                <w:p>
                  <w:pPr>
                    <w:jc w:val="center"/>
                    <w:rPr>
                      <w:szCs w:val="21"/>
                    </w:rPr>
                  </w:pPr>
                  <w:r>
                    <w:rPr>
                      <w:rFonts w:hint="eastAsia"/>
                      <w:szCs w:val="21"/>
                      <w:lang w:val="en-US" w:eastAsia="zh-CN"/>
                    </w:rPr>
                    <w:t>蒸水</w:t>
                  </w:r>
                  <w:r>
                    <w:rPr>
                      <w:szCs w:val="21"/>
                    </w:rPr>
                    <w:t>（</w:t>
                  </w:r>
                  <w:r>
                    <w:rPr>
                      <w:rFonts w:hint="eastAsia"/>
                      <w:szCs w:val="21"/>
                    </w:rPr>
                    <w:t>英陂拦河坝至湘江入河口段</w:t>
                  </w:r>
                  <w:r>
                    <w:rPr>
                      <w:szCs w:val="21"/>
                    </w:rPr>
                    <w:t>）</w:t>
                  </w:r>
                </w:p>
              </w:tc>
              <w:tc>
                <w:tcPr>
                  <w:tcW w:w="729" w:type="pct"/>
                  <w:vAlign w:val="center"/>
                </w:tcPr>
                <w:p>
                  <w:pPr>
                    <w:ind w:firstLine="27" w:firstLineChars="13"/>
                    <w:jc w:val="center"/>
                    <w:rPr>
                      <w:szCs w:val="21"/>
                    </w:rPr>
                  </w:pPr>
                  <w:r>
                    <w:rPr>
                      <w:szCs w:val="21"/>
                    </w:rPr>
                    <w:t>工业用水</w:t>
                  </w:r>
                </w:p>
              </w:tc>
              <w:tc>
                <w:tcPr>
                  <w:tcW w:w="729" w:type="pct"/>
                  <w:vAlign w:val="center"/>
                </w:tcPr>
                <w:p>
                  <w:pPr>
                    <w:jc w:val="center"/>
                    <w:rPr>
                      <w:rFonts w:hint="eastAsia" w:eastAsia="宋体"/>
                      <w:szCs w:val="21"/>
                      <w:lang w:eastAsia="zh-CN"/>
                    </w:rPr>
                  </w:pPr>
                  <w:r>
                    <w:rPr>
                      <w:rFonts w:hint="eastAsia"/>
                      <w:szCs w:val="21"/>
                      <w:lang w:val="en-US" w:eastAsia="zh-CN"/>
                    </w:rPr>
                    <w:t>西</w:t>
                  </w:r>
                </w:p>
              </w:tc>
              <w:tc>
                <w:tcPr>
                  <w:tcW w:w="820" w:type="pct"/>
                  <w:vAlign w:val="center"/>
                </w:tcPr>
                <w:p>
                  <w:pPr>
                    <w:jc w:val="center"/>
                    <w:rPr>
                      <w:szCs w:val="21"/>
                    </w:rPr>
                  </w:pPr>
                  <w:r>
                    <w:rPr>
                      <w:rFonts w:hint="eastAsia"/>
                      <w:szCs w:val="21"/>
                      <w:lang w:val="en-US" w:eastAsia="zh-CN"/>
                    </w:rPr>
                    <w:t>850</w:t>
                  </w:r>
                  <w:r>
                    <w:rPr>
                      <w:rFonts w:hint="eastAsia"/>
                      <w:szCs w:val="21"/>
                    </w:rPr>
                    <w:t>m</w:t>
                  </w:r>
                </w:p>
              </w:tc>
              <w:tc>
                <w:tcPr>
                  <w:tcW w:w="1185" w:type="pct"/>
                  <w:vAlign w:val="center"/>
                </w:tcPr>
                <w:p>
                  <w:pPr>
                    <w:spacing w:line="0" w:lineRule="atLeast"/>
                    <w:jc w:val="center"/>
                    <w:rPr>
                      <w:szCs w:val="21"/>
                    </w:rPr>
                  </w:pPr>
                  <w:r>
                    <w:rPr>
                      <w:rFonts w:hint="eastAsia"/>
                      <w:bCs/>
                      <w:szCs w:val="21"/>
                    </w:rPr>
                    <w:t>（GB3838-2002）中Ⅳ类标准</w:t>
                  </w:r>
                </w:p>
              </w:tc>
            </w:tr>
          </w:tbl>
          <w:p>
            <w:pPr>
              <w:adjustRightInd w:val="0"/>
              <w:snapToGrid w:val="0"/>
              <w:spacing w:line="360" w:lineRule="auto"/>
              <w:ind w:firstLine="482" w:firstLineChars="200"/>
              <w:rPr>
                <w:b/>
                <w:kern w:val="0"/>
                <w:sz w:val="24"/>
              </w:rPr>
            </w:pPr>
            <w:r>
              <w:rPr>
                <w:rFonts w:hint="eastAsia"/>
                <w:b/>
                <w:kern w:val="0"/>
                <w:sz w:val="24"/>
              </w:rPr>
              <w:t>三、声环境保护目标</w:t>
            </w:r>
          </w:p>
          <w:p>
            <w:pPr>
              <w:spacing w:line="360" w:lineRule="auto"/>
              <w:ind w:firstLine="480" w:firstLineChars="200"/>
              <w:rPr>
                <w:sz w:val="24"/>
              </w:rPr>
            </w:pPr>
            <w:r>
              <w:rPr>
                <w:rFonts w:hint="eastAsia"/>
                <w:sz w:val="24"/>
              </w:rPr>
              <w:t>根据对项目所在地实地踏勘，项目厂界外5</w:t>
            </w:r>
            <w:r>
              <w:rPr>
                <w:sz w:val="24"/>
              </w:rPr>
              <w:t>0m</w:t>
            </w:r>
            <w:r>
              <w:rPr>
                <w:rFonts w:hint="eastAsia"/>
                <w:sz w:val="24"/>
              </w:rPr>
              <w:t>范围内声环境保护目标详见下表。</w:t>
            </w:r>
          </w:p>
          <w:p>
            <w:pPr>
              <w:adjustRightInd w:val="0"/>
              <w:snapToGrid w:val="0"/>
              <w:spacing w:before="120" w:beforeLines="50"/>
              <w:jc w:val="center"/>
              <w:rPr>
                <w:b/>
                <w:bCs/>
                <w:szCs w:val="21"/>
              </w:rPr>
            </w:pPr>
            <w:r>
              <w:rPr>
                <w:b/>
                <w:bCs/>
                <w:szCs w:val="21"/>
              </w:rPr>
              <w:t>表</w:t>
            </w:r>
            <w:r>
              <w:rPr>
                <w:rFonts w:hint="eastAsia"/>
                <w:b/>
                <w:bCs/>
                <w:szCs w:val="21"/>
              </w:rPr>
              <w:t>3-</w:t>
            </w:r>
            <w:r>
              <w:rPr>
                <w:rFonts w:hint="eastAsia"/>
                <w:b/>
                <w:bCs/>
                <w:szCs w:val="21"/>
                <w:lang w:val="en-US" w:eastAsia="zh-CN"/>
              </w:rPr>
              <w:t>7</w:t>
            </w:r>
            <w:r>
              <w:rPr>
                <w:b/>
                <w:bCs/>
                <w:szCs w:val="21"/>
              </w:rPr>
              <w:t xml:space="preserve">  </w:t>
            </w:r>
            <w:r>
              <w:rPr>
                <w:rFonts w:hint="eastAsia"/>
                <w:b/>
                <w:bCs/>
                <w:szCs w:val="21"/>
              </w:rPr>
              <w:t>声环境</w:t>
            </w:r>
            <w:r>
              <w:rPr>
                <w:b/>
                <w:bCs/>
                <w:szCs w:val="21"/>
              </w:rPr>
              <w:t>保护目标一览表</w:t>
            </w:r>
          </w:p>
          <w:tbl>
            <w:tblPr>
              <w:tblStyle w:val="25"/>
              <w:tblW w:w="5000" w:type="pct"/>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108" w:type="dxa"/>
                <w:bottom w:w="0" w:type="dxa"/>
                <w:right w:w="108" w:type="dxa"/>
              </w:tblCellMar>
            </w:tblPr>
            <w:tblGrid>
              <w:gridCol w:w="1363"/>
              <w:gridCol w:w="1453"/>
              <w:gridCol w:w="1385"/>
              <w:gridCol w:w="1526"/>
              <w:gridCol w:w="811"/>
              <w:gridCol w:w="854"/>
              <w:gridCol w:w="813"/>
              <w:gridCol w:w="1179"/>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tblHeader/>
                <w:jc w:val="center"/>
              </w:trPr>
              <w:tc>
                <w:tcPr>
                  <w:tcW w:w="726"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名称</w:t>
                  </w:r>
                </w:p>
              </w:tc>
              <w:tc>
                <w:tcPr>
                  <w:tcW w:w="1512" w:type="pct"/>
                  <w:gridSpan w:val="2"/>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坐标</w:t>
                  </w:r>
                  <w:r>
                    <w:rPr>
                      <w:rFonts w:eastAsiaTheme="minorEastAsia"/>
                      <w:b/>
                      <w:sz w:val="21"/>
                      <w:szCs w:val="21"/>
                    </w:rPr>
                    <w:t>/m</w:t>
                  </w:r>
                </w:p>
              </w:tc>
              <w:tc>
                <w:tcPr>
                  <w:tcW w:w="813"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保护对象</w:t>
                  </w:r>
                </w:p>
              </w:tc>
              <w:tc>
                <w:tcPr>
                  <w:tcW w:w="432"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保护内容</w:t>
                  </w:r>
                </w:p>
              </w:tc>
              <w:tc>
                <w:tcPr>
                  <w:tcW w:w="455"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环境功能区</w:t>
                  </w:r>
                </w:p>
              </w:tc>
              <w:tc>
                <w:tcPr>
                  <w:tcW w:w="433"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方位</w:t>
                  </w:r>
                </w:p>
              </w:tc>
              <w:tc>
                <w:tcPr>
                  <w:tcW w:w="628" w:type="pct"/>
                  <w:vMerge w:val="restart"/>
                  <w:shd w:val="clear" w:color="auto" w:fill="FFFFFF"/>
                  <w:vAlign w:val="center"/>
                </w:tcPr>
                <w:p>
                  <w:pPr>
                    <w:pStyle w:val="63"/>
                    <w:adjustRightInd/>
                    <w:snapToGrid/>
                    <w:rPr>
                      <w:rFonts w:eastAsiaTheme="minorEastAsia"/>
                      <w:b/>
                      <w:sz w:val="21"/>
                      <w:szCs w:val="21"/>
                    </w:rPr>
                  </w:pPr>
                  <w:r>
                    <w:rPr>
                      <w:rFonts w:hAnsiTheme="minorEastAsia" w:eastAsiaTheme="minorEastAsia"/>
                      <w:b/>
                      <w:sz w:val="21"/>
                      <w:szCs w:val="21"/>
                    </w:rPr>
                    <w:t>相对厂界距离</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726" w:type="pct"/>
                  <w:vMerge w:val="continue"/>
                  <w:shd w:val="clear" w:color="auto" w:fill="FFFFFF"/>
                  <w:vAlign w:val="center"/>
                </w:tcPr>
                <w:p>
                  <w:pPr>
                    <w:pStyle w:val="63"/>
                    <w:adjustRightInd/>
                    <w:snapToGrid/>
                    <w:rPr>
                      <w:rFonts w:eastAsiaTheme="minorEastAsia"/>
                      <w:sz w:val="21"/>
                      <w:szCs w:val="21"/>
                    </w:rPr>
                  </w:pPr>
                </w:p>
              </w:tc>
              <w:tc>
                <w:tcPr>
                  <w:tcW w:w="774" w:type="pct"/>
                  <w:shd w:val="clear" w:color="auto" w:fill="FFFFFF"/>
                  <w:vAlign w:val="center"/>
                </w:tcPr>
                <w:p>
                  <w:pPr>
                    <w:pStyle w:val="63"/>
                    <w:adjustRightInd/>
                    <w:snapToGrid/>
                    <w:rPr>
                      <w:rFonts w:eastAsiaTheme="minorEastAsia"/>
                      <w:b/>
                      <w:sz w:val="21"/>
                      <w:szCs w:val="21"/>
                    </w:rPr>
                  </w:pPr>
                  <w:r>
                    <w:rPr>
                      <w:rFonts w:eastAsiaTheme="minorEastAsia"/>
                      <w:b/>
                      <w:sz w:val="21"/>
                      <w:szCs w:val="21"/>
                    </w:rPr>
                    <w:t>X</w:t>
                  </w:r>
                </w:p>
              </w:tc>
              <w:tc>
                <w:tcPr>
                  <w:tcW w:w="737" w:type="pct"/>
                  <w:shd w:val="clear" w:color="auto" w:fill="FFFFFF"/>
                  <w:vAlign w:val="center"/>
                </w:tcPr>
                <w:p>
                  <w:pPr>
                    <w:pStyle w:val="63"/>
                    <w:adjustRightInd/>
                    <w:snapToGrid/>
                    <w:rPr>
                      <w:rFonts w:eastAsiaTheme="minorEastAsia"/>
                      <w:b/>
                      <w:sz w:val="21"/>
                      <w:szCs w:val="21"/>
                    </w:rPr>
                  </w:pPr>
                  <w:r>
                    <w:rPr>
                      <w:rFonts w:eastAsiaTheme="minorEastAsia"/>
                      <w:b/>
                      <w:sz w:val="21"/>
                      <w:szCs w:val="21"/>
                    </w:rPr>
                    <w:t>Y</w:t>
                  </w:r>
                </w:p>
              </w:tc>
              <w:tc>
                <w:tcPr>
                  <w:tcW w:w="813" w:type="pct"/>
                  <w:vMerge w:val="continue"/>
                  <w:shd w:val="clear" w:color="auto" w:fill="FFFFFF"/>
                  <w:vAlign w:val="center"/>
                </w:tcPr>
                <w:p>
                  <w:pPr>
                    <w:pStyle w:val="63"/>
                    <w:adjustRightInd/>
                    <w:snapToGrid/>
                    <w:rPr>
                      <w:rFonts w:eastAsiaTheme="minorEastAsia"/>
                      <w:sz w:val="21"/>
                      <w:szCs w:val="21"/>
                    </w:rPr>
                  </w:pPr>
                </w:p>
              </w:tc>
              <w:tc>
                <w:tcPr>
                  <w:tcW w:w="432" w:type="pct"/>
                  <w:vMerge w:val="continue"/>
                  <w:shd w:val="clear" w:color="auto" w:fill="FFFFFF"/>
                  <w:vAlign w:val="center"/>
                </w:tcPr>
                <w:p>
                  <w:pPr>
                    <w:pStyle w:val="63"/>
                    <w:adjustRightInd/>
                    <w:snapToGrid/>
                    <w:rPr>
                      <w:rFonts w:eastAsiaTheme="minorEastAsia"/>
                      <w:sz w:val="21"/>
                      <w:szCs w:val="21"/>
                    </w:rPr>
                  </w:pPr>
                </w:p>
              </w:tc>
              <w:tc>
                <w:tcPr>
                  <w:tcW w:w="455" w:type="pct"/>
                  <w:vMerge w:val="continue"/>
                  <w:shd w:val="clear" w:color="auto" w:fill="FFFFFF"/>
                  <w:vAlign w:val="center"/>
                </w:tcPr>
                <w:p>
                  <w:pPr>
                    <w:pStyle w:val="63"/>
                    <w:adjustRightInd/>
                    <w:snapToGrid/>
                    <w:rPr>
                      <w:rFonts w:eastAsiaTheme="minorEastAsia"/>
                      <w:sz w:val="21"/>
                      <w:szCs w:val="21"/>
                    </w:rPr>
                  </w:pPr>
                </w:p>
              </w:tc>
              <w:tc>
                <w:tcPr>
                  <w:tcW w:w="433" w:type="pct"/>
                  <w:vMerge w:val="continue"/>
                  <w:shd w:val="clear" w:color="auto" w:fill="FFFFFF"/>
                  <w:vAlign w:val="center"/>
                </w:tcPr>
                <w:p>
                  <w:pPr>
                    <w:pStyle w:val="63"/>
                    <w:adjustRightInd/>
                    <w:snapToGrid/>
                    <w:rPr>
                      <w:rFonts w:eastAsiaTheme="minorEastAsia"/>
                      <w:sz w:val="21"/>
                      <w:szCs w:val="21"/>
                    </w:rPr>
                  </w:pPr>
                </w:p>
              </w:tc>
              <w:tc>
                <w:tcPr>
                  <w:tcW w:w="628" w:type="pct"/>
                  <w:vMerge w:val="continue"/>
                  <w:shd w:val="clear" w:color="auto" w:fill="FFFFFF"/>
                  <w:vAlign w:val="center"/>
                </w:tcPr>
                <w:p>
                  <w:pPr>
                    <w:pStyle w:val="63"/>
                    <w:adjustRightInd/>
                    <w:snapToGrid/>
                    <w:rPr>
                      <w:rFonts w:eastAsiaTheme="minorEastAsia"/>
                      <w:sz w:val="21"/>
                      <w:szCs w:val="21"/>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726" w:type="pct"/>
                  <w:shd w:val="clear" w:color="auto" w:fill="FFFFFF"/>
                  <w:vAlign w:val="center"/>
                </w:tcPr>
                <w:p>
                  <w:pPr>
                    <w:jc w:val="center"/>
                    <w:rPr>
                      <w:rFonts w:eastAsiaTheme="minorEastAsia"/>
                      <w:szCs w:val="21"/>
                    </w:rPr>
                  </w:pPr>
                  <w:r>
                    <w:rPr>
                      <w:rFonts w:hint="default" w:ascii="Times New Roman" w:hAnsi="Times New Roman" w:cs="Times New Roman"/>
                      <w:color w:val="auto"/>
                      <w:kern w:val="0"/>
                      <w:sz w:val="21"/>
                      <w:szCs w:val="21"/>
                      <w:u w:val="none"/>
                      <w:lang w:val="en-US" w:eastAsia="zh-CN"/>
                    </w:rPr>
                    <w:t>锦富新村</w:t>
                  </w:r>
                </w:p>
              </w:tc>
              <w:tc>
                <w:tcPr>
                  <w:tcW w:w="774" w:type="pct"/>
                  <w:shd w:val="clear" w:color="auto" w:fill="FFFFFF"/>
                  <w:vAlign w:val="center"/>
                </w:tcPr>
                <w:p>
                  <w:pPr>
                    <w:autoSpaceDE w:val="0"/>
                    <w:autoSpaceDN w:val="0"/>
                    <w:adjustRightInd w:val="0"/>
                    <w:jc w:val="center"/>
                    <w:rPr>
                      <w:rFonts w:eastAsiaTheme="minorEastAsia"/>
                      <w:sz w:val="21"/>
                      <w:szCs w:val="21"/>
                    </w:rPr>
                  </w:pPr>
                  <w:r>
                    <w:rPr>
                      <w:rFonts w:hint="default" w:ascii="Times New Roman" w:hAnsi="Times New Roman" w:cs="Times New Roman"/>
                      <w:color w:val="auto"/>
                      <w:kern w:val="0"/>
                      <w:sz w:val="21"/>
                      <w:szCs w:val="21"/>
                      <w:u w:val="none"/>
                    </w:rPr>
                    <w:t>112.389717°</w:t>
                  </w:r>
                </w:p>
              </w:tc>
              <w:tc>
                <w:tcPr>
                  <w:tcW w:w="737" w:type="pct"/>
                  <w:shd w:val="clear" w:color="auto" w:fill="FFFFFF"/>
                  <w:vAlign w:val="center"/>
                </w:tcPr>
                <w:p>
                  <w:pPr>
                    <w:autoSpaceDE w:val="0"/>
                    <w:autoSpaceDN w:val="0"/>
                    <w:adjustRightInd w:val="0"/>
                    <w:jc w:val="center"/>
                    <w:rPr>
                      <w:rFonts w:eastAsiaTheme="minorEastAsia"/>
                      <w:sz w:val="21"/>
                      <w:szCs w:val="21"/>
                    </w:rPr>
                  </w:pPr>
                  <w:r>
                    <w:rPr>
                      <w:rFonts w:hint="default" w:ascii="Times New Roman" w:hAnsi="Times New Roman" w:cs="Times New Roman"/>
                      <w:color w:val="auto"/>
                      <w:kern w:val="0"/>
                      <w:sz w:val="21"/>
                      <w:szCs w:val="21"/>
                      <w:u w:val="none"/>
                    </w:rPr>
                    <w:t>26.969500°</w:t>
                  </w:r>
                </w:p>
              </w:tc>
              <w:tc>
                <w:tcPr>
                  <w:tcW w:w="813" w:type="pct"/>
                  <w:shd w:val="clear" w:color="auto" w:fill="FFFFFF"/>
                  <w:vAlign w:val="center"/>
                </w:tcPr>
                <w:p>
                  <w:pPr>
                    <w:jc w:val="center"/>
                    <w:rPr>
                      <w:rFonts w:hint="default" w:eastAsiaTheme="minorEastAsia"/>
                      <w:kern w:val="0"/>
                      <w:szCs w:val="21"/>
                      <w:lang w:val="en-US" w:eastAsia="zh-CN"/>
                    </w:rPr>
                  </w:pPr>
                  <w:r>
                    <w:rPr>
                      <w:rFonts w:hAnsiTheme="minorEastAsia" w:eastAsiaTheme="minorEastAsia"/>
                      <w:szCs w:val="21"/>
                    </w:rPr>
                    <w:t>居民点，</w:t>
                  </w:r>
                  <w:r>
                    <w:rPr>
                      <w:rFonts w:hint="eastAsia" w:eastAsiaTheme="minorEastAsia"/>
                      <w:szCs w:val="21"/>
                      <w:lang w:val="en-US" w:eastAsia="zh-CN"/>
                    </w:rPr>
                    <w:t>约14户</w:t>
                  </w:r>
                </w:p>
              </w:tc>
              <w:tc>
                <w:tcPr>
                  <w:tcW w:w="432" w:type="pct"/>
                  <w:shd w:val="clear" w:color="auto" w:fill="FFFFFF"/>
                  <w:vAlign w:val="center"/>
                </w:tcPr>
                <w:p>
                  <w:pPr>
                    <w:jc w:val="center"/>
                    <w:rPr>
                      <w:rFonts w:eastAsiaTheme="minorEastAsia"/>
                      <w:kern w:val="0"/>
                      <w:szCs w:val="21"/>
                    </w:rPr>
                  </w:pPr>
                  <w:r>
                    <w:rPr>
                      <w:rFonts w:hAnsiTheme="minorEastAsia" w:eastAsiaTheme="minorEastAsia"/>
                      <w:kern w:val="0"/>
                      <w:szCs w:val="21"/>
                    </w:rPr>
                    <w:t>人群</w:t>
                  </w:r>
                </w:p>
              </w:tc>
              <w:tc>
                <w:tcPr>
                  <w:tcW w:w="455" w:type="pct"/>
                  <w:shd w:val="clear" w:color="auto" w:fill="FFFFFF"/>
                  <w:vAlign w:val="center"/>
                </w:tcPr>
                <w:p>
                  <w:pPr>
                    <w:jc w:val="center"/>
                    <w:rPr>
                      <w:rFonts w:eastAsiaTheme="minorEastAsia"/>
                      <w:kern w:val="0"/>
                      <w:szCs w:val="21"/>
                    </w:rPr>
                  </w:pPr>
                  <w:r>
                    <w:rPr>
                      <w:rFonts w:hint="eastAsia" w:eastAsiaTheme="minorEastAsia"/>
                      <w:kern w:val="0"/>
                      <w:szCs w:val="21"/>
                      <w:lang w:val="en-US" w:eastAsia="zh-CN"/>
                    </w:rPr>
                    <w:t>3</w:t>
                  </w:r>
                  <w:r>
                    <w:rPr>
                      <w:rFonts w:hAnsiTheme="minorEastAsia" w:eastAsiaTheme="minorEastAsia"/>
                      <w:kern w:val="0"/>
                      <w:szCs w:val="21"/>
                    </w:rPr>
                    <w:t>类区</w:t>
                  </w:r>
                </w:p>
              </w:tc>
              <w:tc>
                <w:tcPr>
                  <w:tcW w:w="433" w:type="pct"/>
                  <w:shd w:val="clear" w:color="auto" w:fill="FFFFFF"/>
                  <w:vAlign w:val="center"/>
                </w:tcPr>
                <w:p>
                  <w:pPr>
                    <w:jc w:val="center"/>
                    <w:rPr>
                      <w:rFonts w:eastAsiaTheme="minorEastAsia"/>
                      <w:kern w:val="0"/>
                      <w:szCs w:val="21"/>
                    </w:rPr>
                  </w:pPr>
                  <w:r>
                    <w:rPr>
                      <w:rFonts w:hAnsiTheme="minorEastAsia" w:eastAsiaTheme="minorEastAsia"/>
                      <w:kern w:val="0"/>
                      <w:szCs w:val="21"/>
                    </w:rPr>
                    <w:t>西南</w:t>
                  </w:r>
                </w:p>
              </w:tc>
              <w:tc>
                <w:tcPr>
                  <w:tcW w:w="628" w:type="pct"/>
                  <w:shd w:val="clear" w:color="auto" w:fill="FFFFFF"/>
                  <w:vAlign w:val="center"/>
                </w:tcPr>
                <w:p>
                  <w:pPr>
                    <w:jc w:val="center"/>
                    <w:rPr>
                      <w:rFonts w:eastAsiaTheme="minorEastAsia"/>
                      <w:kern w:val="0"/>
                      <w:szCs w:val="21"/>
                    </w:rPr>
                  </w:pPr>
                  <w:r>
                    <w:rPr>
                      <w:rFonts w:hint="eastAsia" w:eastAsiaTheme="minorEastAsia"/>
                      <w:kern w:val="0"/>
                      <w:szCs w:val="21"/>
                      <w:lang w:val="en-US" w:eastAsia="zh-CN"/>
                    </w:rPr>
                    <w:t>10</w:t>
                  </w:r>
                  <w:r>
                    <w:rPr>
                      <w:rFonts w:eastAsiaTheme="minorEastAsia"/>
                      <w:kern w:val="0"/>
                      <w:szCs w:val="21"/>
                    </w:rPr>
                    <w:t>~50m</w:t>
                  </w:r>
                </w:p>
              </w:tc>
            </w:tr>
          </w:tbl>
          <w:p>
            <w:pPr>
              <w:adjustRightInd w:val="0"/>
              <w:snapToGrid w:val="0"/>
              <w:spacing w:line="360" w:lineRule="auto"/>
              <w:ind w:firstLine="482" w:firstLineChars="200"/>
              <w:rPr>
                <w:b/>
                <w:kern w:val="0"/>
                <w:sz w:val="24"/>
              </w:rPr>
            </w:pPr>
            <w:r>
              <w:rPr>
                <w:rFonts w:hint="eastAsia"/>
                <w:b/>
                <w:kern w:val="0"/>
                <w:sz w:val="24"/>
              </w:rPr>
              <w:t>四、其它环境保护目标</w:t>
            </w:r>
          </w:p>
          <w:p>
            <w:pPr>
              <w:adjustRightInd w:val="0"/>
              <w:snapToGrid w:val="0"/>
              <w:spacing w:line="360" w:lineRule="auto"/>
              <w:ind w:firstLine="480" w:firstLineChars="200"/>
              <w:rPr>
                <w:kern w:val="0"/>
                <w:sz w:val="24"/>
              </w:rPr>
            </w:pPr>
            <w:r>
              <w:rPr>
                <w:rFonts w:hint="eastAsia"/>
                <w:kern w:val="0"/>
                <w:sz w:val="24"/>
              </w:rPr>
              <w:t>项目厂界外500m范围内无地下水集中式使用水水源和热水、矿泉水、温泉等特殊地下水资源，无生态环境保护目标。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2" w:type="pct"/>
            <w:tcMar>
              <w:left w:w="28" w:type="dxa"/>
              <w:right w:w="28" w:type="dxa"/>
            </w:tcMar>
            <w:vAlign w:val="center"/>
          </w:tcPr>
          <w:p>
            <w:pPr>
              <w:adjustRightInd w:val="0"/>
              <w:snapToGrid w:val="0"/>
              <w:jc w:val="center"/>
              <w:rPr>
                <w:rFonts w:ascii="宋体" w:hAnsi="宋体" w:cs="宋体"/>
                <w:b/>
                <w:kern w:val="0"/>
                <w:sz w:val="24"/>
              </w:rPr>
            </w:pPr>
            <w:r>
              <w:rPr>
                <w:rFonts w:hint="eastAsia" w:ascii="宋体" w:hAnsi="宋体" w:cs="宋体"/>
                <w:b/>
                <w:kern w:val="0"/>
                <w:sz w:val="24"/>
              </w:rPr>
              <w:t>污染</w:t>
            </w:r>
          </w:p>
          <w:p>
            <w:pPr>
              <w:adjustRightInd w:val="0"/>
              <w:snapToGrid w:val="0"/>
              <w:jc w:val="center"/>
              <w:rPr>
                <w:rFonts w:ascii="宋体" w:hAnsi="宋体" w:cs="宋体"/>
                <w:b/>
                <w:kern w:val="0"/>
                <w:sz w:val="24"/>
              </w:rPr>
            </w:pPr>
            <w:r>
              <w:rPr>
                <w:rFonts w:hint="eastAsia" w:ascii="宋体" w:hAnsi="宋体" w:cs="宋体"/>
                <w:b/>
                <w:kern w:val="0"/>
                <w:sz w:val="24"/>
              </w:rPr>
              <w:t>物排</w:t>
            </w:r>
          </w:p>
          <w:p>
            <w:pPr>
              <w:adjustRightInd w:val="0"/>
              <w:snapToGrid w:val="0"/>
              <w:jc w:val="center"/>
              <w:rPr>
                <w:rFonts w:ascii="宋体" w:hAnsi="宋体" w:cs="宋体"/>
                <w:b/>
                <w:kern w:val="0"/>
                <w:sz w:val="24"/>
              </w:rPr>
            </w:pPr>
            <w:r>
              <w:rPr>
                <w:rFonts w:hint="eastAsia" w:ascii="宋体" w:hAnsi="宋体" w:cs="宋体"/>
                <w:b/>
                <w:kern w:val="0"/>
                <w:sz w:val="24"/>
              </w:rPr>
              <w:t>放控</w:t>
            </w:r>
          </w:p>
          <w:p>
            <w:pPr>
              <w:adjustRightInd w:val="0"/>
              <w:snapToGrid w:val="0"/>
              <w:jc w:val="center"/>
              <w:rPr>
                <w:rFonts w:ascii="宋体" w:hAnsi="宋体" w:cs="宋体"/>
                <w:b/>
                <w:kern w:val="0"/>
                <w:sz w:val="24"/>
              </w:rPr>
            </w:pPr>
            <w:r>
              <w:rPr>
                <w:rFonts w:hint="eastAsia" w:ascii="宋体" w:hAnsi="宋体" w:cs="宋体"/>
                <w:b/>
                <w:kern w:val="0"/>
                <w:sz w:val="24"/>
              </w:rPr>
              <w:t>制标</w:t>
            </w:r>
          </w:p>
          <w:p>
            <w:pPr>
              <w:adjustRightInd w:val="0"/>
              <w:snapToGrid w:val="0"/>
              <w:jc w:val="center"/>
              <w:rPr>
                <w:rFonts w:ascii="宋体" w:hAnsi="宋体" w:cs="宋体"/>
                <w:b/>
                <w:kern w:val="0"/>
                <w:sz w:val="24"/>
              </w:rPr>
            </w:pPr>
            <w:r>
              <w:rPr>
                <w:rFonts w:hint="eastAsia" w:ascii="宋体" w:hAnsi="宋体" w:cs="宋体"/>
                <w:b/>
                <w:kern w:val="0"/>
                <w:sz w:val="24"/>
              </w:rPr>
              <w:t>准</w:t>
            </w:r>
          </w:p>
        </w:tc>
        <w:tc>
          <w:tcPr>
            <w:tcW w:w="4718" w:type="pct"/>
            <w:vAlign w:val="center"/>
          </w:tcPr>
          <w:p>
            <w:pPr>
              <w:adjustRightInd w:val="0"/>
              <w:snapToGrid w:val="0"/>
              <w:spacing w:line="360" w:lineRule="auto"/>
              <w:ind w:firstLine="482" w:firstLineChars="200"/>
              <w:rPr>
                <w:rFonts w:ascii="宋体" w:hAnsi="宋体" w:cs="宋体"/>
                <w:b/>
                <w:kern w:val="0"/>
                <w:sz w:val="24"/>
              </w:rPr>
            </w:pPr>
            <w:r>
              <w:rPr>
                <w:rFonts w:ascii="宋体" w:hAnsi="宋体" w:cs="宋体"/>
                <w:b/>
                <w:kern w:val="0"/>
                <w:sz w:val="24"/>
              </w:rPr>
              <w:t>一、废气</w:t>
            </w:r>
          </w:p>
          <w:p>
            <w:pPr>
              <w:pStyle w:val="96"/>
              <w:adjustRightInd/>
              <w:spacing w:line="360" w:lineRule="auto"/>
              <w:ind w:firstLine="480" w:firstLineChars="200"/>
              <w:jc w:val="both"/>
              <w:rPr>
                <w:kern w:val="2"/>
                <w:sz w:val="24"/>
              </w:rPr>
            </w:pPr>
            <w:r>
              <w:rPr>
                <w:rFonts w:hint="eastAsia"/>
                <w:kern w:val="2"/>
                <w:sz w:val="24"/>
              </w:rPr>
              <w:t>项目产生的废气主要为切割烟尘、打磨粉尘、焊接烟尘、抛丸粉尘、投（出）料粉尘、天然气燃烧废气及浸漆/喷漆工艺废气。</w:t>
            </w:r>
          </w:p>
          <w:p>
            <w:pPr>
              <w:adjustRightInd w:val="0"/>
              <w:snapToGrid w:val="0"/>
              <w:spacing w:line="360" w:lineRule="auto"/>
              <w:ind w:firstLine="480" w:firstLineChars="200"/>
              <w:rPr>
                <w:kern w:val="0"/>
                <w:sz w:val="24"/>
              </w:rPr>
            </w:pPr>
            <w:r>
              <w:rPr>
                <w:rFonts w:hint="eastAsia"/>
                <w:kern w:val="2"/>
                <w:sz w:val="24"/>
              </w:rPr>
              <w:t>切割、打磨、焊接、抛丸</w:t>
            </w:r>
            <w:r>
              <w:rPr>
                <w:rFonts w:hint="eastAsia"/>
                <w:kern w:val="2"/>
                <w:sz w:val="24"/>
                <w:lang w:eastAsia="zh-CN"/>
              </w:rPr>
              <w:t>、</w:t>
            </w:r>
            <w:r>
              <w:rPr>
                <w:rFonts w:hint="eastAsia"/>
                <w:kern w:val="2"/>
                <w:sz w:val="24"/>
                <w:lang w:val="en-US" w:eastAsia="zh-CN"/>
              </w:rPr>
              <w:t>炉料分离及喷漆工序</w:t>
            </w:r>
            <w:r>
              <w:rPr>
                <w:rFonts w:hint="eastAsia"/>
                <w:kern w:val="2"/>
                <w:sz w:val="24"/>
              </w:rPr>
              <w:t>产生的颗粒物排放执行《大气污染物综合排放标准》（GB16297-1996）表2二级标准及无</w:t>
            </w:r>
            <w:r>
              <w:rPr>
                <w:rFonts w:hint="default" w:ascii="Times New Roman" w:hAnsi="Times New Roman" w:cs="Times New Roman"/>
                <w:kern w:val="2"/>
                <w:sz w:val="24"/>
              </w:rPr>
              <w:t>组织排放浓度限值要求值</w:t>
            </w:r>
            <w:r>
              <w:rPr>
                <w:rFonts w:hint="eastAsia"/>
                <w:kern w:val="2"/>
                <w:sz w:val="24"/>
              </w:rPr>
              <w:t>；天然气燃烧</w:t>
            </w:r>
            <w:r>
              <w:rPr>
                <w:rFonts w:hint="eastAsia"/>
                <w:kern w:val="2"/>
                <w:sz w:val="24"/>
                <w:lang w:val="en-US" w:eastAsia="zh-CN"/>
              </w:rPr>
              <w:t>烟气</w:t>
            </w:r>
            <w:r>
              <w:rPr>
                <w:rFonts w:hint="eastAsia"/>
                <w:kern w:val="2"/>
                <w:sz w:val="24"/>
              </w:rPr>
              <w:t>执行《工业炉窑大气污染物排放标准》（GB9078-1996）</w:t>
            </w:r>
            <w:r>
              <w:rPr>
                <w:rFonts w:hint="eastAsia"/>
                <w:kern w:val="2"/>
                <w:sz w:val="24"/>
                <w:lang w:val="en-US" w:eastAsia="zh-CN"/>
              </w:rPr>
              <w:t>表2及</w:t>
            </w:r>
            <w:r>
              <w:rPr>
                <w:rFonts w:hint="default" w:ascii="Times New Roman" w:hAnsi="Times New Roman" w:cs="Times New Roman"/>
                <w:kern w:val="2"/>
                <w:sz w:val="24"/>
              </w:rPr>
              <w:t>《湖南省工业炉窑大气环境污染综合治理实施方案》附件</w:t>
            </w:r>
            <w:r>
              <w:rPr>
                <w:rFonts w:hint="default" w:ascii="Times New Roman" w:hAnsi="Times New Roman" w:cs="Times New Roman"/>
                <w:kern w:val="2"/>
                <w:sz w:val="24"/>
                <w:lang w:val="en-US" w:eastAsia="zh-CN"/>
              </w:rPr>
              <w:t>1</w:t>
            </w:r>
            <w:r>
              <w:rPr>
                <w:rFonts w:hint="default" w:ascii="Times New Roman" w:hAnsi="Times New Roman" w:cs="Times New Roman"/>
                <w:kern w:val="2"/>
                <w:sz w:val="24"/>
              </w:rPr>
              <w:t>标准限值</w:t>
            </w:r>
            <w:r>
              <w:rPr>
                <w:rFonts w:hint="eastAsia" w:cs="Times New Roman"/>
                <w:kern w:val="2"/>
                <w:sz w:val="24"/>
                <w:lang w:val="en-US" w:eastAsia="zh-CN"/>
              </w:rPr>
              <w:t>较严者要求</w:t>
            </w:r>
            <w:r>
              <w:rPr>
                <w:rFonts w:hint="eastAsia"/>
                <w:kern w:val="2"/>
                <w:sz w:val="24"/>
              </w:rPr>
              <w:t>；</w:t>
            </w:r>
            <w:r>
              <w:rPr>
                <w:rFonts w:hint="eastAsia"/>
                <w:sz w:val="24"/>
                <w:lang w:val="en-US" w:eastAsia="zh-CN"/>
              </w:rPr>
              <w:t>碳化除油、</w:t>
            </w:r>
            <w:r>
              <w:rPr>
                <w:rFonts w:hint="eastAsia"/>
                <w:kern w:val="2"/>
                <w:sz w:val="24"/>
                <w:lang w:val="en-US" w:eastAsia="zh-CN"/>
              </w:rPr>
              <w:t>烘干固化</w:t>
            </w:r>
            <w:r>
              <w:rPr>
                <w:rFonts w:hint="eastAsia"/>
                <w:kern w:val="2"/>
                <w:sz w:val="24"/>
              </w:rPr>
              <w:t>及喷漆工艺产生的</w:t>
            </w:r>
            <w:r>
              <w:rPr>
                <w:sz w:val="24"/>
              </w:rPr>
              <w:t>VOC</w:t>
            </w:r>
            <w:r>
              <w:rPr>
                <w:sz w:val="24"/>
                <w:vertAlign w:val="subscript"/>
              </w:rPr>
              <w:t>S</w:t>
            </w:r>
            <w:r>
              <w:rPr>
                <w:rFonts w:hint="eastAsia"/>
                <w:sz w:val="24"/>
              </w:rPr>
              <w:t>参照执行</w:t>
            </w:r>
            <w:r>
              <w:rPr>
                <w:rFonts w:hint="eastAsia"/>
                <w:kern w:val="0"/>
                <w:sz w:val="24"/>
              </w:rPr>
              <w:t>《表面涂装（汽车制造及维修）挥发性有机物、镍排放标准》（DB43/1356-2017）表1</w:t>
            </w:r>
            <w:r>
              <w:rPr>
                <w:rFonts w:hint="eastAsia"/>
                <w:kern w:val="0"/>
                <w:sz w:val="24"/>
                <w:lang w:val="en-US" w:eastAsia="zh-CN"/>
              </w:rPr>
              <w:t>及</w:t>
            </w:r>
            <w:r>
              <w:rPr>
                <w:rFonts w:hint="eastAsia"/>
                <w:kern w:val="0"/>
                <w:sz w:val="24"/>
              </w:rPr>
              <w:t>表3标准限值；厂区内无组织排放挥发性有机废气执行《挥发性有机物无组织排放控制标准》（GB37822-2019）中排放限值要求。</w:t>
            </w:r>
          </w:p>
          <w:p>
            <w:pPr>
              <w:pStyle w:val="7"/>
              <w:spacing w:beforeLines="50"/>
              <w:rPr>
                <w:rFonts w:ascii="Times New Roman" w:hAnsi="Times New Roman"/>
                <w:color w:val="auto"/>
                <w:sz w:val="21"/>
              </w:rPr>
            </w:pPr>
            <w:r>
              <w:rPr>
                <w:rFonts w:ascii="Times New Roman" w:hAnsi="Times New Roman"/>
                <w:color w:val="auto"/>
                <w:sz w:val="21"/>
              </w:rPr>
              <w:t>表</w:t>
            </w:r>
            <w:r>
              <w:rPr>
                <w:rFonts w:hint="eastAsia" w:ascii="Times New Roman" w:hAnsi="Times New Roman"/>
                <w:color w:val="auto"/>
                <w:sz w:val="21"/>
              </w:rPr>
              <w:t>3-</w:t>
            </w:r>
            <w:r>
              <w:rPr>
                <w:rFonts w:hint="eastAsia" w:ascii="Times New Roman" w:hAnsi="Times New Roman"/>
                <w:color w:val="auto"/>
                <w:sz w:val="21"/>
                <w:lang w:val="en-US" w:eastAsia="zh-CN"/>
              </w:rPr>
              <w:t>8</w:t>
            </w:r>
            <w:r>
              <w:rPr>
                <w:rFonts w:ascii="Times New Roman" w:hAnsi="Times New Roman"/>
                <w:color w:val="auto"/>
                <w:sz w:val="21"/>
              </w:rPr>
              <w:t xml:space="preserve">  </w:t>
            </w:r>
            <w:r>
              <w:rPr>
                <w:rFonts w:hint="eastAsia" w:ascii="Times New Roman" w:hAnsi="Times New Roman"/>
                <w:color w:val="auto"/>
                <w:sz w:val="21"/>
                <w:lang w:val="en-US" w:eastAsia="zh-CN"/>
              </w:rPr>
              <w:t>工艺</w:t>
            </w:r>
            <w:r>
              <w:rPr>
                <w:rFonts w:ascii="Times New Roman" w:hAnsi="Times New Roman"/>
                <w:color w:val="auto"/>
                <w:sz w:val="21"/>
              </w:rPr>
              <w:t>废气排放标准</w:t>
            </w:r>
          </w:p>
          <w:tbl>
            <w:tblPr>
              <w:tblStyle w:val="25"/>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04"/>
              <w:gridCol w:w="1291"/>
              <w:gridCol w:w="1146"/>
              <w:gridCol w:w="837"/>
              <w:gridCol w:w="754"/>
              <w:gridCol w:w="914"/>
              <w:gridCol w:w="1024"/>
              <w:gridCol w:w="23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89" w:type="pct"/>
                  <w:vMerge w:val="restar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废气种类</w:t>
                  </w:r>
                </w:p>
              </w:tc>
              <w:tc>
                <w:tcPr>
                  <w:tcW w:w="688" w:type="pct"/>
                  <w:vMerge w:val="restar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污染物</w:t>
                  </w:r>
                </w:p>
              </w:tc>
              <w:tc>
                <w:tcPr>
                  <w:tcW w:w="611" w:type="pct"/>
                  <w:vMerge w:val="restar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vertAlign w:val="superscript"/>
                      <w:lang w:eastAsia="zh-CN"/>
                    </w:rPr>
                  </w:pPr>
                  <w:r>
                    <w:rPr>
                      <w:rFonts w:hint="default" w:ascii="Times New Roman" w:hAnsi="Times New Roman" w:cs="Times New Roman"/>
                      <w:b/>
                      <w:bCs/>
                      <w:sz w:val="21"/>
                      <w:szCs w:val="21"/>
                      <w:lang w:eastAsia="zh-CN"/>
                    </w:rPr>
                    <w:t>最高允许排放浓度mg/m</w:t>
                  </w:r>
                  <w:r>
                    <w:rPr>
                      <w:rFonts w:hint="default" w:ascii="Times New Roman" w:hAnsi="Times New Roman" w:cs="Times New Roman"/>
                      <w:b/>
                      <w:bCs/>
                      <w:sz w:val="21"/>
                      <w:szCs w:val="21"/>
                      <w:vertAlign w:val="superscript"/>
                      <w:lang w:eastAsia="zh-CN"/>
                    </w:rPr>
                    <w:t>3</w:t>
                  </w:r>
                </w:p>
              </w:tc>
              <w:tc>
                <w:tcPr>
                  <w:tcW w:w="848" w:type="pct"/>
                  <w:gridSpan w:val="2"/>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最高允许排放速率kg/h</w:t>
                  </w:r>
                </w:p>
              </w:tc>
              <w:tc>
                <w:tcPr>
                  <w:tcW w:w="1033" w:type="pct"/>
                  <w:gridSpan w:val="2"/>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无组织排放监控</w:t>
                  </w:r>
                </w:p>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浓度限值</w:t>
                  </w:r>
                </w:p>
              </w:tc>
              <w:tc>
                <w:tcPr>
                  <w:tcW w:w="1229" w:type="pct"/>
                  <w:vMerge w:val="restar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89" w:type="pct"/>
                  <w:vMerge w:val="continue"/>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lang w:eastAsia="zh-CN"/>
                    </w:rPr>
                  </w:pPr>
                </w:p>
              </w:tc>
              <w:tc>
                <w:tcPr>
                  <w:tcW w:w="688" w:type="pct"/>
                  <w:vMerge w:val="continue"/>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lang w:eastAsia="zh-CN"/>
                    </w:rPr>
                  </w:pPr>
                </w:p>
              </w:tc>
              <w:tc>
                <w:tcPr>
                  <w:tcW w:w="611" w:type="pct"/>
                  <w:vMerge w:val="continue"/>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b/>
                      <w:bCs/>
                      <w:sz w:val="21"/>
                      <w:szCs w:val="21"/>
                      <w:lang w:eastAsia="zh-CN"/>
                    </w:rPr>
                  </w:pPr>
                </w:p>
              </w:tc>
              <w:tc>
                <w:tcPr>
                  <w:tcW w:w="446"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排气筒高度m</w:t>
                  </w:r>
                </w:p>
              </w:tc>
              <w:tc>
                <w:tcPr>
                  <w:tcW w:w="401"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二级</w:t>
                  </w:r>
                </w:p>
              </w:tc>
              <w:tc>
                <w:tcPr>
                  <w:tcW w:w="487"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r>
                    <w:rPr>
                      <w:rFonts w:hint="default" w:ascii="Times New Roman" w:hAnsi="Times New Roman" w:cs="Times New Roman"/>
                      <w:b/>
                      <w:bCs/>
                      <w:kern w:val="0"/>
                      <w:sz w:val="21"/>
                      <w:szCs w:val="21"/>
                      <w:lang w:bidi="en-US"/>
                    </w:rPr>
                    <w:t>监控点</w:t>
                  </w:r>
                </w:p>
              </w:tc>
              <w:tc>
                <w:tcPr>
                  <w:tcW w:w="545"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vertAlign w:val="superscript"/>
                      <w:lang w:bidi="en-US"/>
                    </w:rPr>
                  </w:pPr>
                  <w:r>
                    <w:rPr>
                      <w:rFonts w:hint="default" w:ascii="Times New Roman" w:hAnsi="Times New Roman" w:cs="Times New Roman"/>
                      <w:b/>
                      <w:bCs/>
                      <w:kern w:val="0"/>
                      <w:sz w:val="21"/>
                      <w:szCs w:val="21"/>
                      <w:lang w:bidi="en-US"/>
                    </w:rPr>
                    <w:t>浓度mg/m</w:t>
                  </w:r>
                  <w:r>
                    <w:rPr>
                      <w:rFonts w:hint="default" w:ascii="Times New Roman" w:hAnsi="Times New Roman" w:cs="Times New Roman"/>
                      <w:b/>
                      <w:bCs/>
                      <w:kern w:val="0"/>
                      <w:sz w:val="21"/>
                      <w:szCs w:val="21"/>
                      <w:vertAlign w:val="superscript"/>
                      <w:lang w:bidi="en-US"/>
                    </w:rPr>
                    <w:t>3</w:t>
                  </w:r>
                </w:p>
              </w:tc>
              <w:tc>
                <w:tcPr>
                  <w:tcW w:w="1229" w:type="pct"/>
                  <w:vMerge w:val="continue"/>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b/>
                      <w:bCs/>
                      <w:kern w:val="0"/>
                      <w:sz w:val="21"/>
                      <w:szCs w:val="21"/>
                      <w:lang w:bidi="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89"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eastAsia="zh-CN"/>
                    </w:rPr>
                    <w:t>切割、打磨、焊接、抛丸及</w:t>
                  </w:r>
                  <w:r>
                    <w:rPr>
                      <w:rFonts w:hint="eastAsia" w:ascii="Times New Roman" w:cs="Times New Roman"/>
                      <w:sz w:val="21"/>
                      <w:szCs w:val="21"/>
                      <w:lang w:val="en-US" w:eastAsia="zh-CN"/>
                    </w:rPr>
                    <w:t>炉料分离</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喷漆漆雾</w:t>
                  </w:r>
                </w:p>
              </w:tc>
              <w:tc>
                <w:tcPr>
                  <w:tcW w:w="688"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颗粒物</w:t>
                  </w:r>
                </w:p>
              </w:tc>
              <w:tc>
                <w:tcPr>
                  <w:tcW w:w="611"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120</w:t>
                  </w:r>
                </w:p>
              </w:tc>
              <w:tc>
                <w:tcPr>
                  <w:tcW w:w="446"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kern w:val="0"/>
                      <w:sz w:val="21"/>
                      <w:szCs w:val="21"/>
                      <w:lang w:bidi="en-US"/>
                    </w:rPr>
                  </w:pPr>
                  <w:r>
                    <w:rPr>
                      <w:rFonts w:hint="default" w:ascii="Times New Roman" w:hAnsi="Times New Roman" w:cs="Times New Roman"/>
                      <w:kern w:val="0"/>
                      <w:sz w:val="21"/>
                      <w:szCs w:val="21"/>
                      <w:lang w:bidi="en-US"/>
                    </w:rPr>
                    <w:t>15</w:t>
                  </w:r>
                </w:p>
              </w:tc>
              <w:tc>
                <w:tcPr>
                  <w:tcW w:w="401"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kern w:val="0"/>
                      <w:sz w:val="21"/>
                      <w:szCs w:val="21"/>
                      <w:lang w:bidi="en-US"/>
                    </w:rPr>
                  </w:pPr>
                  <w:r>
                    <w:rPr>
                      <w:rFonts w:hint="default" w:ascii="Times New Roman" w:hAnsi="Times New Roman" w:cs="Times New Roman"/>
                      <w:kern w:val="0"/>
                      <w:sz w:val="21"/>
                      <w:szCs w:val="21"/>
                      <w:lang w:bidi="en-US"/>
                    </w:rPr>
                    <w:t>3.5</w:t>
                  </w:r>
                </w:p>
              </w:tc>
              <w:tc>
                <w:tcPr>
                  <w:tcW w:w="487" w:type="pct"/>
                  <w:vMerge w:val="restar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sz w:val="21"/>
                      <w:szCs w:val="21"/>
                    </w:rPr>
                  </w:pPr>
                  <w:r>
                    <w:rPr>
                      <w:rFonts w:hint="default" w:ascii="Times New Roman" w:hAnsi="Times New Roman" w:cs="Times New Roman"/>
                      <w:sz w:val="21"/>
                      <w:szCs w:val="21"/>
                    </w:rPr>
                    <w:t>周界外浓度最高点</w:t>
                  </w:r>
                </w:p>
              </w:tc>
              <w:tc>
                <w:tcPr>
                  <w:tcW w:w="545"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kern w:val="0"/>
                      <w:sz w:val="21"/>
                      <w:szCs w:val="21"/>
                      <w:lang w:bidi="en-US"/>
                    </w:rPr>
                  </w:pPr>
                  <w:r>
                    <w:rPr>
                      <w:rFonts w:hint="default" w:ascii="Times New Roman" w:hAnsi="Times New Roman" w:cs="Times New Roman"/>
                      <w:kern w:val="0"/>
                      <w:sz w:val="21"/>
                      <w:szCs w:val="21"/>
                      <w:lang w:bidi="en-US"/>
                    </w:rPr>
                    <w:t>1.0</w:t>
                  </w:r>
                </w:p>
              </w:tc>
              <w:tc>
                <w:tcPr>
                  <w:tcW w:w="1229" w:type="pct"/>
                  <w:tcBorders>
                    <w:tl2br w:val="nil"/>
                    <w:tr2bl w:val="nil"/>
                  </w:tcBorders>
                  <w:vAlign w:val="center"/>
                </w:tcPr>
                <w:p>
                  <w:pPr>
                    <w:pStyle w:val="2"/>
                    <w:keepNext w:val="0"/>
                    <w:keepLines w:val="0"/>
                    <w:pageBreakBefore w:val="0"/>
                    <w:kinsoku/>
                    <w:wordWrap/>
                    <w:overflowPunct/>
                    <w:topLinePunct w:val="0"/>
                    <w:bidi w:val="0"/>
                    <w:snapToGrid w:val="0"/>
                    <w:spacing w:line="240" w:lineRule="auto"/>
                    <w:jc w:val="center"/>
                    <w:rPr>
                      <w:rFonts w:hint="default" w:ascii="Times New Roman" w:hAnsi="Times New Roman" w:cs="Times New Roman"/>
                      <w:color w:val="auto"/>
                      <w:sz w:val="21"/>
                      <w:szCs w:val="21"/>
                      <w:lang w:bidi="en-US"/>
                    </w:rPr>
                  </w:pPr>
                  <w:r>
                    <w:rPr>
                      <w:rFonts w:hint="default" w:ascii="Times New Roman" w:hAnsi="Times New Roman" w:cs="Times New Roman"/>
                      <w:color w:val="auto"/>
                      <w:sz w:val="21"/>
                      <w:szCs w:val="21"/>
                      <w:lang w:bidi="en-US"/>
                    </w:rPr>
                    <w:t>《大气污染物综合排放标准》（GB16297-1996）表</w:t>
                  </w:r>
                  <w:r>
                    <w:rPr>
                      <w:rFonts w:hint="eastAsia" w:ascii="Times New Roman" w:cs="Times New Roman"/>
                      <w:color w:val="auto"/>
                      <w:sz w:val="21"/>
                      <w:szCs w:val="21"/>
                      <w:lang w:val="en-US" w:eastAsia="zh-CN" w:bidi="en-US"/>
                    </w:rPr>
                    <w:t>2</w:t>
                  </w:r>
                  <w:r>
                    <w:rPr>
                      <w:rFonts w:hint="default" w:ascii="Times New Roman" w:hAnsi="Times New Roman" w:cs="Times New Roman"/>
                      <w:color w:val="auto"/>
                      <w:sz w:val="21"/>
                      <w:szCs w:val="21"/>
                      <w:lang w:bidi="en-US"/>
                    </w:rPr>
                    <w:t>中二级标准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89"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碳化除油、</w:t>
                  </w:r>
                  <w:r>
                    <w:rPr>
                      <w:rFonts w:hint="eastAsia" w:ascii="Times New Roman" w:cs="Times New Roman"/>
                      <w:sz w:val="21"/>
                      <w:szCs w:val="21"/>
                      <w:lang w:val="en-US" w:eastAsia="zh-CN"/>
                    </w:rPr>
                    <w:t>烘干固化</w:t>
                  </w:r>
                  <w:r>
                    <w:rPr>
                      <w:rFonts w:hint="default" w:ascii="Times New Roman" w:hAnsi="Times New Roman" w:cs="Times New Roman"/>
                      <w:sz w:val="21"/>
                      <w:szCs w:val="21"/>
                      <w:lang w:eastAsia="zh-CN"/>
                    </w:rPr>
                    <w:t>及喷漆</w:t>
                  </w:r>
                </w:p>
              </w:tc>
              <w:tc>
                <w:tcPr>
                  <w:tcW w:w="688"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总挥发性有机物（TVOCs）</w:t>
                  </w:r>
                </w:p>
              </w:tc>
              <w:tc>
                <w:tcPr>
                  <w:tcW w:w="611" w:type="pct"/>
                  <w:tcBorders>
                    <w:tl2br w:val="nil"/>
                    <w:tr2bl w:val="nil"/>
                  </w:tcBorders>
                  <w:vAlign w:val="center"/>
                </w:tcPr>
                <w:p>
                  <w:pPr>
                    <w:pStyle w:val="97"/>
                    <w:keepNext w:val="0"/>
                    <w:keepLines w:val="0"/>
                    <w:pageBreakBefore w:val="0"/>
                    <w:kinsoku/>
                    <w:wordWrap/>
                    <w:overflowPunct/>
                    <w:topLinePunct w:val="0"/>
                    <w:bidi w:val="0"/>
                    <w:adjustRightInd/>
                    <w:snapToGrid w:val="0"/>
                    <w:spacing w:after="0" w:line="240" w:lineRule="auto"/>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val="en-US" w:eastAsia="zh-CN"/>
                    </w:rPr>
                    <w:t>5</w:t>
                  </w:r>
                  <w:r>
                    <w:rPr>
                      <w:rFonts w:hint="default" w:ascii="Times New Roman" w:hAnsi="Times New Roman" w:cs="Times New Roman"/>
                      <w:sz w:val="21"/>
                      <w:szCs w:val="21"/>
                      <w:lang w:eastAsia="zh-CN"/>
                    </w:rPr>
                    <w:t>0</w:t>
                  </w:r>
                </w:p>
              </w:tc>
              <w:tc>
                <w:tcPr>
                  <w:tcW w:w="446"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eastAsia="宋体" w:cs="Times New Roman"/>
                      <w:kern w:val="0"/>
                      <w:sz w:val="21"/>
                      <w:szCs w:val="21"/>
                      <w:lang w:eastAsia="zh-CN" w:bidi="en-US"/>
                    </w:rPr>
                  </w:pPr>
                  <w:r>
                    <w:rPr>
                      <w:rFonts w:hint="default" w:ascii="Times New Roman" w:hAnsi="Times New Roman" w:cs="Times New Roman"/>
                      <w:kern w:val="0"/>
                      <w:sz w:val="21"/>
                      <w:szCs w:val="21"/>
                      <w:lang w:val="en-US" w:eastAsia="zh-CN" w:bidi="en-US"/>
                    </w:rPr>
                    <w:t>/</w:t>
                  </w:r>
                </w:p>
              </w:tc>
              <w:tc>
                <w:tcPr>
                  <w:tcW w:w="401"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eastAsia="宋体" w:cs="Times New Roman"/>
                      <w:kern w:val="0"/>
                      <w:sz w:val="21"/>
                      <w:szCs w:val="21"/>
                      <w:lang w:eastAsia="zh-CN" w:bidi="en-US"/>
                    </w:rPr>
                  </w:pPr>
                  <w:r>
                    <w:rPr>
                      <w:rFonts w:hint="default" w:ascii="Times New Roman" w:hAnsi="Times New Roman" w:cs="Times New Roman"/>
                      <w:kern w:val="0"/>
                      <w:sz w:val="21"/>
                      <w:szCs w:val="21"/>
                      <w:lang w:val="en-US" w:eastAsia="zh-CN" w:bidi="en-US"/>
                    </w:rPr>
                    <w:t>/</w:t>
                  </w:r>
                </w:p>
              </w:tc>
              <w:tc>
                <w:tcPr>
                  <w:tcW w:w="487" w:type="pct"/>
                  <w:vMerge w:val="continue"/>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cs="Times New Roman"/>
                      <w:sz w:val="21"/>
                      <w:szCs w:val="21"/>
                    </w:rPr>
                  </w:pPr>
                </w:p>
              </w:tc>
              <w:tc>
                <w:tcPr>
                  <w:tcW w:w="545" w:type="pct"/>
                  <w:tcBorders>
                    <w:tl2br w:val="nil"/>
                    <w:tr2bl w:val="nil"/>
                  </w:tcBorders>
                  <w:vAlign w:val="center"/>
                </w:tcPr>
                <w:p>
                  <w:pPr>
                    <w:keepNext w:val="0"/>
                    <w:keepLines w:val="0"/>
                    <w:pageBreakBefore w:val="0"/>
                    <w:kinsoku/>
                    <w:wordWrap/>
                    <w:overflowPunct/>
                    <w:topLinePunct w:val="0"/>
                    <w:bidi w:val="0"/>
                    <w:snapToGrid w:val="0"/>
                    <w:spacing w:line="240" w:lineRule="auto"/>
                    <w:jc w:val="center"/>
                    <w:rPr>
                      <w:rFonts w:hint="default" w:ascii="Times New Roman" w:hAnsi="Times New Roman" w:eastAsia="宋体" w:cs="Times New Roman"/>
                      <w:kern w:val="0"/>
                      <w:sz w:val="21"/>
                      <w:szCs w:val="21"/>
                      <w:lang w:eastAsia="zh-CN" w:bidi="en-US"/>
                    </w:rPr>
                  </w:pPr>
                  <w:r>
                    <w:rPr>
                      <w:rFonts w:hint="default" w:ascii="Times New Roman" w:hAnsi="Times New Roman" w:cs="Times New Roman"/>
                      <w:kern w:val="0"/>
                      <w:sz w:val="21"/>
                      <w:szCs w:val="21"/>
                      <w:lang w:val="en-US" w:eastAsia="zh-CN" w:bidi="en-US"/>
                    </w:rPr>
                    <w:t>/</w:t>
                  </w:r>
                </w:p>
              </w:tc>
              <w:tc>
                <w:tcPr>
                  <w:tcW w:w="1229" w:type="pct"/>
                  <w:tcBorders>
                    <w:tl2br w:val="nil"/>
                    <w:tr2bl w:val="nil"/>
                  </w:tcBorders>
                  <w:vAlign w:val="center"/>
                </w:tcPr>
                <w:p>
                  <w:pPr>
                    <w:pStyle w:val="2"/>
                    <w:keepNext w:val="0"/>
                    <w:keepLines w:val="0"/>
                    <w:pageBreakBefore w:val="0"/>
                    <w:kinsoku/>
                    <w:wordWrap/>
                    <w:overflowPunct/>
                    <w:topLinePunct w:val="0"/>
                    <w:bidi w:val="0"/>
                    <w:snapToGrid w:val="0"/>
                    <w:spacing w:line="240" w:lineRule="auto"/>
                    <w:jc w:val="center"/>
                    <w:rPr>
                      <w:rFonts w:hint="default" w:ascii="Times New Roman" w:hAnsi="Times New Roman" w:cs="Times New Roman"/>
                      <w:color w:val="auto"/>
                      <w:sz w:val="21"/>
                      <w:szCs w:val="21"/>
                      <w:lang w:bidi="en-US"/>
                    </w:rPr>
                  </w:pPr>
                  <w:r>
                    <w:rPr>
                      <w:rFonts w:hint="default" w:ascii="Times New Roman" w:hAnsi="Times New Roman" w:cs="Times New Roman"/>
                      <w:color w:val="auto"/>
                      <w:sz w:val="21"/>
                      <w:szCs w:val="21"/>
                      <w:lang w:bidi="en-US"/>
                    </w:rPr>
                    <w:t>《表面涂装（汽车制造及维修）挥发性有机物、镍排放标准》（DB43/1356-2017）表1</w:t>
                  </w:r>
                </w:p>
              </w:tc>
            </w:tr>
          </w:tbl>
          <w:p>
            <w:pPr>
              <w:pStyle w:val="7"/>
              <w:spacing w:beforeLines="50"/>
              <w:rPr>
                <w:rFonts w:ascii="Times New Roman" w:hAnsi="Times New Roman"/>
                <w:color w:val="auto"/>
                <w:sz w:val="21"/>
              </w:rPr>
            </w:pPr>
            <w:r>
              <w:rPr>
                <w:rFonts w:ascii="Times New Roman" w:hAnsi="Times New Roman"/>
                <w:color w:val="auto"/>
                <w:sz w:val="21"/>
              </w:rPr>
              <w:t>表</w:t>
            </w:r>
            <w:r>
              <w:rPr>
                <w:rFonts w:hint="eastAsia" w:ascii="Times New Roman" w:hAnsi="Times New Roman"/>
                <w:color w:val="auto"/>
                <w:sz w:val="21"/>
              </w:rPr>
              <w:t>3-</w:t>
            </w:r>
            <w:r>
              <w:rPr>
                <w:rFonts w:hint="eastAsia" w:ascii="Times New Roman" w:hAnsi="Times New Roman"/>
                <w:color w:val="auto"/>
                <w:sz w:val="21"/>
                <w:lang w:val="en-US" w:eastAsia="zh-CN"/>
              </w:rPr>
              <w:t>9</w:t>
            </w:r>
            <w:r>
              <w:rPr>
                <w:rFonts w:ascii="Times New Roman" w:hAnsi="Times New Roman"/>
                <w:color w:val="auto"/>
                <w:sz w:val="21"/>
              </w:rPr>
              <w:t xml:space="preserve">  </w:t>
            </w:r>
            <w:r>
              <w:rPr>
                <w:rFonts w:hint="eastAsia" w:ascii="Times New Roman" w:hAnsi="Times New Roman"/>
                <w:color w:val="auto"/>
                <w:sz w:val="21"/>
                <w:lang w:val="en-US" w:eastAsia="zh-CN"/>
              </w:rPr>
              <w:t>天然气燃烧废气</w:t>
            </w:r>
            <w:r>
              <w:rPr>
                <w:rFonts w:hint="eastAsia" w:ascii="Times New Roman" w:hAnsi="Times New Roman"/>
                <w:color w:val="auto"/>
                <w:sz w:val="21"/>
              </w:rPr>
              <w:t>排放限值</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3110"/>
              <w:gridCol w:w="2020"/>
              <w:gridCol w:w="1907"/>
              <w:gridCol w:w="234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adjustRightInd w:val="0"/>
                    <w:snapToGrid w:val="0"/>
                    <w:jc w:val="center"/>
                    <w:rPr>
                      <w:rFonts w:hint="eastAsia" w:eastAsia="宋体"/>
                      <w:b/>
                      <w:sz w:val="21"/>
                      <w:szCs w:val="21"/>
                      <w:lang w:val="en-US" w:eastAsia="zh-CN"/>
                    </w:rPr>
                  </w:pPr>
                  <w:r>
                    <w:rPr>
                      <w:rFonts w:hint="eastAsia"/>
                      <w:b/>
                      <w:sz w:val="21"/>
                      <w:szCs w:val="21"/>
                      <w:lang w:val="en-US" w:eastAsia="zh-CN"/>
                    </w:rPr>
                    <w:t>项目</w:t>
                  </w:r>
                </w:p>
              </w:tc>
              <w:tc>
                <w:tcPr>
                  <w:tcW w:w="1076" w:type="pct"/>
                  <w:vAlign w:val="center"/>
                </w:tcPr>
                <w:p>
                  <w:pPr>
                    <w:adjustRightInd w:val="0"/>
                    <w:snapToGrid w:val="0"/>
                    <w:jc w:val="center"/>
                    <w:rPr>
                      <w:rFonts w:hint="eastAsia" w:eastAsia="宋体"/>
                      <w:b/>
                      <w:sz w:val="21"/>
                      <w:szCs w:val="21"/>
                      <w:lang w:val="en-US" w:eastAsia="zh-CN"/>
                    </w:rPr>
                  </w:pPr>
                  <w:r>
                    <w:rPr>
                      <w:rFonts w:hint="eastAsia"/>
                      <w:b/>
                      <w:sz w:val="21"/>
                      <w:szCs w:val="21"/>
                      <w:lang w:val="en-US" w:eastAsia="zh-CN"/>
                    </w:rPr>
                    <w:t>烟（粉）尘</w:t>
                  </w:r>
                </w:p>
              </w:tc>
              <w:tc>
                <w:tcPr>
                  <w:tcW w:w="1016" w:type="pct"/>
                  <w:vAlign w:val="center"/>
                </w:tcPr>
                <w:p>
                  <w:pPr>
                    <w:adjustRightInd w:val="0"/>
                    <w:snapToGrid w:val="0"/>
                    <w:jc w:val="center"/>
                    <w:rPr>
                      <w:rFonts w:hint="eastAsia" w:eastAsia="宋体"/>
                      <w:b/>
                      <w:sz w:val="21"/>
                      <w:szCs w:val="21"/>
                      <w:lang w:val="en-US" w:eastAsia="zh-CN"/>
                    </w:rPr>
                  </w:pPr>
                  <w:r>
                    <w:rPr>
                      <w:rFonts w:hint="eastAsia"/>
                      <w:b/>
                      <w:sz w:val="21"/>
                      <w:szCs w:val="21"/>
                      <w:lang w:val="en-US" w:eastAsia="zh-CN"/>
                    </w:rPr>
                    <w:t>二氧化硫</w:t>
                  </w:r>
                </w:p>
              </w:tc>
              <w:tc>
                <w:tcPr>
                  <w:tcW w:w="1250" w:type="pct"/>
                  <w:vAlign w:val="center"/>
                </w:tcPr>
                <w:p>
                  <w:pPr>
                    <w:adjustRightInd w:val="0"/>
                    <w:snapToGrid w:val="0"/>
                    <w:jc w:val="center"/>
                    <w:rPr>
                      <w:rFonts w:hint="eastAsia" w:eastAsia="宋体"/>
                      <w:b/>
                      <w:sz w:val="21"/>
                      <w:szCs w:val="21"/>
                      <w:lang w:val="en-US" w:eastAsia="zh-CN"/>
                    </w:rPr>
                  </w:pPr>
                  <w:r>
                    <w:rPr>
                      <w:rFonts w:hint="eastAsia"/>
                      <w:b/>
                      <w:sz w:val="21"/>
                      <w:szCs w:val="21"/>
                      <w:lang w:val="en-US" w:eastAsia="zh-CN"/>
                    </w:rPr>
                    <w:t>氮氧化物</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adjustRightInd w:val="0"/>
                    <w:snapToGrid w:val="0"/>
                    <w:jc w:val="center"/>
                    <w:rPr>
                      <w:b w:val="0"/>
                      <w:bCs/>
                      <w:sz w:val="21"/>
                      <w:szCs w:val="21"/>
                    </w:rPr>
                  </w:pPr>
                  <w:r>
                    <w:rPr>
                      <w:rFonts w:hint="eastAsia"/>
                      <w:b w:val="0"/>
                      <w:bCs/>
                      <w:sz w:val="21"/>
                      <w:szCs w:val="21"/>
                    </w:rPr>
                    <w:t>《工业炉窑大气污染物排放标准》（GB9078-1996）</w:t>
                  </w:r>
                </w:p>
              </w:tc>
              <w:tc>
                <w:tcPr>
                  <w:tcW w:w="1076" w:type="pct"/>
                  <w:vAlign w:val="center"/>
                </w:tcPr>
                <w:p>
                  <w:pPr>
                    <w:adjustRightInd w:val="0"/>
                    <w:snapToGrid w:val="0"/>
                    <w:jc w:val="center"/>
                    <w:rPr>
                      <w:rFonts w:hint="default" w:eastAsia="宋体"/>
                      <w:b w:val="0"/>
                      <w:bCs/>
                      <w:sz w:val="21"/>
                      <w:szCs w:val="21"/>
                      <w:lang w:val="en-US" w:eastAsia="zh-CN"/>
                    </w:rPr>
                  </w:pPr>
                  <w:r>
                    <w:rPr>
                      <w:rFonts w:hint="eastAsia"/>
                      <w:b w:val="0"/>
                      <w:bCs/>
                      <w:sz w:val="21"/>
                      <w:szCs w:val="21"/>
                      <w:lang w:val="en-US" w:eastAsia="zh-CN"/>
                    </w:rPr>
                    <w:t>200</w:t>
                  </w:r>
                </w:p>
              </w:tc>
              <w:tc>
                <w:tcPr>
                  <w:tcW w:w="1016" w:type="pct"/>
                  <w:vAlign w:val="center"/>
                </w:tcPr>
                <w:p>
                  <w:pPr>
                    <w:adjustRightInd w:val="0"/>
                    <w:snapToGrid w:val="0"/>
                    <w:jc w:val="center"/>
                    <w:rPr>
                      <w:rFonts w:hint="default" w:eastAsia="宋体"/>
                      <w:b w:val="0"/>
                      <w:bCs/>
                      <w:sz w:val="21"/>
                      <w:szCs w:val="21"/>
                      <w:lang w:val="en-US" w:eastAsia="zh-CN"/>
                    </w:rPr>
                  </w:pPr>
                  <w:r>
                    <w:rPr>
                      <w:rFonts w:hint="eastAsia"/>
                      <w:b w:val="0"/>
                      <w:bCs/>
                      <w:sz w:val="21"/>
                      <w:szCs w:val="21"/>
                      <w:lang w:val="en-US" w:eastAsia="zh-CN"/>
                    </w:rPr>
                    <w:t>850</w:t>
                  </w:r>
                </w:p>
              </w:tc>
              <w:tc>
                <w:tcPr>
                  <w:tcW w:w="1250" w:type="pct"/>
                  <w:vAlign w:val="center"/>
                </w:tcPr>
                <w:p>
                  <w:pPr>
                    <w:adjustRightInd w:val="0"/>
                    <w:snapToGrid w:val="0"/>
                    <w:jc w:val="center"/>
                    <w:rPr>
                      <w:rFonts w:hint="eastAsia" w:eastAsia="宋体"/>
                      <w:b w:val="0"/>
                      <w:bCs/>
                      <w:sz w:val="21"/>
                      <w:szCs w:val="21"/>
                      <w:lang w:val="en-US" w:eastAsia="zh-CN"/>
                    </w:rPr>
                  </w:pPr>
                  <w:r>
                    <w:rPr>
                      <w:rFonts w:hint="eastAsia"/>
                      <w:b w:val="0"/>
                      <w:bCs/>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adjustRightInd w:val="0"/>
                    <w:snapToGrid w:val="0"/>
                    <w:jc w:val="center"/>
                    <w:rPr>
                      <w:b w:val="0"/>
                      <w:bCs/>
                      <w:sz w:val="21"/>
                      <w:szCs w:val="21"/>
                    </w:rPr>
                  </w:pPr>
                  <w:r>
                    <w:rPr>
                      <w:rFonts w:hint="default" w:ascii="Times New Roman" w:hAnsi="Times New Roman" w:cs="Times New Roman"/>
                      <w:b w:val="0"/>
                      <w:bCs/>
                      <w:kern w:val="2"/>
                      <w:sz w:val="21"/>
                      <w:szCs w:val="21"/>
                    </w:rPr>
                    <w:t>《湖南省工业炉窑大气环境污染综合治理实施方案》</w:t>
                  </w:r>
                </w:p>
              </w:tc>
              <w:tc>
                <w:tcPr>
                  <w:tcW w:w="1076" w:type="pct"/>
                  <w:vAlign w:val="center"/>
                </w:tcPr>
                <w:p>
                  <w:pPr>
                    <w:adjustRightInd w:val="0"/>
                    <w:snapToGrid w:val="0"/>
                    <w:jc w:val="center"/>
                    <w:rPr>
                      <w:rFonts w:hint="default" w:eastAsia="宋体"/>
                      <w:b w:val="0"/>
                      <w:bCs/>
                      <w:sz w:val="21"/>
                      <w:szCs w:val="21"/>
                      <w:lang w:val="en-US" w:eastAsia="zh-CN"/>
                    </w:rPr>
                  </w:pPr>
                  <w:r>
                    <w:rPr>
                      <w:rFonts w:hint="eastAsia"/>
                      <w:b w:val="0"/>
                      <w:bCs/>
                      <w:sz w:val="21"/>
                      <w:szCs w:val="21"/>
                      <w:lang w:val="en-US" w:eastAsia="zh-CN"/>
                    </w:rPr>
                    <w:t>30</w:t>
                  </w:r>
                </w:p>
              </w:tc>
              <w:tc>
                <w:tcPr>
                  <w:tcW w:w="1016" w:type="pct"/>
                  <w:vAlign w:val="center"/>
                </w:tcPr>
                <w:p>
                  <w:pPr>
                    <w:adjustRightInd w:val="0"/>
                    <w:snapToGrid w:val="0"/>
                    <w:jc w:val="center"/>
                    <w:rPr>
                      <w:rFonts w:hint="default" w:eastAsia="宋体"/>
                      <w:b w:val="0"/>
                      <w:bCs/>
                      <w:sz w:val="21"/>
                      <w:szCs w:val="21"/>
                      <w:lang w:val="en-US" w:eastAsia="zh-CN"/>
                    </w:rPr>
                  </w:pPr>
                  <w:r>
                    <w:rPr>
                      <w:rFonts w:hint="eastAsia"/>
                      <w:b w:val="0"/>
                      <w:bCs/>
                      <w:sz w:val="21"/>
                      <w:szCs w:val="21"/>
                      <w:lang w:val="en-US" w:eastAsia="zh-CN"/>
                    </w:rPr>
                    <w:t>200</w:t>
                  </w:r>
                </w:p>
              </w:tc>
              <w:tc>
                <w:tcPr>
                  <w:tcW w:w="1250" w:type="pct"/>
                  <w:vAlign w:val="center"/>
                </w:tcPr>
                <w:p>
                  <w:pPr>
                    <w:adjustRightInd w:val="0"/>
                    <w:snapToGrid w:val="0"/>
                    <w:jc w:val="center"/>
                    <w:rPr>
                      <w:rFonts w:hint="default" w:eastAsia="宋体"/>
                      <w:b w:val="0"/>
                      <w:bCs/>
                      <w:sz w:val="21"/>
                      <w:szCs w:val="21"/>
                      <w:lang w:val="en-US" w:eastAsia="zh-CN"/>
                    </w:rPr>
                  </w:pPr>
                  <w:r>
                    <w:rPr>
                      <w:rFonts w:hint="eastAsia"/>
                      <w:b w:val="0"/>
                      <w:bCs/>
                      <w:sz w:val="21"/>
                      <w:szCs w:val="21"/>
                      <w:lang w:val="en-US" w:eastAsia="zh-CN"/>
                    </w:rPr>
                    <w:t>300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57" w:type="pct"/>
                  <w:vAlign w:val="center"/>
                </w:tcPr>
                <w:p>
                  <w:pPr>
                    <w:adjustRightInd w:val="0"/>
                    <w:snapToGrid w:val="0"/>
                    <w:jc w:val="center"/>
                    <w:rPr>
                      <w:rFonts w:hint="default" w:ascii="Times New Roman" w:hAnsi="Times New Roman" w:eastAsia="宋体" w:cs="Times New Roman"/>
                      <w:b/>
                      <w:bCs w:val="0"/>
                      <w:kern w:val="2"/>
                      <w:sz w:val="21"/>
                      <w:szCs w:val="21"/>
                      <w:lang w:val="en-US" w:eastAsia="zh-CN"/>
                    </w:rPr>
                  </w:pPr>
                  <w:r>
                    <w:rPr>
                      <w:rFonts w:hint="eastAsia" w:ascii="Times New Roman" w:hAnsi="Times New Roman" w:cs="Times New Roman"/>
                      <w:b/>
                      <w:bCs w:val="0"/>
                      <w:kern w:val="2"/>
                      <w:sz w:val="21"/>
                      <w:szCs w:val="21"/>
                      <w:lang w:val="en-US" w:eastAsia="zh-CN"/>
                    </w:rPr>
                    <w:t>执行标准</w:t>
                  </w:r>
                </w:p>
              </w:tc>
              <w:tc>
                <w:tcPr>
                  <w:tcW w:w="1076" w:type="pct"/>
                  <w:vAlign w:val="center"/>
                </w:tcPr>
                <w:p>
                  <w:pPr>
                    <w:adjustRightInd w:val="0"/>
                    <w:snapToGrid w:val="0"/>
                    <w:jc w:val="center"/>
                    <w:rPr>
                      <w:rFonts w:hint="default"/>
                      <w:b/>
                      <w:bCs w:val="0"/>
                      <w:sz w:val="21"/>
                      <w:szCs w:val="21"/>
                      <w:lang w:val="en-US" w:eastAsia="zh-CN"/>
                    </w:rPr>
                  </w:pPr>
                  <w:r>
                    <w:rPr>
                      <w:rFonts w:hint="eastAsia"/>
                      <w:b/>
                      <w:bCs w:val="0"/>
                      <w:sz w:val="21"/>
                      <w:szCs w:val="21"/>
                      <w:lang w:val="en-US" w:eastAsia="zh-CN"/>
                    </w:rPr>
                    <w:t>30</w:t>
                  </w:r>
                </w:p>
              </w:tc>
              <w:tc>
                <w:tcPr>
                  <w:tcW w:w="1016" w:type="pct"/>
                  <w:vAlign w:val="center"/>
                </w:tcPr>
                <w:p>
                  <w:pPr>
                    <w:adjustRightInd w:val="0"/>
                    <w:snapToGrid w:val="0"/>
                    <w:jc w:val="center"/>
                    <w:rPr>
                      <w:rFonts w:hint="default"/>
                      <w:b/>
                      <w:bCs w:val="0"/>
                      <w:sz w:val="21"/>
                      <w:szCs w:val="21"/>
                      <w:lang w:val="en-US" w:eastAsia="zh-CN"/>
                    </w:rPr>
                  </w:pPr>
                  <w:r>
                    <w:rPr>
                      <w:rFonts w:hint="eastAsia"/>
                      <w:b/>
                      <w:bCs w:val="0"/>
                      <w:sz w:val="21"/>
                      <w:szCs w:val="21"/>
                      <w:lang w:val="en-US" w:eastAsia="zh-CN"/>
                    </w:rPr>
                    <w:t>200</w:t>
                  </w:r>
                </w:p>
              </w:tc>
              <w:tc>
                <w:tcPr>
                  <w:tcW w:w="1250" w:type="pct"/>
                  <w:vAlign w:val="center"/>
                </w:tcPr>
                <w:p>
                  <w:pPr>
                    <w:adjustRightInd w:val="0"/>
                    <w:snapToGrid w:val="0"/>
                    <w:jc w:val="center"/>
                    <w:rPr>
                      <w:rFonts w:hint="default"/>
                      <w:b/>
                      <w:bCs w:val="0"/>
                      <w:sz w:val="21"/>
                      <w:szCs w:val="21"/>
                      <w:lang w:val="en-US" w:eastAsia="zh-CN"/>
                    </w:rPr>
                  </w:pPr>
                  <w:r>
                    <w:rPr>
                      <w:rFonts w:hint="eastAsia"/>
                      <w:b/>
                      <w:bCs w:val="0"/>
                      <w:sz w:val="21"/>
                      <w:szCs w:val="21"/>
                      <w:lang w:val="en-US" w:eastAsia="zh-CN"/>
                    </w:rPr>
                    <w:t>300</w:t>
                  </w:r>
                </w:p>
              </w:tc>
            </w:tr>
          </w:tbl>
          <w:p>
            <w:pPr>
              <w:pStyle w:val="7"/>
              <w:spacing w:beforeLines="50"/>
              <w:rPr>
                <w:rFonts w:ascii="Times New Roman" w:hAnsi="Times New Roman"/>
                <w:color w:val="auto"/>
                <w:sz w:val="21"/>
              </w:rPr>
            </w:pPr>
            <w:r>
              <w:rPr>
                <w:rFonts w:ascii="Times New Roman" w:hAnsi="Times New Roman"/>
                <w:color w:val="auto"/>
                <w:sz w:val="21"/>
              </w:rPr>
              <w:t>表</w:t>
            </w:r>
            <w:r>
              <w:rPr>
                <w:rFonts w:hint="eastAsia" w:ascii="Times New Roman" w:hAnsi="Times New Roman"/>
                <w:color w:val="auto"/>
                <w:sz w:val="21"/>
              </w:rPr>
              <w:t>3-</w:t>
            </w:r>
            <w:r>
              <w:rPr>
                <w:rFonts w:hint="eastAsia" w:ascii="Times New Roman" w:hAnsi="Times New Roman"/>
                <w:color w:val="auto"/>
                <w:sz w:val="21"/>
                <w:lang w:val="en-US" w:eastAsia="zh-CN"/>
              </w:rPr>
              <w:t>10</w:t>
            </w:r>
            <w:r>
              <w:rPr>
                <w:rFonts w:ascii="Times New Roman" w:hAnsi="Times New Roman"/>
                <w:color w:val="auto"/>
                <w:sz w:val="21"/>
              </w:rPr>
              <w:t xml:space="preserve">  </w:t>
            </w:r>
            <w:r>
              <w:rPr>
                <w:rFonts w:hint="eastAsia" w:ascii="Times New Roman" w:hAnsi="Times New Roman"/>
                <w:color w:val="auto"/>
                <w:sz w:val="21"/>
              </w:rPr>
              <w:t>《挥发性有机物无组织排放控制标准》（GB37822-2019）排放限值</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43"/>
              <w:gridCol w:w="1941"/>
              <w:gridCol w:w="3703"/>
              <w:gridCol w:w="229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9" w:type="pct"/>
                  <w:vAlign w:val="center"/>
                </w:tcPr>
                <w:p>
                  <w:pPr>
                    <w:adjustRightInd w:val="0"/>
                    <w:snapToGrid w:val="0"/>
                    <w:jc w:val="center"/>
                    <w:rPr>
                      <w:b/>
                      <w:szCs w:val="21"/>
                    </w:rPr>
                  </w:pPr>
                  <w:r>
                    <w:rPr>
                      <w:b/>
                      <w:szCs w:val="21"/>
                    </w:rPr>
                    <w:t>污染物项目</w:t>
                  </w:r>
                </w:p>
              </w:tc>
              <w:tc>
                <w:tcPr>
                  <w:tcW w:w="1034" w:type="pct"/>
                  <w:vAlign w:val="center"/>
                </w:tcPr>
                <w:p>
                  <w:pPr>
                    <w:adjustRightInd w:val="0"/>
                    <w:snapToGrid w:val="0"/>
                    <w:jc w:val="center"/>
                    <w:rPr>
                      <w:b/>
                      <w:szCs w:val="21"/>
                    </w:rPr>
                  </w:pPr>
                  <w:r>
                    <w:rPr>
                      <w:b/>
                      <w:szCs w:val="21"/>
                    </w:rPr>
                    <w:t>排放限值（</w:t>
                  </w:r>
                  <w:r>
                    <w:rPr>
                      <w:rFonts w:hint="eastAsia"/>
                      <w:b/>
                    </w:rPr>
                    <w:t>mg/m</w:t>
                  </w:r>
                  <w:r>
                    <w:rPr>
                      <w:rFonts w:hint="eastAsia"/>
                      <w:b/>
                      <w:vertAlign w:val="superscript"/>
                    </w:rPr>
                    <w:t>3</w:t>
                  </w:r>
                  <w:r>
                    <w:rPr>
                      <w:b/>
                      <w:szCs w:val="21"/>
                    </w:rPr>
                    <w:t>）</w:t>
                  </w:r>
                </w:p>
              </w:tc>
              <w:tc>
                <w:tcPr>
                  <w:tcW w:w="1973" w:type="pct"/>
                  <w:vAlign w:val="center"/>
                </w:tcPr>
                <w:p>
                  <w:pPr>
                    <w:adjustRightInd w:val="0"/>
                    <w:snapToGrid w:val="0"/>
                    <w:jc w:val="center"/>
                    <w:rPr>
                      <w:b/>
                      <w:szCs w:val="21"/>
                    </w:rPr>
                  </w:pPr>
                  <w:r>
                    <w:rPr>
                      <w:b/>
                      <w:szCs w:val="21"/>
                    </w:rPr>
                    <w:t>限值含义</w:t>
                  </w:r>
                </w:p>
              </w:tc>
              <w:tc>
                <w:tcPr>
                  <w:tcW w:w="1224" w:type="pct"/>
                  <w:vAlign w:val="center"/>
                </w:tcPr>
                <w:p>
                  <w:pPr>
                    <w:adjustRightInd w:val="0"/>
                    <w:snapToGrid w:val="0"/>
                    <w:jc w:val="center"/>
                    <w:rPr>
                      <w:b/>
                      <w:szCs w:val="21"/>
                    </w:rPr>
                  </w:pPr>
                  <w:r>
                    <w:rPr>
                      <w:b/>
                      <w:szCs w:val="21"/>
                    </w:rPr>
                    <w:t>无组织排放监控位置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9" w:type="pct"/>
                  <w:vMerge w:val="restart"/>
                  <w:vAlign w:val="center"/>
                </w:tcPr>
                <w:p>
                  <w:pPr>
                    <w:adjustRightInd w:val="0"/>
                    <w:snapToGrid w:val="0"/>
                    <w:jc w:val="center"/>
                    <w:rPr>
                      <w:b/>
                      <w:szCs w:val="21"/>
                    </w:rPr>
                  </w:pPr>
                  <w:r>
                    <w:rPr>
                      <w:rFonts w:hint="eastAsia"/>
                      <w:szCs w:val="21"/>
                    </w:rPr>
                    <w:t>NMHC</w:t>
                  </w:r>
                </w:p>
              </w:tc>
              <w:tc>
                <w:tcPr>
                  <w:tcW w:w="1034" w:type="pct"/>
                  <w:vAlign w:val="center"/>
                </w:tcPr>
                <w:p>
                  <w:pPr>
                    <w:adjustRightInd w:val="0"/>
                    <w:snapToGrid w:val="0"/>
                    <w:jc w:val="center"/>
                    <w:rPr>
                      <w:szCs w:val="21"/>
                    </w:rPr>
                  </w:pPr>
                  <w:r>
                    <w:rPr>
                      <w:szCs w:val="21"/>
                    </w:rPr>
                    <w:t>10</w:t>
                  </w:r>
                </w:p>
              </w:tc>
              <w:tc>
                <w:tcPr>
                  <w:tcW w:w="1973" w:type="pct"/>
                  <w:vAlign w:val="center"/>
                </w:tcPr>
                <w:p>
                  <w:pPr>
                    <w:adjustRightInd w:val="0"/>
                    <w:snapToGrid w:val="0"/>
                    <w:jc w:val="center"/>
                    <w:rPr>
                      <w:szCs w:val="21"/>
                    </w:rPr>
                  </w:pPr>
                  <w:r>
                    <w:rPr>
                      <w:szCs w:val="21"/>
                    </w:rPr>
                    <w:t>监控点处1h平均浓度值</w:t>
                  </w:r>
                </w:p>
              </w:tc>
              <w:tc>
                <w:tcPr>
                  <w:tcW w:w="1224" w:type="pct"/>
                  <w:vMerge w:val="restart"/>
                  <w:vAlign w:val="center"/>
                </w:tcPr>
                <w:p>
                  <w:pPr>
                    <w:adjustRightInd w:val="0"/>
                    <w:snapToGrid w:val="0"/>
                    <w:jc w:val="center"/>
                    <w:rPr>
                      <w:szCs w:val="21"/>
                    </w:rPr>
                  </w:pPr>
                  <w:r>
                    <w:rPr>
                      <w:szCs w:val="21"/>
                    </w:rPr>
                    <w:t>在厂房外设置监控点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9" w:type="pct"/>
                  <w:vMerge w:val="continue"/>
                  <w:vAlign w:val="center"/>
                </w:tcPr>
                <w:p>
                  <w:pPr>
                    <w:adjustRightInd w:val="0"/>
                    <w:snapToGrid w:val="0"/>
                    <w:jc w:val="center"/>
                    <w:rPr>
                      <w:b/>
                      <w:szCs w:val="21"/>
                    </w:rPr>
                  </w:pPr>
                </w:p>
              </w:tc>
              <w:tc>
                <w:tcPr>
                  <w:tcW w:w="1034" w:type="pct"/>
                  <w:vAlign w:val="center"/>
                </w:tcPr>
                <w:p>
                  <w:pPr>
                    <w:adjustRightInd w:val="0"/>
                    <w:snapToGrid w:val="0"/>
                    <w:jc w:val="center"/>
                    <w:rPr>
                      <w:szCs w:val="21"/>
                    </w:rPr>
                  </w:pPr>
                  <w:r>
                    <w:rPr>
                      <w:szCs w:val="21"/>
                    </w:rPr>
                    <w:t>30</w:t>
                  </w:r>
                </w:p>
              </w:tc>
              <w:tc>
                <w:tcPr>
                  <w:tcW w:w="1973" w:type="pct"/>
                  <w:vAlign w:val="center"/>
                </w:tcPr>
                <w:p>
                  <w:pPr>
                    <w:adjustRightInd w:val="0"/>
                    <w:snapToGrid w:val="0"/>
                    <w:jc w:val="center"/>
                    <w:rPr>
                      <w:szCs w:val="21"/>
                    </w:rPr>
                  </w:pPr>
                  <w:r>
                    <w:rPr>
                      <w:szCs w:val="21"/>
                    </w:rPr>
                    <w:t>监控点处任意一次浓度值</w:t>
                  </w:r>
                </w:p>
              </w:tc>
              <w:tc>
                <w:tcPr>
                  <w:tcW w:w="1224" w:type="pct"/>
                  <w:vMerge w:val="continue"/>
                  <w:vAlign w:val="center"/>
                </w:tcPr>
                <w:p>
                  <w:pPr>
                    <w:adjustRightInd w:val="0"/>
                    <w:snapToGrid w:val="0"/>
                    <w:jc w:val="center"/>
                    <w:rPr>
                      <w:szCs w:val="21"/>
                    </w:rPr>
                  </w:pPr>
                </w:p>
              </w:tc>
            </w:tr>
          </w:tbl>
          <w:p>
            <w:pPr>
              <w:adjustRightInd w:val="0"/>
              <w:snapToGrid w:val="0"/>
              <w:spacing w:line="360" w:lineRule="auto"/>
              <w:ind w:firstLine="482" w:firstLineChars="200"/>
              <w:rPr>
                <w:rFonts w:ascii="宋体" w:hAnsi="宋体" w:cs="宋体"/>
                <w:b/>
                <w:kern w:val="0"/>
                <w:sz w:val="24"/>
              </w:rPr>
            </w:pPr>
            <w:r>
              <w:rPr>
                <w:rFonts w:ascii="宋体" w:hAnsi="宋体" w:cs="宋体"/>
                <w:b/>
                <w:kern w:val="0"/>
                <w:sz w:val="24"/>
              </w:rPr>
              <w:t>二、废水</w:t>
            </w:r>
          </w:p>
          <w:p>
            <w:pPr>
              <w:adjustRightInd w:val="0"/>
              <w:snapToGrid w:val="0"/>
              <w:spacing w:line="360" w:lineRule="auto"/>
              <w:ind w:firstLine="480" w:firstLineChars="200"/>
              <w:rPr>
                <w:rFonts w:hint="eastAsia" w:cs="Times New Roman"/>
                <w:sz w:val="24"/>
                <w:szCs w:val="24"/>
                <w:lang w:val="en-US" w:eastAsia="zh-CN"/>
              </w:rPr>
            </w:pPr>
            <w:r>
              <w:rPr>
                <w:sz w:val="24"/>
              </w:rPr>
              <w:t>项目</w:t>
            </w:r>
            <w:r>
              <w:rPr>
                <w:rFonts w:hint="eastAsia"/>
                <w:sz w:val="24"/>
                <w:lang w:val="en-US" w:eastAsia="zh-CN"/>
              </w:rPr>
              <w:t>共渗工件</w:t>
            </w:r>
            <w:r>
              <w:rPr>
                <w:rFonts w:hint="eastAsia"/>
                <w:sz w:val="24"/>
              </w:rPr>
              <w:t>清洗</w:t>
            </w:r>
            <w:r>
              <w:rPr>
                <w:rFonts w:hint="eastAsia"/>
                <w:sz w:val="24"/>
                <w:lang w:val="en-US" w:eastAsia="zh-CN"/>
              </w:rPr>
              <w:t>使用纯水，清洗</w:t>
            </w:r>
            <w:r>
              <w:rPr>
                <w:sz w:val="24"/>
              </w:rPr>
              <w:t>废水经</w:t>
            </w:r>
            <w:r>
              <w:rPr>
                <w:rFonts w:hint="eastAsia"/>
                <w:sz w:val="24"/>
                <w:lang w:val="en-US" w:eastAsia="zh-CN"/>
              </w:rPr>
              <w:t>沉淀池沉淀</w:t>
            </w:r>
            <w:r>
              <w:rPr>
                <w:sz w:val="24"/>
              </w:rPr>
              <w:t>处理后循环使用</w:t>
            </w:r>
            <w:r>
              <w:rPr>
                <w:rFonts w:hint="eastAsia"/>
                <w:sz w:val="24"/>
              </w:rPr>
              <w:t>，</w:t>
            </w:r>
            <w:r>
              <w:rPr>
                <w:sz w:val="24"/>
              </w:rPr>
              <w:t>不外排</w:t>
            </w:r>
            <w:r>
              <w:rPr>
                <w:rFonts w:hint="eastAsia"/>
                <w:sz w:val="24"/>
                <w:lang w:eastAsia="zh-CN"/>
              </w:rPr>
              <w:t>，</w:t>
            </w:r>
            <w:r>
              <w:rPr>
                <w:rFonts w:hint="eastAsia"/>
                <w:sz w:val="24"/>
                <w:lang w:val="en-US" w:eastAsia="zh-CN"/>
              </w:rPr>
              <w:t>纯水制备浓水属于清净下水，排入市政雨水管网</w:t>
            </w:r>
            <w:r>
              <w:rPr>
                <w:rFonts w:hint="eastAsia"/>
                <w:sz w:val="24"/>
              </w:rPr>
              <w:t>；</w:t>
            </w:r>
            <w:r>
              <w:rPr>
                <w:rFonts w:hint="default" w:ascii="Times New Roman" w:hAnsi="Times New Roman" w:cs="Times New Roman"/>
                <w:sz w:val="24"/>
                <w:szCs w:val="24"/>
                <w:lang w:val="en-US" w:eastAsia="zh-CN"/>
              </w:rPr>
              <w:t>减水剂产品</w:t>
            </w:r>
            <w:r>
              <w:rPr>
                <w:rFonts w:hint="default" w:ascii="Times New Roman" w:hAnsi="Times New Roman" w:cs="Times New Roman"/>
                <w:sz w:val="24"/>
                <w:szCs w:val="24"/>
              </w:rPr>
              <w:t>软水站排水</w:t>
            </w:r>
            <w:r>
              <w:rPr>
                <w:rFonts w:hint="default" w:ascii="Times New Roman" w:hAnsi="Times New Roman" w:cs="Times New Roman"/>
                <w:sz w:val="24"/>
                <w:szCs w:val="24"/>
                <w:lang w:val="en-US" w:eastAsia="zh-CN"/>
              </w:rPr>
              <w:t>经收集后回用于复配产品，不外排</w:t>
            </w:r>
            <w:r>
              <w:rPr>
                <w:rFonts w:hint="eastAsia" w:cs="Times New Roman"/>
                <w:sz w:val="24"/>
                <w:szCs w:val="24"/>
                <w:lang w:val="en-US" w:eastAsia="zh-CN"/>
              </w:rPr>
              <w:t>。</w:t>
            </w:r>
          </w:p>
          <w:p>
            <w:pPr>
              <w:adjustRightInd w:val="0"/>
              <w:snapToGrid w:val="0"/>
              <w:spacing w:line="360" w:lineRule="auto"/>
              <w:ind w:firstLine="480" w:firstLineChars="200"/>
              <w:rPr>
                <w:sz w:val="24"/>
              </w:rPr>
            </w:pPr>
            <w:r>
              <w:rPr>
                <w:rFonts w:hint="default" w:ascii="Times New Roman" w:hAnsi="Times New Roman" w:cs="Times New Roman"/>
                <w:sz w:val="24"/>
                <w:szCs w:val="24"/>
                <w:lang w:val="en-US" w:eastAsia="zh-CN"/>
              </w:rPr>
              <w:t>项目经</w:t>
            </w:r>
            <w:r>
              <w:rPr>
                <w:rFonts w:hint="default" w:ascii="Times New Roman" w:hAnsi="Times New Roman" w:cs="Times New Roman"/>
                <w:sz w:val="24"/>
                <w:szCs w:val="24"/>
              </w:rPr>
              <w:t>中和隔油</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沉淀处理的</w:t>
            </w:r>
            <w:r>
              <w:rPr>
                <w:rFonts w:hint="default" w:ascii="Times New Roman" w:hAnsi="Times New Roman" w:cs="Times New Roman"/>
                <w:sz w:val="24"/>
                <w:szCs w:val="24"/>
                <w:lang w:val="en-US" w:eastAsia="zh-CN"/>
              </w:rPr>
              <w:t>生产废水（</w:t>
            </w:r>
            <w:r>
              <w:rPr>
                <w:rFonts w:hint="default" w:ascii="Times New Roman" w:hAnsi="Times New Roman" w:cs="Times New Roman"/>
                <w:sz w:val="24"/>
                <w:szCs w:val="24"/>
              </w:rPr>
              <w:t>夹片产品喷砂清洗废水、设备清洗废水及车间保洁废水</w:t>
            </w:r>
            <w:r>
              <w:rPr>
                <w:rFonts w:hint="default" w:ascii="Times New Roman" w:hAnsi="Times New Roman" w:cs="Times New Roman"/>
                <w:sz w:val="24"/>
                <w:szCs w:val="24"/>
                <w:lang w:val="en-US" w:eastAsia="zh-CN"/>
              </w:rPr>
              <w:t>）与生活污水（隔油池+化粪池预处理）</w:t>
            </w:r>
            <w:r>
              <w:rPr>
                <w:rFonts w:hint="default" w:ascii="Times New Roman" w:hAnsi="Times New Roman" w:cs="Times New Roman"/>
                <w:sz w:val="24"/>
                <w:szCs w:val="24"/>
              </w:rPr>
              <w:t>一并处理达到《污水综合排放标准》（GB8978-1996）三级标准</w:t>
            </w:r>
            <w:r>
              <w:rPr>
                <w:rFonts w:hint="default" w:ascii="Times New Roman" w:hAnsi="Times New Roman" w:cs="Times New Roman"/>
                <w:sz w:val="24"/>
                <w:szCs w:val="24"/>
                <w:lang w:eastAsia="zh-CN"/>
              </w:rPr>
              <w:t>后</w:t>
            </w:r>
            <w:r>
              <w:rPr>
                <w:rFonts w:hint="default" w:ascii="Times New Roman" w:hAnsi="Times New Roman" w:cs="Times New Roman"/>
                <w:sz w:val="24"/>
                <w:szCs w:val="24"/>
              </w:rPr>
              <w:t>，通过市政污水管网排至衡阳县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污水处理厂深度处理后排入蒸水</w:t>
            </w:r>
            <w:r>
              <w:rPr>
                <w:sz w:val="24"/>
              </w:rPr>
              <w:t>。衡阳县</w:t>
            </w:r>
            <w:r>
              <w:rPr>
                <w:rFonts w:hint="eastAsia"/>
                <w:sz w:val="24"/>
                <w:lang w:val="en-US" w:eastAsia="zh-CN"/>
              </w:rPr>
              <w:t>国祯</w:t>
            </w:r>
            <w:r>
              <w:rPr>
                <w:sz w:val="24"/>
              </w:rPr>
              <w:t>污水处理厂尾水排放标准执行《城镇污水处理厂污染物排放标准》（GB18918-2002）中一级</w:t>
            </w:r>
            <w:r>
              <w:rPr>
                <w:rFonts w:hint="eastAsia"/>
                <w:sz w:val="24"/>
              </w:rPr>
              <w:t>A</w:t>
            </w:r>
            <w:r>
              <w:rPr>
                <w:sz w:val="24"/>
              </w:rPr>
              <w:t>标准，具体污染物标准限值见表</w:t>
            </w:r>
            <w:r>
              <w:rPr>
                <w:rFonts w:hint="eastAsia"/>
                <w:sz w:val="24"/>
                <w:lang w:val="en-US" w:eastAsia="zh-CN"/>
              </w:rPr>
              <w:t>3-11</w:t>
            </w:r>
            <w:r>
              <w:rPr>
                <w:sz w:val="24"/>
              </w:rPr>
              <w:t>。</w:t>
            </w:r>
          </w:p>
          <w:p>
            <w:pPr>
              <w:adjustRightInd w:val="0"/>
              <w:snapToGrid w:val="0"/>
              <w:spacing w:beforeLines="50"/>
              <w:jc w:val="center"/>
              <w:rPr>
                <w:b/>
                <w:szCs w:val="21"/>
              </w:rPr>
            </w:pPr>
            <w:r>
              <w:rPr>
                <w:b/>
                <w:szCs w:val="21"/>
              </w:rPr>
              <w:t>表</w:t>
            </w:r>
            <w:r>
              <w:rPr>
                <w:rFonts w:hint="eastAsia"/>
                <w:b/>
                <w:szCs w:val="21"/>
                <w:lang w:val="en-US" w:eastAsia="zh-CN"/>
              </w:rPr>
              <w:t xml:space="preserve">3-11  </w:t>
            </w:r>
            <w:r>
              <w:rPr>
                <w:b/>
                <w:szCs w:val="21"/>
              </w:rPr>
              <w:t>水污染物排放限值</w:t>
            </w:r>
            <w:r>
              <w:rPr>
                <w:rFonts w:hint="eastAsia"/>
                <w:b/>
                <w:szCs w:val="21"/>
                <w:lang w:val="en-US" w:eastAsia="zh-CN"/>
              </w:rPr>
              <w:t xml:space="preserve">  </w:t>
            </w:r>
            <w:r>
              <w:rPr>
                <w:b/>
                <w:szCs w:val="21"/>
              </w:rPr>
              <w:t>单位：mg/L</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04"/>
              <w:gridCol w:w="1038"/>
              <w:gridCol w:w="1196"/>
              <w:gridCol w:w="1190"/>
              <w:gridCol w:w="1231"/>
              <w:gridCol w:w="1216"/>
              <w:gridCol w:w="120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1228"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污染物</w:t>
                  </w:r>
                </w:p>
              </w:tc>
              <w:tc>
                <w:tcPr>
                  <w:tcW w:w="553"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COD</w:t>
                  </w:r>
                  <w:r>
                    <w:rPr>
                      <w:rFonts w:ascii="Times New Roman" w:hAnsi="Times New Roman" w:cs="Times New Roman"/>
                      <w:sz w:val="21"/>
                      <w:vertAlign w:val="subscript"/>
                    </w:rPr>
                    <w:t>cr</w:t>
                  </w:r>
                </w:p>
              </w:tc>
              <w:tc>
                <w:tcPr>
                  <w:tcW w:w="637"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BOD</w:t>
                  </w:r>
                  <w:r>
                    <w:rPr>
                      <w:rFonts w:ascii="Times New Roman" w:hAnsi="Times New Roman" w:cs="Times New Roman"/>
                      <w:sz w:val="21"/>
                      <w:vertAlign w:val="subscript"/>
                    </w:rPr>
                    <w:t>5</w:t>
                  </w:r>
                </w:p>
              </w:tc>
              <w:tc>
                <w:tcPr>
                  <w:tcW w:w="634"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NH</w:t>
                  </w:r>
                  <w:r>
                    <w:rPr>
                      <w:rFonts w:ascii="Times New Roman" w:hAnsi="Times New Roman" w:cs="Times New Roman"/>
                      <w:sz w:val="21"/>
                      <w:vertAlign w:val="subscript"/>
                    </w:rPr>
                    <w:t>3</w:t>
                  </w:r>
                  <w:r>
                    <w:rPr>
                      <w:rFonts w:ascii="Times New Roman" w:hAnsi="Times New Roman" w:cs="Times New Roman"/>
                      <w:sz w:val="21"/>
                    </w:rPr>
                    <w:t>-N</w:t>
                  </w:r>
                </w:p>
              </w:tc>
              <w:tc>
                <w:tcPr>
                  <w:tcW w:w="656"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SS</w:t>
                  </w:r>
                </w:p>
              </w:tc>
              <w:tc>
                <w:tcPr>
                  <w:tcW w:w="648" w:type="pct"/>
                  <w:tcBorders>
                    <w:tl2br w:val="nil"/>
                    <w:tr2bl w:val="nil"/>
                  </w:tcBorders>
                  <w:vAlign w:val="center"/>
                </w:tcPr>
                <w:p>
                  <w:pPr>
                    <w:pStyle w:val="7"/>
                    <w:rPr>
                      <w:rFonts w:ascii="Times New Roman" w:hAnsi="Times New Roman" w:cs="Times New Roman"/>
                      <w:sz w:val="21"/>
                    </w:rPr>
                  </w:pPr>
                  <w:r>
                    <w:rPr>
                      <w:rFonts w:ascii="Times New Roman" w:hAnsi="Times New Roman" w:cs="Times New Roman"/>
                      <w:sz w:val="21"/>
                    </w:rPr>
                    <w:t>动植物油</w:t>
                  </w:r>
                </w:p>
              </w:tc>
              <w:tc>
                <w:tcPr>
                  <w:tcW w:w="644" w:type="pct"/>
                  <w:tcBorders>
                    <w:tl2br w:val="nil"/>
                    <w:tr2bl w:val="nil"/>
                  </w:tcBorders>
                  <w:vAlign w:val="center"/>
                </w:tcPr>
                <w:p>
                  <w:pPr>
                    <w:pStyle w:val="7"/>
                    <w:rPr>
                      <w:rFonts w:ascii="Times New Roman" w:hAnsi="Times New Roman" w:cs="Times New Roman"/>
                      <w:sz w:val="21"/>
                    </w:rPr>
                  </w:pPr>
                  <w:r>
                    <w:rPr>
                      <w:rFonts w:hint="eastAsia" w:ascii="Times New Roman" w:hAnsi="Times New Roman" w:cs="Times New Roman"/>
                      <w:sz w:val="21"/>
                    </w:rPr>
                    <w:t>石油类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1228"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（GB8978-1996）三级标准</w:t>
                  </w:r>
                </w:p>
              </w:tc>
              <w:tc>
                <w:tcPr>
                  <w:tcW w:w="553"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500</w:t>
                  </w:r>
                </w:p>
              </w:tc>
              <w:tc>
                <w:tcPr>
                  <w:tcW w:w="637"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300</w:t>
                  </w:r>
                </w:p>
              </w:tc>
              <w:tc>
                <w:tcPr>
                  <w:tcW w:w="634"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w:t>
                  </w:r>
                </w:p>
              </w:tc>
              <w:tc>
                <w:tcPr>
                  <w:tcW w:w="656"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400</w:t>
                  </w:r>
                </w:p>
              </w:tc>
              <w:tc>
                <w:tcPr>
                  <w:tcW w:w="648"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100</w:t>
                  </w:r>
                </w:p>
              </w:tc>
              <w:tc>
                <w:tcPr>
                  <w:tcW w:w="644" w:type="pct"/>
                  <w:tcBorders>
                    <w:tl2br w:val="nil"/>
                    <w:tr2bl w:val="nil"/>
                  </w:tcBorders>
                  <w:vAlign w:val="center"/>
                </w:tcPr>
                <w:p>
                  <w:pPr>
                    <w:pStyle w:val="7"/>
                    <w:rPr>
                      <w:rFonts w:ascii="Times New Roman" w:hAnsi="Times New Roman" w:cs="Times New Roman"/>
                      <w:b w:val="0"/>
                      <w:bCs/>
                      <w:sz w:val="21"/>
                    </w:rPr>
                  </w:pPr>
                  <w:r>
                    <w:rPr>
                      <w:rFonts w:hint="eastAsia" w:ascii="Times New Roman" w:hAnsi="Times New Roman" w:cs="Times New Roman"/>
                      <w:b w:val="0"/>
                      <w:bCs/>
                      <w:sz w:val="21"/>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28"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尾水出水水质指标</w:t>
                  </w:r>
                </w:p>
              </w:tc>
              <w:tc>
                <w:tcPr>
                  <w:tcW w:w="553"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≤50</w:t>
                  </w:r>
                </w:p>
              </w:tc>
              <w:tc>
                <w:tcPr>
                  <w:tcW w:w="637"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≤10</w:t>
                  </w:r>
                </w:p>
              </w:tc>
              <w:tc>
                <w:tcPr>
                  <w:tcW w:w="634"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≤5（8）</w:t>
                  </w:r>
                </w:p>
              </w:tc>
              <w:tc>
                <w:tcPr>
                  <w:tcW w:w="656"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≤10</w:t>
                  </w:r>
                </w:p>
              </w:tc>
              <w:tc>
                <w:tcPr>
                  <w:tcW w:w="648" w:type="pct"/>
                  <w:tcBorders>
                    <w:tl2br w:val="nil"/>
                    <w:tr2bl w:val="nil"/>
                  </w:tcBorders>
                  <w:vAlign w:val="center"/>
                </w:tcPr>
                <w:p>
                  <w:pPr>
                    <w:pStyle w:val="7"/>
                    <w:rPr>
                      <w:rFonts w:ascii="Times New Roman" w:hAnsi="Times New Roman" w:cs="Times New Roman"/>
                      <w:b w:val="0"/>
                      <w:bCs/>
                      <w:sz w:val="21"/>
                    </w:rPr>
                  </w:pPr>
                  <w:r>
                    <w:rPr>
                      <w:rFonts w:ascii="Times New Roman" w:hAnsi="Times New Roman" w:cs="Times New Roman"/>
                      <w:b w:val="0"/>
                      <w:bCs/>
                      <w:sz w:val="21"/>
                    </w:rPr>
                    <w:t>1</w:t>
                  </w:r>
                </w:p>
              </w:tc>
              <w:tc>
                <w:tcPr>
                  <w:tcW w:w="644" w:type="pct"/>
                  <w:tcBorders>
                    <w:tl2br w:val="nil"/>
                    <w:tr2bl w:val="nil"/>
                  </w:tcBorders>
                  <w:vAlign w:val="center"/>
                </w:tcPr>
                <w:p>
                  <w:pPr>
                    <w:pStyle w:val="7"/>
                    <w:rPr>
                      <w:rFonts w:ascii="Times New Roman" w:hAnsi="Times New Roman" w:cs="Times New Roman"/>
                      <w:b w:val="0"/>
                      <w:bCs/>
                      <w:sz w:val="21"/>
                    </w:rPr>
                  </w:pPr>
                  <w:r>
                    <w:rPr>
                      <w:rFonts w:hint="eastAsia" w:ascii="Times New Roman" w:hAnsi="Times New Roman" w:cs="Times New Roman"/>
                      <w:b w:val="0"/>
                      <w:bCs/>
                      <w:sz w:val="21"/>
                    </w:rPr>
                    <w:t>1</w:t>
                  </w:r>
                </w:p>
              </w:tc>
            </w:tr>
          </w:tbl>
          <w:p>
            <w:pPr>
              <w:adjustRightInd w:val="0"/>
              <w:snapToGrid w:val="0"/>
              <w:spacing w:line="360" w:lineRule="auto"/>
              <w:ind w:firstLine="482" w:firstLineChars="200"/>
              <w:rPr>
                <w:rFonts w:ascii="宋体" w:hAnsi="宋体" w:cs="宋体"/>
                <w:b/>
                <w:kern w:val="0"/>
                <w:sz w:val="24"/>
              </w:rPr>
            </w:pPr>
            <w:r>
              <w:rPr>
                <w:rFonts w:hint="eastAsia" w:ascii="宋体" w:hAnsi="宋体" w:cs="宋体"/>
                <w:b/>
                <w:kern w:val="0"/>
                <w:sz w:val="24"/>
              </w:rPr>
              <w:t>三、噪声</w:t>
            </w:r>
          </w:p>
          <w:p>
            <w:pPr>
              <w:adjustRightInd w:val="0"/>
              <w:snapToGrid w:val="0"/>
              <w:spacing w:line="360" w:lineRule="auto"/>
              <w:ind w:firstLine="480" w:firstLineChars="200"/>
              <w:rPr>
                <w:sz w:val="24"/>
              </w:rPr>
            </w:pPr>
            <w:r>
              <w:rPr>
                <w:sz w:val="24"/>
              </w:rPr>
              <w:t>项目运营期厂界噪声执行《工业企业厂界环境噪声排放标准》（GB12348-2008）</w:t>
            </w:r>
            <w:r>
              <w:rPr>
                <w:rFonts w:hint="eastAsia"/>
                <w:sz w:val="24"/>
              </w:rPr>
              <w:t>3</w:t>
            </w:r>
            <w:r>
              <w:rPr>
                <w:sz w:val="24"/>
              </w:rPr>
              <w:t>类标准。具体标准值见表</w:t>
            </w:r>
            <w:r>
              <w:rPr>
                <w:rFonts w:hint="eastAsia"/>
                <w:sz w:val="24"/>
              </w:rPr>
              <w:t>3-</w:t>
            </w:r>
            <w:r>
              <w:rPr>
                <w:rFonts w:hint="eastAsia"/>
                <w:sz w:val="24"/>
                <w:lang w:val="en-US" w:eastAsia="zh-CN"/>
              </w:rPr>
              <w:t>12</w:t>
            </w:r>
            <w:r>
              <w:rPr>
                <w:sz w:val="24"/>
              </w:rPr>
              <w:t>。</w:t>
            </w:r>
          </w:p>
          <w:p>
            <w:pPr>
              <w:pStyle w:val="7"/>
              <w:spacing w:beforeLines="50"/>
              <w:rPr>
                <w:rFonts w:ascii="Times New Roman" w:hAnsi="Times New Roman"/>
                <w:color w:val="auto"/>
                <w:sz w:val="21"/>
              </w:rPr>
            </w:pPr>
            <w:r>
              <w:rPr>
                <w:rFonts w:ascii="Times New Roman" w:hAnsi="Times New Roman"/>
                <w:color w:val="auto"/>
                <w:sz w:val="21"/>
              </w:rPr>
              <w:t>表</w:t>
            </w:r>
            <w:r>
              <w:rPr>
                <w:rFonts w:hint="eastAsia" w:ascii="Times New Roman" w:hAnsi="Times New Roman"/>
                <w:color w:val="auto"/>
                <w:sz w:val="21"/>
              </w:rPr>
              <w:t>3-</w:t>
            </w:r>
            <w:r>
              <w:rPr>
                <w:rFonts w:hint="eastAsia" w:ascii="Times New Roman" w:hAnsi="Times New Roman"/>
                <w:color w:val="auto"/>
                <w:sz w:val="21"/>
                <w:lang w:val="en-US" w:eastAsia="zh-CN"/>
              </w:rPr>
              <w:t>12</w:t>
            </w:r>
            <w:r>
              <w:rPr>
                <w:rFonts w:hint="eastAsia" w:ascii="Times New Roman" w:hAnsi="Times New Roman"/>
                <w:color w:val="auto"/>
                <w:sz w:val="21"/>
              </w:rPr>
              <w:t xml:space="preserve">  </w:t>
            </w:r>
            <w:r>
              <w:rPr>
                <w:rFonts w:ascii="Times New Roman" w:hAnsi="Times New Roman"/>
                <w:color w:val="auto"/>
                <w:sz w:val="21"/>
              </w:rPr>
              <w:t>项目运营期噪声排放执行标准</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618"/>
              <w:gridCol w:w="2444"/>
              <w:gridCol w:w="23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61" w:type="pct"/>
                  <w:vMerge w:val="restart"/>
                  <w:vAlign w:val="center"/>
                </w:tcPr>
                <w:p>
                  <w:pPr>
                    <w:pStyle w:val="56"/>
                    <w:spacing w:line="240" w:lineRule="auto"/>
                    <w:jc w:val="center"/>
                    <w:rPr>
                      <w:rFonts w:eastAsia="宋体"/>
                      <w:b/>
                      <w:sz w:val="21"/>
                      <w:szCs w:val="21"/>
                    </w:rPr>
                  </w:pPr>
                  <w:r>
                    <w:rPr>
                      <w:rFonts w:eastAsia="宋体"/>
                      <w:b/>
                      <w:sz w:val="21"/>
                      <w:szCs w:val="21"/>
                    </w:rPr>
                    <w:t>厂界外声环境功能区类别</w:t>
                  </w:r>
                </w:p>
              </w:tc>
              <w:tc>
                <w:tcPr>
                  <w:tcW w:w="2539" w:type="pct"/>
                  <w:gridSpan w:val="2"/>
                  <w:vAlign w:val="center"/>
                </w:tcPr>
                <w:p>
                  <w:pPr>
                    <w:pStyle w:val="56"/>
                    <w:spacing w:line="240" w:lineRule="auto"/>
                    <w:jc w:val="center"/>
                    <w:rPr>
                      <w:rFonts w:eastAsia="宋体"/>
                      <w:b/>
                      <w:sz w:val="21"/>
                      <w:szCs w:val="21"/>
                    </w:rPr>
                  </w:pPr>
                  <w:r>
                    <w:rPr>
                      <w:rFonts w:eastAsia="宋体"/>
                      <w:b/>
                      <w:sz w:val="21"/>
                      <w:szCs w:val="21"/>
                    </w:rPr>
                    <w:t>标准值dB（</w:t>
                  </w:r>
                  <w:r>
                    <w:rPr>
                      <w:rFonts w:hint="eastAsia" w:eastAsia="宋体"/>
                      <w:b/>
                      <w:sz w:val="21"/>
                      <w:szCs w:val="21"/>
                    </w:rPr>
                    <w:t>A</w:t>
                  </w:r>
                  <w:r>
                    <w:rPr>
                      <w:rFonts w:eastAsia="宋体"/>
                      <w:b/>
                      <w:sz w:val="21"/>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61" w:type="pct"/>
                  <w:vMerge w:val="continue"/>
                  <w:vAlign w:val="center"/>
                </w:tcPr>
                <w:p>
                  <w:pPr>
                    <w:pStyle w:val="56"/>
                    <w:spacing w:line="240" w:lineRule="auto"/>
                    <w:jc w:val="center"/>
                    <w:rPr>
                      <w:rFonts w:eastAsia="宋体"/>
                      <w:b/>
                      <w:sz w:val="21"/>
                      <w:szCs w:val="21"/>
                    </w:rPr>
                  </w:pPr>
                </w:p>
              </w:tc>
              <w:tc>
                <w:tcPr>
                  <w:tcW w:w="1302" w:type="pct"/>
                  <w:vAlign w:val="center"/>
                </w:tcPr>
                <w:p>
                  <w:pPr>
                    <w:pStyle w:val="56"/>
                    <w:spacing w:line="240" w:lineRule="auto"/>
                    <w:jc w:val="center"/>
                    <w:rPr>
                      <w:rFonts w:eastAsia="宋体"/>
                      <w:b/>
                      <w:sz w:val="21"/>
                      <w:szCs w:val="21"/>
                    </w:rPr>
                  </w:pPr>
                  <w:r>
                    <w:rPr>
                      <w:rFonts w:eastAsia="宋体"/>
                      <w:b/>
                      <w:sz w:val="21"/>
                      <w:szCs w:val="21"/>
                    </w:rPr>
                    <w:t>昼间</w:t>
                  </w:r>
                </w:p>
              </w:tc>
              <w:tc>
                <w:tcPr>
                  <w:tcW w:w="1237" w:type="pct"/>
                  <w:vAlign w:val="center"/>
                </w:tcPr>
                <w:p>
                  <w:pPr>
                    <w:pStyle w:val="56"/>
                    <w:spacing w:line="240" w:lineRule="auto"/>
                    <w:jc w:val="center"/>
                    <w:rPr>
                      <w:rFonts w:eastAsia="宋体"/>
                      <w:b/>
                      <w:sz w:val="21"/>
                      <w:szCs w:val="21"/>
                    </w:rPr>
                  </w:pPr>
                  <w:r>
                    <w:rPr>
                      <w:rFonts w:eastAsia="宋体"/>
                      <w:b/>
                      <w:sz w:val="21"/>
                      <w:szCs w:val="21"/>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61" w:type="pct"/>
                  <w:vAlign w:val="center"/>
                </w:tcPr>
                <w:p>
                  <w:pPr>
                    <w:pStyle w:val="56"/>
                    <w:spacing w:line="240" w:lineRule="auto"/>
                    <w:jc w:val="center"/>
                    <w:rPr>
                      <w:rFonts w:eastAsia="宋体"/>
                      <w:sz w:val="21"/>
                      <w:szCs w:val="21"/>
                    </w:rPr>
                  </w:pPr>
                  <w:r>
                    <w:rPr>
                      <w:rFonts w:hint="eastAsia" w:eastAsia="宋体"/>
                      <w:sz w:val="21"/>
                      <w:szCs w:val="21"/>
                    </w:rPr>
                    <w:t>3</w:t>
                  </w:r>
                  <w:r>
                    <w:rPr>
                      <w:rFonts w:eastAsia="宋体"/>
                      <w:sz w:val="21"/>
                      <w:szCs w:val="21"/>
                    </w:rPr>
                    <w:t>类</w:t>
                  </w:r>
                </w:p>
              </w:tc>
              <w:tc>
                <w:tcPr>
                  <w:tcW w:w="1302" w:type="pct"/>
                  <w:vAlign w:val="center"/>
                </w:tcPr>
                <w:p>
                  <w:pPr>
                    <w:pStyle w:val="56"/>
                    <w:spacing w:line="240" w:lineRule="auto"/>
                    <w:jc w:val="center"/>
                    <w:rPr>
                      <w:rFonts w:eastAsia="宋体"/>
                      <w:sz w:val="21"/>
                      <w:szCs w:val="21"/>
                    </w:rPr>
                  </w:pPr>
                  <w:r>
                    <w:rPr>
                      <w:rFonts w:hint="eastAsia" w:eastAsia="宋体"/>
                      <w:sz w:val="21"/>
                      <w:szCs w:val="21"/>
                    </w:rPr>
                    <w:t>65</w:t>
                  </w:r>
                </w:p>
              </w:tc>
              <w:tc>
                <w:tcPr>
                  <w:tcW w:w="1237" w:type="pct"/>
                  <w:vAlign w:val="center"/>
                </w:tcPr>
                <w:p>
                  <w:pPr>
                    <w:pStyle w:val="56"/>
                    <w:spacing w:line="240" w:lineRule="auto"/>
                    <w:jc w:val="center"/>
                    <w:rPr>
                      <w:rFonts w:eastAsia="宋体"/>
                      <w:sz w:val="21"/>
                      <w:szCs w:val="21"/>
                    </w:rPr>
                  </w:pPr>
                  <w:r>
                    <w:rPr>
                      <w:rFonts w:eastAsia="宋体"/>
                      <w:sz w:val="21"/>
                      <w:szCs w:val="21"/>
                    </w:rPr>
                    <w:t>5</w:t>
                  </w:r>
                  <w:r>
                    <w:rPr>
                      <w:rFonts w:hint="eastAsia" w:eastAsia="宋体"/>
                      <w:sz w:val="21"/>
                      <w:szCs w:val="21"/>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3"/>
                  <w:vAlign w:val="center"/>
                </w:tcPr>
                <w:p>
                  <w:pPr>
                    <w:pStyle w:val="56"/>
                    <w:spacing w:line="240" w:lineRule="auto"/>
                    <w:jc w:val="center"/>
                    <w:rPr>
                      <w:rFonts w:eastAsia="宋体"/>
                      <w:sz w:val="21"/>
                      <w:szCs w:val="21"/>
                    </w:rPr>
                  </w:pPr>
                  <w:r>
                    <w:rPr>
                      <w:rFonts w:hint="eastAsia" w:eastAsia="宋体"/>
                      <w:sz w:val="21"/>
                      <w:szCs w:val="21"/>
                    </w:rPr>
                    <w:t>标准来源：《工业企业厂界环境噪声排放标准》（GB 12348-2008）</w:t>
                  </w:r>
                </w:p>
              </w:tc>
            </w:tr>
          </w:tbl>
          <w:p>
            <w:pPr>
              <w:adjustRightInd w:val="0"/>
              <w:snapToGrid w:val="0"/>
              <w:spacing w:line="360" w:lineRule="auto"/>
              <w:ind w:firstLine="482" w:firstLineChars="200"/>
              <w:rPr>
                <w:rFonts w:ascii="宋体" w:hAnsi="宋体" w:cs="宋体"/>
                <w:b/>
                <w:kern w:val="0"/>
                <w:sz w:val="24"/>
              </w:rPr>
            </w:pPr>
            <w:r>
              <w:rPr>
                <w:rFonts w:hint="eastAsia" w:ascii="宋体" w:hAnsi="宋体" w:cs="宋体"/>
                <w:b/>
                <w:kern w:val="0"/>
                <w:sz w:val="24"/>
              </w:rPr>
              <w:t>四、固体废弃物</w:t>
            </w:r>
          </w:p>
          <w:p>
            <w:pPr>
              <w:adjustRightInd w:val="0"/>
              <w:snapToGrid w:val="0"/>
              <w:spacing w:line="360" w:lineRule="auto"/>
              <w:ind w:firstLine="480" w:firstLineChars="200"/>
              <w:rPr>
                <w:sz w:val="24"/>
              </w:rPr>
            </w:pPr>
            <w:r>
              <w:rPr>
                <w:rFonts w:hint="eastAsia"/>
                <w:sz w:val="24"/>
              </w:rPr>
              <w:t>一般固体废弃物处置执行《一般工业固体废物贮存、处置场污染控制标准》（</w:t>
            </w:r>
            <w:r>
              <w:rPr>
                <w:sz w:val="24"/>
              </w:rPr>
              <w:t>GB18599-20</w:t>
            </w:r>
            <w:r>
              <w:rPr>
                <w:rFonts w:hint="eastAsia"/>
                <w:sz w:val="24"/>
              </w:rPr>
              <w:t>20）标准要求；危险废物贮存执行《危险废物贮存污染控制标准》（</w:t>
            </w:r>
            <w:r>
              <w:rPr>
                <w:sz w:val="24"/>
              </w:rPr>
              <w:t>18957-20</w:t>
            </w:r>
            <w:r>
              <w:rPr>
                <w:rFonts w:hint="eastAsia"/>
                <w:sz w:val="24"/>
              </w:rPr>
              <w:t>23）标准中相关要求</w:t>
            </w:r>
            <w:r>
              <w:rPr>
                <w:sz w:val="24"/>
              </w:rPr>
              <w:t>。</w:t>
            </w:r>
            <w:bookmarkStart w:id="11" w:name="表3-6_医疗机构污泥排放标准值"/>
            <w:bookmarkEnd w:id="1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2" w:type="pct"/>
            <w:vAlign w:val="center"/>
          </w:tcPr>
          <w:p>
            <w:pPr>
              <w:adjustRightInd w:val="0"/>
              <w:snapToGrid w:val="0"/>
              <w:jc w:val="center"/>
              <w:rPr>
                <w:rFonts w:ascii="宋体" w:hAnsi="宋体" w:cs="宋体"/>
                <w:b/>
                <w:kern w:val="0"/>
                <w:sz w:val="24"/>
              </w:rPr>
            </w:pPr>
            <w:r>
              <w:rPr>
                <w:rFonts w:hint="eastAsia" w:ascii="宋体" w:hAnsi="宋体" w:cs="宋体"/>
                <w:b/>
                <w:kern w:val="0"/>
                <w:sz w:val="24"/>
              </w:rPr>
              <w:t>总量</w:t>
            </w:r>
          </w:p>
          <w:p>
            <w:pPr>
              <w:adjustRightInd w:val="0"/>
              <w:snapToGrid w:val="0"/>
              <w:jc w:val="center"/>
              <w:rPr>
                <w:rFonts w:ascii="宋体" w:hAnsi="宋体" w:cs="宋体"/>
                <w:b/>
                <w:kern w:val="0"/>
                <w:sz w:val="24"/>
              </w:rPr>
            </w:pPr>
            <w:r>
              <w:rPr>
                <w:rFonts w:hint="eastAsia" w:ascii="宋体" w:hAnsi="宋体" w:cs="宋体"/>
                <w:b/>
                <w:kern w:val="0"/>
                <w:sz w:val="24"/>
              </w:rPr>
              <w:t>控制</w:t>
            </w:r>
          </w:p>
          <w:p>
            <w:pPr>
              <w:adjustRightInd w:val="0"/>
              <w:snapToGrid w:val="0"/>
              <w:jc w:val="center"/>
              <w:rPr>
                <w:rFonts w:ascii="宋体" w:hAnsi="宋体" w:cs="宋体"/>
                <w:b/>
                <w:kern w:val="0"/>
                <w:sz w:val="24"/>
              </w:rPr>
            </w:pPr>
            <w:r>
              <w:rPr>
                <w:rFonts w:hint="eastAsia" w:ascii="宋体" w:hAnsi="宋体" w:cs="宋体"/>
                <w:b/>
                <w:kern w:val="0"/>
                <w:sz w:val="24"/>
              </w:rPr>
              <w:t>指标</w:t>
            </w:r>
          </w:p>
        </w:tc>
        <w:tc>
          <w:tcPr>
            <w:tcW w:w="4718" w:type="pct"/>
            <w:vAlign w:val="center"/>
          </w:tcPr>
          <w:p>
            <w:pPr>
              <w:adjustRightInd w:val="0"/>
              <w:snapToGrid w:val="0"/>
              <w:spacing w:line="360" w:lineRule="auto"/>
              <w:ind w:firstLine="480" w:firstLineChars="200"/>
              <w:rPr>
                <w:rFonts w:hint="default" w:ascii="Times New Roman" w:hAnsi="Times New Roman" w:cs="Times New Roman" w:eastAsiaTheme="majorEastAsia"/>
                <w:sz w:val="24"/>
                <w:szCs w:val="24"/>
              </w:rPr>
            </w:pPr>
            <w:r>
              <w:rPr>
                <w:rFonts w:hint="default" w:ascii="Times New Roman" w:hAnsi="Times New Roman" w:cs="Times New Roman" w:eastAsiaTheme="majorEastAsia"/>
                <w:sz w:val="24"/>
                <w:szCs w:val="24"/>
              </w:rPr>
              <w:t>根据要求结合本项目的工程特点，给出本项目的总量控制建议指标值如下：</w:t>
            </w:r>
          </w:p>
          <w:p>
            <w:pPr>
              <w:adjustRightInd w:val="0"/>
              <w:snapToGrid w:val="0"/>
              <w:spacing w:line="360" w:lineRule="auto"/>
              <w:ind w:firstLine="480" w:firstLineChars="200"/>
              <w:rPr>
                <w:rFonts w:hint="default" w:ascii="Times New Roman" w:hAnsi="Times New Roman" w:cs="Times New Roman" w:eastAsiaTheme="majorEastAsia"/>
                <w:sz w:val="24"/>
                <w:szCs w:val="24"/>
              </w:rPr>
            </w:pPr>
            <w:r>
              <w:rPr>
                <w:rFonts w:hint="default" w:ascii="Times New Roman" w:hAnsi="Times New Roman" w:cs="Times New Roman" w:eastAsiaTheme="majorEastAsia"/>
                <w:sz w:val="24"/>
                <w:szCs w:val="24"/>
              </w:rPr>
              <w:t>根据《</w:t>
            </w:r>
            <w:r>
              <w:rPr>
                <w:rFonts w:hint="eastAsia" w:asciiTheme="majorEastAsia" w:hAnsiTheme="majorEastAsia" w:eastAsiaTheme="majorEastAsia" w:cstheme="majorEastAsia"/>
                <w:sz w:val="24"/>
                <w:szCs w:val="24"/>
              </w:rPr>
              <w:t>“十三五”</w:t>
            </w:r>
            <w:r>
              <w:rPr>
                <w:rFonts w:hint="default" w:ascii="Times New Roman" w:hAnsi="Times New Roman" w:cs="Times New Roman" w:eastAsiaTheme="majorEastAsia"/>
                <w:sz w:val="24"/>
                <w:szCs w:val="24"/>
              </w:rPr>
              <w:t>主要污染物总量控制规划》，大气污染物总量控制指标为SO</w:t>
            </w:r>
            <w:r>
              <w:rPr>
                <w:rFonts w:hint="default" w:ascii="Times New Roman" w:hAnsi="Times New Roman" w:cs="Times New Roman" w:eastAsiaTheme="majorEastAsia"/>
                <w:sz w:val="24"/>
                <w:szCs w:val="24"/>
                <w:vertAlign w:val="subscript"/>
              </w:rPr>
              <w:t>2</w:t>
            </w:r>
            <w:r>
              <w:rPr>
                <w:rFonts w:hint="default" w:ascii="Times New Roman" w:hAnsi="Times New Roman" w:cs="Times New Roman" w:eastAsiaTheme="majorEastAsia"/>
                <w:sz w:val="24"/>
                <w:szCs w:val="24"/>
              </w:rPr>
              <w:t>、NOx、VOCs，水污染物控制指标为COD、NH</w:t>
            </w:r>
            <w:r>
              <w:rPr>
                <w:rFonts w:hint="default" w:ascii="Times New Roman" w:hAnsi="Times New Roman" w:cs="Times New Roman" w:eastAsiaTheme="majorEastAsia"/>
                <w:sz w:val="24"/>
                <w:szCs w:val="24"/>
                <w:vertAlign w:val="subscript"/>
              </w:rPr>
              <w:t>3</w:t>
            </w:r>
            <w:r>
              <w:rPr>
                <w:rFonts w:hint="default" w:ascii="Times New Roman" w:hAnsi="Times New Roman" w:cs="Times New Roman" w:eastAsiaTheme="majorEastAsia"/>
                <w:sz w:val="24"/>
                <w:szCs w:val="24"/>
              </w:rPr>
              <w:t>-N。</w:t>
            </w:r>
          </w:p>
          <w:p>
            <w:pPr>
              <w:adjustRightInd w:val="0"/>
              <w:snapToGrid w:val="0"/>
              <w:spacing w:line="360" w:lineRule="auto"/>
              <w:ind w:firstLine="480" w:firstLineChars="200"/>
              <w:rPr>
                <w:rFonts w:hint="default" w:ascii="Times New Roman" w:hAnsi="Times New Roman" w:cs="Times New Roman" w:eastAsiaTheme="majorEastAsia"/>
                <w:sz w:val="24"/>
                <w:szCs w:val="24"/>
              </w:rPr>
            </w:pPr>
            <w:r>
              <w:rPr>
                <w:rFonts w:hint="default" w:ascii="Times New Roman" w:hAnsi="Times New Roman" w:cs="Times New Roman" w:eastAsiaTheme="majorEastAsia"/>
                <w:sz w:val="24"/>
                <w:szCs w:val="24"/>
                <w:lang w:val="en-US" w:eastAsia="zh-CN"/>
              </w:rPr>
              <w:t>技改</w:t>
            </w:r>
            <w:r>
              <w:rPr>
                <w:rFonts w:hint="default" w:ascii="Times New Roman" w:hAnsi="Times New Roman" w:cs="Times New Roman" w:eastAsiaTheme="majorEastAsia"/>
                <w:sz w:val="24"/>
                <w:szCs w:val="24"/>
              </w:rPr>
              <w:t>项目无新增生活污水和生产废水产生及排放，进入衡阳县</w:t>
            </w:r>
            <w:r>
              <w:rPr>
                <w:rFonts w:hint="default" w:ascii="Times New Roman" w:hAnsi="Times New Roman" w:cs="Times New Roman" w:eastAsiaTheme="majorEastAsia"/>
                <w:sz w:val="24"/>
                <w:szCs w:val="24"/>
                <w:lang w:val="en-US" w:eastAsia="zh-CN"/>
              </w:rPr>
              <w:t>国祯</w:t>
            </w:r>
            <w:r>
              <w:rPr>
                <w:rFonts w:hint="default" w:ascii="Times New Roman" w:hAnsi="Times New Roman" w:cs="Times New Roman" w:eastAsiaTheme="majorEastAsia"/>
                <w:sz w:val="24"/>
                <w:szCs w:val="24"/>
              </w:rPr>
              <w:t>污水处理厂处理，COD、氨氮总量指标由衡阳县</w:t>
            </w:r>
            <w:r>
              <w:rPr>
                <w:rFonts w:hint="default" w:ascii="Times New Roman" w:hAnsi="Times New Roman" w:cs="Times New Roman" w:eastAsiaTheme="majorEastAsia"/>
                <w:sz w:val="24"/>
                <w:szCs w:val="24"/>
                <w:lang w:val="en-US" w:eastAsia="zh-CN"/>
              </w:rPr>
              <w:t>国祯</w:t>
            </w:r>
            <w:r>
              <w:rPr>
                <w:rFonts w:hint="default" w:ascii="Times New Roman" w:hAnsi="Times New Roman" w:cs="Times New Roman" w:eastAsiaTheme="majorEastAsia"/>
                <w:sz w:val="24"/>
                <w:szCs w:val="24"/>
              </w:rPr>
              <w:t>污水处理厂总体承担，无需分配COD、氨氮总量控制指标；新增二氧化硫、氮氧化物</w:t>
            </w:r>
            <w:r>
              <w:rPr>
                <w:rFonts w:hint="default" w:ascii="Times New Roman" w:hAnsi="Times New Roman" w:cs="Times New Roman" w:eastAsiaTheme="majorEastAsia"/>
                <w:sz w:val="24"/>
                <w:szCs w:val="24"/>
                <w:lang w:eastAsia="zh-CN"/>
              </w:rPr>
              <w:t>、</w:t>
            </w:r>
            <w:r>
              <w:rPr>
                <w:rFonts w:hint="default" w:ascii="Times New Roman" w:hAnsi="Times New Roman" w:cs="Times New Roman" w:eastAsiaTheme="majorEastAsia"/>
                <w:sz w:val="24"/>
                <w:szCs w:val="24"/>
              </w:rPr>
              <w:t>VOCs等主要污染物的废气排放，需</w:t>
            </w:r>
            <w:r>
              <w:rPr>
                <w:rFonts w:hint="default" w:ascii="Times New Roman" w:hAnsi="Times New Roman" w:cs="Times New Roman" w:eastAsiaTheme="majorEastAsia"/>
                <w:sz w:val="24"/>
                <w:szCs w:val="24"/>
                <w:lang w:val="en-US" w:eastAsia="zh-CN"/>
              </w:rPr>
              <w:t>额外</w:t>
            </w:r>
            <w:r>
              <w:rPr>
                <w:rFonts w:hint="default" w:ascii="Times New Roman" w:hAnsi="Times New Roman" w:cs="Times New Roman" w:eastAsiaTheme="majorEastAsia"/>
                <w:sz w:val="24"/>
                <w:szCs w:val="24"/>
              </w:rPr>
              <w:t>申请总量。项目大气污染物排放总量控制指标建议值具体见表3</w:t>
            </w:r>
            <w:r>
              <w:rPr>
                <w:rFonts w:hint="eastAsia" w:ascii="Times New Roman" w:hAnsi="Times New Roman" w:cs="Times New Roman" w:eastAsiaTheme="majorEastAsia"/>
                <w:sz w:val="24"/>
                <w:szCs w:val="24"/>
                <w:lang w:val="en-US" w:eastAsia="zh-CN"/>
              </w:rPr>
              <w:t>-13</w:t>
            </w:r>
            <w:r>
              <w:rPr>
                <w:rFonts w:hint="default" w:ascii="Times New Roman" w:hAnsi="Times New Roman" w:cs="Times New Roman" w:eastAsiaTheme="majorEastAsia"/>
                <w:sz w:val="24"/>
                <w:szCs w:val="24"/>
              </w:rPr>
              <w:t>，具体由衡阳生态环境局衡阳县分局核定。</w:t>
            </w:r>
          </w:p>
          <w:p>
            <w:pPr>
              <w:pStyle w:val="7"/>
              <w:spacing w:beforeLines="50"/>
              <w:rPr>
                <w:rFonts w:ascii="Times New Roman" w:hAnsi="Times New Roman"/>
                <w:color w:val="FF0000"/>
                <w:sz w:val="21"/>
                <w:u w:val="wave"/>
              </w:rPr>
            </w:pPr>
            <w:r>
              <w:rPr>
                <w:rFonts w:ascii="Times New Roman" w:hAnsi="Times New Roman"/>
                <w:color w:val="FF0000"/>
                <w:sz w:val="21"/>
                <w:u w:val="wave"/>
              </w:rPr>
              <w:t>表</w:t>
            </w:r>
            <w:r>
              <w:rPr>
                <w:rFonts w:hint="eastAsia" w:ascii="Times New Roman" w:hAnsi="Times New Roman"/>
                <w:color w:val="FF0000"/>
                <w:sz w:val="21"/>
                <w:u w:val="wave"/>
                <w:lang w:val="en-US" w:eastAsia="zh-CN"/>
              </w:rPr>
              <w:t xml:space="preserve">3-13  </w:t>
            </w:r>
            <w:r>
              <w:rPr>
                <w:rFonts w:ascii="Times New Roman" w:hAnsi="Times New Roman"/>
                <w:color w:val="FF0000"/>
                <w:sz w:val="21"/>
                <w:u w:val="wave"/>
              </w:rPr>
              <w:t>项目总量控制指标建议值一览表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61"/>
              <w:gridCol w:w="1102"/>
              <w:gridCol w:w="1258"/>
              <w:gridCol w:w="1258"/>
              <w:gridCol w:w="1100"/>
              <w:gridCol w:w="1256"/>
              <w:gridCol w:w="244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512" w:type="pct"/>
                  <w:vAlign w:val="center"/>
                </w:tcPr>
                <w:p>
                  <w:pPr>
                    <w:widowControl/>
                    <w:jc w:val="center"/>
                    <w:rPr>
                      <w:b/>
                      <w:bCs/>
                      <w:color w:val="FF0000"/>
                      <w:u w:val="wave"/>
                    </w:rPr>
                  </w:pPr>
                  <w:r>
                    <w:rPr>
                      <w:b/>
                      <w:bCs/>
                      <w:color w:val="FF0000"/>
                      <w:u w:val="wave"/>
                    </w:rPr>
                    <w:t>类别</w:t>
                  </w:r>
                </w:p>
              </w:tc>
              <w:tc>
                <w:tcPr>
                  <w:tcW w:w="587" w:type="pct"/>
                  <w:vAlign w:val="center"/>
                </w:tcPr>
                <w:p>
                  <w:pPr>
                    <w:widowControl/>
                    <w:jc w:val="center"/>
                    <w:rPr>
                      <w:b/>
                      <w:bCs/>
                      <w:color w:val="FF0000"/>
                      <w:u w:val="wave"/>
                    </w:rPr>
                  </w:pPr>
                  <w:r>
                    <w:rPr>
                      <w:b/>
                      <w:bCs/>
                      <w:color w:val="FF0000"/>
                      <w:u w:val="wave"/>
                    </w:rPr>
                    <w:t>污染物名称</w:t>
                  </w:r>
                </w:p>
              </w:tc>
              <w:tc>
                <w:tcPr>
                  <w:tcW w:w="670" w:type="pct"/>
                  <w:vAlign w:val="center"/>
                </w:tcPr>
                <w:p>
                  <w:pPr>
                    <w:widowControl/>
                    <w:jc w:val="center"/>
                    <w:rPr>
                      <w:b/>
                      <w:bCs/>
                      <w:color w:val="FF0000"/>
                      <w:u w:val="wave"/>
                    </w:rPr>
                  </w:pPr>
                  <w:r>
                    <w:rPr>
                      <w:rFonts w:hint="eastAsia"/>
                      <w:b/>
                      <w:bCs/>
                      <w:color w:val="FF0000"/>
                      <w:u w:val="wave"/>
                      <w:lang w:val="en-US" w:eastAsia="zh-CN"/>
                    </w:rPr>
                    <w:t>技改</w:t>
                  </w:r>
                  <w:r>
                    <w:rPr>
                      <w:b/>
                      <w:bCs/>
                      <w:color w:val="FF0000"/>
                      <w:u w:val="wave"/>
                    </w:rPr>
                    <w:t>前排放量</w:t>
                  </w:r>
                </w:p>
              </w:tc>
              <w:tc>
                <w:tcPr>
                  <w:tcW w:w="670" w:type="pct"/>
                  <w:vAlign w:val="center"/>
                </w:tcPr>
                <w:p>
                  <w:pPr>
                    <w:widowControl/>
                    <w:jc w:val="center"/>
                    <w:rPr>
                      <w:b/>
                      <w:bCs/>
                      <w:color w:val="FF0000"/>
                      <w:u w:val="wave"/>
                    </w:rPr>
                  </w:pPr>
                  <w:r>
                    <w:rPr>
                      <w:rFonts w:hint="eastAsia"/>
                      <w:b/>
                      <w:bCs/>
                      <w:color w:val="FF0000"/>
                      <w:u w:val="wave"/>
                      <w:lang w:val="en-US" w:eastAsia="zh-CN"/>
                    </w:rPr>
                    <w:t>技改</w:t>
                  </w:r>
                  <w:r>
                    <w:rPr>
                      <w:b/>
                      <w:bCs/>
                      <w:color w:val="FF0000"/>
                      <w:u w:val="wave"/>
                    </w:rPr>
                    <w:t>项目排放量</w:t>
                  </w:r>
                </w:p>
              </w:tc>
              <w:tc>
                <w:tcPr>
                  <w:tcW w:w="586" w:type="pct"/>
                  <w:vAlign w:val="center"/>
                </w:tcPr>
                <w:p>
                  <w:pPr>
                    <w:widowControl/>
                    <w:jc w:val="center"/>
                    <w:rPr>
                      <w:b/>
                      <w:bCs/>
                      <w:color w:val="FF0000"/>
                      <w:u w:val="wave"/>
                    </w:rPr>
                  </w:pPr>
                  <w:r>
                    <w:rPr>
                      <w:rFonts w:hint="eastAsia"/>
                      <w:b/>
                      <w:bCs/>
                      <w:color w:val="FF0000"/>
                      <w:u w:val="wave"/>
                      <w:lang w:val="en-US" w:eastAsia="zh-CN"/>
                    </w:rPr>
                    <w:t>技改</w:t>
                  </w:r>
                  <w:r>
                    <w:rPr>
                      <w:b/>
                      <w:bCs/>
                      <w:color w:val="FF0000"/>
                      <w:u w:val="wave"/>
                    </w:rPr>
                    <w:t>后总排放量</w:t>
                  </w:r>
                </w:p>
              </w:tc>
              <w:tc>
                <w:tcPr>
                  <w:tcW w:w="669" w:type="pct"/>
                  <w:vAlign w:val="center"/>
                </w:tcPr>
                <w:p>
                  <w:pPr>
                    <w:widowControl/>
                    <w:jc w:val="center"/>
                    <w:rPr>
                      <w:b/>
                      <w:bCs/>
                      <w:color w:val="FF0000"/>
                      <w:u w:val="wave"/>
                    </w:rPr>
                  </w:pPr>
                  <w:r>
                    <w:rPr>
                      <w:b/>
                      <w:bCs/>
                      <w:color w:val="FF0000"/>
                      <w:u w:val="wave"/>
                    </w:rPr>
                    <w:t>排放增减量</w:t>
                  </w:r>
                </w:p>
              </w:tc>
              <w:tc>
                <w:tcPr>
                  <w:tcW w:w="1304" w:type="pct"/>
                  <w:vAlign w:val="center"/>
                </w:tcPr>
                <w:p>
                  <w:pPr>
                    <w:widowControl/>
                    <w:jc w:val="center"/>
                    <w:rPr>
                      <w:b/>
                      <w:bCs/>
                      <w:color w:val="FF0000"/>
                      <w:u w:val="wave"/>
                    </w:rPr>
                  </w:pPr>
                  <w:r>
                    <w:rPr>
                      <w:b/>
                      <w:bCs/>
                      <w:color w:val="FF0000"/>
                      <w:u w:val="wave"/>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33" w:hRule="atLeast"/>
                <w:tblHeader/>
                <w:jc w:val="center"/>
              </w:trPr>
              <w:tc>
                <w:tcPr>
                  <w:tcW w:w="512" w:type="pct"/>
                  <w:vMerge w:val="restart"/>
                  <w:vAlign w:val="center"/>
                </w:tcPr>
                <w:p>
                  <w:pPr>
                    <w:widowControl/>
                    <w:jc w:val="center"/>
                    <w:rPr>
                      <w:color w:val="FF0000"/>
                      <w:u w:val="wave"/>
                    </w:rPr>
                  </w:pPr>
                  <w:r>
                    <w:rPr>
                      <w:color w:val="FF0000"/>
                      <w:u w:val="wave"/>
                    </w:rPr>
                    <w:t>废气</w:t>
                  </w:r>
                </w:p>
              </w:tc>
              <w:tc>
                <w:tcPr>
                  <w:tcW w:w="587" w:type="pct"/>
                  <w:vAlign w:val="center"/>
                </w:tcPr>
                <w:p>
                  <w:pPr>
                    <w:widowControl/>
                    <w:jc w:val="center"/>
                    <w:rPr>
                      <w:color w:val="FF0000"/>
                      <w:u w:val="wave"/>
                    </w:rPr>
                  </w:pPr>
                  <w:r>
                    <w:rPr>
                      <w:rFonts w:hint="eastAsia"/>
                      <w:color w:val="FF0000"/>
                      <w:u w:val="wave"/>
                    </w:rPr>
                    <w:t>SO</w:t>
                  </w:r>
                  <w:r>
                    <w:rPr>
                      <w:rFonts w:hint="eastAsia"/>
                      <w:color w:val="FF0000"/>
                      <w:u w:val="wave"/>
                      <w:vertAlign w:val="subscript"/>
                    </w:rPr>
                    <w:t>2</w:t>
                  </w:r>
                  <w:r>
                    <w:rPr>
                      <w:color w:val="FF0000"/>
                      <w:u w:val="wave"/>
                    </w:rPr>
                    <w:t>（t/a）</w:t>
                  </w:r>
                </w:p>
              </w:tc>
              <w:tc>
                <w:tcPr>
                  <w:tcW w:w="670" w:type="pct"/>
                  <w:vAlign w:val="center"/>
                </w:tcPr>
                <w:p>
                  <w:pPr>
                    <w:snapToGrid w:val="0"/>
                    <w:jc w:val="center"/>
                    <w:rPr>
                      <w:rFonts w:hint="default" w:eastAsia="宋体"/>
                      <w:color w:val="FF0000"/>
                      <w:u w:val="wave"/>
                      <w:lang w:val="en-US" w:eastAsia="zh-CN"/>
                    </w:rPr>
                  </w:pPr>
                  <w:r>
                    <w:rPr>
                      <w:rFonts w:hint="eastAsia"/>
                      <w:color w:val="FF0000"/>
                      <w:u w:val="wave"/>
                    </w:rPr>
                    <w:t>0.0</w:t>
                  </w:r>
                  <w:r>
                    <w:rPr>
                      <w:rFonts w:hint="eastAsia"/>
                      <w:color w:val="FF0000"/>
                      <w:u w:val="wave"/>
                      <w:lang w:val="en-US" w:eastAsia="zh-CN"/>
                    </w:rPr>
                    <w:t>11</w:t>
                  </w:r>
                </w:p>
              </w:tc>
              <w:tc>
                <w:tcPr>
                  <w:tcW w:w="670"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0.011</w:t>
                  </w:r>
                </w:p>
              </w:tc>
              <w:tc>
                <w:tcPr>
                  <w:tcW w:w="586"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0.022</w:t>
                  </w:r>
                </w:p>
              </w:tc>
              <w:tc>
                <w:tcPr>
                  <w:tcW w:w="669" w:type="pct"/>
                  <w:vAlign w:val="center"/>
                </w:tcPr>
                <w:p>
                  <w:pPr>
                    <w:snapToGrid w:val="0"/>
                    <w:jc w:val="center"/>
                    <w:rPr>
                      <w:rFonts w:hint="default" w:ascii="Times New Roman" w:hAnsi="Times New Roman" w:eastAsia="宋体" w:cs="Times New Roman"/>
                      <w:color w:val="FF0000"/>
                      <w:kern w:val="2"/>
                      <w:sz w:val="21"/>
                      <w:szCs w:val="24"/>
                      <w:u w:val="wave"/>
                      <w:lang w:val="en-US" w:eastAsia="zh-CN" w:bidi="ar-SA"/>
                    </w:rPr>
                  </w:pPr>
                  <w:r>
                    <w:rPr>
                      <w:rFonts w:hint="eastAsia"/>
                      <w:color w:val="FF0000"/>
                      <w:u w:val="wave"/>
                      <w:lang w:val="en-US" w:eastAsia="zh-CN"/>
                    </w:rPr>
                    <w:t>+0.011</w:t>
                  </w:r>
                </w:p>
              </w:tc>
              <w:tc>
                <w:tcPr>
                  <w:tcW w:w="1304" w:type="pct"/>
                  <w:vMerge w:val="restart"/>
                  <w:vAlign w:val="center"/>
                </w:tcPr>
                <w:p>
                  <w:pPr>
                    <w:widowControl/>
                    <w:jc w:val="center"/>
                    <w:rPr>
                      <w:color w:val="FF0000"/>
                      <w:u w:val="wave"/>
                    </w:rPr>
                  </w:pPr>
                  <w:r>
                    <w:rPr>
                      <w:rFonts w:hint="eastAsia"/>
                      <w:color w:val="FF0000"/>
                      <w:u w:val="wave"/>
                    </w:rPr>
                    <w:t>衡阳县</w:t>
                  </w:r>
                  <w:r>
                    <w:rPr>
                      <w:color w:val="FF0000"/>
                      <w:u w:val="wave"/>
                    </w:rPr>
                    <w:t>总量指标中分配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512" w:type="pct"/>
                  <w:vMerge w:val="continue"/>
                  <w:vAlign w:val="center"/>
                </w:tcPr>
                <w:p>
                  <w:pPr>
                    <w:widowControl/>
                    <w:jc w:val="center"/>
                    <w:rPr>
                      <w:color w:val="FF0000"/>
                      <w:u w:val="wave"/>
                    </w:rPr>
                  </w:pPr>
                </w:p>
              </w:tc>
              <w:tc>
                <w:tcPr>
                  <w:tcW w:w="587" w:type="pct"/>
                  <w:vAlign w:val="center"/>
                </w:tcPr>
                <w:p>
                  <w:pPr>
                    <w:widowControl/>
                    <w:jc w:val="center"/>
                    <w:rPr>
                      <w:color w:val="FF0000"/>
                      <w:u w:val="wave"/>
                    </w:rPr>
                  </w:pPr>
                  <w:r>
                    <w:rPr>
                      <w:color w:val="FF0000"/>
                      <w:u w:val="wave"/>
                    </w:rPr>
                    <w:t>N</w:t>
                  </w:r>
                  <w:r>
                    <w:rPr>
                      <w:rFonts w:hint="eastAsia"/>
                      <w:color w:val="FF0000"/>
                      <w:u w:val="wave"/>
                    </w:rPr>
                    <w:t>O</w:t>
                  </w:r>
                  <w:r>
                    <w:rPr>
                      <w:rFonts w:hint="eastAsia"/>
                      <w:color w:val="FF0000"/>
                      <w:u w:val="wave"/>
                      <w:vertAlign w:val="subscript"/>
                    </w:rPr>
                    <w:t>X</w:t>
                  </w:r>
                  <w:r>
                    <w:rPr>
                      <w:color w:val="FF0000"/>
                      <w:u w:val="wave"/>
                    </w:rPr>
                    <w:t>（t/a）</w:t>
                  </w:r>
                </w:p>
              </w:tc>
              <w:tc>
                <w:tcPr>
                  <w:tcW w:w="670"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0.084</w:t>
                  </w:r>
                </w:p>
              </w:tc>
              <w:tc>
                <w:tcPr>
                  <w:tcW w:w="670"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0.084</w:t>
                  </w:r>
                </w:p>
              </w:tc>
              <w:tc>
                <w:tcPr>
                  <w:tcW w:w="586"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0.168</w:t>
                  </w:r>
                </w:p>
              </w:tc>
              <w:tc>
                <w:tcPr>
                  <w:tcW w:w="669" w:type="pct"/>
                  <w:vAlign w:val="center"/>
                </w:tcPr>
                <w:p>
                  <w:pPr>
                    <w:snapToGrid w:val="0"/>
                    <w:jc w:val="center"/>
                    <w:rPr>
                      <w:rFonts w:hint="default" w:ascii="Times New Roman" w:hAnsi="Times New Roman" w:eastAsia="宋体" w:cs="Times New Roman"/>
                      <w:color w:val="FF0000"/>
                      <w:kern w:val="2"/>
                      <w:sz w:val="21"/>
                      <w:szCs w:val="24"/>
                      <w:u w:val="wave"/>
                      <w:lang w:val="en-US" w:eastAsia="zh-CN" w:bidi="ar-SA"/>
                    </w:rPr>
                  </w:pPr>
                  <w:r>
                    <w:rPr>
                      <w:rFonts w:hint="eastAsia"/>
                      <w:color w:val="FF0000"/>
                      <w:u w:val="wave"/>
                      <w:lang w:val="en-US" w:eastAsia="zh-CN"/>
                    </w:rPr>
                    <w:t>+0.084</w:t>
                  </w:r>
                </w:p>
              </w:tc>
              <w:tc>
                <w:tcPr>
                  <w:tcW w:w="1304" w:type="pct"/>
                  <w:vMerge w:val="continue"/>
                  <w:vAlign w:val="center"/>
                </w:tcPr>
                <w:p>
                  <w:pPr>
                    <w:widowControl/>
                    <w:jc w:val="center"/>
                    <w:rPr>
                      <w:color w:val="FF0000"/>
                      <w:u w:val="wav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512" w:type="pct"/>
                  <w:vMerge w:val="continue"/>
                  <w:vAlign w:val="center"/>
                </w:tcPr>
                <w:p>
                  <w:pPr>
                    <w:widowControl/>
                    <w:jc w:val="center"/>
                    <w:rPr>
                      <w:color w:val="FF0000"/>
                      <w:u w:val="wave"/>
                    </w:rPr>
                  </w:pPr>
                </w:p>
              </w:tc>
              <w:tc>
                <w:tcPr>
                  <w:tcW w:w="587" w:type="pct"/>
                  <w:vAlign w:val="center"/>
                </w:tcPr>
                <w:p>
                  <w:pPr>
                    <w:widowControl/>
                    <w:jc w:val="center"/>
                    <w:rPr>
                      <w:rFonts w:hint="default"/>
                      <w:color w:val="FF0000"/>
                      <w:u w:val="wave"/>
                      <w:lang w:val="en-US" w:eastAsia="zh-CN"/>
                    </w:rPr>
                  </w:pPr>
                  <w:r>
                    <w:rPr>
                      <w:rFonts w:hint="eastAsia"/>
                      <w:color w:val="FF0000"/>
                      <w:u w:val="wave"/>
                      <w:lang w:val="en-US" w:eastAsia="zh-CN"/>
                    </w:rPr>
                    <w:t>VOCs</w:t>
                  </w:r>
                </w:p>
              </w:tc>
              <w:tc>
                <w:tcPr>
                  <w:tcW w:w="670" w:type="pct"/>
                  <w:vAlign w:val="center"/>
                </w:tcPr>
                <w:p>
                  <w:pPr>
                    <w:jc w:val="center"/>
                    <w:rPr>
                      <w:rFonts w:hint="default" w:eastAsia="宋体"/>
                      <w:color w:val="FF0000"/>
                      <w:u w:val="wave"/>
                      <w:lang w:val="en-US" w:eastAsia="zh-CN"/>
                    </w:rPr>
                  </w:pPr>
                  <w:r>
                    <w:rPr>
                      <w:rFonts w:hint="eastAsia"/>
                      <w:color w:val="FF0000"/>
                      <w:u w:val="wave"/>
                      <w:lang w:val="en-US" w:eastAsia="zh-CN"/>
                    </w:rPr>
                    <w:t>0.141</w:t>
                  </w:r>
                </w:p>
              </w:tc>
              <w:tc>
                <w:tcPr>
                  <w:tcW w:w="670"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0.203</w:t>
                  </w:r>
                </w:p>
              </w:tc>
              <w:tc>
                <w:tcPr>
                  <w:tcW w:w="586" w:type="pct"/>
                  <w:vAlign w:val="center"/>
                </w:tcPr>
                <w:p>
                  <w:pPr>
                    <w:snapToGrid w:val="0"/>
                    <w:jc w:val="center"/>
                    <w:rPr>
                      <w:rFonts w:hint="default" w:eastAsia="宋体"/>
                      <w:color w:val="FF0000"/>
                      <w:u w:val="wave"/>
                      <w:lang w:val="en-US" w:eastAsia="zh-CN"/>
                    </w:rPr>
                  </w:pPr>
                  <w:r>
                    <w:rPr>
                      <w:rFonts w:hint="eastAsia"/>
                      <w:color w:val="FF0000"/>
                      <w:u w:val="wave"/>
                      <w:lang w:val="en-US" w:eastAsia="zh-CN"/>
                    </w:rPr>
                    <w:t>0.344</w:t>
                  </w:r>
                </w:p>
              </w:tc>
              <w:tc>
                <w:tcPr>
                  <w:tcW w:w="669" w:type="pct"/>
                  <w:vAlign w:val="center"/>
                </w:tcPr>
                <w:p>
                  <w:pPr>
                    <w:snapToGrid w:val="0"/>
                    <w:jc w:val="center"/>
                    <w:rPr>
                      <w:rFonts w:hint="default" w:ascii="Times New Roman" w:hAnsi="Times New Roman" w:eastAsia="宋体" w:cs="Times New Roman"/>
                      <w:color w:val="FF0000"/>
                      <w:kern w:val="2"/>
                      <w:sz w:val="21"/>
                      <w:szCs w:val="24"/>
                      <w:u w:val="wave"/>
                      <w:lang w:val="en-US" w:eastAsia="zh-CN" w:bidi="ar-SA"/>
                    </w:rPr>
                  </w:pPr>
                  <w:r>
                    <w:rPr>
                      <w:rFonts w:hint="eastAsia"/>
                      <w:color w:val="FF0000"/>
                      <w:u w:val="wave"/>
                      <w:lang w:val="en-US" w:eastAsia="zh-CN"/>
                    </w:rPr>
                    <w:t>+0.203</w:t>
                  </w:r>
                  <w:bookmarkStart w:id="18" w:name="_GoBack"/>
                  <w:bookmarkEnd w:id="18"/>
                </w:p>
              </w:tc>
              <w:tc>
                <w:tcPr>
                  <w:tcW w:w="1304" w:type="pct"/>
                  <w:vMerge w:val="continue"/>
                  <w:vAlign w:val="center"/>
                </w:tcPr>
                <w:p>
                  <w:pPr>
                    <w:widowControl/>
                    <w:jc w:val="center"/>
                    <w:rPr>
                      <w:color w:val="FF0000"/>
                      <w:u w:val="wav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512" w:type="pct"/>
                  <w:vMerge w:val="restart"/>
                  <w:vAlign w:val="center"/>
                </w:tcPr>
                <w:p>
                  <w:pPr>
                    <w:widowControl/>
                    <w:jc w:val="center"/>
                    <w:rPr>
                      <w:rFonts w:hint="eastAsia" w:eastAsia="宋体"/>
                      <w:color w:val="FF0000"/>
                      <w:u w:val="wave"/>
                      <w:lang w:val="en-US" w:eastAsia="zh-CN"/>
                    </w:rPr>
                  </w:pPr>
                  <w:r>
                    <w:rPr>
                      <w:rFonts w:hint="eastAsia"/>
                      <w:color w:val="FF0000"/>
                      <w:u w:val="wave"/>
                      <w:lang w:val="en-US" w:eastAsia="zh-CN"/>
                    </w:rPr>
                    <w:t>废水</w:t>
                  </w:r>
                </w:p>
              </w:tc>
              <w:tc>
                <w:tcPr>
                  <w:tcW w:w="587" w:type="pct"/>
                  <w:vAlign w:val="center"/>
                </w:tcPr>
                <w:p>
                  <w:pPr>
                    <w:widowControl/>
                    <w:jc w:val="center"/>
                    <w:rPr>
                      <w:rFonts w:hint="default"/>
                      <w:color w:val="FF0000"/>
                      <w:u w:val="wave"/>
                      <w:lang w:val="en-US" w:eastAsia="zh-CN"/>
                    </w:rPr>
                  </w:pPr>
                  <w:r>
                    <w:rPr>
                      <w:rFonts w:hint="eastAsia"/>
                      <w:color w:val="FF0000"/>
                      <w:u w:val="wave"/>
                      <w:lang w:val="en-US" w:eastAsia="zh-CN"/>
                    </w:rPr>
                    <w:t>COD</w:t>
                  </w:r>
                </w:p>
              </w:tc>
              <w:tc>
                <w:tcPr>
                  <w:tcW w:w="670" w:type="pct"/>
                  <w:vAlign w:val="center"/>
                </w:tcPr>
                <w:p>
                  <w:pPr>
                    <w:jc w:val="center"/>
                    <w:rPr>
                      <w:rFonts w:hint="default" w:eastAsia="宋体"/>
                      <w:color w:val="FF0000"/>
                      <w:u w:val="wave"/>
                      <w:lang w:val="en-US" w:eastAsia="zh-CN"/>
                    </w:rPr>
                  </w:pPr>
                  <w:r>
                    <w:rPr>
                      <w:rFonts w:hint="eastAsia"/>
                      <w:color w:val="FF0000"/>
                      <w:u w:val="wave"/>
                      <w:lang w:val="en-US" w:eastAsia="zh-CN"/>
                    </w:rPr>
                    <w:t>0.336</w:t>
                  </w:r>
                </w:p>
              </w:tc>
              <w:tc>
                <w:tcPr>
                  <w:tcW w:w="670" w:type="pct"/>
                  <w:vAlign w:val="center"/>
                </w:tcPr>
                <w:p>
                  <w:pPr>
                    <w:snapToGrid w:val="0"/>
                    <w:jc w:val="center"/>
                    <w:rPr>
                      <w:rFonts w:hint="eastAsia" w:eastAsia="宋体"/>
                      <w:color w:val="FF0000"/>
                      <w:u w:val="wave"/>
                      <w:lang w:val="en-US" w:eastAsia="zh-CN"/>
                    </w:rPr>
                  </w:pPr>
                  <w:r>
                    <w:rPr>
                      <w:rFonts w:hint="eastAsia"/>
                      <w:color w:val="FF0000"/>
                      <w:u w:val="wave"/>
                      <w:lang w:val="en-US" w:eastAsia="zh-CN"/>
                    </w:rPr>
                    <w:t>0</w:t>
                  </w:r>
                </w:p>
              </w:tc>
              <w:tc>
                <w:tcPr>
                  <w:tcW w:w="586" w:type="pct"/>
                  <w:vAlign w:val="center"/>
                </w:tcPr>
                <w:p>
                  <w:pPr>
                    <w:jc w:val="center"/>
                    <w:rPr>
                      <w:rFonts w:hint="eastAsia" w:ascii="Times New Roman" w:hAnsi="Times New Roman" w:eastAsia="宋体" w:cs="Times New Roman"/>
                      <w:color w:val="FF0000"/>
                      <w:kern w:val="2"/>
                      <w:sz w:val="21"/>
                      <w:szCs w:val="24"/>
                      <w:u w:val="wave"/>
                      <w:lang w:val="en-US" w:eastAsia="zh-CN" w:bidi="ar-SA"/>
                    </w:rPr>
                  </w:pPr>
                  <w:r>
                    <w:rPr>
                      <w:rFonts w:hint="eastAsia"/>
                      <w:color w:val="FF0000"/>
                      <w:u w:val="wave"/>
                      <w:lang w:val="en-US" w:eastAsia="zh-CN"/>
                    </w:rPr>
                    <w:t>0.336</w:t>
                  </w:r>
                </w:p>
              </w:tc>
              <w:tc>
                <w:tcPr>
                  <w:tcW w:w="669" w:type="pct"/>
                  <w:vAlign w:val="center"/>
                </w:tcPr>
                <w:p>
                  <w:pPr>
                    <w:jc w:val="center"/>
                    <w:rPr>
                      <w:rFonts w:hint="eastAsia" w:eastAsia="宋体"/>
                      <w:color w:val="FF0000"/>
                      <w:u w:val="wave"/>
                      <w:lang w:val="en-US" w:eastAsia="zh-CN"/>
                    </w:rPr>
                  </w:pPr>
                  <w:r>
                    <w:rPr>
                      <w:rFonts w:hint="eastAsia"/>
                      <w:color w:val="FF0000"/>
                      <w:u w:val="wave"/>
                      <w:lang w:val="en-US" w:eastAsia="zh-CN"/>
                    </w:rPr>
                    <w:t>0</w:t>
                  </w:r>
                </w:p>
              </w:tc>
              <w:tc>
                <w:tcPr>
                  <w:tcW w:w="1304" w:type="pct"/>
                  <w:vMerge w:val="restart"/>
                  <w:vAlign w:val="center"/>
                </w:tcPr>
                <w:p>
                  <w:pPr>
                    <w:widowControl/>
                    <w:jc w:val="center"/>
                    <w:rPr>
                      <w:rFonts w:hint="default" w:eastAsia="宋体"/>
                      <w:color w:val="FF0000"/>
                      <w:u w:val="wave"/>
                      <w:lang w:val="en-US" w:eastAsia="zh-CN"/>
                    </w:rPr>
                  </w:pPr>
                  <w:r>
                    <w:rPr>
                      <w:rFonts w:hint="eastAsia"/>
                      <w:color w:val="FF0000"/>
                      <w:u w:val="wave"/>
                      <w:lang w:val="en-US" w:eastAsia="zh-CN"/>
                    </w:rPr>
                    <w:t>纳入衡阳县国祯污水处理厂总量指标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512" w:type="pct"/>
                  <w:vMerge w:val="continue"/>
                  <w:vAlign w:val="center"/>
                </w:tcPr>
                <w:p>
                  <w:pPr>
                    <w:widowControl/>
                    <w:jc w:val="center"/>
                    <w:rPr>
                      <w:color w:val="FF0000"/>
                      <w:u w:val="wave"/>
                    </w:rPr>
                  </w:pPr>
                </w:p>
              </w:tc>
              <w:tc>
                <w:tcPr>
                  <w:tcW w:w="587" w:type="pct"/>
                  <w:vAlign w:val="center"/>
                </w:tcPr>
                <w:p>
                  <w:pPr>
                    <w:widowControl/>
                    <w:jc w:val="center"/>
                    <w:rPr>
                      <w:rFonts w:hint="default"/>
                      <w:color w:val="FF0000"/>
                      <w:u w:val="wave"/>
                      <w:lang w:val="en-US" w:eastAsia="zh-CN"/>
                    </w:rPr>
                  </w:pPr>
                  <w:r>
                    <w:rPr>
                      <w:rFonts w:hint="eastAsia"/>
                      <w:color w:val="FF0000"/>
                      <w:u w:val="wave"/>
                      <w:lang w:val="en-US" w:eastAsia="zh-CN"/>
                    </w:rPr>
                    <w:t>NH</w:t>
                  </w:r>
                  <w:r>
                    <w:rPr>
                      <w:rFonts w:hint="eastAsia"/>
                      <w:color w:val="FF0000"/>
                      <w:u w:val="wave"/>
                      <w:vertAlign w:val="subscript"/>
                      <w:lang w:val="en-US" w:eastAsia="zh-CN"/>
                    </w:rPr>
                    <w:t>3</w:t>
                  </w:r>
                  <w:r>
                    <w:rPr>
                      <w:rFonts w:hint="eastAsia"/>
                      <w:color w:val="FF0000"/>
                      <w:u w:val="wave"/>
                      <w:lang w:val="en-US" w:eastAsia="zh-CN"/>
                    </w:rPr>
                    <w:t>-N</w:t>
                  </w:r>
                </w:p>
              </w:tc>
              <w:tc>
                <w:tcPr>
                  <w:tcW w:w="670" w:type="pct"/>
                  <w:vAlign w:val="center"/>
                </w:tcPr>
                <w:p>
                  <w:pPr>
                    <w:jc w:val="center"/>
                    <w:rPr>
                      <w:rFonts w:hint="default" w:eastAsia="宋体"/>
                      <w:color w:val="FF0000"/>
                      <w:u w:val="wave"/>
                      <w:lang w:val="en-US" w:eastAsia="zh-CN"/>
                    </w:rPr>
                  </w:pPr>
                  <w:r>
                    <w:rPr>
                      <w:rFonts w:hint="eastAsia"/>
                      <w:color w:val="FF0000"/>
                      <w:u w:val="wave"/>
                      <w:lang w:val="en-US" w:eastAsia="zh-CN"/>
                    </w:rPr>
                    <w:t>0.034</w:t>
                  </w:r>
                </w:p>
              </w:tc>
              <w:tc>
                <w:tcPr>
                  <w:tcW w:w="670" w:type="pct"/>
                  <w:vAlign w:val="center"/>
                </w:tcPr>
                <w:p>
                  <w:pPr>
                    <w:snapToGrid w:val="0"/>
                    <w:jc w:val="center"/>
                    <w:rPr>
                      <w:rFonts w:hint="eastAsia" w:eastAsia="宋体"/>
                      <w:color w:val="FF0000"/>
                      <w:u w:val="wave"/>
                      <w:lang w:val="en-US" w:eastAsia="zh-CN"/>
                    </w:rPr>
                  </w:pPr>
                  <w:r>
                    <w:rPr>
                      <w:rFonts w:hint="eastAsia"/>
                      <w:color w:val="FF0000"/>
                      <w:u w:val="wave"/>
                      <w:lang w:val="en-US" w:eastAsia="zh-CN"/>
                    </w:rPr>
                    <w:t>0</w:t>
                  </w:r>
                </w:p>
              </w:tc>
              <w:tc>
                <w:tcPr>
                  <w:tcW w:w="586" w:type="pct"/>
                  <w:vAlign w:val="center"/>
                </w:tcPr>
                <w:p>
                  <w:pPr>
                    <w:jc w:val="center"/>
                    <w:rPr>
                      <w:rFonts w:hint="eastAsia" w:ascii="Times New Roman" w:hAnsi="Times New Roman" w:eastAsia="宋体" w:cs="Times New Roman"/>
                      <w:color w:val="FF0000"/>
                      <w:kern w:val="2"/>
                      <w:sz w:val="21"/>
                      <w:szCs w:val="24"/>
                      <w:u w:val="wave"/>
                      <w:lang w:val="en-US" w:eastAsia="zh-CN" w:bidi="ar-SA"/>
                    </w:rPr>
                  </w:pPr>
                  <w:r>
                    <w:rPr>
                      <w:rFonts w:hint="eastAsia"/>
                      <w:color w:val="FF0000"/>
                      <w:u w:val="wave"/>
                      <w:lang w:val="en-US" w:eastAsia="zh-CN"/>
                    </w:rPr>
                    <w:t>0.034</w:t>
                  </w:r>
                </w:p>
              </w:tc>
              <w:tc>
                <w:tcPr>
                  <w:tcW w:w="669" w:type="pct"/>
                  <w:vAlign w:val="center"/>
                </w:tcPr>
                <w:p>
                  <w:pPr>
                    <w:jc w:val="center"/>
                    <w:rPr>
                      <w:rFonts w:hint="eastAsia" w:eastAsia="宋体"/>
                      <w:color w:val="FF0000"/>
                      <w:u w:val="wave"/>
                      <w:lang w:val="en-US" w:eastAsia="zh-CN"/>
                    </w:rPr>
                  </w:pPr>
                  <w:r>
                    <w:rPr>
                      <w:rFonts w:hint="eastAsia"/>
                      <w:color w:val="FF0000"/>
                      <w:u w:val="wave"/>
                      <w:lang w:val="en-US" w:eastAsia="zh-CN"/>
                    </w:rPr>
                    <w:t>0</w:t>
                  </w:r>
                </w:p>
              </w:tc>
              <w:tc>
                <w:tcPr>
                  <w:tcW w:w="1304" w:type="pct"/>
                  <w:vMerge w:val="continue"/>
                  <w:vAlign w:val="center"/>
                </w:tcPr>
                <w:p>
                  <w:pPr>
                    <w:widowControl/>
                    <w:jc w:val="center"/>
                    <w:rPr>
                      <w:color w:val="FF0000"/>
                      <w:u w:val="wave"/>
                    </w:rPr>
                  </w:pPr>
                </w:p>
              </w:tc>
            </w:tr>
          </w:tbl>
          <w:p>
            <w:pPr>
              <w:adjustRightInd w:val="0"/>
              <w:snapToGrid w:val="0"/>
              <w:spacing w:line="360" w:lineRule="auto"/>
              <w:ind w:firstLine="420" w:firstLineChars="200"/>
            </w:pPr>
            <w:r>
              <w:rPr>
                <w:rFonts w:hint="eastAsia"/>
              </w:rPr>
              <w:t>。</w:t>
            </w: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adjustRightInd w:val="0"/>
              <w:snapToGrid w:val="0"/>
              <w:spacing w:line="360" w:lineRule="auto"/>
              <w:ind w:firstLine="420" w:firstLineChars="200"/>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p>
            <w:pPr>
              <w:pStyle w:val="2"/>
              <w:rPr>
                <w:sz w:val="24"/>
              </w:rPr>
            </w:pPr>
          </w:p>
        </w:tc>
      </w:tr>
    </w:tbl>
    <w:p>
      <w:pPr>
        <w:pStyle w:val="21"/>
        <w:jc w:val="center"/>
        <w:outlineLvl w:val="0"/>
        <w:rPr>
          <w:rFonts w:ascii="黑体" w:hAnsi="黑体" w:eastAsia="黑体"/>
          <w:snapToGrid w:val="0"/>
          <w:sz w:val="36"/>
          <w:szCs w:val="36"/>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p>
      <w:pPr>
        <w:pStyle w:val="21"/>
        <w:jc w:val="center"/>
        <w:outlineLvl w:val="0"/>
        <w:rPr>
          <w:rFonts w:hint="eastAsia" w:ascii="黑体" w:hAnsi="黑体" w:eastAsia="黑体"/>
          <w:snapToGrid w:val="0"/>
          <w:sz w:val="30"/>
          <w:szCs w:val="30"/>
        </w:rPr>
      </w:pPr>
      <w:bookmarkStart w:id="12" w:name="_Toc111712329"/>
      <w:r>
        <w:rPr>
          <w:rFonts w:hint="eastAsia" w:ascii="黑体" w:hAnsi="黑体" w:eastAsia="黑体"/>
          <w:snapToGrid w:val="0"/>
          <w:sz w:val="30"/>
          <w:szCs w:val="30"/>
          <w:lang w:val="en-US" w:eastAsia="zh-CN"/>
        </w:rPr>
        <w:t>四、</w:t>
      </w:r>
      <w:r>
        <w:rPr>
          <w:rFonts w:hint="eastAsia" w:ascii="黑体" w:hAnsi="黑体" w:eastAsia="黑体"/>
          <w:snapToGrid w:val="0"/>
          <w:sz w:val="30"/>
          <w:szCs w:val="30"/>
        </w:rPr>
        <w:t>主要环境影响和保护措施</w:t>
      </w:r>
      <w:bookmarkEnd w:id="12"/>
    </w:p>
    <w:tbl>
      <w:tblPr>
        <w:tblStyle w:val="25"/>
        <w:tblW w:w="10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72"/>
        <w:gridCol w:w="963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0" w:type="pct"/>
            <w:tcMar>
              <w:left w:w="28" w:type="dxa"/>
              <w:right w:w="28" w:type="dxa"/>
            </w:tcMar>
            <w:vAlign w:val="center"/>
          </w:tcPr>
          <w:p>
            <w:pPr>
              <w:pStyle w:val="21"/>
              <w:adjustRightInd w:val="0"/>
              <w:snapToGrid w:val="0"/>
              <w:spacing w:before="0" w:beforeAutospacing="0" w:after="0" w:afterAutospacing="0"/>
              <w:jc w:val="center"/>
              <w:rPr>
                <w:rFonts w:hint="default" w:ascii="Times New Roman" w:hAnsi="Times New Roman" w:cs="Times New Roman"/>
                <w:b/>
                <w:kern w:val="2"/>
                <w:sz w:val="24"/>
                <w:szCs w:val="24"/>
              </w:rPr>
            </w:pPr>
            <w:r>
              <w:rPr>
                <w:rFonts w:hint="default" w:ascii="Times New Roman" w:hAnsi="Times New Roman" w:cs="Times New Roman"/>
                <w:b/>
                <w:kern w:val="2"/>
                <w:sz w:val="24"/>
                <w:szCs w:val="24"/>
              </w:rPr>
              <w:t>施工</w:t>
            </w:r>
          </w:p>
          <w:p>
            <w:pPr>
              <w:pStyle w:val="21"/>
              <w:adjustRightInd w:val="0"/>
              <w:snapToGrid w:val="0"/>
              <w:spacing w:before="0" w:beforeAutospacing="0" w:after="0" w:afterAutospacing="0"/>
              <w:jc w:val="center"/>
              <w:rPr>
                <w:rFonts w:hint="default" w:ascii="Times New Roman" w:hAnsi="Times New Roman" w:cs="Times New Roman"/>
                <w:b/>
                <w:kern w:val="2"/>
                <w:sz w:val="24"/>
                <w:szCs w:val="24"/>
              </w:rPr>
            </w:pPr>
            <w:r>
              <w:rPr>
                <w:rFonts w:hint="default" w:ascii="Times New Roman" w:hAnsi="Times New Roman" w:cs="Times New Roman"/>
                <w:b/>
                <w:kern w:val="2"/>
                <w:sz w:val="24"/>
                <w:szCs w:val="24"/>
              </w:rPr>
              <w:t>期环</w:t>
            </w:r>
          </w:p>
          <w:p>
            <w:pPr>
              <w:pStyle w:val="21"/>
              <w:adjustRightInd w:val="0"/>
              <w:snapToGrid w:val="0"/>
              <w:spacing w:before="0" w:beforeAutospacing="0" w:after="0" w:afterAutospacing="0"/>
              <w:jc w:val="center"/>
              <w:rPr>
                <w:rFonts w:hint="default" w:ascii="Times New Roman" w:hAnsi="Times New Roman" w:cs="Times New Roman"/>
                <w:b/>
                <w:kern w:val="2"/>
                <w:sz w:val="24"/>
                <w:szCs w:val="24"/>
              </w:rPr>
            </w:pPr>
            <w:r>
              <w:rPr>
                <w:rFonts w:hint="default" w:ascii="Times New Roman" w:hAnsi="Times New Roman" w:cs="Times New Roman"/>
                <w:b/>
                <w:kern w:val="2"/>
                <w:sz w:val="24"/>
                <w:szCs w:val="24"/>
              </w:rPr>
              <w:t>境保</w:t>
            </w:r>
          </w:p>
          <w:p>
            <w:pPr>
              <w:pStyle w:val="21"/>
              <w:adjustRightInd w:val="0"/>
              <w:snapToGrid w:val="0"/>
              <w:spacing w:before="0" w:beforeAutospacing="0" w:after="0" w:afterAutospacing="0"/>
              <w:jc w:val="center"/>
              <w:rPr>
                <w:rFonts w:hint="default" w:ascii="Times New Roman" w:hAnsi="Times New Roman" w:cs="Times New Roman"/>
                <w:b/>
                <w:kern w:val="2"/>
                <w:sz w:val="24"/>
                <w:szCs w:val="24"/>
              </w:rPr>
            </w:pPr>
            <w:r>
              <w:rPr>
                <w:rFonts w:hint="default" w:ascii="Times New Roman" w:hAnsi="Times New Roman" w:cs="Times New Roman"/>
                <w:b/>
                <w:kern w:val="2"/>
                <w:sz w:val="24"/>
                <w:szCs w:val="24"/>
              </w:rPr>
              <w:t>护措</w:t>
            </w:r>
          </w:p>
          <w:p>
            <w:pPr>
              <w:pStyle w:val="21"/>
              <w:adjustRightInd w:val="0"/>
              <w:snapToGrid w:val="0"/>
              <w:spacing w:before="0" w:beforeAutospacing="0" w:after="0" w:afterAutospacing="0"/>
              <w:jc w:val="center"/>
              <w:rPr>
                <w:rFonts w:hint="default" w:ascii="Times New Roman" w:hAnsi="Times New Roman" w:cs="Times New Roman"/>
                <w:b/>
                <w:bCs/>
                <w:kern w:val="2"/>
                <w:sz w:val="24"/>
                <w:szCs w:val="24"/>
              </w:rPr>
            </w:pPr>
            <w:r>
              <w:rPr>
                <w:rFonts w:hint="default" w:ascii="Times New Roman" w:hAnsi="Times New Roman" w:cs="Times New Roman"/>
                <w:b/>
                <w:kern w:val="2"/>
                <w:sz w:val="24"/>
                <w:szCs w:val="24"/>
              </w:rPr>
              <w:t>施</w:t>
            </w:r>
          </w:p>
        </w:tc>
        <w:tc>
          <w:tcPr>
            <w:tcW w:w="4719" w:type="pct"/>
            <w:vAlign w:val="center"/>
          </w:tcPr>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eastAsia="宋体" w:cs="Times New Roman"/>
                <w:color w:val="auto"/>
                <w:sz w:val="24"/>
                <w:szCs w:val="24"/>
              </w:rPr>
              <w:t>本项目主要为生产设施及环保设备的安装，建设单位利用现有厂区进行施工，无土建施工，因此项目施工期工程量很小，施工期较短</w:t>
            </w:r>
            <w:r>
              <w:rPr>
                <w:rFonts w:hint="default" w:ascii="Times New Roman" w:hAnsi="Times New Roman" w:eastAsia="宋体" w:cs="Times New Roman"/>
                <w:color w:val="auto"/>
                <w:sz w:val="24"/>
                <w:szCs w:val="24"/>
                <w:lang w:eastAsia="zh-CN"/>
              </w:rPr>
              <w:t>，</w:t>
            </w:r>
            <w:r>
              <w:rPr>
                <w:rFonts w:hint="default" w:ascii="Times New Roman" w:hAnsi="Times New Roman" w:cs="Times New Roman"/>
                <w:bCs/>
                <w:sz w:val="24"/>
                <w:szCs w:val="24"/>
              </w:rPr>
              <w:t>产生的污染物较小，因此本项目不再对施工期进行分析</w:t>
            </w:r>
            <w:r>
              <w:rPr>
                <w:rFonts w:hint="default" w:ascii="Times New Roman" w:hAnsi="Times New Roman" w:eastAsia="宋体" w:cs="Times New Roman"/>
                <w:color w:val="auto"/>
                <w:sz w:val="24"/>
                <w:szCs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0" w:type="pct"/>
            <w:tcMar>
              <w:left w:w="28" w:type="dxa"/>
              <w:right w:w="28" w:type="dxa"/>
            </w:tcMar>
            <w:vAlign w:val="center"/>
          </w:tcPr>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运营</w:t>
            </w:r>
          </w:p>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期环</w:t>
            </w:r>
          </w:p>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境影</w:t>
            </w:r>
          </w:p>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响和</w:t>
            </w:r>
          </w:p>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保护</w:t>
            </w:r>
          </w:p>
          <w:p>
            <w:pPr>
              <w:adjustRightInd w:val="0"/>
              <w:snapToGrid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t>措施</w:t>
            </w:r>
          </w:p>
        </w:tc>
        <w:tc>
          <w:tcPr>
            <w:tcW w:w="4719" w:type="pct"/>
            <w:vAlign w:val="center"/>
          </w:tcPr>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一、废气</w:t>
            </w:r>
          </w:p>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1、废气源强</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，全厂</w:t>
            </w:r>
            <w:r>
              <w:rPr>
                <w:rFonts w:hint="default" w:ascii="Times New Roman" w:hAnsi="Times New Roman" w:cs="Times New Roman"/>
                <w:sz w:val="24"/>
                <w:szCs w:val="24"/>
                <w:lang w:val="zh-CN"/>
              </w:rPr>
              <w:t>产生的废气主要为切割烟尘、打磨粉尘、焊接烟尘、抛丸粉尘、</w:t>
            </w:r>
            <w:r>
              <w:rPr>
                <w:rFonts w:hint="default" w:ascii="Times New Roman" w:hAnsi="Times New Roman" w:cs="Times New Roman"/>
                <w:sz w:val="24"/>
                <w:szCs w:val="24"/>
                <w:lang w:val="en-US" w:eastAsia="zh-CN"/>
              </w:rPr>
              <w:t>碳化除油废气、</w:t>
            </w:r>
            <w:r>
              <w:rPr>
                <w:rFonts w:hint="default" w:ascii="Times New Roman" w:hAnsi="Times New Roman" w:cs="Times New Roman"/>
                <w:sz w:val="24"/>
                <w:szCs w:val="24"/>
                <w:lang w:val="zh-CN"/>
              </w:rPr>
              <w:t>多元合金共渗工序废气（炉料分离粉尘</w:t>
            </w:r>
            <w:r>
              <w:rPr>
                <w:rFonts w:hint="default" w:ascii="Times New Roman" w:hAnsi="Times New Roman" w:cs="Times New Roman"/>
                <w:sz w:val="24"/>
                <w:szCs w:val="24"/>
                <w:lang w:val="en-US" w:eastAsia="zh-CN"/>
              </w:rPr>
              <w:t>及天然气燃烧烟气</w:t>
            </w:r>
            <w:r>
              <w:rPr>
                <w:rFonts w:hint="default" w:ascii="Times New Roman" w:hAnsi="Times New Roman" w:cs="Times New Roman"/>
                <w:sz w:val="24"/>
                <w:szCs w:val="24"/>
                <w:lang w:val="zh-CN"/>
              </w:rPr>
              <w:t>）、</w:t>
            </w:r>
            <w:r>
              <w:rPr>
                <w:rFonts w:hint="eastAsia" w:ascii="Times New Roman" w:cs="Times New Roman"/>
                <w:sz w:val="24"/>
                <w:szCs w:val="24"/>
                <w:lang w:val="en-US" w:eastAsia="zh-CN"/>
              </w:rPr>
              <w:t>钝化烘干废气（有机废气及</w:t>
            </w:r>
            <w:r>
              <w:rPr>
                <w:rFonts w:hint="default" w:ascii="Times New Roman" w:hAnsi="Times New Roman" w:cs="Times New Roman"/>
                <w:sz w:val="24"/>
                <w:szCs w:val="24"/>
                <w:lang w:val="en-US" w:eastAsia="zh-CN"/>
              </w:rPr>
              <w:t>天然气燃烧烟气</w:t>
            </w:r>
            <w:r>
              <w:rPr>
                <w:rFonts w:hint="eastAsia" w:ascii="Times New Roman" w:cs="Times New Roman"/>
                <w:sz w:val="24"/>
                <w:szCs w:val="24"/>
                <w:lang w:val="en-US" w:eastAsia="zh-CN"/>
              </w:rPr>
              <w:t>）、</w:t>
            </w:r>
            <w:r>
              <w:rPr>
                <w:rFonts w:hint="default" w:ascii="Times New Roman" w:hAnsi="Times New Roman" w:cs="Times New Roman"/>
                <w:sz w:val="24"/>
                <w:szCs w:val="24"/>
                <w:lang w:val="zh-CN"/>
              </w:rPr>
              <w:t>浸漆固化</w:t>
            </w:r>
            <w:r>
              <w:rPr>
                <w:rFonts w:hint="eastAsia" w:ascii="Times New Roman" w:cs="Times New Roman"/>
                <w:sz w:val="24"/>
                <w:szCs w:val="24"/>
                <w:lang w:val="en-US" w:eastAsia="zh-CN"/>
              </w:rPr>
              <w:t>废气（</w:t>
            </w:r>
            <w:r>
              <w:rPr>
                <w:rFonts w:hint="default" w:ascii="Times New Roman" w:hAnsi="Times New Roman" w:cs="Times New Roman"/>
                <w:sz w:val="24"/>
                <w:szCs w:val="24"/>
                <w:lang w:val="zh-CN"/>
              </w:rPr>
              <w:t>有机废气</w:t>
            </w:r>
            <w:r>
              <w:rPr>
                <w:rFonts w:hint="eastAsia" w:ascii="Times New Roman" w:cs="Times New Roman"/>
                <w:sz w:val="24"/>
                <w:szCs w:val="24"/>
                <w:lang w:val="en-US" w:eastAsia="zh-CN"/>
              </w:rPr>
              <w:t>及</w:t>
            </w:r>
            <w:r>
              <w:rPr>
                <w:rFonts w:hint="default" w:ascii="Times New Roman" w:hAnsi="Times New Roman" w:cs="Times New Roman"/>
                <w:sz w:val="24"/>
                <w:szCs w:val="24"/>
                <w:lang w:val="en-US" w:eastAsia="zh-CN"/>
              </w:rPr>
              <w:t>天然气燃烧烟气</w:t>
            </w:r>
            <w:r>
              <w:rPr>
                <w:rFonts w:hint="eastAsia" w:ascii="Times New Roman" w:cs="Times New Roman"/>
                <w:sz w:val="24"/>
                <w:szCs w:val="24"/>
                <w:lang w:val="en-US" w:eastAsia="zh-CN"/>
              </w:rPr>
              <w:t>）</w:t>
            </w:r>
            <w:r>
              <w:rPr>
                <w:rFonts w:hint="default" w:ascii="Times New Roman" w:hAnsi="Times New Roman" w:cs="Times New Roman"/>
                <w:sz w:val="24"/>
                <w:szCs w:val="24"/>
                <w:lang w:val="zh-CN"/>
              </w:rPr>
              <w:t>、喷漆废气</w:t>
            </w:r>
            <w:r>
              <w:rPr>
                <w:rFonts w:hint="eastAsia" w:ascii="Times New Roman" w:cs="Times New Roman"/>
                <w:sz w:val="24"/>
                <w:szCs w:val="24"/>
                <w:lang w:val="zh-CN"/>
              </w:rPr>
              <w:t>（</w:t>
            </w:r>
            <w:r>
              <w:rPr>
                <w:rFonts w:hint="default" w:ascii="Times New Roman" w:hAnsi="Times New Roman" w:cs="Times New Roman"/>
                <w:sz w:val="24"/>
                <w:szCs w:val="24"/>
                <w:lang w:val="zh-CN"/>
              </w:rPr>
              <w:t>有机废气</w:t>
            </w:r>
            <w:r>
              <w:rPr>
                <w:rFonts w:hint="eastAsia" w:ascii="Times New Roman" w:cs="Times New Roman"/>
                <w:sz w:val="24"/>
                <w:szCs w:val="24"/>
                <w:lang w:val="en-US" w:eastAsia="zh-CN"/>
              </w:rPr>
              <w:t>及漆雾</w:t>
            </w:r>
            <w:r>
              <w:rPr>
                <w:rFonts w:hint="eastAsia" w:ascii="Times New Roman" w:cs="Times New Roman"/>
                <w:sz w:val="24"/>
                <w:szCs w:val="24"/>
                <w:lang w:val="zh-CN"/>
              </w:rPr>
              <w:t>）</w:t>
            </w:r>
            <w:r>
              <w:rPr>
                <w:rFonts w:hint="eastAsia" w:ascii="Times New Roman" w:cs="Times New Roman"/>
                <w:sz w:val="24"/>
                <w:szCs w:val="24"/>
                <w:lang w:val="en-US" w:eastAsia="zh-CN"/>
              </w:rPr>
              <w:t>、</w:t>
            </w:r>
            <w:r>
              <w:rPr>
                <w:rFonts w:hint="default" w:ascii="Times New Roman" w:hAnsi="Times New Roman" w:cs="Times New Roman"/>
                <w:sz w:val="24"/>
                <w:szCs w:val="24"/>
                <w:lang w:val="en-US" w:eastAsia="zh-CN"/>
              </w:rPr>
              <w:t>食堂油烟</w:t>
            </w:r>
            <w:r>
              <w:rPr>
                <w:rFonts w:hint="eastAsia" w:ascii="Times New Roman" w:cs="Times New Roman"/>
                <w:sz w:val="24"/>
                <w:szCs w:val="24"/>
                <w:lang w:val="en-US" w:eastAsia="zh-CN"/>
              </w:rPr>
              <w:t>及</w:t>
            </w:r>
            <w:r>
              <w:rPr>
                <w:rFonts w:hint="default" w:ascii="Times New Roman" w:hAnsi="Times New Roman" w:cs="Times New Roman"/>
                <w:sz w:val="24"/>
                <w:szCs w:val="24"/>
                <w:lang w:val="zh-CN"/>
              </w:rPr>
              <w:t>浸漆</w:t>
            </w:r>
            <w:r>
              <w:rPr>
                <w:rFonts w:hint="eastAsia" w:ascii="Times New Roman" w:cs="Times New Roman"/>
                <w:sz w:val="24"/>
                <w:szCs w:val="24"/>
                <w:lang w:val="en-US" w:eastAsia="zh-CN"/>
              </w:rPr>
              <w:t>过程挥发的无组织废气</w:t>
            </w:r>
            <w:r>
              <w:rPr>
                <w:rFonts w:hint="default" w:ascii="Times New Roman" w:hAnsi="Times New Roman" w:cs="Times New Roman"/>
                <w:sz w:val="24"/>
                <w:szCs w:val="24"/>
                <w:lang w:val="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（1）</w:t>
            </w:r>
            <w:r>
              <w:rPr>
                <w:rFonts w:hint="default" w:ascii="Times New Roman" w:hAnsi="Times New Roman" w:cs="Times New Roman"/>
                <w:sz w:val="24"/>
                <w:szCs w:val="24"/>
                <w:lang w:val="zh-CN"/>
              </w:rPr>
              <w:t>切割烟尘</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项目下料车间增加1台激光切割机，</w:t>
            </w: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，火焰切割机/</w:t>
            </w:r>
            <w:r>
              <w:rPr>
                <w:rFonts w:hint="default" w:ascii="Times New Roman" w:hAnsi="Times New Roman" w:cs="Times New Roman"/>
                <w:sz w:val="24"/>
                <w:szCs w:val="24"/>
                <w:lang w:val="zh-CN"/>
              </w:rPr>
              <w:t>数控等离子切割机</w:t>
            </w:r>
            <w:r>
              <w:rPr>
                <w:rFonts w:hint="default" w:ascii="Times New Roman" w:hAnsi="Times New Roman" w:cs="Times New Roman"/>
                <w:sz w:val="24"/>
                <w:szCs w:val="24"/>
                <w:lang w:val="en-US" w:eastAsia="zh-CN"/>
              </w:rPr>
              <w:t>切割处理工件占比为40%、激光切割处理工件占比为60%，切割工序烟尘均通过脉冲滤芯除尘器处理后无组织排放。全厂切割处理工件量不变，切割烟尘无组织排放量基本不变，仍为0.3t/a。</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zh-CN" w:eastAsia="zh-CN"/>
              </w:rPr>
            </w:pP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lang w:val="zh-CN" w:eastAsia="zh-CN"/>
              </w:rPr>
              <w:t>）打磨粉尘</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zh-CN"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，全厂打磨处理工件量不变，打磨粉尘</w:t>
            </w:r>
            <w:r>
              <w:rPr>
                <w:rFonts w:hint="default" w:ascii="Times New Roman" w:hAnsi="Times New Roman" w:cs="Times New Roman"/>
                <w:sz w:val="24"/>
                <w:szCs w:val="24"/>
                <w:lang w:val="zh-CN" w:eastAsia="zh-CN"/>
              </w:rPr>
              <w:t>经重力沉降及车间阻隔后无组织排放量</w:t>
            </w:r>
            <w:r>
              <w:rPr>
                <w:rFonts w:hint="default" w:ascii="Times New Roman" w:hAnsi="Times New Roman" w:cs="Times New Roman"/>
                <w:sz w:val="24"/>
                <w:szCs w:val="24"/>
                <w:lang w:val="en-US" w:eastAsia="zh-CN"/>
              </w:rPr>
              <w:t>不变，仍</w:t>
            </w:r>
            <w:r>
              <w:rPr>
                <w:rFonts w:hint="default" w:ascii="Times New Roman" w:hAnsi="Times New Roman" w:cs="Times New Roman"/>
                <w:sz w:val="24"/>
                <w:szCs w:val="24"/>
                <w:lang w:val="zh-CN" w:eastAsia="zh-CN"/>
              </w:rPr>
              <w:t>为0.</w:t>
            </w:r>
            <w:r>
              <w:rPr>
                <w:rFonts w:hint="default" w:ascii="Times New Roman" w:hAnsi="Times New Roman" w:cs="Times New Roman"/>
                <w:sz w:val="24"/>
                <w:szCs w:val="24"/>
                <w:lang w:val="en-US" w:eastAsia="zh-CN"/>
              </w:rPr>
              <w:t>4</w:t>
            </w:r>
            <w:r>
              <w:rPr>
                <w:rFonts w:hint="default" w:ascii="Times New Roman" w:hAnsi="Times New Roman" w:cs="Times New Roman"/>
                <w:sz w:val="24"/>
                <w:szCs w:val="24"/>
                <w:lang w:val="zh-CN" w:eastAsia="zh-CN"/>
              </w:rPr>
              <w:t>t/a。</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3</w:t>
            </w: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焊接烟尘</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zh-CN"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，全厂焊接工件量不变，故焊接烟尘</w:t>
            </w:r>
            <w:r>
              <w:rPr>
                <w:rFonts w:hint="default" w:ascii="Times New Roman" w:hAnsi="Times New Roman" w:cs="Times New Roman"/>
                <w:sz w:val="24"/>
                <w:szCs w:val="24"/>
                <w:lang w:val="zh-CN" w:eastAsia="zh-CN"/>
              </w:rPr>
              <w:t>经</w:t>
            </w:r>
            <w:r>
              <w:rPr>
                <w:rFonts w:hint="default" w:ascii="Times New Roman" w:hAnsi="Times New Roman" w:cs="Times New Roman"/>
                <w:sz w:val="24"/>
                <w:szCs w:val="24"/>
                <w:lang w:val="zh-CN"/>
              </w:rPr>
              <w:t>移动式焊烟净化器净化处理</w:t>
            </w:r>
            <w:r>
              <w:rPr>
                <w:rFonts w:hint="default" w:ascii="Times New Roman" w:hAnsi="Times New Roman" w:cs="Times New Roman"/>
                <w:sz w:val="24"/>
                <w:szCs w:val="24"/>
                <w:lang w:val="zh-CN" w:eastAsia="zh-CN"/>
              </w:rPr>
              <w:t>后无组织排放量</w:t>
            </w:r>
            <w:r>
              <w:rPr>
                <w:rFonts w:hint="default" w:ascii="Times New Roman" w:hAnsi="Times New Roman" w:cs="Times New Roman"/>
                <w:sz w:val="24"/>
                <w:szCs w:val="24"/>
                <w:lang w:val="en-US" w:eastAsia="zh-CN"/>
              </w:rPr>
              <w:t>不变，仍</w:t>
            </w:r>
            <w:r>
              <w:rPr>
                <w:rFonts w:hint="default" w:ascii="Times New Roman" w:hAnsi="Times New Roman" w:cs="Times New Roman"/>
                <w:sz w:val="24"/>
                <w:szCs w:val="24"/>
                <w:lang w:val="zh-CN" w:eastAsia="zh-CN"/>
              </w:rPr>
              <w:t>为0.</w:t>
            </w:r>
            <w:r>
              <w:rPr>
                <w:rFonts w:hint="default" w:ascii="Times New Roman" w:hAnsi="Times New Roman" w:cs="Times New Roman"/>
                <w:sz w:val="24"/>
                <w:szCs w:val="24"/>
                <w:lang w:val="en-US" w:eastAsia="zh-CN"/>
              </w:rPr>
              <w:t>034</w:t>
            </w:r>
            <w:r>
              <w:rPr>
                <w:rFonts w:hint="default" w:ascii="Times New Roman" w:hAnsi="Times New Roman" w:cs="Times New Roman"/>
                <w:sz w:val="24"/>
                <w:szCs w:val="24"/>
                <w:lang w:val="zh-CN" w:eastAsia="zh-CN"/>
              </w:rPr>
              <w:t>t/a。</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left="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4</w:t>
            </w: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抛丸粉尘</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，抛丸工序均在一期工程五车间进行，抛丸粉尘经设备自带滤筒式除尘器过滤后，车间内无组织排放。</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rPr>
              <w:t>查阅《</w:t>
            </w:r>
            <w:r>
              <w:rPr>
                <w:rFonts w:hint="default" w:ascii="Times New Roman" w:hAnsi="Times New Roman" w:cs="Times New Roman"/>
                <w:sz w:val="24"/>
                <w:szCs w:val="24"/>
                <w:lang w:val="en-US" w:eastAsia="zh-CN"/>
              </w:rPr>
              <w:t>排放源统计调查产排污核算方法和系数</w:t>
            </w:r>
            <w:r>
              <w:rPr>
                <w:rFonts w:hint="default" w:ascii="Times New Roman" w:hAnsi="Times New Roman" w:cs="Times New Roman"/>
                <w:sz w:val="24"/>
                <w:szCs w:val="24"/>
              </w:rPr>
              <w:t>手册</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中</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33-37，431-434机械行业系数手册</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可知，抛丸工序颗粒物产生系数为2.19kg/t-原料，项目抛丸处理量约为6000t/a，则抛丸粉尘产生量为13.14t/a。</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项目设置1台</w:t>
            </w:r>
            <w:r>
              <w:rPr>
                <w:rFonts w:hint="default" w:ascii="Times New Roman" w:hAnsi="Times New Roman" w:cs="Times New Roman"/>
                <w:sz w:val="24"/>
                <w:szCs w:val="24"/>
                <w:lang w:val="zh-CN" w:eastAsia="zh-CN"/>
              </w:rPr>
              <w:t>履带式抛丸清理机，</w:t>
            </w:r>
            <w:r>
              <w:rPr>
                <w:rFonts w:hint="default" w:ascii="Times New Roman" w:hAnsi="Times New Roman" w:cs="Times New Roman"/>
                <w:sz w:val="24"/>
                <w:szCs w:val="24"/>
                <w:lang w:val="en-US" w:eastAsia="zh-CN"/>
              </w:rPr>
              <w:t>为</w:t>
            </w:r>
            <w:r>
              <w:rPr>
                <w:rFonts w:hint="default" w:ascii="Times New Roman" w:hAnsi="Times New Roman" w:cs="Times New Roman"/>
                <w:sz w:val="24"/>
                <w:szCs w:val="24"/>
                <w:lang w:val="zh-CN" w:eastAsia="zh-CN"/>
              </w:rPr>
              <w:t>封闭型机械设备，</w:t>
            </w:r>
            <w:r>
              <w:rPr>
                <w:rFonts w:hint="default" w:ascii="Times New Roman" w:hAnsi="Times New Roman" w:cs="Times New Roman"/>
                <w:sz w:val="24"/>
                <w:szCs w:val="24"/>
                <w:lang w:val="en-US" w:eastAsia="zh-CN"/>
              </w:rPr>
              <w:t>其密封性好且</w:t>
            </w:r>
            <w:r>
              <w:rPr>
                <w:rFonts w:hint="default" w:ascii="Times New Roman" w:hAnsi="Times New Roman" w:cs="Times New Roman"/>
                <w:sz w:val="24"/>
                <w:szCs w:val="24"/>
                <w:lang w:val="zh-CN" w:eastAsia="zh-CN"/>
              </w:rPr>
              <w:t>自带滤筒式除尘器，并在进出料口进行遮挡，抛丸产生的粉尘经过管道进入设备自带的滤筒式除尘器处理，处理后的废气在车间内排放，考虑滤筒处理效率约为99.8%，年抛丸时间按2400h计算，则项目无组织颗粒物产生量为</w:t>
            </w:r>
            <w:r>
              <w:rPr>
                <w:rFonts w:hint="default" w:ascii="Times New Roman" w:hAnsi="Times New Roman" w:cs="Times New Roman"/>
                <w:sz w:val="24"/>
                <w:szCs w:val="24"/>
                <w:lang w:val="en-US" w:eastAsia="zh-CN"/>
              </w:rPr>
              <w:t>0.026</w:t>
            </w:r>
            <w:r>
              <w:rPr>
                <w:rFonts w:hint="default" w:ascii="Times New Roman" w:hAnsi="Times New Roman" w:cs="Times New Roman"/>
                <w:sz w:val="24"/>
                <w:szCs w:val="24"/>
                <w:lang w:val="zh-CN" w:eastAsia="zh-CN"/>
              </w:rPr>
              <w:t>t/a，产生速率为0.01</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lang w:val="zh-CN" w:eastAsia="zh-CN"/>
              </w:rPr>
              <w:t>kg/h，抛丸粉尘经处理后在车间内无组织扩散，环评建议建设单位每日对车间地面用吸尘器进行清扫，减少粉尘的排放。</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5</w:t>
            </w:r>
            <w:r>
              <w:rPr>
                <w:rFonts w:hint="default" w:ascii="Times New Roman" w:hAnsi="Times New Roman" w:cs="Times New Roman"/>
                <w:color w:val="FF0000"/>
                <w:sz w:val="24"/>
                <w:szCs w:val="24"/>
                <w:u w:val="wave"/>
                <w:lang w:val="zh-CN" w:eastAsia="zh-CN"/>
              </w:rPr>
              <w:t>）碳化除油废气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①碳化除油有机废气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zh-CN" w:eastAsia="zh-CN"/>
              </w:rPr>
            </w:pPr>
            <w:r>
              <w:rPr>
                <w:rFonts w:hint="eastAsia" w:ascii="Times New Roman" w:cs="Times New Roman"/>
                <w:color w:val="FF0000"/>
                <w:sz w:val="24"/>
                <w:szCs w:val="24"/>
                <w:u w:val="wave"/>
                <w:lang w:val="en-US" w:eastAsia="zh-CN"/>
              </w:rPr>
              <w:t>改建完成后</w:t>
            </w:r>
            <w:r>
              <w:rPr>
                <w:rFonts w:hint="default" w:ascii="Times New Roman" w:hAnsi="Times New Roman" w:cs="Times New Roman"/>
                <w:color w:val="FF0000"/>
                <w:sz w:val="24"/>
                <w:szCs w:val="24"/>
                <w:u w:val="wave"/>
                <w:lang w:val="en-US" w:eastAsia="zh-CN"/>
              </w:rPr>
              <w:t>，</w:t>
            </w:r>
            <w:r>
              <w:rPr>
                <w:rFonts w:hint="default" w:ascii="Times New Roman" w:hAnsi="Times New Roman" w:cs="Times New Roman"/>
                <w:color w:val="FF0000"/>
                <w:sz w:val="24"/>
                <w:szCs w:val="24"/>
                <w:u w:val="wave"/>
                <w:lang w:val="zh-CN" w:eastAsia="zh-CN"/>
              </w:rPr>
              <w:t>项目</w:t>
            </w:r>
            <w:r>
              <w:rPr>
                <w:rFonts w:hint="default" w:ascii="Times New Roman" w:hAnsi="Times New Roman" w:cs="Times New Roman"/>
                <w:color w:val="FF0000"/>
                <w:sz w:val="24"/>
                <w:szCs w:val="24"/>
                <w:u w:val="wave"/>
                <w:lang w:val="en-US" w:eastAsia="zh-CN"/>
              </w:rPr>
              <w:t>新增1台</w:t>
            </w:r>
            <w:r>
              <w:rPr>
                <w:rFonts w:hint="default" w:ascii="Times New Roman" w:hAnsi="Times New Roman" w:cs="Times New Roman"/>
                <w:color w:val="FF0000"/>
                <w:sz w:val="24"/>
                <w:szCs w:val="24"/>
                <w:u w:val="wave"/>
                <w:lang w:val="zh-CN" w:eastAsia="zh-CN"/>
              </w:rPr>
              <w:t>碳化除油炉对工件进行除油处理，工件在车床上加工后会带有油液，需要进行除油，以便后续工序的进行。根据前文中原辅材料，本项目主要油液为润滑油和乳化液，根据同类型项目可知，附着在工件上的油液约为原料的0.5%，则附着的油液量为0.0</w:t>
            </w:r>
            <w:r>
              <w:rPr>
                <w:rFonts w:hint="default" w:ascii="Times New Roman" w:hAnsi="Times New Roman" w:cs="Times New Roman"/>
                <w:color w:val="FF0000"/>
                <w:sz w:val="24"/>
                <w:szCs w:val="24"/>
                <w:u w:val="wave"/>
                <w:lang w:val="en-US" w:eastAsia="zh-CN"/>
              </w:rPr>
              <w:t>036</w:t>
            </w:r>
            <w:r>
              <w:rPr>
                <w:rFonts w:hint="default" w:ascii="Times New Roman" w:hAnsi="Times New Roman" w:cs="Times New Roman"/>
                <w:color w:val="FF0000"/>
                <w:sz w:val="24"/>
                <w:szCs w:val="24"/>
                <w:u w:val="wave"/>
                <w:lang w:val="zh-CN" w:eastAsia="zh-CN"/>
              </w:rPr>
              <w:t>t/a，本项目碳化过程中只有部分油液会挥发，挥发的油液量约为总附着油液的55%，则有机废气VOCs产生量为0.00</w:t>
            </w:r>
            <w:r>
              <w:rPr>
                <w:rFonts w:hint="default" w:ascii="Times New Roman" w:hAnsi="Times New Roman" w:cs="Times New Roman"/>
                <w:color w:val="FF0000"/>
                <w:sz w:val="24"/>
                <w:szCs w:val="24"/>
                <w:u w:val="wave"/>
                <w:lang w:val="en-US" w:eastAsia="zh-CN"/>
              </w:rPr>
              <w:t>2</w:t>
            </w:r>
            <w:r>
              <w:rPr>
                <w:rFonts w:hint="default" w:ascii="Times New Roman" w:hAnsi="Times New Roman" w:cs="Times New Roman"/>
                <w:color w:val="FF0000"/>
                <w:sz w:val="24"/>
                <w:szCs w:val="24"/>
                <w:u w:val="wave"/>
                <w:lang w:val="zh-CN" w:eastAsia="zh-CN"/>
              </w:rPr>
              <w:t>t/a。碳化除油废气经光解式复合油烟净化器</w:t>
            </w:r>
            <w:r>
              <w:rPr>
                <w:rFonts w:hint="default" w:ascii="Times New Roman" w:hAnsi="Times New Roman" w:cs="Times New Roman"/>
                <w:color w:val="FF0000"/>
                <w:sz w:val="24"/>
                <w:szCs w:val="24"/>
                <w:u w:val="wave"/>
                <w:lang w:val="en-US" w:eastAsia="zh-CN"/>
              </w:rPr>
              <w:t>处理后通过1根</w:t>
            </w:r>
            <w:r>
              <w:rPr>
                <w:rFonts w:hint="default" w:ascii="Times New Roman" w:hAnsi="Times New Roman" w:cs="Times New Roman"/>
                <w:color w:val="FF0000"/>
                <w:sz w:val="24"/>
                <w:szCs w:val="24"/>
                <w:u w:val="wave"/>
                <w:lang w:val="zh-CN" w:eastAsia="zh-CN"/>
              </w:rPr>
              <w:t>15m排气筒（DA00</w:t>
            </w:r>
            <w:r>
              <w:rPr>
                <w:rFonts w:hint="default" w:ascii="Times New Roman" w:hAnsi="Times New Roman" w:cs="Times New Roman"/>
                <w:color w:val="FF0000"/>
                <w:sz w:val="24"/>
                <w:szCs w:val="24"/>
                <w:u w:val="wave"/>
                <w:lang w:val="en-US" w:eastAsia="zh-CN"/>
              </w:rPr>
              <w:t>7</w:t>
            </w:r>
            <w:r>
              <w:rPr>
                <w:rFonts w:hint="default" w:ascii="Times New Roman" w:hAnsi="Times New Roman" w:cs="Times New Roman"/>
                <w:color w:val="FF0000"/>
                <w:sz w:val="24"/>
                <w:szCs w:val="24"/>
                <w:u w:val="wave"/>
                <w:lang w:val="zh-CN" w:eastAsia="zh-CN"/>
              </w:rPr>
              <w:t>）高空排放，根据设计参数，收集效率大于90%，处理效率约为</w:t>
            </w:r>
            <w:r>
              <w:rPr>
                <w:rFonts w:hint="default" w:ascii="Times New Roman" w:hAnsi="Times New Roman" w:cs="Times New Roman"/>
                <w:color w:val="FF0000"/>
                <w:sz w:val="24"/>
                <w:szCs w:val="24"/>
                <w:u w:val="wave"/>
                <w:lang w:val="en-US" w:eastAsia="zh-CN"/>
              </w:rPr>
              <w:t>60</w:t>
            </w:r>
            <w:r>
              <w:rPr>
                <w:rFonts w:hint="default" w:ascii="Times New Roman" w:hAnsi="Times New Roman" w:cs="Times New Roman"/>
                <w:color w:val="FF0000"/>
                <w:sz w:val="24"/>
                <w:szCs w:val="24"/>
                <w:u w:val="wave"/>
                <w:lang w:val="zh-CN" w:eastAsia="zh-CN"/>
              </w:rPr>
              <w:t>%，年时间按</w:t>
            </w:r>
            <w:r>
              <w:rPr>
                <w:rFonts w:hint="default" w:ascii="Times New Roman" w:hAnsi="Times New Roman" w:cs="Times New Roman"/>
                <w:color w:val="FF0000"/>
                <w:sz w:val="24"/>
                <w:szCs w:val="24"/>
                <w:u w:val="wave"/>
                <w:lang w:val="en-US" w:eastAsia="zh-CN"/>
              </w:rPr>
              <w:t>6</w:t>
            </w:r>
            <w:r>
              <w:rPr>
                <w:rFonts w:hint="default" w:ascii="Times New Roman" w:hAnsi="Times New Roman" w:cs="Times New Roman"/>
                <w:color w:val="FF0000"/>
                <w:sz w:val="24"/>
                <w:szCs w:val="24"/>
                <w:u w:val="wave"/>
                <w:lang w:val="zh-CN" w:eastAsia="zh-CN"/>
              </w:rPr>
              <w:t>00h计算，设计风机风量为</w:t>
            </w:r>
            <w:r>
              <w:rPr>
                <w:rFonts w:hint="default" w:ascii="Times New Roman" w:hAnsi="Times New Roman" w:cs="Times New Roman"/>
                <w:color w:val="FF0000"/>
                <w:sz w:val="24"/>
                <w:szCs w:val="24"/>
                <w:u w:val="wave"/>
                <w:lang w:val="en-US" w:eastAsia="zh-CN"/>
              </w:rPr>
              <w:t>2</w:t>
            </w:r>
            <w:r>
              <w:rPr>
                <w:rFonts w:hint="default" w:ascii="Times New Roman" w:hAnsi="Times New Roman" w:cs="Times New Roman"/>
                <w:color w:val="FF0000"/>
                <w:sz w:val="24"/>
                <w:szCs w:val="24"/>
                <w:u w:val="wave"/>
                <w:lang w:val="zh-CN" w:eastAsia="zh-CN"/>
              </w:rPr>
              <w:t>000m</w:t>
            </w:r>
            <w:r>
              <w:rPr>
                <w:rFonts w:hint="default" w:ascii="Times New Roman" w:hAnsi="Times New Roman" w:cs="Times New Roman"/>
                <w:color w:val="FF0000"/>
                <w:sz w:val="24"/>
                <w:szCs w:val="24"/>
                <w:u w:val="wave"/>
                <w:vertAlign w:val="superscript"/>
                <w:lang w:val="zh-CN" w:eastAsia="zh-CN"/>
              </w:rPr>
              <w:t>3</w:t>
            </w:r>
            <w:r>
              <w:rPr>
                <w:rFonts w:hint="default" w:ascii="Times New Roman" w:hAnsi="Times New Roman" w:cs="Times New Roman"/>
                <w:color w:val="FF0000"/>
                <w:sz w:val="24"/>
                <w:szCs w:val="24"/>
                <w:u w:val="wave"/>
                <w:lang w:val="zh-CN" w:eastAsia="zh-CN"/>
              </w:rPr>
              <w:t>/h，则</w:t>
            </w:r>
            <w:r>
              <w:rPr>
                <w:rFonts w:hint="default" w:ascii="Times New Roman" w:hAnsi="Times New Roman" w:cs="Times New Roman"/>
                <w:color w:val="FF0000"/>
                <w:sz w:val="24"/>
                <w:szCs w:val="24"/>
                <w:u w:val="wave"/>
                <w:lang w:val="en-US" w:eastAsia="zh-CN"/>
              </w:rPr>
              <w:t>有组织有机废气排放量0.0007t/a，排放</w:t>
            </w:r>
            <w:r>
              <w:rPr>
                <w:rFonts w:hint="default" w:ascii="Times New Roman" w:hAnsi="Times New Roman" w:cs="Times New Roman"/>
                <w:color w:val="FF0000"/>
                <w:sz w:val="24"/>
                <w:szCs w:val="24"/>
                <w:u w:val="wave"/>
                <w:lang w:val="zh-CN" w:eastAsia="zh-CN"/>
              </w:rPr>
              <w:t>速率为0.00</w:t>
            </w:r>
            <w:r>
              <w:rPr>
                <w:rFonts w:hint="default" w:ascii="Times New Roman" w:hAnsi="Times New Roman" w:cs="Times New Roman"/>
                <w:color w:val="FF0000"/>
                <w:sz w:val="24"/>
                <w:szCs w:val="24"/>
                <w:u w:val="wave"/>
                <w:lang w:val="en-US" w:eastAsia="zh-CN"/>
              </w:rPr>
              <w:t>12</w:t>
            </w:r>
            <w:r>
              <w:rPr>
                <w:rFonts w:hint="default" w:ascii="Times New Roman" w:hAnsi="Times New Roman" w:cs="Times New Roman"/>
                <w:color w:val="FF0000"/>
                <w:sz w:val="24"/>
                <w:szCs w:val="24"/>
                <w:u w:val="wave"/>
                <w:lang w:val="zh-CN" w:eastAsia="zh-CN"/>
              </w:rPr>
              <w:t>kg/h，</w:t>
            </w:r>
            <w:r>
              <w:rPr>
                <w:rFonts w:hint="default" w:ascii="Times New Roman" w:hAnsi="Times New Roman" w:cs="Times New Roman"/>
                <w:color w:val="FF0000"/>
                <w:sz w:val="24"/>
                <w:szCs w:val="24"/>
                <w:u w:val="wave"/>
                <w:lang w:val="en-US" w:eastAsia="zh-CN"/>
              </w:rPr>
              <w:t>排放浓度为0.6mg/m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zh-CN" w:eastAsia="zh-CN"/>
              </w:rPr>
              <w:t>，无组织有机废气</w:t>
            </w:r>
            <w:r>
              <w:rPr>
                <w:rFonts w:hint="default" w:ascii="Times New Roman" w:hAnsi="Times New Roman" w:cs="Times New Roman"/>
                <w:color w:val="FF0000"/>
                <w:sz w:val="24"/>
                <w:szCs w:val="24"/>
                <w:u w:val="wave"/>
                <w:lang w:val="en-US" w:eastAsia="zh-CN"/>
              </w:rPr>
              <w:t>排放</w:t>
            </w:r>
            <w:r>
              <w:rPr>
                <w:rFonts w:hint="default" w:ascii="Times New Roman" w:hAnsi="Times New Roman" w:cs="Times New Roman"/>
                <w:color w:val="FF0000"/>
                <w:sz w:val="24"/>
                <w:szCs w:val="24"/>
                <w:u w:val="wave"/>
                <w:lang w:val="zh-CN" w:eastAsia="zh-CN"/>
              </w:rPr>
              <w:t>量为0.000</w:t>
            </w:r>
            <w:r>
              <w:rPr>
                <w:rFonts w:hint="default" w:ascii="Times New Roman" w:hAnsi="Times New Roman" w:cs="Times New Roman"/>
                <w:color w:val="FF0000"/>
                <w:sz w:val="24"/>
                <w:szCs w:val="24"/>
                <w:u w:val="wave"/>
                <w:lang w:val="en-US" w:eastAsia="zh-CN"/>
              </w:rPr>
              <w:t>2</w:t>
            </w:r>
            <w:r>
              <w:rPr>
                <w:rFonts w:hint="default" w:ascii="Times New Roman" w:hAnsi="Times New Roman" w:cs="Times New Roman"/>
                <w:color w:val="FF0000"/>
                <w:sz w:val="24"/>
                <w:szCs w:val="24"/>
                <w:u w:val="wave"/>
                <w:lang w:val="zh-CN" w:eastAsia="zh-CN"/>
              </w:rPr>
              <w:t>t/a，</w:t>
            </w:r>
            <w:r>
              <w:rPr>
                <w:rFonts w:hint="default" w:ascii="Times New Roman" w:hAnsi="Times New Roman" w:cs="Times New Roman"/>
                <w:color w:val="FF0000"/>
                <w:sz w:val="24"/>
                <w:szCs w:val="24"/>
                <w:u w:val="wave"/>
                <w:lang w:val="en-US" w:eastAsia="zh-CN"/>
              </w:rPr>
              <w:t>排放</w:t>
            </w:r>
            <w:r>
              <w:rPr>
                <w:rFonts w:hint="default" w:ascii="Times New Roman" w:hAnsi="Times New Roman" w:cs="Times New Roman"/>
                <w:color w:val="FF0000"/>
                <w:sz w:val="24"/>
                <w:szCs w:val="24"/>
                <w:u w:val="wave"/>
                <w:lang w:val="zh-CN" w:eastAsia="zh-CN"/>
              </w:rPr>
              <w:t>速率为0.000</w:t>
            </w:r>
            <w:r>
              <w:rPr>
                <w:rFonts w:hint="default" w:ascii="Times New Roman" w:hAnsi="Times New Roman" w:cs="Times New Roman"/>
                <w:color w:val="FF0000"/>
                <w:sz w:val="24"/>
                <w:szCs w:val="24"/>
                <w:u w:val="wave"/>
                <w:lang w:val="en-US" w:eastAsia="zh-CN"/>
              </w:rPr>
              <w:t>3</w:t>
            </w:r>
            <w:r>
              <w:rPr>
                <w:rFonts w:hint="default" w:ascii="Times New Roman" w:hAnsi="Times New Roman" w:cs="Times New Roman"/>
                <w:color w:val="FF0000"/>
                <w:sz w:val="24"/>
                <w:szCs w:val="24"/>
                <w:u w:val="wave"/>
                <w:lang w:val="zh-CN" w:eastAsia="zh-CN"/>
              </w:rPr>
              <w:t>kg/h。</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②碳化除油天然气燃烧烟气</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zh-CN" w:eastAsia="zh-CN"/>
              </w:rPr>
            </w:pPr>
            <w:r>
              <w:rPr>
                <w:rFonts w:hint="default" w:ascii="Times New Roman" w:hAnsi="Times New Roman" w:cs="Times New Roman"/>
                <w:color w:val="FF0000"/>
                <w:sz w:val="24"/>
                <w:szCs w:val="24"/>
                <w:u w:val="wave"/>
                <w:lang w:val="zh-CN" w:eastAsia="zh-CN"/>
              </w:rPr>
              <w:t>本项目碳化除油炉采用天然气作为燃料，燃烧</w:t>
            </w:r>
            <w:r>
              <w:rPr>
                <w:rFonts w:hint="default" w:ascii="Times New Roman" w:hAnsi="Times New Roman" w:cs="Times New Roman"/>
                <w:color w:val="FF0000"/>
                <w:sz w:val="24"/>
                <w:szCs w:val="24"/>
                <w:u w:val="wave"/>
                <w:lang w:val="en-US" w:eastAsia="zh-CN"/>
              </w:rPr>
              <w:t>烟气</w:t>
            </w:r>
            <w:r>
              <w:rPr>
                <w:rFonts w:hint="default" w:ascii="Times New Roman" w:hAnsi="Times New Roman" w:cs="Times New Roman"/>
                <w:color w:val="FF0000"/>
                <w:sz w:val="24"/>
                <w:szCs w:val="24"/>
                <w:u w:val="wave"/>
                <w:lang w:val="zh-CN" w:eastAsia="zh-CN"/>
              </w:rPr>
              <w:t>经管道收集后</w:t>
            </w:r>
            <w:r>
              <w:rPr>
                <w:rFonts w:hint="default" w:ascii="Times New Roman" w:hAnsi="Times New Roman" w:cs="Times New Roman"/>
                <w:color w:val="FF0000"/>
                <w:sz w:val="24"/>
                <w:szCs w:val="24"/>
                <w:u w:val="wave"/>
                <w:lang w:val="en-US" w:eastAsia="zh-CN"/>
              </w:rPr>
              <w:t>与碳化除油有机废气一道</w:t>
            </w:r>
            <w:r>
              <w:rPr>
                <w:rFonts w:hint="default" w:ascii="Times New Roman" w:hAnsi="Times New Roman" w:cs="Times New Roman"/>
                <w:color w:val="FF0000"/>
                <w:sz w:val="24"/>
                <w:szCs w:val="24"/>
                <w:u w:val="wave"/>
                <w:lang w:val="zh-CN" w:eastAsia="zh-CN"/>
              </w:rPr>
              <w:t>进入15m（DA00</w:t>
            </w:r>
            <w:r>
              <w:rPr>
                <w:rFonts w:hint="default" w:ascii="Times New Roman" w:hAnsi="Times New Roman" w:cs="Times New Roman"/>
                <w:color w:val="FF0000"/>
                <w:sz w:val="24"/>
                <w:szCs w:val="24"/>
                <w:u w:val="wave"/>
                <w:lang w:val="en-US" w:eastAsia="zh-CN"/>
              </w:rPr>
              <w:t>7</w:t>
            </w:r>
            <w:r>
              <w:rPr>
                <w:rFonts w:hint="default" w:ascii="Times New Roman" w:hAnsi="Times New Roman" w:cs="Times New Roman"/>
                <w:color w:val="FF0000"/>
                <w:sz w:val="24"/>
                <w:szCs w:val="24"/>
                <w:u w:val="wave"/>
                <w:lang w:val="zh-CN" w:eastAsia="zh-CN"/>
              </w:rPr>
              <w:t>）排气筒排放，天然气属于清洁能源，天然气燃烧时会产生烟</w:t>
            </w:r>
            <w:r>
              <w:rPr>
                <w:rFonts w:hint="default" w:ascii="Times New Roman" w:hAnsi="Times New Roman" w:cs="Times New Roman"/>
                <w:color w:val="FF0000"/>
                <w:sz w:val="24"/>
                <w:szCs w:val="24"/>
                <w:u w:val="wave"/>
                <w:lang w:val="en-US" w:eastAsia="zh-CN"/>
              </w:rPr>
              <w:t>尘</w:t>
            </w:r>
            <w:r>
              <w:rPr>
                <w:rFonts w:hint="default" w:ascii="Times New Roman" w:hAnsi="Times New Roman" w:cs="Times New Roman"/>
                <w:color w:val="FF0000"/>
                <w:sz w:val="24"/>
                <w:szCs w:val="24"/>
                <w:u w:val="wave"/>
                <w:lang w:val="zh-CN" w:eastAsia="zh-CN"/>
              </w:rPr>
              <w:t>、SO</w:t>
            </w:r>
            <w:r>
              <w:rPr>
                <w:rFonts w:hint="default" w:ascii="Times New Roman" w:hAnsi="Times New Roman" w:cs="Times New Roman"/>
                <w:color w:val="FF0000"/>
                <w:sz w:val="24"/>
                <w:szCs w:val="24"/>
                <w:u w:val="wave"/>
                <w:vertAlign w:val="subscript"/>
                <w:lang w:val="en-US" w:eastAsia="zh-CN"/>
              </w:rPr>
              <w:t>2</w:t>
            </w:r>
            <w:r>
              <w:rPr>
                <w:rFonts w:hint="default" w:ascii="Times New Roman" w:hAnsi="Times New Roman" w:cs="Times New Roman"/>
                <w:color w:val="FF0000"/>
                <w:sz w:val="24"/>
                <w:szCs w:val="24"/>
                <w:u w:val="wave"/>
                <w:lang w:val="zh-CN" w:eastAsia="zh-CN"/>
              </w:rPr>
              <w:t>、NOx。</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参照</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排放源统计调查产排污核算方法和系数</w:t>
            </w:r>
            <w:r>
              <w:rPr>
                <w:rFonts w:hint="default" w:ascii="Times New Roman" w:hAnsi="Times New Roman" w:cs="Times New Roman"/>
                <w:color w:val="FF0000"/>
                <w:sz w:val="24"/>
                <w:szCs w:val="24"/>
                <w:u w:val="wave"/>
              </w:rPr>
              <w:t>手册</w:t>
            </w:r>
            <w:r>
              <w:rPr>
                <w:rFonts w:hint="default" w:ascii="Times New Roman" w:hAnsi="Times New Roman" w:cs="Times New Roman"/>
                <w:color w:val="FF0000"/>
                <w:sz w:val="24"/>
                <w:szCs w:val="24"/>
                <w:u w:val="wave"/>
                <w:lang w:val="en-US" w:eastAsia="zh-CN"/>
              </w:rPr>
              <w:t xml:space="preserve"> 4430 工业锅炉（热力供应）行业系数手册</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可知，</w:t>
            </w:r>
            <w:r>
              <w:rPr>
                <w:rFonts w:hint="default" w:ascii="Times New Roman" w:hAnsi="Times New Roman" w:cs="Times New Roman"/>
                <w:color w:val="FF0000"/>
                <w:sz w:val="24"/>
                <w:szCs w:val="24"/>
                <w:u w:val="wave"/>
              </w:rPr>
              <w:t>天然气燃烧</w:t>
            </w:r>
            <w:r>
              <w:rPr>
                <w:rFonts w:hint="default" w:ascii="Times New Roman" w:hAnsi="Times New Roman" w:cs="Times New Roman"/>
                <w:color w:val="FF0000"/>
                <w:sz w:val="24"/>
                <w:szCs w:val="24"/>
                <w:u w:val="wave"/>
                <w:lang w:val="en-US" w:eastAsia="zh-CN"/>
              </w:rPr>
              <w:t>烟气量为107753</w:t>
            </w:r>
            <w:r>
              <w:rPr>
                <w:rFonts w:hint="default" w:ascii="Times New Roman" w:hAnsi="Times New Roman" w:cs="Times New Roman"/>
                <w:color w:val="FF0000"/>
                <w:sz w:val="24"/>
                <w:szCs w:val="24"/>
                <w:u w:val="wave"/>
              </w:rPr>
              <w:t>Nm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rPr>
              <w:t>/万m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参照</w:t>
            </w:r>
            <w:r>
              <w:rPr>
                <w:rFonts w:hint="default" w:ascii="Times New Roman" w:hAnsi="Times New Roman" w:cs="Times New Roman"/>
                <w:color w:val="FF0000"/>
                <w:sz w:val="24"/>
                <w:szCs w:val="24"/>
                <w:u w:val="wave"/>
              </w:rPr>
              <w:t>《排污许可证申请与核发技术规范</w:t>
            </w:r>
            <w:r>
              <w:rPr>
                <w:rFonts w:hint="default" w:ascii="Times New Roman" w:hAnsi="Times New Roman" w:cs="Times New Roman"/>
                <w:color w:val="FF0000"/>
                <w:sz w:val="24"/>
                <w:szCs w:val="24"/>
                <w:u w:val="wave"/>
                <w:lang w:val="en-US" w:eastAsia="zh-CN"/>
              </w:rPr>
              <w:t xml:space="preserve"> </w:t>
            </w:r>
            <w:r>
              <w:rPr>
                <w:rFonts w:hint="default" w:ascii="Times New Roman" w:hAnsi="Times New Roman" w:cs="Times New Roman"/>
                <w:color w:val="FF0000"/>
                <w:sz w:val="24"/>
                <w:szCs w:val="24"/>
                <w:u w:val="wave"/>
              </w:rPr>
              <w:t>锅炉》（HJ953-2018）</w:t>
            </w:r>
            <w:r>
              <w:rPr>
                <w:rFonts w:hint="eastAsia" w:asciiTheme="majorEastAsia" w:hAnsiTheme="majorEastAsia" w:eastAsiaTheme="majorEastAsia" w:cstheme="majorEastAsia"/>
                <w:color w:val="FF0000"/>
                <w:sz w:val="24"/>
                <w:szCs w:val="24"/>
                <w:u w:val="wave"/>
              </w:rPr>
              <w:t>“</w:t>
            </w:r>
            <w:r>
              <w:rPr>
                <w:rFonts w:hint="default" w:ascii="Times New Roman" w:hAnsi="Times New Roman" w:cs="Times New Roman"/>
                <w:color w:val="FF0000"/>
                <w:sz w:val="24"/>
                <w:szCs w:val="24"/>
                <w:u w:val="wave"/>
              </w:rPr>
              <w:t>附表F.3 燃气工业锅炉的废气产排污系数</w:t>
            </w:r>
            <w:r>
              <w:rPr>
                <w:rFonts w:hint="eastAsia" w:asciiTheme="majorEastAsia" w:hAnsiTheme="majorEastAsia" w:eastAsiaTheme="majorEastAsia" w:cstheme="majorEastAsia"/>
                <w:color w:val="FF0000"/>
                <w:sz w:val="24"/>
                <w:szCs w:val="24"/>
                <w:u w:val="wave"/>
                <w:lang w:eastAsia="zh-CN"/>
              </w:rPr>
              <w:t>”</w:t>
            </w:r>
            <w:r>
              <w:rPr>
                <w:rFonts w:hint="default" w:ascii="Times New Roman" w:hAnsi="Times New Roman" w:cs="Times New Roman"/>
                <w:color w:val="FF0000"/>
                <w:sz w:val="24"/>
                <w:szCs w:val="24"/>
                <w:u w:val="wave"/>
                <w:lang w:val="en-US" w:eastAsia="zh-CN"/>
              </w:rPr>
              <w:t>可知</w:t>
            </w:r>
            <w:r>
              <w:rPr>
                <w:rFonts w:hint="default" w:ascii="Times New Roman" w:hAnsi="Times New Roman" w:cs="Times New Roman"/>
                <w:color w:val="FF0000"/>
                <w:sz w:val="24"/>
                <w:szCs w:val="24"/>
                <w:u w:val="wave"/>
              </w:rPr>
              <w:t>，天然气</w:t>
            </w:r>
            <w:r>
              <w:rPr>
                <w:rFonts w:hint="default" w:ascii="Times New Roman" w:hAnsi="Times New Roman" w:cs="Times New Roman"/>
                <w:color w:val="FF0000"/>
                <w:sz w:val="24"/>
                <w:szCs w:val="24"/>
                <w:u w:val="wave"/>
                <w:lang w:val="en-US" w:eastAsia="zh-CN"/>
              </w:rPr>
              <w:t>燃烧</w:t>
            </w:r>
            <w:r>
              <w:rPr>
                <w:rFonts w:hint="default" w:ascii="Times New Roman" w:hAnsi="Times New Roman" w:cs="Times New Roman"/>
                <w:color w:val="FF0000"/>
                <w:sz w:val="24"/>
                <w:szCs w:val="24"/>
                <w:u w:val="wave"/>
              </w:rPr>
              <w:t>烟气</w:t>
            </w:r>
            <w:r>
              <w:rPr>
                <w:rFonts w:hint="default" w:ascii="Times New Roman" w:hAnsi="Times New Roman" w:cs="Times New Roman"/>
                <w:color w:val="FF0000"/>
                <w:sz w:val="24"/>
                <w:szCs w:val="24"/>
                <w:u w:val="wave"/>
                <w:lang w:val="zh-CN" w:eastAsia="zh-CN"/>
              </w:rPr>
              <w:t>SO</w:t>
            </w:r>
            <w:r>
              <w:rPr>
                <w:rFonts w:hint="default" w:ascii="Times New Roman" w:hAnsi="Times New Roman" w:cs="Times New Roman"/>
                <w:color w:val="FF0000"/>
                <w:sz w:val="24"/>
                <w:szCs w:val="24"/>
                <w:u w:val="wave"/>
                <w:vertAlign w:val="subscript"/>
                <w:lang w:val="en-US" w:eastAsia="zh-CN"/>
              </w:rPr>
              <w:t>2</w:t>
            </w:r>
            <w:r>
              <w:rPr>
                <w:rFonts w:hint="default" w:ascii="Times New Roman" w:hAnsi="Times New Roman" w:cs="Times New Roman"/>
                <w:color w:val="FF0000"/>
                <w:sz w:val="24"/>
                <w:szCs w:val="24"/>
                <w:u w:val="wave"/>
                <w:lang w:val="zh-CN" w:eastAsia="zh-CN"/>
              </w:rPr>
              <w:t>、NOx</w:t>
            </w:r>
            <w:r>
              <w:rPr>
                <w:rFonts w:hint="default" w:ascii="Times New Roman" w:hAnsi="Times New Roman" w:cs="Times New Roman"/>
                <w:color w:val="FF0000"/>
                <w:sz w:val="24"/>
                <w:szCs w:val="24"/>
                <w:u w:val="wave"/>
                <w:lang w:val="en-US" w:eastAsia="zh-CN"/>
              </w:rPr>
              <w:t>、烟尘</w:t>
            </w:r>
            <w:r>
              <w:rPr>
                <w:rFonts w:hint="default" w:ascii="Times New Roman" w:hAnsi="Times New Roman" w:cs="Times New Roman"/>
                <w:color w:val="FF0000"/>
                <w:sz w:val="24"/>
                <w:szCs w:val="24"/>
                <w:u w:val="wave"/>
              </w:rPr>
              <w:t>的产污系数</w:t>
            </w:r>
            <w:r>
              <w:rPr>
                <w:rFonts w:hint="default" w:ascii="Times New Roman" w:hAnsi="Times New Roman" w:cs="Times New Roman"/>
                <w:color w:val="FF0000"/>
                <w:sz w:val="24"/>
                <w:szCs w:val="24"/>
                <w:u w:val="wave"/>
                <w:lang w:val="en-US" w:eastAsia="zh-CN"/>
              </w:rPr>
              <w:t>如下：</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rPr>
              <w:t>SO</w:t>
            </w:r>
            <w:r>
              <w:rPr>
                <w:rFonts w:hint="default" w:ascii="Times New Roman" w:hAnsi="Times New Roman" w:cs="Times New Roman"/>
                <w:color w:val="FF0000"/>
                <w:sz w:val="24"/>
                <w:szCs w:val="24"/>
                <w:u w:val="wave"/>
                <w:vertAlign w:val="subscript"/>
              </w:rPr>
              <w:t>2</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w:t>
            </w:r>
            <w:r>
              <w:rPr>
                <w:rFonts w:hint="default" w:ascii="Times New Roman" w:hAnsi="Times New Roman" w:cs="Times New Roman"/>
                <w:color w:val="FF0000"/>
                <w:sz w:val="24"/>
                <w:szCs w:val="24"/>
                <w:u w:val="wave"/>
              </w:rPr>
              <w:t>SO</w:t>
            </w:r>
            <w:r>
              <w:rPr>
                <w:rFonts w:hint="default" w:ascii="Times New Roman" w:hAnsi="Times New Roman" w:cs="Times New Roman"/>
                <w:color w:val="FF0000"/>
                <w:sz w:val="24"/>
                <w:szCs w:val="24"/>
                <w:u w:val="wave"/>
                <w:vertAlign w:val="subscript"/>
              </w:rPr>
              <w:t>2</w:t>
            </w:r>
            <w:r>
              <w:rPr>
                <w:rFonts w:hint="default" w:ascii="Times New Roman" w:hAnsi="Times New Roman" w:cs="Times New Roman"/>
                <w:color w:val="FF0000"/>
                <w:sz w:val="24"/>
                <w:szCs w:val="24"/>
                <w:u w:val="wave"/>
                <w:lang w:val="en-US" w:eastAsia="zh-CN"/>
              </w:rPr>
              <w:t>=0.02s=4</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-燃料（S含硫量，本项目取60）；</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lang w:val="en-US" w:eastAsia="zh-CN"/>
              </w:rPr>
              <w:t>=9.36</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烟尘</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G烟尘=2.86</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color w:val="FF0000"/>
                <w:sz w:val="24"/>
                <w:szCs w:val="24"/>
                <w:u w:val="wave"/>
                <w:lang w:val="en-US"/>
              </w:rPr>
            </w:pPr>
            <w:r>
              <w:rPr>
                <w:rFonts w:hint="default" w:ascii="Times New Roman" w:hAnsi="Times New Roman" w:cs="Times New Roman"/>
                <w:color w:val="FF0000"/>
                <w:sz w:val="24"/>
                <w:szCs w:val="24"/>
                <w:u w:val="wave"/>
                <w:lang w:val="en-US" w:eastAsia="zh-CN"/>
              </w:rPr>
              <w:t>根据建设单位提供的资料</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项目</w:t>
            </w:r>
            <w:r>
              <w:rPr>
                <w:rFonts w:hint="default" w:ascii="Times New Roman" w:hAnsi="Times New Roman" w:cs="Times New Roman"/>
                <w:color w:val="FF0000"/>
                <w:sz w:val="24"/>
                <w:szCs w:val="24"/>
                <w:u w:val="wave"/>
                <w:lang w:val="zh-CN" w:eastAsia="zh-CN"/>
              </w:rPr>
              <w:t>碳化除油炉</w:t>
            </w:r>
            <w:r>
              <w:rPr>
                <w:rFonts w:hint="default" w:ascii="Times New Roman" w:hAnsi="Times New Roman" w:cs="Times New Roman"/>
                <w:color w:val="FF0000"/>
                <w:sz w:val="24"/>
                <w:szCs w:val="24"/>
                <w:u w:val="wave"/>
                <w:lang w:val="en-US" w:eastAsia="zh-CN"/>
              </w:rPr>
              <w:t>每天工作2h（600h/a）</w:t>
            </w:r>
            <w:r>
              <w:rPr>
                <w:rFonts w:hint="default" w:ascii="Times New Roman" w:hAnsi="Times New Roman" w:cs="Times New Roman"/>
                <w:color w:val="FF0000"/>
                <w:sz w:val="24"/>
                <w:szCs w:val="24"/>
                <w:u w:val="wave"/>
                <w:lang w:val="zh-CN" w:eastAsia="zh-CN"/>
              </w:rPr>
              <w:t>，天然气消耗量约</w:t>
            </w:r>
            <w:r>
              <w:rPr>
                <w:rFonts w:hint="default" w:ascii="Times New Roman" w:hAnsi="Times New Roman" w:cs="Times New Roman"/>
                <w:color w:val="FF0000"/>
                <w:sz w:val="24"/>
                <w:szCs w:val="24"/>
                <w:u w:val="wave"/>
                <w:lang w:val="en-US" w:eastAsia="zh-CN"/>
              </w:rPr>
              <w:t>20</w:t>
            </w:r>
            <w:r>
              <w:rPr>
                <w:rFonts w:hint="default" w:ascii="Times New Roman" w:hAnsi="Times New Roman" w:cs="Times New Roman"/>
                <w:color w:val="FF0000"/>
                <w:sz w:val="24"/>
                <w:szCs w:val="24"/>
                <w:u w:val="wave"/>
                <w:lang w:val="zh-CN" w:eastAsia="zh-CN"/>
              </w:rPr>
              <w:t>m</w:t>
            </w:r>
            <w:r>
              <w:rPr>
                <w:rFonts w:hint="default" w:ascii="Times New Roman" w:hAnsi="Times New Roman" w:cs="Times New Roman"/>
                <w:color w:val="FF0000"/>
                <w:sz w:val="24"/>
                <w:szCs w:val="24"/>
                <w:u w:val="wave"/>
                <w:vertAlign w:val="superscript"/>
                <w:lang w:val="zh-CN" w:eastAsia="zh-CN"/>
              </w:rPr>
              <w:t>3</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h</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1.2</w:t>
            </w:r>
            <w:r>
              <w:rPr>
                <w:rFonts w:hint="default" w:ascii="Times New Roman" w:hAnsi="Times New Roman" w:cs="Times New Roman"/>
                <w:color w:val="FF0000"/>
                <w:sz w:val="24"/>
                <w:szCs w:val="24"/>
                <w:u w:val="wave"/>
                <w:lang w:val="zh-CN" w:eastAsia="zh-CN"/>
              </w:rPr>
              <w:t>万m</w:t>
            </w:r>
            <w:r>
              <w:rPr>
                <w:rFonts w:hint="default" w:ascii="Times New Roman" w:hAnsi="Times New Roman" w:cs="Times New Roman"/>
                <w:color w:val="FF0000"/>
                <w:sz w:val="24"/>
                <w:szCs w:val="24"/>
                <w:u w:val="wave"/>
                <w:vertAlign w:val="superscript"/>
                <w:lang w:val="zh-CN" w:eastAsia="zh-CN"/>
              </w:rPr>
              <w:t>3</w:t>
            </w:r>
            <w:r>
              <w:rPr>
                <w:rFonts w:hint="default" w:ascii="Times New Roman" w:hAnsi="Times New Roman" w:cs="Times New Roman"/>
                <w:color w:val="FF0000"/>
                <w:sz w:val="24"/>
                <w:szCs w:val="24"/>
                <w:u w:val="wave"/>
                <w:lang w:val="zh-CN" w:eastAsia="zh-CN"/>
              </w:rPr>
              <w:t>/a），</w:t>
            </w:r>
            <w:r>
              <w:rPr>
                <w:rFonts w:hint="default" w:ascii="Times New Roman" w:hAnsi="Times New Roman" w:cs="Times New Roman"/>
                <w:color w:val="FF0000"/>
                <w:sz w:val="24"/>
                <w:szCs w:val="24"/>
                <w:u w:val="wave"/>
                <w:lang w:val="en-US" w:eastAsia="zh-CN"/>
              </w:rPr>
              <w:t>则碳化除油天然气燃烧烟气量为129303.6</w:t>
            </w:r>
            <w:r>
              <w:rPr>
                <w:rFonts w:hint="default" w:ascii="Times New Roman" w:hAnsi="Times New Roman" w:cs="Times New Roman"/>
                <w:color w:val="FF0000"/>
                <w:sz w:val="24"/>
                <w:szCs w:val="24"/>
                <w:u w:val="wave"/>
              </w:rPr>
              <w:t>Nm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/a</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215.506m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/h</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碳化除油天然气燃烧烟气各污染物产、排情况见表4-1。</w:t>
            </w:r>
          </w:p>
          <w:p>
            <w:pPr>
              <w:adjustRightInd w:val="0"/>
              <w:snapToGrid w:val="0"/>
              <w:spacing w:beforeLines="50"/>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表4</w:t>
            </w:r>
            <w:r>
              <w:rPr>
                <w:rFonts w:hint="default" w:ascii="Times New Roman" w:hAnsi="Times New Roman" w:cs="Times New Roman"/>
                <w:b/>
                <w:bCs/>
                <w:color w:val="FF0000"/>
                <w:sz w:val="21"/>
                <w:szCs w:val="21"/>
                <w:u w:val="wave"/>
                <w:lang w:val="en-US" w:eastAsia="zh-CN"/>
              </w:rPr>
              <w:t>-1</w:t>
            </w:r>
            <w:r>
              <w:rPr>
                <w:rFonts w:hint="default" w:ascii="Times New Roman" w:hAnsi="Times New Roman" w:cs="Times New Roman"/>
                <w:b/>
                <w:bCs/>
                <w:color w:val="FF0000"/>
                <w:sz w:val="21"/>
                <w:szCs w:val="21"/>
                <w:u w:val="wave"/>
              </w:rPr>
              <w:t xml:space="preserve"> </w:t>
            </w:r>
            <w:r>
              <w:rPr>
                <w:rFonts w:hint="default" w:ascii="Times New Roman" w:hAnsi="Times New Roman" w:cs="Times New Roman"/>
                <w:b/>
                <w:bCs/>
                <w:color w:val="FF0000"/>
                <w:sz w:val="21"/>
                <w:szCs w:val="21"/>
                <w:u w:val="wave"/>
                <w:lang w:val="en-US" w:eastAsia="zh-CN"/>
              </w:rPr>
              <w:t xml:space="preserve"> 碳化除油</w:t>
            </w:r>
            <w:r>
              <w:rPr>
                <w:rFonts w:hint="default" w:ascii="Times New Roman" w:hAnsi="Times New Roman" w:cs="Times New Roman"/>
                <w:b/>
                <w:bCs/>
                <w:color w:val="FF0000"/>
                <w:sz w:val="21"/>
                <w:szCs w:val="21"/>
                <w:u w:val="wave"/>
              </w:rPr>
              <w:t>天然气燃烧废气产生、排放情况一览表</w:t>
            </w:r>
          </w:p>
          <w:tbl>
            <w:tblPr>
              <w:tblStyle w:val="25"/>
              <w:tblW w:w="499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41"/>
              <w:gridCol w:w="1507"/>
              <w:gridCol w:w="1918"/>
              <w:gridCol w:w="1274"/>
              <w:gridCol w:w="1629"/>
              <w:gridCol w:w="191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restar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污染物名称</w:t>
                  </w:r>
                </w:p>
              </w:tc>
              <w:tc>
                <w:tcPr>
                  <w:tcW w:w="1825" w:type="pct"/>
                  <w:gridSpan w:val="2"/>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产生情况</w:t>
                  </w:r>
                </w:p>
              </w:tc>
              <w:tc>
                <w:tcPr>
                  <w:tcW w:w="679" w:type="pct"/>
                  <w:vMerge w:val="restar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处理设施</w:t>
                  </w:r>
                </w:p>
              </w:tc>
              <w:tc>
                <w:tcPr>
                  <w:tcW w:w="1886" w:type="pct"/>
                  <w:gridSpan w:val="2"/>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continue"/>
                  <w:vAlign w:val="center"/>
                </w:tcPr>
                <w:p>
                  <w:pPr>
                    <w:pStyle w:val="2"/>
                    <w:jc w:val="center"/>
                    <w:rPr>
                      <w:rFonts w:hint="default" w:ascii="Times New Roman" w:hAnsi="Times New Roman" w:cs="Times New Roman"/>
                      <w:b/>
                      <w:bCs/>
                      <w:color w:val="FF0000"/>
                      <w:sz w:val="21"/>
                      <w:szCs w:val="21"/>
                      <w:u w:val="wave"/>
                    </w:rPr>
                  </w:pPr>
                </w:p>
              </w:tc>
              <w:tc>
                <w:tcPr>
                  <w:tcW w:w="803" w:type="pc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产生量（</w:t>
                  </w:r>
                  <w:r>
                    <w:rPr>
                      <w:rFonts w:hint="default" w:ascii="Times New Roman" w:hAnsi="Times New Roman" w:cs="Times New Roman"/>
                      <w:b/>
                      <w:bCs/>
                      <w:color w:val="FF0000"/>
                      <w:sz w:val="21"/>
                      <w:szCs w:val="21"/>
                      <w:u w:val="wave"/>
                      <w:lang w:val="en-US" w:eastAsia="zh-CN"/>
                    </w:rPr>
                    <w:t>kg</w:t>
                  </w:r>
                  <w:r>
                    <w:rPr>
                      <w:rFonts w:hint="default" w:ascii="Times New Roman" w:hAnsi="Times New Roman" w:cs="Times New Roman"/>
                      <w:b/>
                      <w:bCs/>
                      <w:color w:val="FF0000"/>
                      <w:sz w:val="21"/>
                      <w:szCs w:val="21"/>
                      <w:u w:val="wave"/>
                    </w:rPr>
                    <w:t>/a）</w:t>
                  </w:r>
                </w:p>
              </w:tc>
              <w:tc>
                <w:tcPr>
                  <w:tcW w:w="1022" w:type="pc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产生浓度（mg/m</w:t>
                  </w:r>
                  <w:r>
                    <w:rPr>
                      <w:rFonts w:hint="default" w:ascii="Times New Roman" w:hAnsi="Times New Roman" w:cs="Times New Roman"/>
                      <w:b/>
                      <w:bCs/>
                      <w:color w:val="FF0000"/>
                      <w:sz w:val="21"/>
                      <w:szCs w:val="21"/>
                      <w:u w:val="wave"/>
                      <w:vertAlign w:val="superscript"/>
                    </w:rPr>
                    <w:t>3</w:t>
                  </w:r>
                  <w:r>
                    <w:rPr>
                      <w:rFonts w:hint="default" w:ascii="Times New Roman" w:hAnsi="Times New Roman" w:cs="Times New Roman"/>
                      <w:b/>
                      <w:bCs/>
                      <w:color w:val="FF0000"/>
                      <w:sz w:val="21"/>
                      <w:szCs w:val="21"/>
                      <w:u w:val="wave"/>
                    </w:rPr>
                    <w:t>）</w:t>
                  </w:r>
                </w:p>
              </w:tc>
              <w:tc>
                <w:tcPr>
                  <w:tcW w:w="679" w:type="pct"/>
                  <w:vMerge w:val="continue"/>
                  <w:vAlign w:val="center"/>
                </w:tcPr>
                <w:p>
                  <w:pPr>
                    <w:pStyle w:val="2"/>
                    <w:jc w:val="center"/>
                    <w:rPr>
                      <w:rFonts w:hint="default" w:ascii="Times New Roman" w:hAnsi="Times New Roman" w:cs="Times New Roman"/>
                      <w:b/>
                      <w:bCs/>
                      <w:color w:val="FF0000"/>
                      <w:sz w:val="21"/>
                      <w:szCs w:val="21"/>
                      <w:u w:val="wave"/>
                    </w:rPr>
                  </w:pPr>
                </w:p>
              </w:tc>
              <w:tc>
                <w:tcPr>
                  <w:tcW w:w="868" w:type="pc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量（</w:t>
                  </w:r>
                  <w:r>
                    <w:rPr>
                      <w:rFonts w:hint="default" w:ascii="Times New Roman" w:hAnsi="Times New Roman" w:cs="Times New Roman"/>
                      <w:b/>
                      <w:bCs/>
                      <w:color w:val="FF0000"/>
                      <w:sz w:val="21"/>
                      <w:szCs w:val="21"/>
                      <w:u w:val="wave"/>
                      <w:lang w:val="en-US" w:eastAsia="zh-CN"/>
                    </w:rPr>
                    <w:t>kg</w:t>
                  </w:r>
                  <w:r>
                    <w:rPr>
                      <w:rFonts w:hint="default" w:ascii="Times New Roman" w:hAnsi="Times New Roman" w:cs="Times New Roman"/>
                      <w:b/>
                      <w:bCs/>
                      <w:color w:val="FF0000"/>
                      <w:sz w:val="21"/>
                      <w:szCs w:val="21"/>
                      <w:u w:val="wave"/>
                    </w:rPr>
                    <w:t>/a）</w:t>
                  </w:r>
                </w:p>
              </w:tc>
              <w:tc>
                <w:tcPr>
                  <w:tcW w:w="1018" w:type="pc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浓度（mg/m</w:t>
                  </w:r>
                  <w:r>
                    <w:rPr>
                      <w:rFonts w:hint="default" w:ascii="Times New Roman" w:hAnsi="Times New Roman" w:cs="Times New Roman"/>
                      <w:b/>
                      <w:bCs/>
                      <w:color w:val="FF0000"/>
                      <w:sz w:val="21"/>
                      <w:szCs w:val="21"/>
                      <w:u w:val="wave"/>
                      <w:vertAlign w:val="superscript"/>
                    </w:rPr>
                    <w:t>3</w:t>
                  </w:r>
                  <w:r>
                    <w:rPr>
                      <w:rFonts w:hint="default" w:ascii="Times New Roman" w:hAnsi="Times New Roman" w:cs="Times New Roman"/>
                      <w:b/>
                      <w:bCs/>
                      <w:color w:val="FF0000"/>
                      <w:sz w:val="21"/>
                      <w:szCs w:val="21"/>
                      <w:u w:val="wave"/>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SO</w:t>
                  </w:r>
                  <w:r>
                    <w:rPr>
                      <w:rFonts w:hint="default" w:ascii="Times New Roman" w:hAnsi="Times New Roman" w:cs="Times New Roman"/>
                      <w:color w:val="FF0000"/>
                      <w:sz w:val="21"/>
                      <w:szCs w:val="21"/>
                      <w:u w:val="wave"/>
                      <w:vertAlign w:val="subscript"/>
                    </w:rPr>
                    <w:t>2</w:t>
                  </w:r>
                </w:p>
              </w:tc>
              <w:tc>
                <w:tcPr>
                  <w:tcW w:w="803"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1.44</w:t>
                  </w:r>
                </w:p>
              </w:tc>
              <w:tc>
                <w:tcPr>
                  <w:tcW w:w="1022"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11.14</w:t>
                  </w:r>
                </w:p>
              </w:tc>
              <w:tc>
                <w:tcPr>
                  <w:tcW w:w="679" w:type="pct"/>
                  <w:vMerge w:val="restar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经15m（DA007）排气筒排放</w:t>
                  </w:r>
                </w:p>
              </w:tc>
              <w:tc>
                <w:tcPr>
                  <w:tcW w:w="86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1.44</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11.14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氮氧化物</w:t>
                  </w:r>
                </w:p>
              </w:tc>
              <w:tc>
                <w:tcPr>
                  <w:tcW w:w="803"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11.232</w:t>
                  </w:r>
                </w:p>
              </w:tc>
              <w:tc>
                <w:tcPr>
                  <w:tcW w:w="1022"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86.87</w:t>
                  </w:r>
                </w:p>
              </w:tc>
              <w:tc>
                <w:tcPr>
                  <w:tcW w:w="679" w:type="pct"/>
                  <w:vMerge w:val="continue"/>
                  <w:vAlign w:val="center"/>
                </w:tcPr>
                <w:p>
                  <w:pPr>
                    <w:pStyle w:val="2"/>
                    <w:jc w:val="center"/>
                    <w:rPr>
                      <w:rFonts w:hint="default" w:ascii="Times New Roman" w:hAnsi="Times New Roman" w:cs="Times New Roman"/>
                      <w:color w:val="FF0000"/>
                      <w:sz w:val="21"/>
                      <w:szCs w:val="21"/>
                      <w:u w:val="wave"/>
                      <w:lang w:val="en-US" w:eastAsia="zh-CN"/>
                    </w:rPr>
                  </w:pPr>
                </w:p>
              </w:tc>
              <w:tc>
                <w:tcPr>
                  <w:tcW w:w="86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11.232</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86.87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烟尘</w:t>
                  </w:r>
                </w:p>
              </w:tc>
              <w:tc>
                <w:tcPr>
                  <w:tcW w:w="803"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3.432</w:t>
                  </w:r>
                </w:p>
              </w:tc>
              <w:tc>
                <w:tcPr>
                  <w:tcW w:w="1022"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26.54</w:t>
                  </w:r>
                </w:p>
              </w:tc>
              <w:tc>
                <w:tcPr>
                  <w:tcW w:w="679" w:type="pct"/>
                  <w:vMerge w:val="continue"/>
                  <w:vAlign w:val="center"/>
                </w:tcPr>
                <w:p>
                  <w:pPr>
                    <w:pStyle w:val="2"/>
                    <w:jc w:val="center"/>
                    <w:rPr>
                      <w:rFonts w:hint="default" w:ascii="Times New Roman" w:hAnsi="Times New Roman" w:cs="Times New Roman"/>
                      <w:color w:val="FF0000"/>
                      <w:sz w:val="21"/>
                      <w:szCs w:val="21"/>
                      <w:u w:val="wave"/>
                      <w:lang w:val="en-US" w:eastAsia="zh-CN"/>
                    </w:rPr>
                  </w:pPr>
                </w:p>
              </w:tc>
              <w:tc>
                <w:tcPr>
                  <w:tcW w:w="86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3.432</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26.54</w:t>
                  </w:r>
                </w:p>
              </w:tc>
            </w:tr>
          </w:tbl>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zh-CN" w:eastAsia="zh-CN"/>
              </w:rPr>
            </w:pPr>
            <w:r>
              <w:rPr>
                <w:rFonts w:hint="default" w:ascii="Times New Roman" w:hAnsi="Times New Roman" w:cs="Times New Roman"/>
                <w:color w:val="FF0000"/>
                <w:sz w:val="24"/>
                <w:szCs w:val="24"/>
                <w:u w:val="wave"/>
                <w:lang w:val="en-US" w:eastAsia="zh-CN"/>
              </w:rPr>
              <w:t>综上可知，项目碳化除油过程中SO</w:t>
            </w:r>
            <w:r>
              <w:rPr>
                <w:rFonts w:hint="default" w:ascii="Times New Roman" w:hAnsi="Times New Roman" w:cs="Times New Roman"/>
                <w:color w:val="FF0000"/>
                <w:sz w:val="24"/>
                <w:szCs w:val="24"/>
                <w:u w:val="wave"/>
                <w:vertAlign w:val="subscript"/>
                <w:lang w:val="en-US" w:eastAsia="zh-CN"/>
              </w:rPr>
              <w:t>2</w:t>
            </w:r>
            <w:r>
              <w:rPr>
                <w:rFonts w:hint="default" w:ascii="Times New Roman" w:hAnsi="Times New Roman" w:cs="Times New Roman"/>
                <w:color w:val="FF0000"/>
                <w:sz w:val="24"/>
                <w:szCs w:val="24"/>
                <w:u w:val="wave"/>
                <w:lang w:val="en-US" w:eastAsia="zh-CN"/>
              </w:rPr>
              <w:t>排放量为1.44kg/a（0.002kg/h），排放浓度为11.14mg/m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lang w:val="en-US" w:eastAsia="zh-CN"/>
              </w:rPr>
              <w:t>排放量为11.23kg/a（0.019kg/h），排放浓度为86.87mg/m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；烟尘排放量为3.432kg/a（0.006kg/h），排放浓度为26.54mg/m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；有机废气</w:t>
            </w:r>
            <w:r>
              <w:rPr>
                <w:rFonts w:hint="default" w:ascii="Times New Roman" w:hAnsi="Times New Roman" w:cs="Times New Roman"/>
                <w:color w:val="FF0000"/>
                <w:sz w:val="24"/>
                <w:szCs w:val="24"/>
                <w:u w:val="wave"/>
                <w:lang w:val="zh-CN" w:eastAsia="zh-CN"/>
              </w:rPr>
              <w:t>VOCs</w:t>
            </w:r>
            <w:r>
              <w:rPr>
                <w:rFonts w:hint="default" w:ascii="Times New Roman" w:hAnsi="Times New Roman" w:cs="Times New Roman"/>
                <w:color w:val="FF0000"/>
                <w:sz w:val="24"/>
                <w:szCs w:val="24"/>
                <w:u w:val="wave"/>
                <w:lang w:val="en-US" w:eastAsia="zh-CN"/>
              </w:rPr>
              <w:t>排放量为0.0007t/a（0.0012kg/h），排放浓度为0.6mg/m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废气经管道收集后，经1套光解式复合油烟净化器处理后经</w:t>
            </w:r>
            <w:r>
              <w:rPr>
                <w:rFonts w:hint="default" w:ascii="Times New Roman" w:hAnsi="Times New Roman" w:cs="Times New Roman"/>
                <w:color w:val="FF0000"/>
                <w:sz w:val="24"/>
                <w:szCs w:val="24"/>
                <w:u w:val="wave"/>
                <w:lang w:val="zh-CN" w:eastAsia="zh-CN"/>
              </w:rPr>
              <w:t>15m排气筒（DA00</w:t>
            </w:r>
            <w:r>
              <w:rPr>
                <w:rFonts w:hint="default" w:ascii="Times New Roman" w:hAnsi="Times New Roman" w:cs="Times New Roman"/>
                <w:color w:val="FF0000"/>
                <w:sz w:val="24"/>
                <w:szCs w:val="24"/>
                <w:u w:val="wave"/>
                <w:lang w:val="en-US" w:eastAsia="zh-CN"/>
              </w:rPr>
              <w:t>7</w:t>
            </w:r>
            <w:r>
              <w:rPr>
                <w:rFonts w:hint="default" w:ascii="Times New Roman" w:hAnsi="Times New Roman" w:cs="Times New Roman"/>
                <w:color w:val="FF0000"/>
                <w:sz w:val="24"/>
                <w:szCs w:val="24"/>
                <w:u w:val="wave"/>
                <w:lang w:val="zh-CN" w:eastAsia="zh-CN"/>
              </w:rPr>
              <w:t>）排放。</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zh-CN" w:eastAsia="zh-CN"/>
              </w:rPr>
            </w:pP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6</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zh-CN"/>
              </w:rPr>
              <w:t>多元合金共渗工序废气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eastAsia" w:ascii="Times New Roman" w:cs="Times New Roman"/>
                <w:color w:val="FF0000"/>
                <w:sz w:val="24"/>
                <w:szCs w:val="24"/>
                <w:u w:val="wave"/>
                <w:lang w:val="en-US" w:eastAsia="zh-CN"/>
              </w:rPr>
              <w:t>改建完成后</w:t>
            </w:r>
            <w:r>
              <w:rPr>
                <w:rFonts w:hint="default" w:ascii="Times New Roman" w:hAnsi="Times New Roman" w:cs="Times New Roman"/>
                <w:color w:val="FF0000"/>
                <w:sz w:val="24"/>
                <w:szCs w:val="24"/>
                <w:u w:val="wave"/>
                <w:lang w:val="en-US" w:eastAsia="zh-CN"/>
              </w:rPr>
              <w:t>，项目采用4台密闭四方滚筒燃气渗锌炉进行多元合金共渗，采用天然气间接加热，该过程中产生的废气主要为炉料分离粉尘和天然气燃烧烟气。</w:t>
            </w:r>
            <w:r>
              <w:rPr>
                <w:rFonts w:hint="eastAsia" w:ascii="Times New Roman" w:cs="Times New Roman"/>
                <w:color w:val="FF0000"/>
                <w:sz w:val="24"/>
                <w:szCs w:val="24"/>
                <w:u w:val="wave"/>
                <w:lang w:val="en-US" w:eastAsia="zh-CN"/>
              </w:rPr>
              <w:t>改建完成后</w:t>
            </w:r>
            <w:r>
              <w:rPr>
                <w:rFonts w:hint="default" w:ascii="Times New Roman" w:hAnsi="Times New Roman" w:cs="Times New Roman"/>
                <w:color w:val="FF0000"/>
                <w:sz w:val="24"/>
                <w:szCs w:val="24"/>
                <w:u w:val="wave"/>
                <w:lang w:val="en-US" w:eastAsia="zh-CN"/>
              </w:rPr>
              <w:t>，密闭四方滚筒燃气渗锌炉共有3种型号，其中现有密闭四方滚筒燃气渗锌炉（炉膛尺寸：</w:t>
            </w:r>
            <w:r>
              <w:rPr>
                <w:rFonts w:hint="eastAsia" w:ascii="Times New Roman" w:cs="Times New Roman"/>
                <w:color w:val="FF0000"/>
                <w:sz w:val="24"/>
                <w:szCs w:val="24"/>
                <w:u w:val="wave"/>
                <w:lang w:val="en-US" w:eastAsia="zh-CN"/>
              </w:rPr>
              <w:t>4</w:t>
            </w:r>
            <w:r>
              <w:rPr>
                <w:rFonts w:hint="default" w:ascii="Times New Roman" w:hAnsi="Times New Roman" w:cs="Times New Roman"/>
                <w:color w:val="FF0000"/>
                <w:sz w:val="24"/>
                <w:szCs w:val="24"/>
                <w:u w:val="wave"/>
                <w:lang w:val="en-US" w:eastAsia="zh-CN"/>
              </w:rPr>
              <w:t>m×1.2m×1.2m）2台、新增密闭四方滚筒燃气渗锌炉（炉膛尺寸：</w:t>
            </w:r>
            <w:r>
              <w:rPr>
                <w:rFonts w:hint="eastAsia" w:ascii="Times New Roman" w:cs="Times New Roman"/>
                <w:color w:val="FF0000"/>
                <w:sz w:val="24"/>
                <w:szCs w:val="24"/>
                <w:u w:val="wave"/>
                <w:lang w:val="en-US" w:eastAsia="zh-CN"/>
              </w:rPr>
              <w:t>5</w:t>
            </w:r>
            <w:r>
              <w:rPr>
                <w:rFonts w:hint="default" w:ascii="Times New Roman" w:hAnsi="Times New Roman" w:cs="Times New Roman"/>
                <w:color w:val="FF0000"/>
                <w:sz w:val="24"/>
                <w:szCs w:val="24"/>
                <w:u w:val="wave"/>
                <w:lang w:val="en-US" w:eastAsia="zh-CN"/>
              </w:rPr>
              <w:t>m×1.2m×1.2m）1台、新增密闭四方滚筒燃气渗锌炉（炉膛尺寸：</w:t>
            </w:r>
            <w:r>
              <w:rPr>
                <w:rFonts w:hint="eastAsia" w:ascii="Times New Roman" w:cs="Times New Roman"/>
                <w:color w:val="FF0000"/>
                <w:sz w:val="24"/>
                <w:szCs w:val="24"/>
                <w:u w:val="wave"/>
                <w:lang w:val="en-US" w:eastAsia="zh-CN"/>
              </w:rPr>
              <w:t>6.5</w:t>
            </w:r>
            <w:r>
              <w:rPr>
                <w:rFonts w:hint="default" w:ascii="Times New Roman" w:hAnsi="Times New Roman" w:cs="Times New Roman"/>
                <w:color w:val="FF0000"/>
                <w:sz w:val="24"/>
                <w:szCs w:val="24"/>
                <w:u w:val="wave"/>
                <w:lang w:val="en-US" w:eastAsia="zh-CN"/>
              </w:rPr>
              <w:t>m×1.2m×1.2m）1台。多元合金共渗处理量由现有的3000t/a提升至6000t/a。</w:t>
            </w:r>
          </w:p>
          <w:p>
            <w:pPr>
              <w:pStyle w:val="2"/>
              <w:spacing w:line="360" w:lineRule="auto"/>
              <w:ind w:firstLine="480" w:firstLineChars="200"/>
              <w:jc w:val="both"/>
              <w:rPr>
                <w:rFonts w:hint="default" w:ascii="Times New Roman" w:hAnsi="Times New Roman" w:cs="Times New Roman"/>
                <w:color w:val="FF0000"/>
                <w:sz w:val="24"/>
                <w:szCs w:val="24"/>
                <w:u w:val="wave"/>
              </w:rPr>
            </w:pPr>
            <w:r>
              <w:rPr>
                <w:rFonts w:hint="default" w:ascii="Times New Roman" w:hAnsi="Times New Roman" w:cs="Times New Roman"/>
                <w:color w:val="FF0000"/>
                <w:sz w:val="24"/>
                <w:szCs w:val="24"/>
                <w:u w:val="wave"/>
              </w:rPr>
              <w:t>①</w:t>
            </w:r>
            <w:r>
              <w:rPr>
                <w:rFonts w:hint="default" w:ascii="Times New Roman" w:hAnsi="Times New Roman" w:cs="Times New Roman"/>
                <w:color w:val="FF0000"/>
                <w:sz w:val="24"/>
                <w:szCs w:val="24"/>
                <w:u w:val="wave"/>
                <w:lang w:val="en-US" w:eastAsia="zh-CN"/>
              </w:rPr>
              <w:t>炉料分离</w:t>
            </w:r>
            <w:r>
              <w:rPr>
                <w:rFonts w:hint="default" w:ascii="Times New Roman" w:hAnsi="Times New Roman" w:cs="Times New Roman"/>
                <w:color w:val="FF0000"/>
                <w:sz w:val="24"/>
                <w:szCs w:val="24"/>
                <w:u w:val="wave"/>
              </w:rPr>
              <w:t>粉尘</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渗锌炉间接加热以天然气作为热源，渗锌过程是在封闭的真空渗锌炉内进行的，正常情况下不会向外界排放粉尘。根据业主提供的资料显示，渗锌加热温度为350～410℃，锌粉的熔点约为450℃，因此在渗锌过程不会产生锌蒸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zh-CN" w:eastAsia="zh-CN"/>
              </w:rPr>
            </w:pPr>
            <w:r>
              <w:rPr>
                <w:rFonts w:hint="default" w:ascii="Times New Roman" w:hAnsi="Times New Roman" w:cs="Times New Roman"/>
                <w:color w:val="FF0000"/>
                <w:sz w:val="24"/>
                <w:szCs w:val="24"/>
                <w:u w:val="wave"/>
                <w:lang w:val="en-US" w:eastAsia="zh-CN"/>
              </w:rPr>
              <w:t>项目渗锌工件出炉后需将工件与未利用的金属粉料、助渗剂进行分离，会有粉尘逸出</w:t>
            </w:r>
            <w:r>
              <w:rPr>
                <w:rFonts w:hint="default" w:ascii="Times New Roman" w:hAnsi="Times New Roman" w:cs="Times New Roman"/>
                <w:color w:val="FF0000"/>
                <w:sz w:val="24"/>
                <w:szCs w:val="24"/>
                <w:u w:val="wave"/>
                <w:lang w:val="zh-CN"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项目现有2台密闭四方滚筒燃气渗锌炉（炉膛尺寸：</w:t>
            </w:r>
            <w:r>
              <w:rPr>
                <w:rFonts w:hint="eastAsia" w:ascii="Times New Roman" w:cs="Times New Roman"/>
                <w:color w:val="FF0000"/>
                <w:sz w:val="24"/>
                <w:szCs w:val="24"/>
                <w:u w:val="wave"/>
                <w:lang w:val="en-US" w:eastAsia="zh-CN"/>
              </w:rPr>
              <w:t>4</w:t>
            </w:r>
            <w:r>
              <w:rPr>
                <w:rFonts w:hint="default" w:ascii="Times New Roman" w:hAnsi="Times New Roman" w:cs="Times New Roman"/>
                <w:color w:val="FF0000"/>
                <w:sz w:val="24"/>
                <w:szCs w:val="24"/>
                <w:u w:val="wave"/>
                <w:lang w:val="en-US" w:eastAsia="zh-CN"/>
              </w:rPr>
              <w:t>m×1.2m×1.2m）共用1台现有的炉料分离器，分离工位产生的粉尘直接抽到配套的吸、放料装置（内含除尘器）内处理后通过15m高排气筒（DA002）排放，</w:t>
            </w:r>
            <w:r>
              <w:rPr>
                <w:rFonts w:hint="default" w:ascii="Times New Roman" w:hAnsi="Times New Roman" w:cs="Times New Roman"/>
                <w:color w:val="FF0000"/>
                <w:sz w:val="24"/>
                <w:szCs w:val="24"/>
                <w:u w:val="wave"/>
                <w:lang w:val="zh-CN" w:eastAsia="zh-CN"/>
              </w:rPr>
              <w:t>根据建设单位提供的吸、放料装置技术资料，收集效率约95%，处理效率约为98%。</w:t>
            </w:r>
            <w:r>
              <w:rPr>
                <w:rFonts w:hint="default" w:ascii="Times New Roman" w:hAnsi="Times New Roman" w:cs="Times New Roman"/>
                <w:color w:val="FF0000"/>
                <w:sz w:val="24"/>
                <w:szCs w:val="24"/>
                <w:u w:val="wave"/>
                <w:lang w:val="en-US" w:eastAsia="zh-CN"/>
              </w:rPr>
              <w:t>根据《衡阳市新德力交通材料有限公司改扩建项目竣工环境保护验收监测报告》可知，排气筒（DA002）的颗粒物平均排放速率为0.052</w:t>
            </w:r>
            <w:r>
              <w:rPr>
                <w:rFonts w:hint="default" w:ascii="Times New Roman" w:hAnsi="Times New Roman" w:cs="Times New Roman"/>
                <w:color w:val="FF0000"/>
                <w:sz w:val="24"/>
                <w:szCs w:val="24"/>
                <w:u w:val="wave"/>
                <w:lang w:val="zh-CN"/>
              </w:rPr>
              <w:t>kg/h，</w:t>
            </w:r>
            <w:r>
              <w:rPr>
                <w:rFonts w:hint="default" w:ascii="Times New Roman" w:hAnsi="Times New Roman" w:cs="Times New Roman"/>
                <w:color w:val="FF0000"/>
                <w:sz w:val="24"/>
                <w:szCs w:val="24"/>
                <w:u w:val="wave"/>
                <w:lang w:val="en-US" w:eastAsia="zh-CN"/>
              </w:rPr>
              <w:t>平均排放浓度为8.33</w:t>
            </w:r>
            <w:r>
              <w:rPr>
                <w:rFonts w:hint="default" w:ascii="Times New Roman" w:hAnsi="Times New Roman" w:cs="Times New Roman"/>
                <w:color w:val="FF0000"/>
                <w:sz w:val="24"/>
                <w:szCs w:val="24"/>
                <w:u w:val="wave"/>
                <w:lang w:val="zh-CN"/>
              </w:rPr>
              <w:t>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根据相关资料收集与调查，现有2台密闭四方滚筒燃气渗锌炉（炉膛尺寸：</w:t>
            </w:r>
            <w:r>
              <w:rPr>
                <w:rFonts w:hint="eastAsia" w:ascii="Times New Roman" w:cs="Times New Roman"/>
                <w:color w:val="FF0000"/>
                <w:sz w:val="24"/>
                <w:szCs w:val="24"/>
                <w:u w:val="wave"/>
                <w:lang w:val="en-US" w:eastAsia="zh-CN"/>
              </w:rPr>
              <w:t>4</w:t>
            </w:r>
            <w:r>
              <w:rPr>
                <w:rFonts w:hint="default" w:ascii="Times New Roman" w:hAnsi="Times New Roman" w:cs="Times New Roman"/>
                <w:color w:val="FF0000"/>
                <w:sz w:val="24"/>
                <w:szCs w:val="24"/>
                <w:u w:val="wave"/>
                <w:lang w:val="en-US" w:eastAsia="zh-CN"/>
              </w:rPr>
              <w:t>m×1.2m×1.2m）</w:t>
            </w:r>
            <w:r>
              <w:rPr>
                <w:rFonts w:hint="default" w:ascii="Times New Roman" w:hAnsi="Times New Roman" w:cs="Times New Roman"/>
                <w:color w:val="FF0000"/>
                <w:sz w:val="24"/>
                <w:szCs w:val="24"/>
                <w:u w:val="wave"/>
                <w:lang w:val="zh-CN" w:eastAsia="zh-CN"/>
              </w:rPr>
              <w:t>锌粉及石英砂用量为21t/a，</w:t>
            </w:r>
            <w:r>
              <w:rPr>
                <w:rFonts w:hint="default" w:ascii="Times New Roman" w:hAnsi="Times New Roman" w:cs="Times New Roman"/>
                <w:color w:val="FF0000"/>
                <w:sz w:val="24"/>
                <w:szCs w:val="24"/>
                <w:u w:val="wave"/>
                <w:lang w:val="en-US" w:eastAsia="zh-CN"/>
              </w:rPr>
              <w:t>现有的炉料分离器使用</w:t>
            </w:r>
            <w:r>
              <w:rPr>
                <w:rFonts w:hint="default" w:ascii="Times New Roman" w:hAnsi="Times New Roman" w:cs="Times New Roman"/>
                <w:color w:val="FF0000"/>
                <w:sz w:val="24"/>
                <w:szCs w:val="24"/>
                <w:u w:val="wave"/>
                <w:lang w:val="zh-CN" w:eastAsia="zh-CN"/>
              </w:rPr>
              <w:t>年工作时间</w:t>
            </w:r>
            <w:r>
              <w:rPr>
                <w:rFonts w:hint="default" w:ascii="Times New Roman" w:hAnsi="Times New Roman" w:cs="Times New Roman"/>
                <w:color w:val="FF0000"/>
                <w:sz w:val="24"/>
                <w:szCs w:val="24"/>
                <w:u w:val="wave"/>
                <w:lang w:val="en-US" w:eastAsia="zh-CN"/>
              </w:rPr>
              <w:t>约600</w:t>
            </w:r>
            <w:r>
              <w:rPr>
                <w:rFonts w:hint="default" w:ascii="Times New Roman" w:hAnsi="Times New Roman" w:cs="Times New Roman"/>
                <w:color w:val="FF0000"/>
                <w:sz w:val="24"/>
                <w:szCs w:val="24"/>
                <w:u w:val="wave"/>
                <w:lang w:val="zh-CN" w:eastAsia="zh-CN"/>
              </w:rPr>
              <w:t>h，</w:t>
            </w:r>
            <w:r>
              <w:rPr>
                <w:rFonts w:hint="default" w:ascii="Times New Roman" w:hAnsi="Times New Roman" w:cs="Times New Roman"/>
                <w:color w:val="FF0000"/>
                <w:sz w:val="24"/>
                <w:szCs w:val="24"/>
                <w:u w:val="wave"/>
                <w:lang w:val="en-US" w:eastAsia="zh-CN"/>
              </w:rPr>
              <w:t>因此，排气筒（DA002）有组织排放量为0.031t/a，总排放量为1.632t/a，无组织排放量为0.082t/a。</w:t>
            </w:r>
            <w:r>
              <w:rPr>
                <w:rFonts w:hint="default" w:ascii="Times New Roman" w:hAnsi="Times New Roman" w:cs="Times New Roman"/>
                <w:color w:val="FF0000"/>
                <w:sz w:val="24"/>
                <w:szCs w:val="24"/>
                <w:u w:val="wave"/>
                <w:lang w:val="zh-CN" w:eastAsia="zh-CN"/>
              </w:rPr>
              <w:t>吸放料装置收集的粉尘可作为渗剂回用于渗锌工段，</w:t>
            </w:r>
            <w:r>
              <w:rPr>
                <w:rFonts w:hint="default" w:ascii="Times New Roman" w:hAnsi="Times New Roman" w:cs="Times New Roman"/>
                <w:color w:val="FF0000"/>
                <w:sz w:val="24"/>
                <w:szCs w:val="24"/>
                <w:u w:val="wave"/>
                <w:lang w:val="en-US" w:eastAsia="zh-CN"/>
              </w:rPr>
              <w:t>回用量为1.519t/a。</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新增2台密闭四方滚筒燃气渗锌炉（炉膛尺寸：</w:t>
            </w:r>
            <w:r>
              <w:rPr>
                <w:rFonts w:hint="eastAsia" w:ascii="Times New Roman" w:cs="Times New Roman"/>
                <w:color w:val="FF0000"/>
                <w:sz w:val="24"/>
                <w:szCs w:val="24"/>
                <w:u w:val="wave"/>
                <w:lang w:val="en-US" w:eastAsia="zh-CN"/>
              </w:rPr>
              <w:t>5</w:t>
            </w:r>
            <w:r>
              <w:rPr>
                <w:rFonts w:hint="default" w:ascii="Times New Roman" w:hAnsi="Times New Roman" w:cs="Times New Roman"/>
                <w:color w:val="FF0000"/>
                <w:sz w:val="24"/>
                <w:szCs w:val="24"/>
                <w:u w:val="wave"/>
                <w:lang w:val="en-US" w:eastAsia="zh-CN"/>
              </w:rPr>
              <w:t>m×1.2m×1.2m、6.5m×1.2m×1.2m）共用1台新增的炉料分离器，分离工位产生的粉尘直接抽到配套的吸、放料装置（内含除尘器）内处理后</w:t>
            </w:r>
            <w:r>
              <w:rPr>
                <w:rFonts w:hint="default" w:ascii="Times New Roman" w:hAnsi="Times New Roman" w:cs="Times New Roman"/>
                <w:color w:val="FF0000"/>
                <w:sz w:val="24"/>
                <w:szCs w:val="24"/>
                <w:u w:val="wave"/>
                <w:lang w:val="zh-CN" w:eastAsia="zh-CN"/>
              </w:rPr>
              <w:t>在车间内无组织扩散</w:t>
            </w:r>
            <w:r>
              <w:rPr>
                <w:rFonts w:hint="default" w:ascii="Times New Roman" w:hAnsi="Times New Roman" w:cs="Times New Roman"/>
                <w:color w:val="FF0000"/>
                <w:sz w:val="24"/>
                <w:szCs w:val="24"/>
                <w:u w:val="wave"/>
                <w:lang w:val="en-US" w:eastAsia="zh-CN"/>
              </w:rPr>
              <w:t>。根据建设单位提供的资料，新增2台密闭四方滚筒燃气渗锌炉（炉膛尺寸：</w:t>
            </w:r>
            <w:r>
              <w:rPr>
                <w:rFonts w:hint="eastAsia" w:ascii="Times New Roman" w:cs="Times New Roman"/>
                <w:color w:val="FF0000"/>
                <w:sz w:val="24"/>
                <w:szCs w:val="24"/>
                <w:u w:val="wave"/>
                <w:lang w:val="en-US" w:eastAsia="zh-CN"/>
              </w:rPr>
              <w:t>5</w:t>
            </w:r>
            <w:r>
              <w:rPr>
                <w:rFonts w:hint="default" w:ascii="Times New Roman" w:hAnsi="Times New Roman" w:cs="Times New Roman"/>
                <w:color w:val="FF0000"/>
                <w:sz w:val="24"/>
                <w:szCs w:val="24"/>
                <w:u w:val="wave"/>
                <w:lang w:val="en-US" w:eastAsia="zh-CN"/>
              </w:rPr>
              <w:t>m×1.2m×1.2m、6.5m×1.2m×1.2m）使用</w:t>
            </w:r>
            <w:r>
              <w:rPr>
                <w:rFonts w:hint="default" w:ascii="Times New Roman" w:hAnsi="Times New Roman" w:cs="Times New Roman"/>
                <w:color w:val="FF0000"/>
                <w:sz w:val="24"/>
                <w:szCs w:val="24"/>
                <w:u w:val="wave"/>
                <w:lang w:val="zh-CN" w:eastAsia="zh-CN"/>
              </w:rPr>
              <w:t>锌粉及石英砂用量</w:t>
            </w:r>
            <w:r>
              <w:rPr>
                <w:rFonts w:hint="default" w:ascii="Times New Roman" w:hAnsi="Times New Roman" w:cs="Times New Roman"/>
                <w:color w:val="FF0000"/>
                <w:sz w:val="24"/>
                <w:szCs w:val="24"/>
                <w:u w:val="wave"/>
                <w:lang w:val="en-US" w:eastAsia="zh-CN"/>
              </w:rPr>
              <w:t>也</w:t>
            </w:r>
            <w:r>
              <w:rPr>
                <w:rFonts w:hint="default" w:ascii="Times New Roman" w:hAnsi="Times New Roman" w:cs="Times New Roman"/>
                <w:color w:val="FF0000"/>
                <w:sz w:val="24"/>
                <w:szCs w:val="24"/>
                <w:u w:val="wave"/>
                <w:lang w:val="zh-CN" w:eastAsia="zh-CN"/>
              </w:rPr>
              <w:t>为21t/a，</w:t>
            </w:r>
            <w:r>
              <w:rPr>
                <w:rFonts w:hint="default" w:ascii="Times New Roman" w:hAnsi="Times New Roman" w:cs="Times New Roman"/>
                <w:color w:val="FF0000"/>
                <w:sz w:val="24"/>
                <w:szCs w:val="24"/>
                <w:u w:val="wave"/>
                <w:lang w:val="en-US" w:eastAsia="zh-CN"/>
              </w:rPr>
              <w:t>故分离粉尘</w:t>
            </w:r>
            <w:r>
              <w:rPr>
                <w:rFonts w:hint="default" w:ascii="Times New Roman" w:hAnsi="Times New Roman" w:cs="Times New Roman"/>
                <w:color w:val="FF0000"/>
                <w:sz w:val="24"/>
                <w:szCs w:val="24"/>
                <w:u w:val="wave"/>
                <w:lang w:val="zh-CN" w:eastAsia="zh-CN"/>
              </w:rPr>
              <w:t>产生量为</w:t>
            </w:r>
            <w:r>
              <w:rPr>
                <w:rFonts w:hint="default" w:ascii="Times New Roman" w:hAnsi="Times New Roman" w:cs="Times New Roman"/>
                <w:color w:val="FF0000"/>
                <w:sz w:val="24"/>
                <w:szCs w:val="24"/>
                <w:u w:val="wave"/>
                <w:lang w:val="en-US" w:eastAsia="zh-CN"/>
              </w:rPr>
              <w:t>1.632</w:t>
            </w:r>
            <w:r>
              <w:rPr>
                <w:rFonts w:hint="default" w:ascii="Times New Roman" w:hAnsi="Times New Roman" w:cs="Times New Roman"/>
                <w:color w:val="FF0000"/>
                <w:sz w:val="24"/>
                <w:szCs w:val="24"/>
                <w:u w:val="wave"/>
                <w:lang w:val="zh-CN" w:eastAsia="zh-CN"/>
              </w:rPr>
              <w:t>t/a</w:t>
            </w:r>
            <w:r>
              <w:rPr>
                <w:rFonts w:hint="default" w:ascii="Times New Roman" w:hAnsi="Times New Roman" w:cs="Times New Roman"/>
                <w:color w:val="FF0000"/>
                <w:sz w:val="24"/>
                <w:szCs w:val="24"/>
                <w:u w:val="wave"/>
                <w:lang w:val="en-US"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zh-CN" w:eastAsia="zh-CN"/>
              </w:rPr>
              <w:t>根据建设单位提供的资料，</w:t>
            </w:r>
            <w:r>
              <w:rPr>
                <w:rFonts w:hint="default" w:ascii="Times New Roman" w:hAnsi="Times New Roman" w:cs="Times New Roman"/>
                <w:color w:val="FF0000"/>
                <w:sz w:val="24"/>
                <w:szCs w:val="24"/>
                <w:u w:val="wave"/>
                <w:lang w:val="en-US" w:eastAsia="zh-CN"/>
              </w:rPr>
              <w:t>新增的炉料分离器</w:t>
            </w:r>
            <w:r>
              <w:rPr>
                <w:rFonts w:hint="default" w:ascii="Times New Roman" w:hAnsi="Times New Roman" w:cs="Times New Roman"/>
                <w:color w:val="FF0000"/>
                <w:sz w:val="24"/>
                <w:szCs w:val="24"/>
                <w:u w:val="wave"/>
                <w:lang w:val="zh-CN" w:eastAsia="zh-CN"/>
              </w:rPr>
              <w:t>收集效率约95%，处理效率约98%，年工作时间</w:t>
            </w:r>
            <w:r>
              <w:rPr>
                <w:rFonts w:hint="default" w:ascii="Times New Roman" w:hAnsi="Times New Roman" w:cs="Times New Roman"/>
                <w:color w:val="FF0000"/>
                <w:sz w:val="24"/>
                <w:szCs w:val="24"/>
                <w:u w:val="wave"/>
                <w:lang w:val="en-US" w:eastAsia="zh-CN"/>
              </w:rPr>
              <w:t>约600</w:t>
            </w:r>
            <w:r>
              <w:rPr>
                <w:rFonts w:hint="default" w:ascii="Times New Roman" w:hAnsi="Times New Roman" w:cs="Times New Roman"/>
                <w:color w:val="FF0000"/>
                <w:sz w:val="24"/>
                <w:szCs w:val="24"/>
                <w:u w:val="wave"/>
                <w:lang w:val="zh-CN" w:eastAsia="zh-CN"/>
              </w:rPr>
              <w:t>h，</w:t>
            </w:r>
            <w:r>
              <w:rPr>
                <w:rFonts w:hint="default" w:ascii="Times New Roman" w:hAnsi="Times New Roman" w:cs="Times New Roman"/>
                <w:color w:val="FF0000"/>
                <w:sz w:val="24"/>
                <w:szCs w:val="24"/>
                <w:u w:val="wave"/>
                <w:lang w:val="en-US" w:eastAsia="zh-CN"/>
              </w:rPr>
              <w:t>故</w:t>
            </w:r>
            <w:r>
              <w:rPr>
                <w:rFonts w:hint="default" w:ascii="Times New Roman" w:hAnsi="Times New Roman" w:cs="Times New Roman"/>
                <w:color w:val="FF0000"/>
                <w:sz w:val="24"/>
                <w:szCs w:val="24"/>
                <w:u w:val="wave"/>
                <w:lang w:val="zh-CN" w:eastAsia="zh-CN"/>
              </w:rPr>
              <w:t>无组织排放量为0.</w:t>
            </w:r>
            <w:r>
              <w:rPr>
                <w:rFonts w:hint="default" w:ascii="Times New Roman" w:hAnsi="Times New Roman" w:cs="Times New Roman"/>
                <w:color w:val="FF0000"/>
                <w:sz w:val="24"/>
                <w:szCs w:val="24"/>
                <w:u w:val="wave"/>
                <w:lang w:val="en-US" w:eastAsia="zh-CN"/>
              </w:rPr>
              <w:t>113</w:t>
            </w:r>
            <w:r>
              <w:rPr>
                <w:rFonts w:hint="default" w:ascii="Times New Roman" w:hAnsi="Times New Roman" w:cs="Times New Roman"/>
                <w:color w:val="FF0000"/>
                <w:sz w:val="24"/>
                <w:szCs w:val="24"/>
                <w:u w:val="wave"/>
                <w:lang w:val="zh-CN" w:eastAsia="zh-CN"/>
              </w:rPr>
              <w:t>t/a，无组织排放速率为0.</w:t>
            </w:r>
            <w:r>
              <w:rPr>
                <w:rFonts w:hint="default" w:ascii="Times New Roman" w:hAnsi="Times New Roman" w:cs="Times New Roman"/>
                <w:color w:val="FF0000"/>
                <w:sz w:val="24"/>
                <w:szCs w:val="24"/>
                <w:u w:val="wave"/>
                <w:lang w:val="en-US" w:eastAsia="zh-CN"/>
              </w:rPr>
              <w:t>189</w:t>
            </w:r>
            <w:r>
              <w:rPr>
                <w:rFonts w:hint="default" w:ascii="Times New Roman" w:hAnsi="Times New Roman" w:cs="Times New Roman"/>
                <w:color w:val="FF0000"/>
                <w:sz w:val="24"/>
                <w:szCs w:val="24"/>
                <w:u w:val="wave"/>
                <w:lang w:val="zh-CN" w:eastAsia="zh-CN"/>
              </w:rPr>
              <w:t>kg/h。吸放料装置收集的粉尘可作为渗剂回用于渗锌工段，</w:t>
            </w:r>
            <w:r>
              <w:rPr>
                <w:rFonts w:hint="default" w:ascii="Times New Roman" w:hAnsi="Times New Roman" w:cs="Times New Roman"/>
                <w:color w:val="FF0000"/>
                <w:sz w:val="24"/>
                <w:szCs w:val="24"/>
                <w:u w:val="wave"/>
                <w:lang w:val="en-US" w:eastAsia="zh-CN"/>
              </w:rPr>
              <w:t>回用量为1.519t/a</w:t>
            </w:r>
            <w:r>
              <w:rPr>
                <w:rFonts w:hint="default" w:ascii="Times New Roman" w:hAnsi="Times New Roman" w:cs="Times New Roman"/>
                <w:color w:val="FF0000"/>
                <w:sz w:val="24"/>
                <w:szCs w:val="24"/>
                <w:u w:val="wave"/>
                <w:lang w:val="zh-CN" w:eastAsia="zh-CN"/>
              </w:rPr>
              <w:t>。</w:t>
            </w:r>
          </w:p>
          <w:p>
            <w:pPr>
              <w:pStyle w:val="2"/>
              <w:spacing w:line="360" w:lineRule="auto"/>
              <w:ind w:firstLine="480" w:firstLineChars="200"/>
              <w:jc w:val="both"/>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zh-CN"/>
              </w:rPr>
              <w:t>②天然气燃烧</w:t>
            </w:r>
            <w:r>
              <w:rPr>
                <w:rFonts w:hint="default" w:ascii="Times New Roman" w:hAnsi="Times New Roman" w:cs="Times New Roman"/>
                <w:color w:val="FF0000"/>
                <w:sz w:val="24"/>
                <w:szCs w:val="24"/>
                <w:u w:val="wave"/>
                <w:lang w:val="en-US" w:eastAsia="zh-CN"/>
              </w:rPr>
              <w:t>烟气</w:t>
            </w:r>
          </w:p>
          <w:p>
            <w:pPr>
              <w:pStyle w:val="2"/>
              <w:spacing w:line="360" w:lineRule="auto"/>
              <w:ind w:firstLine="480" w:firstLineChars="200"/>
              <w:jc w:val="both"/>
              <w:rPr>
                <w:rFonts w:hint="default" w:ascii="Times New Roman" w:hAnsi="Times New Roman" w:cs="Times New Roman"/>
                <w:color w:val="FF0000"/>
                <w:sz w:val="24"/>
                <w:szCs w:val="24"/>
                <w:u w:val="wave"/>
                <w:lang w:eastAsia="zh-CN"/>
              </w:rPr>
            </w:pPr>
            <w:r>
              <w:rPr>
                <w:rFonts w:hint="default" w:ascii="Times New Roman" w:hAnsi="Times New Roman" w:cs="Times New Roman"/>
                <w:color w:val="FF0000"/>
                <w:sz w:val="24"/>
                <w:szCs w:val="24"/>
                <w:u w:val="wave"/>
              </w:rPr>
              <w:t>项目</w:t>
            </w:r>
            <w:r>
              <w:rPr>
                <w:rFonts w:hint="default" w:ascii="Times New Roman" w:hAnsi="Times New Roman" w:cs="Times New Roman"/>
                <w:color w:val="FF0000"/>
                <w:sz w:val="24"/>
                <w:szCs w:val="24"/>
                <w:u w:val="wave"/>
                <w:lang w:val="zh-CN"/>
              </w:rPr>
              <w:t>加热渗锌采</w:t>
            </w:r>
            <w:r>
              <w:rPr>
                <w:rFonts w:hint="default" w:ascii="Times New Roman" w:hAnsi="Times New Roman" w:cs="Times New Roman"/>
                <w:color w:val="FF0000"/>
                <w:sz w:val="24"/>
                <w:szCs w:val="24"/>
                <w:u w:val="wave"/>
              </w:rPr>
              <w:t>用天然气间接加热，天然气属于清洁能源</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rPr>
              <w:t>主要污染物为</w:t>
            </w:r>
            <w:r>
              <w:rPr>
                <w:rFonts w:hint="default" w:ascii="Times New Roman" w:hAnsi="Times New Roman" w:cs="Times New Roman"/>
                <w:color w:val="FF0000"/>
                <w:sz w:val="24"/>
                <w:szCs w:val="24"/>
                <w:u w:val="wave"/>
                <w:lang w:val="en-US" w:eastAsia="zh-CN"/>
              </w:rPr>
              <w:t>烟尘</w:t>
            </w:r>
            <w:r>
              <w:rPr>
                <w:rFonts w:hint="default" w:ascii="Times New Roman" w:hAnsi="Times New Roman" w:cs="Times New Roman"/>
                <w:color w:val="FF0000"/>
                <w:sz w:val="24"/>
                <w:szCs w:val="24"/>
                <w:u w:val="wave"/>
              </w:rPr>
              <w:t>、SO</w:t>
            </w:r>
            <w:r>
              <w:rPr>
                <w:rFonts w:hint="default" w:ascii="Times New Roman" w:hAnsi="Times New Roman" w:cs="Times New Roman"/>
                <w:color w:val="FF0000"/>
                <w:sz w:val="24"/>
                <w:szCs w:val="24"/>
                <w:u w:val="wave"/>
                <w:vertAlign w:val="subscript"/>
              </w:rPr>
              <w:t>2</w:t>
            </w:r>
            <w:r>
              <w:rPr>
                <w:rFonts w:hint="default" w:ascii="Times New Roman" w:hAnsi="Times New Roman" w:cs="Times New Roman"/>
                <w:color w:val="FF0000"/>
                <w:sz w:val="24"/>
                <w:szCs w:val="24"/>
                <w:u w:val="wave"/>
              </w:rPr>
              <w:t>、NO</w:t>
            </w:r>
            <w:r>
              <w:rPr>
                <w:rFonts w:hint="default" w:ascii="Times New Roman" w:hAnsi="Times New Roman" w:cs="Times New Roman"/>
                <w:color w:val="FF0000"/>
                <w:sz w:val="24"/>
                <w:szCs w:val="24"/>
                <w:u w:val="wave"/>
                <w:vertAlign w:val="subscript"/>
              </w:rPr>
              <w:t>X</w:t>
            </w:r>
            <w:r>
              <w:rPr>
                <w:rFonts w:hint="default" w:ascii="Times New Roman" w:hAnsi="Times New Roman" w:cs="Times New Roman"/>
                <w:color w:val="FF0000"/>
                <w:sz w:val="24"/>
                <w:szCs w:val="24"/>
                <w:u w:val="wave"/>
                <w:lang w:val="zh-CN" w:eastAsia="zh-CN"/>
              </w:rPr>
              <w:t>。</w:t>
            </w:r>
            <w:r>
              <w:rPr>
                <w:rFonts w:hint="eastAsia" w:ascii="Times New Roman" w:cs="Times New Roman"/>
                <w:color w:val="FF0000"/>
                <w:sz w:val="24"/>
                <w:szCs w:val="24"/>
                <w:u w:val="wave"/>
                <w:lang w:val="zh-CN" w:eastAsia="zh-CN"/>
              </w:rPr>
              <w:t>改建完成后</w:t>
            </w:r>
            <w:r>
              <w:rPr>
                <w:rFonts w:hint="default" w:ascii="Times New Roman" w:hAnsi="Times New Roman" w:cs="Times New Roman"/>
                <w:color w:val="FF0000"/>
                <w:sz w:val="24"/>
                <w:szCs w:val="24"/>
                <w:u w:val="wave"/>
                <w:lang w:val="zh-CN" w:eastAsia="zh-CN"/>
              </w:rPr>
              <w:t>，项目采用4台密闭四方滚筒燃气渗锌炉进行多元合金共渗，通过各自的排气筒排放，经15m</w:t>
            </w:r>
            <w:r>
              <w:rPr>
                <w:rFonts w:hint="default" w:ascii="Times New Roman" w:hAnsi="Times New Roman" w:cs="Times New Roman"/>
                <w:color w:val="FF0000"/>
                <w:sz w:val="24"/>
                <w:szCs w:val="24"/>
                <w:u w:val="wave"/>
                <w:lang w:val="en-US" w:eastAsia="zh-CN"/>
              </w:rPr>
              <w:t>高</w:t>
            </w:r>
            <w:r>
              <w:rPr>
                <w:rFonts w:hint="default" w:ascii="Times New Roman" w:hAnsi="Times New Roman" w:cs="Times New Roman"/>
                <w:color w:val="FF0000"/>
                <w:sz w:val="24"/>
                <w:szCs w:val="24"/>
                <w:u w:val="wave"/>
                <w:lang w:val="zh-CN" w:eastAsia="zh-CN"/>
              </w:rPr>
              <w:t>排气筒（</w:t>
            </w:r>
            <w:r>
              <w:rPr>
                <w:rFonts w:hint="default" w:ascii="Times New Roman" w:hAnsi="Times New Roman" w:cs="Times New Roman"/>
                <w:color w:val="FF0000"/>
                <w:sz w:val="24"/>
                <w:szCs w:val="24"/>
                <w:u w:val="wave"/>
                <w:lang w:val="en-US" w:eastAsia="zh-CN"/>
              </w:rPr>
              <w:t>DA003、DA004、DA008、DA009</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直接</w:t>
            </w:r>
            <w:r>
              <w:rPr>
                <w:rFonts w:hint="default" w:ascii="Times New Roman" w:hAnsi="Times New Roman" w:cs="Times New Roman"/>
                <w:color w:val="FF0000"/>
                <w:sz w:val="24"/>
                <w:szCs w:val="24"/>
                <w:u w:val="wave"/>
                <w:lang w:val="zh-CN" w:eastAsia="zh-CN"/>
              </w:rPr>
              <w:t>排放。</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参照</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排放源统计调查产排污核算方法和系数</w:t>
            </w:r>
            <w:r>
              <w:rPr>
                <w:rFonts w:hint="default" w:ascii="Times New Roman" w:hAnsi="Times New Roman" w:cs="Times New Roman"/>
                <w:color w:val="FF0000"/>
                <w:sz w:val="24"/>
                <w:szCs w:val="24"/>
                <w:u w:val="wave"/>
              </w:rPr>
              <w:t>手册</w:t>
            </w:r>
            <w:r>
              <w:rPr>
                <w:rFonts w:hint="default" w:ascii="Times New Roman" w:hAnsi="Times New Roman" w:cs="Times New Roman"/>
                <w:color w:val="FF0000"/>
                <w:sz w:val="24"/>
                <w:szCs w:val="24"/>
                <w:u w:val="wave"/>
                <w:lang w:val="en-US" w:eastAsia="zh-CN"/>
              </w:rPr>
              <w:t xml:space="preserve"> 4430 工业锅炉（热力供应）行业系数手册</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可知，</w:t>
            </w:r>
            <w:r>
              <w:rPr>
                <w:rFonts w:hint="default" w:ascii="Times New Roman" w:hAnsi="Times New Roman" w:cs="Times New Roman"/>
                <w:color w:val="FF0000"/>
                <w:sz w:val="24"/>
                <w:szCs w:val="24"/>
                <w:u w:val="wave"/>
              </w:rPr>
              <w:t>天然气燃烧</w:t>
            </w:r>
            <w:r>
              <w:rPr>
                <w:rFonts w:hint="default" w:ascii="Times New Roman" w:hAnsi="Times New Roman" w:cs="Times New Roman"/>
                <w:color w:val="FF0000"/>
                <w:sz w:val="24"/>
                <w:szCs w:val="24"/>
                <w:u w:val="wave"/>
                <w:lang w:val="en-US" w:eastAsia="zh-CN"/>
              </w:rPr>
              <w:t>烟气量为107753</w:t>
            </w:r>
            <w:r>
              <w:rPr>
                <w:rFonts w:hint="default" w:ascii="Times New Roman" w:hAnsi="Times New Roman" w:cs="Times New Roman"/>
                <w:color w:val="FF0000"/>
                <w:sz w:val="24"/>
                <w:szCs w:val="24"/>
                <w:u w:val="wave"/>
              </w:rPr>
              <w:t>Nm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rPr>
              <w:t>/万m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参照</w:t>
            </w:r>
            <w:r>
              <w:rPr>
                <w:rFonts w:hint="default" w:ascii="Times New Roman" w:hAnsi="Times New Roman" w:cs="Times New Roman"/>
                <w:color w:val="FF0000"/>
                <w:sz w:val="24"/>
                <w:szCs w:val="24"/>
                <w:u w:val="wave"/>
              </w:rPr>
              <w:t>《排污许可证申请与核发技术规范</w:t>
            </w:r>
            <w:r>
              <w:rPr>
                <w:rFonts w:hint="default" w:ascii="Times New Roman" w:hAnsi="Times New Roman" w:cs="Times New Roman"/>
                <w:color w:val="FF0000"/>
                <w:sz w:val="24"/>
                <w:szCs w:val="24"/>
                <w:u w:val="wave"/>
                <w:lang w:val="en-US" w:eastAsia="zh-CN"/>
              </w:rPr>
              <w:t xml:space="preserve"> </w:t>
            </w:r>
            <w:r>
              <w:rPr>
                <w:rFonts w:hint="default" w:ascii="Times New Roman" w:hAnsi="Times New Roman" w:cs="Times New Roman"/>
                <w:color w:val="FF0000"/>
                <w:sz w:val="24"/>
                <w:szCs w:val="24"/>
                <w:u w:val="wave"/>
              </w:rPr>
              <w:t>锅炉》（HJ953-2018）</w:t>
            </w:r>
            <w:r>
              <w:rPr>
                <w:rFonts w:hint="eastAsia" w:asciiTheme="majorEastAsia" w:hAnsiTheme="majorEastAsia" w:eastAsiaTheme="majorEastAsia" w:cstheme="majorEastAsia"/>
                <w:color w:val="FF0000"/>
                <w:sz w:val="24"/>
                <w:szCs w:val="24"/>
                <w:u w:val="wave"/>
              </w:rPr>
              <w:t>“</w:t>
            </w:r>
            <w:r>
              <w:rPr>
                <w:rFonts w:hint="default" w:ascii="Times New Roman" w:hAnsi="Times New Roman" w:cs="Times New Roman"/>
                <w:color w:val="FF0000"/>
                <w:sz w:val="24"/>
                <w:szCs w:val="24"/>
                <w:u w:val="wave"/>
              </w:rPr>
              <w:t>附表F.3 燃气工业锅炉的废气产排污系数</w:t>
            </w:r>
            <w:r>
              <w:rPr>
                <w:rFonts w:hint="eastAsia" w:asciiTheme="majorEastAsia" w:hAnsiTheme="majorEastAsia" w:eastAsiaTheme="majorEastAsia" w:cstheme="majorEastAsia"/>
                <w:color w:val="FF0000"/>
                <w:sz w:val="24"/>
                <w:szCs w:val="24"/>
                <w:u w:val="wave"/>
                <w:lang w:eastAsia="zh-CN"/>
              </w:rPr>
              <w:t>”</w:t>
            </w:r>
            <w:r>
              <w:rPr>
                <w:rFonts w:hint="default" w:ascii="Times New Roman" w:hAnsi="Times New Roman" w:cs="Times New Roman"/>
                <w:color w:val="FF0000"/>
                <w:sz w:val="24"/>
                <w:szCs w:val="24"/>
                <w:u w:val="wave"/>
                <w:lang w:val="en-US" w:eastAsia="zh-CN"/>
              </w:rPr>
              <w:t>可知</w:t>
            </w:r>
            <w:r>
              <w:rPr>
                <w:rFonts w:hint="default" w:ascii="Times New Roman" w:hAnsi="Times New Roman" w:cs="Times New Roman"/>
                <w:color w:val="FF0000"/>
                <w:sz w:val="24"/>
                <w:szCs w:val="24"/>
                <w:u w:val="wave"/>
              </w:rPr>
              <w:t>，天然气</w:t>
            </w:r>
            <w:r>
              <w:rPr>
                <w:rFonts w:hint="default" w:ascii="Times New Roman" w:hAnsi="Times New Roman" w:cs="Times New Roman"/>
                <w:color w:val="FF0000"/>
                <w:sz w:val="24"/>
                <w:szCs w:val="24"/>
                <w:u w:val="wave"/>
                <w:lang w:val="en-US" w:eastAsia="zh-CN"/>
              </w:rPr>
              <w:t>燃烧</w:t>
            </w:r>
            <w:r>
              <w:rPr>
                <w:rFonts w:hint="default" w:ascii="Times New Roman" w:hAnsi="Times New Roman" w:cs="Times New Roman"/>
                <w:color w:val="FF0000"/>
                <w:sz w:val="24"/>
                <w:szCs w:val="24"/>
                <w:u w:val="wave"/>
              </w:rPr>
              <w:t>烟气</w:t>
            </w:r>
            <w:r>
              <w:rPr>
                <w:rFonts w:hint="default" w:ascii="Times New Roman" w:hAnsi="Times New Roman" w:cs="Times New Roman"/>
                <w:color w:val="FF0000"/>
                <w:sz w:val="24"/>
                <w:szCs w:val="24"/>
                <w:u w:val="wave"/>
                <w:lang w:val="zh-CN" w:eastAsia="zh-CN"/>
              </w:rPr>
              <w:t>SO</w:t>
            </w:r>
            <w:r>
              <w:rPr>
                <w:rFonts w:hint="default" w:ascii="Times New Roman" w:hAnsi="Times New Roman" w:cs="Times New Roman"/>
                <w:color w:val="FF0000"/>
                <w:sz w:val="24"/>
                <w:szCs w:val="24"/>
                <w:u w:val="wave"/>
                <w:vertAlign w:val="subscript"/>
                <w:lang w:val="en-US" w:eastAsia="zh-CN"/>
              </w:rPr>
              <w:t>2</w:t>
            </w:r>
            <w:r>
              <w:rPr>
                <w:rFonts w:hint="default" w:ascii="Times New Roman" w:hAnsi="Times New Roman" w:cs="Times New Roman"/>
                <w:color w:val="FF0000"/>
                <w:sz w:val="24"/>
                <w:szCs w:val="24"/>
                <w:u w:val="wave"/>
                <w:lang w:val="zh-CN" w:eastAsia="zh-CN"/>
              </w:rPr>
              <w:t>、NOx</w:t>
            </w:r>
            <w:r>
              <w:rPr>
                <w:rFonts w:hint="default" w:ascii="Times New Roman" w:hAnsi="Times New Roman" w:cs="Times New Roman"/>
                <w:color w:val="FF0000"/>
                <w:sz w:val="24"/>
                <w:szCs w:val="24"/>
                <w:u w:val="wave"/>
                <w:lang w:val="en-US" w:eastAsia="zh-CN"/>
              </w:rPr>
              <w:t>、烟尘</w:t>
            </w:r>
            <w:r>
              <w:rPr>
                <w:rFonts w:hint="default" w:ascii="Times New Roman" w:hAnsi="Times New Roman" w:cs="Times New Roman"/>
                <w:color w:val="FF0000"/>
                <w:sz w:val="24"/>
                <w:szCs w:val="24"/>
                <w:u w:val="wave"/>
              </w:rPr>
              <w:t>的产污系数</w:t>
            </w:r>
            <w:r>
              <w:rPr>
                <w:rFonts w:hint="default" w:ascii="Times New Roman" w:hAnsi="Times New Roman" w:cs="Times New Roman"/>
                <w:color w:val="FF0000"/>
                <w:sz w:val="24"/>
                <w:szCs w:val="24"/>
                <w:u w:val="wave"/>
                <w:lang w:val="en-US" w:eastAsia="zh-CN"/>
              </w:rPr>
              <w:t>如下：</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rPr>
              <w:t>SO</w:t>
            </w:r>
            <w:r>
              <w:rPr>
                <w:rFonts w:hint="default" w:ascii="Times New Roman" w:hAnsi="Times New Roman" w:cs="Times New Roman"/>
                <w:color w:val="FF0000"/>
                <w:sz w:val="24"/>
                <w:szCs w:val="24"/>
                <w:u w:val="wave"/>
                <w:vertAlign w:val="subscript"/>
              </w:rPr>
              <w:t>2</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w:t>
            </w:r>
            <w:r>
              <w:rPr>
                <w:rFonts w:hint="default" w:ascii="Times New Roman" w:hAnsi="Times New Roman" w:cs="Times New Roman"/>
                <w:color w:val="FF0000"/>
                <w:sz w:val="24"/>
                <w:szCs w:val="24"/>
                <w:u w:val="wave"/>
              </w:rPr>
              <w:t>SO</w:t>
            </w:r>
            <w:r>
              <w:rPr>
                <w:rFonts w:hint="default" w:ascii="Times New Roman" w:hAnsi="Times New Roman" w:cs="Times New Roman"/>
                <w:color w:val="FF0000"/>
                <w:sz w:val="24"/>
                <w:szCs w:val="24"/>
                <w:u w:val="wave"/>
                <w:vertAlign w:val="subscript"/>
              </w:rPr>
              <w:t>2</w:t>
            </w:r>
            <w:r>
              <w:rPr>
                <w:rFonts w:hint="default" w:ascii="Times New Roman" w:hAnsi="Times New Roman" w:cs="Times New Roman"/>
                <w:color w:val="FF0000"/>
                <w:sz w:val="24"/>
                <w:szCs w:val="24"/>
                <w:u w:val="wave"/>
                <w:lang w:val="en-US" w:eastAsia="zh-CN"/>
              </w:rPr>
              <w:t>=0.02s=4</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-燃料（S含硫量，本项目取60）；</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lang w:val="en-US" w:eastAsia="zh-CN"/>
              </w:rPr>
              <w:t>=9.36</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rPr>
            </w:pPr>
            <w:r>
              <w:rPr>
                <w:rFonts w:hint="default" w:ascii="Times New Roman" w:hAnsi="Times New Roman" w:cs="Times New Roman"/>
                <w:color w:val="FF0000"/>
                <w:sz w:val="24"/>
                <w:szCs w:val="24"/>
                <w:u w:val="wave"/>
                <w:lang w:val="en-US" w:eastAsia="zh-CN"/>
              </w:rPr>
              <w:t>烟尘</w:t>
            </w:r>
            <w:r>
              <w:rPr>
                <w:rFonts w:hint="default" w:ascii="Times New Roman" w:hAnsi="Times New Roman" w:cs="Times New Roman"/>
                <w:color w:val="FF0000"/>
                <w:sz w:val="24"/>
                <w:szCs w:val="24"/>
                <w:u w:val="wave"/>
              </w:rPr>
              <w:t>产污系数</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G烟尘=2.86</w:t>
            </w:r>
            <w:r>
              <w:rPr>
                <w:rFonts w:hint="default" w:ascii="Times New Roman" w:hAnsi="Times New Roman" w:cs="Times New Roman"/>
                <w:color w:val="FF0000"/>
                <w:sz w:val="24"/>
                <w:szCs w:val="24"/>
                <w:u w:val="wave"/>
              </w:rPr>
              <w:t>kg/万m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lang w:val="en-US" w:eastAsia="zh-CN"/>
              </w:rPr>
              <w:t>-燃料。</w:t>
            </w:r>
          </w:p>
          <w:p>
            <w:pPr>
              <w:autoSpaceDE w:val="0"/>
              <w:autoSpaceDN w:val="0"/>
              <w:adjustRightInd w:val="0"/>
              <w:spacing w:line="360" w:lineRule="auto"/>
              <w:ind w:firstLine="480" w:firstLineChars="200"/>
              <w:rPr>
                <w:rFonts w:hint="default" w:ascii="Times New Roman" w:hAnsi="Times New Roman" w:cs="Times New Roman"/>
                <w:color w:val="FF0000"/>
                <w:sz w:val="24"/>
                <w:szCs w:val="24"/>
                <w:u w:val="wave"/>
                <w:lang w:val="en-US" w:eastAsia="zh-CN"/>
              </w:rPr>
            </w:pPr>
            <w:r>
              <w:rPr>
                <w:rFonts w:hint="default" w:ascii="Times New Roman" w:hAnsi="Times New Roman" w:cs="Times New Roman"/>
                <w:color w:val="FF0000"/>
                <w:sz w:val="24"/>
                <w:szCs w:val="24"/>
                <w:u w:val="wave"/>
                <w:lang w:val="en-US" w:eastAsia="zh-CN"/>
              </w:rPr>
              <w:t>根据建设单位提供的资料</w:t>
            </w:r>
            <w:r>
              <w:rPr>
                <w:rFonts w:hint="default" w:ascii="Times New Roman" w:hAnsi="Times New Roman" w:cs="Times New Roman"/>
                <w:color w:val="FF0000"/>
                <w:sz w:val="24"/>
                <w:szCs w:val="24"/>
                <w:u w:val="wave"/>
                <w:lang w:val="zh-CN" w:eastAsia="zh-CN"/>
              </w:rPr>
              <w:t>，</w:t>
            </w:r>
            <w:r>
              <w:rPr>
                <w:rFonts w:hint="default" w:ascii="Times New Roman" w:hAnsi="Times New Roman" w:cs="Times New Roman"/>
                <w:color w:val="FF0000"/>
                <w:sz w:val="24"/>
                <w:szCs w:val="24"/>
                <w:u w:val="wave"/>
                <w:lang w:val="en-US" w:eastAsia="zh-CN"/>
              </w:rPr>
              <w:t>项目多元合金共渗每天工作6h（1800h/a）</w:t>
            </w:r>
            <w:r>
              <w:rPr>
                <w:rFonts w:hint="default" w:ascii="Times New Roman" w:hAnsi="Times New Roman" w:cs="Times New Roman"/>
                <w:color w:val="FF0000"/>
                <w:sz w:val="24"/>
                <w:szCs w:val="24"/>
                <w:u w:val="wave"/>
                <w:lang w:val="zh-CN" w:eastAsia="zh-CN"/>
              </w:rPr>
              <w:t>，每台</w:t>
            </w:r>
            <w:r>
              <w:rPr>
                <w:rFonts w:hint="default" w:ascii="Times New Roman" w:hAnsi="Times New Roman" w:cs="Times New Roman"/>
                <w:color w:val="FF0000"/>
                <w:sz w:val="24"/>
                <w:szCs w:val="24"/>
                <w:u w:val="wave"/>
                <w:lang w:val="en-US" w:eastAsia="zh-CN"/>
              </w:rPr>
              <w:t>渗锌炉天然气耗气量为2</w:t>
            </w:r>
            <w:r>
              <w:rPr>
                <w:rFonts w:hint="default" w:ascii="Times New Roman" w:hAnsi="Times New Roman" w:cs="Times New Roman"/>
                <w:color w:val="FF0000"/>
                <w:sz w:val="24"/>
                <w:szCs w:val="24"/>
                <w:u w:val="wave"/>
              </w:rPr>
              <w:t>0m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h</w:t>
            </w:r>
            <w:r>
              <w:rPr>
                <w:rFonts w:hint="default" w:ascii="Times New Roman" w:hAnsi="Times New Roman" w:cs="Times New Roman"/>
                <w:color w:val="FF0000"/>
                <w:sz w:val="24"/>
                <w:szCs w:val="24"/>
                <w:u w:val="wave"/>
              </w:rPr>
              <w:t>（</w:t>
            </w:r>
            <w:r>
              <w:rPr>
                <w:rFonts w:hint="default" w:ascii="Times New Roman" w:hAnsi="Times New Roman" w:cs="Times New Roman"/>
                <w:color w:val="FF0000"/>
                <w:sz w:val="24"/>
                <w:szCs w:val="24"/>
                <w:u w:val="wave"/>
                <w:lang w:val="en-US" w:eastAsia="zh-CN"/>
              </w:rPr>
              <w:t>3.6</w:t>
            </w:r>
            <w:r>
              <w:rPr>
                <w:rFonts w:hint="default" w:ascii="Times New Roman" w:hAnsi="Times New Roman" w:cs="Times New Roman"/>
                <w:color w:val="FF0000"/>
                <w:sz w:val="24"/>
                <w:szCs w:val="24"/>
                <w:u w:val="wave"/>
              </w:rPr>
              <w:t>万m</w:t>
            </w:r>
            <w:r>
              <w:rPr>
                <w:rFonts w:hint="default" w:ascii="Times New Roman" w:hAnsi="Times New Roman" w:cs="Times New Roman"/>
                <w:color w:val="FF0000"/>
                <w:sz w:val="24"/>
                <w:szCs w:val="24"/>
                <w:u w:val="wave"/>
                <w:vertAlign w:val="superscript"/>
              </w:rPr>
              <w:t>3</w:t>
            </w:r>
            <w:r>
              <w:rPr>
                <w:rFonts w:hint="default" w:ascii="Times New Roman" w:hAnsi="Times New Roman" w:cs="Times New Roman"/>
                <w:color w:val="FF0000"/>
                <w:sz w:val="24"/>
                <w:szCs w:val="24"/>
                <w:u w:val="wave"/>
              </w:rPr>
              <w:t>/a）</w:t>
            </w:r>
            <w:r>
              <w:rPr>
                <w:rFonts w:hint="default" w:ascii="Times New Roman" w:hAnsi="Times New Roman" w:cs="Times New Roman"/>
                <w:color w:val="FF0000"/>
                <w:sz w:val="24"/>
                <w:szCs w:val="24"/>
                <w:u w:val="wave"/>
                <w:lang w:eastAsia="zh-CN"/>
              </w:rPr>
              <w:t>，</w:t>
            </w:r>
            <w:r>
              <w:rPr>
                <w:rFonts w:hint="default" w:ascii="Times New Roman" w:hAnsi="Times New Roman" w:cs="Times New Roman"/>
                <w:color w:val="FF0000"/>
                <w:sz w:val="24"/>
                <w:szCs w:val="24"/>
                <w:u w:val="wave"/>
                <w:lang w:val="en-US" w:eastAsia="zh-CN"/>
              </w:rPr>
              <w:t>则</w:t>
            </w:r>
            <w:r>
              <w:rPr>
                <w:rFonts w:hint="default" w:ascii="Times New Roman" w:hAnsi="Times New Roman" w:cs="Times New Roman"/>
                <w:color w:val="FF0000"/>
                <w:sz w:val="24"/>
                <w:szCs w:val="24"/>
                <w:u w:val="wave"/>
                <w:lang w:val="zh-CN" w:eastAsia="zh-CN"/>
              </w:rPr>
              <w:t>每台</w:t>
            </w:r>
            <w:r>
              <w:rPr>
                <w:rFonts w:hint="default" w:ascii="Times New Roman" w:hAnsi="Times New Roman" w:cs="Times New Roman"/>
                <w:color w:val="FF0000"/>
                <w:sz w:val="24"/>
                <w:szCs w:val="24"/>
                <w:u w:val="wave"/>
                <w:lang w:val="en-US" w:eastAsia="zh-CN"/>
              </w:rPr>
              <w:t>渗锌炉天然气燃烧烟气量为387910.8Nm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/a（215.506m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/h）</w:t>
            </w:r>
            <w:r>
              <w:rPr>
                <w:rFonts w:hint="default" w:ascii="Times New Roman" w:hAnsi="Times New Roman" w:cs="Times New Roman"/>
                <w:color w:val="FF0000"/>
                <w:sz w:val="24"/>
                <w:szCs w:val="24"/>
                <w:u w:val="wave"/>
                <w:lang w:eastAsia="zh-CN"/>
              </w:rPr>
              <w:t>，各渗锌炉</w:t>
            </w:r>
            <w:r>
              <w:rPr>
                <w:rFonts w:hint="default" w:ascii="Times New Roman" w:hAnsi="Times New Roman" w:cs="Times New Roman"/>
                <w:color w:val="FF0000"/>
                <w:sz w:val="24"/>
                <w:szCs w:val="24"/>
                <w:u w:val="wave"/>
                <w:lang w:val="en-US" w:eastAsia="zh-CN"/>
              </w:rPr>
              <w:t>天然气燃烧烟气各污染物产排情况见表4-2：</w:t>
            </w:r>
          </w:p>
          <w:p>
            <w:pPr>
              <w:adjustRightInd w:val="0"/>
              <w:snapToGrid w:val="0"/>
              <w:spacing w:beforeLines="50"/>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表</w:t>
            </w:r>
            <w:r>
              <w:rPr>
                <w:rFonts w:hint="default" w:ascii="Times New Roman" w:hAnsi="Times New Roman" w:cs="Times New Roman"/>
                <w:b/>
                <w:bCs/>
                <w:color w:val="FF0000"/>
                <w:sz w:val="21"/>
                <w:szCs w:val="21"/>
                <w:u w:val="wave"/>
                <w:lang w:val="en-US" w:eastAsia="zh-CN"/>
              </w:rPr>
              <w:t>4-2</w:t>
            </w:r>
            <w:r>
              <w:rPr>
                <w:rFonts w:hint="default" w:ascii="Times New Roman" w:hAnsi="Times New Roman" w:cs="Times New Roman"/>
                <w:b/>
                <w:bCs/>
                <w:color w:val="FF0000"/>
                <w:sz w:val="21"/>
                <w:szCs w:val="21"/>
                <w:u w:val="wave"/>
              </w:rPr>
              <w:t xml:space="preserve"> </w:t>
            </w:r>
            <w:r>
              <w:rPr>
                <w:rFonts w:hint="default" w:ascii="Times New Roman" w:hAnsi="Times New Roman" w:cs="Times New Roman"/>
                <w:b/>
                <w:bCs/>
                <w:color w:val="FF0000"/>
                <w:sz w:val="21"/>
                <w:szCs w:val="21"/>
                <w:u w:val="wave"/>
                <w:lang w:val="en-US" w:eastAsia="zh-CN"/>
              </w:rPr>
              <w:t xml:space="preserve"> 各渗锌炉</w:t>
            </w:r>
            <w:r>
              <w:rPr>
                <w:rFonts w:hint="default" w:ascii="Times New Roman" w:hAnsi="Times New Roman" w:cs="Times New Roman"/>
                <w:b/>
                <w:bCs/>
                <w:color w:val="FF0000"/>
                <w:sz w:val="21"/>
                <w:szCs w:val="21"/>
                <w:u w:val="wave"/>
              </w:rPr>
              <w:t>天然气燃烧废气产生、排放情况一览表</w:t>
            </w:r>
          </w:p>
          <w:tbl>
            <w:tblPr>
              <w:tblStyle w:val="25"/>
              <w:tblW w:w="499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41"/>
              <w:gridCol w:w="1507"/>
              <w:gridCol w:w="1437"/>
              <w:gridCol w:w="1755"/>
              <w:gridCol w:w="1629"/>
              <w:gridCol w:w="191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restar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污染物名称</w:t>
                  </w:r>
                </w:p>
              </w:tc>
              <w:tc>
                <w:tcPr>
                  <w:tcW w:w="1569" w:type="pct"/>
                  <w:gridSpan w:val="2"/>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产生情况</w:t>
                  </w:r>
                </w:p>
              </w:tc>
              <w:tc>
                <w:tcPr>
                  <w:tcW w:w="935" w:type="pct"/>
                  <w:vMerge w:val="restar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处理设施</w:t>
                  </w:r>
                </w:p>
              </w:tc>
              <w:tc>
                <w:tcPr>
                  <w:tcW w:w="1886" w:type="pct"/>
                  <w:gridSpan w:val="2"/>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continue"/>
                  <w:vAlign w:val="center"/>
                </w:tcPr>
                <w:p>
                  <w:pPr>
                    <w:pStyle w:val="2"/>
                    <w:jc w:val="center"/>
                    <w:rPr>
                      <w:rFonts w:hint="default" w:ascii="Times New Roman" w:hAnsi="Times New Roman" w:cs="Times New Roman"/>
                      <w:b/>
                      <w:bCs/>
                      <w:color w:val="FF0000"/>
                      <w:sz w:val="21"/>
                      <w:szCs w:val="21"/>
                      <w:u w:val="wave"/>
                    </w:rPr>
                  </w:pPr>
                </w:p>
              </w:tc>
              <w:tc>
                <w:tcPr>
                  <w:tcW w:w="803" w:type="pc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产生量（</w:t>
                  </w:r>
                  <w:r>
                    <w:rPr>
                      <w:rFonts w:hint="default" w:ascii="Times New Roman" w:hAnsi="Times New Roman" w:cs="Times New Roman"/>
                      <w:b/>
                      <w:bCs/>
                      <w:color w:val="FF0000"/>
                      <w:sz w:val="21"/>
                      <w:szCs w:val="21"/>
                      <w:u w:val="wave"/>
                      <w:lang w:val="en-US" w:eastAsia="zh-CN"/>
                    </w:rPr>
                    <w:t>kg</w:t>
                  </w:r>
                  <w:r>
                    <w:rPr>
                      <w:rFonts w:hint="default" w:ascii="Times New Roman" w:hAnsi="Times New Roman" w:cs="Times New Roman"/>
                      <w:b/>
                      <w:bCs/>
                      <w:color w:val="FF0000"/>
                      <w:sz w:val="21"/>
                      <w:szCs w:val="21"/>
                      <w:u w:val="wave"/>
                    </w:rPr>
                    <w:t>/a）</w:t>
                  </w:r>
                </w:p>
              </w:tc>
              <w:tc>
                <w:tcPr>
                  <w:tcW w:w="766" w:type="pct"/>
                  <w:vAlign w:val="center"/>
                </w:tcPr>
                <w:p>
                  <w:pPr>
                    <w:pStyle w:val="2"/>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产生浓度（mg/m</w:t>
                  </w:r>
                  <w:r>
                    <w:rPr>
                      <w:rFonts w:hint="default" w:ascii="Times New Roman" w:hAnsi="Times New Roman" w:cs="Times New Roman"/>
                      <w:b/>
                      <w:bCs/>
                      <w:color w:val="FF0000"/>
                      <w:sz w:val="21"/>
                      <w:szCs w:val="21"/>
                      <w:u w:val="wave"/>
                      <w:vertAlign w:val="superscript"/>
                    </w:rPr>
                    <w:t>3</w:t>
                  </w:r>
                  <w:r>
                    <w:rPr>
                      <w:rFonts w:hint="default" w:ascii="Times New Roman" w:hAnsi="Times New Roman" w:cs="Times New Roman"/>
                      <w:b/>
                      <w:bCs/>
                      <w:color w:val="FF0000"/>
                      <w:sz w:val="21"/>
                      <w:szCs w:val="21"/>
                      <w:u w:val="wave"/>
                    </w:rPr>
                    <w:t>）</w:t>
                  </w:r>
                </w:p>
              </w:tc>
              <w:tc>
                <w:tcPr>
                  <w:tcW w:w="935" w:type="pct"/>
                  <w:vMerge w:val="continue"/>
                  <w:vAlign w:val="center"/>
                </w:tcPr>
                <w:p>
                  <w:pPr>
                    <w:pStyle w:val="2"/>
                    <w:jc w:val="center"/>
                    <w:rPr>
                      <w:rFonts w:hint="default" w:ascii="Times New Roman" w:hAnsi="Times New Roman" w:cs="Times New Roman"/>
                      <w:b/>
                      <w:bCs/>
                      <w:color w:val="FF0000"/>
                      <w:sz w:val="21"/>
                      <w:szCs w:val="21"/>
                      <w:u w:val="wave"/>
                    </w:rPr>
                  </w:pPr>
                </w:p>
              </w:tc>
              <w:tc>
                <w:tcPr>
                  <w:tcW w:w="868" w:type="pc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量（</w:t>
                  </w:r>
                  <w:r>
                    <w:rPr>
                      <w:rFonts w:hint="default" w:ascii="Times New Roman" w:hAnsi="Times New Roman" w:cs="Times New Roman"/>
                      <w:b/>
                      <w:bCs/>
                      <w:color w:val="FF0000"/>
                      <w:sz w:val="21"/>
                      <w:szCs w:val="21"/>
                      <w:u w:val="wave"/>
                      <w:lang w:val="en-US" w:eastAsia="zh-CN"/>
                    </w:rPr>
                    <w:t>kg</w:t>
                  </w:r>
                  <w:r>
                    <w:rPr>
                      <w:rFonts w:hint="default" w:ascii="Times New Roman" w:hAnsi="Times New Roman" w:cs="Times New Roman"/>
                      <w:b/>
                      <w:bCs/>
                      <w:color w:val="FF0000"/>
                      <w:sz w:val="21"/>
                      <w:szCs w:val="21"/>
                      <w:u w:val="wave"/>
                    </w:rPr>
                    <w:t>/a）</w:t>
                  </w:r>
                </w:p>
              </w:tc>
              <w:tc>
                <w:tcPr>
                  <w:tcW w:w="1018" w:type="pct"/>
                  <w:vAlign w:val="center"/>
                </w:tcPr>
                <w:p>
                  <w:pPr>
                    <w:pStyle w:val="2"/>
                    <w:jc w:val="center"/>
                    <w:rPr>
                      <w:rFonts w:hint="default" w:ascii="Times New Roman" w:hAnsi="Times New Roman" w:cs="Times New Roman"/>
                      <w:b/>
                      <w:bCs/>
                      <w:color w:val="FF0000"/>
                      <w:sz w:val="21"/>
                      <w:szCs w:val="21"/>
                      <w:u w:val="wave"/>
                      <w:lang w:val="en-US" w:eastAsia="zh-CN"/>
                    </w:rPr>
                  </w:pPr>
                  <w:r>
                    <w:rPr>
                      <w:rFonts w:hint="default" w:ascii="Times New Roman" w:hAnsi="Times New Roman" w:cs="Times New Roman"/>
                      <w:b/>
                      <w:bCs/>
                      <w:color w:val="FF0000"/>
                      <w:sz w:val="21"/>
                      <w:szCs w:val="21"/>
                      <w:u w:val="wave"/>
                      <w:lang w:val="en-US" w:eastAsia="zh-CN"/>
                    </w:rPr>
                    <w:t>排放</w:t>
                  </w:r>
                  <w:r>
                    <w:rPr>
                      <w:rFonts w:hint="default" w:ascii="Times New Roman" w:hAnsi="Times New Roman" w:cs="Times New Roman"/>
                      <w:b/>
                      <w:bCs/>
                      <w:color w:val="FF0000"/>
                      <w:sz w:val="21"/>
                      <w:szCs w:val="21"/>
                      <w:u w:val="wave"/>
                    </w:rPr>
                    <w:t>浓度（mg/m</w:t>
                  </w:r>
                  <w:r>
                    <w:rPr>
                      <w:rFonts w:hint="default" w:ascii="Times New Roman" w:hAnsi="Times New Roman" w:cs="Times New Roman"/>
                      <w:b/>
                      <w:bCs/>
                      <w:color w:val="FF0000"/>
                      <w:sz w:val="21"/>
                      <w:szCs w:val="21"/>
                      <w:u w:val="wave"/>
                      <w:vertAlign w:val="superscript"/>
                    </w:rPr>
                    <w:t>3</w:t>
                  </w:r>
                  <w:r>
                    <w:rPr>
                      <w:rFonts w:hint="default" w:ascii="Times New Roman" w:hAnsi="Times New Roman" w:cs="Times New Roman"/>
                      <w:b/>
                      <w:bCs/>
                      <w:color w:val="FF0000"/>
                      <w:sz w:val="21"/>
                      <w:szCs w:val="21"/>
                      <w:u w:val="wave"/>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SO</w:t>
                  </w:r>
                  <w:r>
                    <w:rPr>
                      <w:rFonts w:hint="default" w:ascii="Times New Roman" w:hAnsi="Times New Roman" w:cs="Times New Roman"/>
                      <w:color w:val="FF0000"/>
                      <w:sz w:val="21"/>
                      <w:szCs w:val="21"/>
                      <w:u w:val="wave"/>
                      <w:vertAlign w:val="subscript"/>
                    </w:rPr>
                    <w:t>2</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4.32</w:t>
                  </w:r>
                </w:p>
              </w:tc>
              <w:tc>
                <w:tcPr>
                  <w:tcW w:w="766"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11.14</w:t>
                  </w:r>
                </w:p>
              </w:tc>
              <w:tc>
                <w:tcPr>
                  <w:tcW w:w="935" w:type="pct"/>
                  <w:vMerge w:val="restar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经15m（DA003、DA004、DA008、DA009）排气筒排放</w:t>
                  </w:r>
                </w:p>
              </w:tc>
              <w:tc>
                <w:tcPr>
                  <w:tcW w:w="868"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4.32</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11.14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氮氧化物</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33.696</w:t>
                  </w:r>
                </w:p>
              </w:tc>
              <w:tc>
                <w:tcPr>
                  <w:tcW w:w="766"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86.87</w:t>
                  </w:r>
                </w:p>
              </w:tc>
              <w:tc>
                <w:tcPr>
                  <w:tcW w:w="935" w:type="pct"/>
                  <w:vMerge w:val="continue"/>
                  <w:vAlign w:val="center"/>
                </w:tcPr>
                <w:p>
                  <w:pPr>
                    <w:pStyle w:val="2"/>
                    <w:jc w:val="center"/>
                    <w:rPr>
                      <w:rFonts w:hint="default" w:ascii="Times New Roman" w:hAnsi="Times New Roman" w:cs="Times New Roman"/>
                      <w:color w:val="FF0000"/>
                      <w:sz w:val="21"/>
                      <w:szCs w:val="21"/>
                      <w:u w:val="wave"/>
                      <w:lang w:val="en-US" w:eastAsia="zh-CN"/>
                    </w:rPr>
                  </w:pPr>
                </w:p>
              </w:tc>
              <w:tc>
                <w:tcPr>
                  <w:tcW w:w="868"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33.696</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86.87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烟尘</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10.296</w:t>
                  </w:r>
                </w:p>
              </w:tc>
              <w:tc>
                <w:tcPr>
                  <w:tcW w:w="766"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26.54</w:t>
                  </w:r>
                </w:p>
              </w:tc>
              <w:tc>
                <w:tcPr>
                  <w:tcW w:w="935" w:type="pct"/>
                  <w:vMerge w:val="continue"/>
                  <w:vAlign w:val="center"/>
                </w:tcPr>
                <w:p>
                  <w:pPr>
                    <w:pStyle w:val="2"/>
                    <w:jc w:val="center"/>
                    <w:rPr>
                      <w:rFonts w:hint="default" w:ascii="Times New Roman" w:hAnsi="Times New Roman" w:cs="Times New Roman"/>
                      <w:color w:val="FF0000"/>
                      <w:sz w:val="21"/>
                      <w:szCs w:val="21"/>
                      <w:u w:val="wave"/>
                      <w:lang w:val="en-US" w:eastAsia="zh-CN"/>
                    </w:rPr>
                  </w:pPr>
                </w:p>
              </w:tc>
              <w:tc>
                <w:tcPr>
                  <w:tcW w:w="868" w:type="pct"/>
                  <w:vAlign w:val="center"/>
                </w:tcPr>
                <w:p>
                  <w:pPr>
                    <w:keepNext w:val="0"/>
                    <w:keepLines w:val="0"/>
                    <w:widowControl/>
                    <w:suppressLineNumbers w:val="0"/>
                    <w:jc w:val="center"/>
                    <w:textAlignment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10.296</w:t>
                  </w:r>
                </w:p>
              </w:tc>
              <w:tc>
                <w:tcPr>
                  <w:tcW w:w="1018" w:type="pct"/>
                  <w:vAlign w:val="center"/>
                </w:tcPr>
                <w:p>
                  <w:pPr>
                    <w:pStyle w:val="2"/>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26.54</w:t>
                  </w:r>
                </w:p>
              </w:tc>
            </w:tr>
          </w:tbl>
          <w:p>
            <w:pPr>
              <w:pStyle w:val="2"/>
              <w:spacing w:line="360" w:lineRule="auto"/>
              <w:ind w:firstLine="480" w:firstLineChars="200"/>
              <w:jc w:val="both"/>
              <w:rPr>
                <w:rFonts w:hint="default" w:ascii="Times New Roman" w:hAnsi="Times New Roman" w:cs="Times New Roman"/>
                <w:color w:val="FF0000"/>
                <w:sz w:val="24"/>
                <w:szCs w:val="24"/>
                <w:u w:val="wave"/>
              </w:rPr>
            </w:pPr>
            <w:r>
              <w:rPr>
                <w:rFonts w:hint="default" w:ascii="Times New Roman" w:hAnsi="Times New Roman" w:cs="Times New Roman"/>
                <w:color w:val="FF0000"/>
                <w:sz w:val="24"/>
                <w:szCs w:val="24"/>
                <w:u w:val="wave"/>
                <w:lang w:val="en-US" w:eastAsia="zh-CN"/>
              </w:rPr>
              <w:t>综上可知，项目DA003、DA004、DA008、DA009排气筒SO</w:t>
            </w:r>
            <w:r>
              <w:rPr>
                <w:rFonts w:hint="default" w:ascii="Times New Roman" w:hAnsi="Times New Roman" w:cs="Times New Roman"/>
                <w:color w:val="FF0000"/>
                <w:sz w:val="24"/>
                <w:szCs w:val="24"/>
                <w:u w:val="wave"/>
                <w:vertAlign w:val="subscript"/>
                <w:lang w:val="en-US" w:eastAsia="zh-CN"/>
              </w:rPr>
              <w:t>2</w:t>
            </w:r>
            <w:r>
              <w:rPr>
                <w:rFonts w:hint="default" w:ascii="Times New Roman" w:hAnsi="Times New Roman" w:cs="Times New Roman"/>
                <w:color w:val="FF0000"/>
                <w:sz w:val="24"/>
                <w:szCs w:val="24"/>
                <w:u w:val="wave"/>
                <w:lang w:val="en-US" w:eastAsia="zh-CN"/>
              </w:rPr>
              <w:t>排放量为4.32kg/a（0.002kg/h），排放浓度为11.14mg/m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；NO</w:t>
            </w:r>
            <w:r>
              <w:rPr>
                <w:rFonts w:hint="default" w:ascii="Times New Roman" w:hAnsi="Times New Roman" w:cs="Times New Roman"/>
                <w:color w:val="FF0000"/>
                <w:sz w:val="24"/>
                <w:szCs w:val="24"/>
                <w:u w:val="wave"/>
                <w:vertAlign w:val="subscript"/>
                <w:lang w:val="en-US" w:eastAsia="zh-CN"/>
              </w:rPr>
              <w:t>X</w:t>
            </w:r>
            <w:r>
              <w:rPr>
                <w:rFonts w:hint="default" w:ascii="Times New Roman" w:hAnsi="Times New Roman" w:cs="Times New Roman"/>
                <w:color w:val="FF0000"/>
                <w:sz w:val="24"/>
                <w:szCs w:val="24"/>
                <w:u w:val="wave"/>
                <w:lang w:val="en-US" w:eastAsia="zh-CN"/>
              </w:rPr>
              <w:t>排放量为33.696kg/a（0.019kg/h），排放浓度为86.87mg/m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；烟尘排放量为10.296kg/a（0.006kg/h），排放浓度为26.54mg/m</w:t>
            </w:r>
            <w:r>
              <w:rPr>
                <w:rFonts w:hint="default" w:ascii="Times New Roman" w:hAnsi="Times New Roman" w:cs="Times New Roman"/>
                <w:color w:val="FF0000"/>
                <w:sz w:val="24"/>
                <w:szCs w:val="24"/>
                <w:u w:val="wave"/>
                <w:vertAlign w:val="superscript"/>
                <w:lang w:val="en-US" w:eastAsia="zh-CN"/>
              </w:rPr>
              <w:t>3</w:t>
            </w:r>
            <w:r>
              <w:rPr>
                <w:rFonts w:hint="default" w:ascii="Times New Roman" w:hAnsi="Times New Roman" w:cs="Times New Roman"/>
                <w:color w:val="FF0000"/>
                <w:sz w:val="24"/>
                <w:szCs w:val="24"/>
                <w:u w:val="wave"/>
                <w:lang w:val="en-US"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zh-CN" w:eastAsia="zh-CN"/>
              </w:rPr>
            </w:pPr>
            <w:r>
              <w:rPr>
                <w:rFonts w:hint="eastAsia" w:ascii="Times New Roman" w:cs="Times New Roman"/>
                <w:sz w:val="24"/>
                <w:szCs w:val="24"/>
                <w:lang w:val="zh-CN" w:eastAsia="zh-CN"/>
              </w:rPr>
              <w:t>（</w:t>
            </w:r>
            <w:r>
              <w:rPr>
                <w:rFonts w:hint="eastAsia" w:ascii="Times New Roman" w:cs="Times New Roman"/>
                <w:sz w:val="24"/>
                <w:szCs w:val="24"/>
                <w:lang w:val="en-US" w:eastAsia="zh-CN"/>
              </w:rPr>
              <w:t>7</w:t>
            </w:r>
            <w:r>
              <w:rPr>
                <w:rFonts w:hint="eastAsia" w:ascii="Times New Roman" w:cs="Times New Roman"/>
                <w:sz w:val="24"/>
                <w:szCs w:val="24"/>
                <w:lang w:val="zh-CN" w:eastAsia="zh-CN"/>
              </w:rPr>
              <w:t>）</w:t>
            </w:r>
            <w:r>
              <w:rPr>
                <w:rFonts w:hint="eastAsia" w:ascii="Times New Roman" w:cs="Times New Roman"/>
                <w:sz w:val="24"/>
                <w:szCs w:val="24"/>
                <w:lang w:val="en-US" w:eastAsia="zh-CN"/>
              </w:rPr>
              <w:t>钝化烘干废气、</w:t>
            </w:r>
            <w:r>
              <w:rPr>
                <w:rFonts w:hint="default" w:ascii="Times New Roman" w:hAnsi="Times New Roman" w:cs="Times New Roman"/>
                <w:sz w:val="24"/>
                <w:szCs w:val="24"/>
                <w:lang w:val="zh-CN"/>
              </w:rPr>
              <w:t>浸漆</w:t>
            </w:r>
            <w:r>
              <w:rPr>
                <w:rFonts w:hint="default" w:ascii="Times New Roman" w:hAnsi="Times New Roman" w:cs="Times New Roman"/>
                <w:sz w:val="24"/>
                <w:szCs w:val="24"/>
                <w:lang w:val="en-US" w:eastAsia="zh-CN"/>
              </w:rPr>
              <w:t>固化</w:t>
            </w:r>
            <w:r>
              <w:rPr>
                <w:rFonts w:hint="default" w:ascii="Times New Roman" w:hAnsi="Times New Roman" w:cs="Times New Roman"/>
                <w:sz w:val="24"/>
                <w:szCs w:val="24"/>
                <w:lang w:val="zh-CN"/>
              </w:rPr>
              <w:t>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zh-CN"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lang w:val="zh-CN" w:eastAsia="zh-CN"/>
              </w:rPr>
              <w:t>项目</w:t>
            </w:r>
            <w:r>
              <w:rPr>
                <w:rFonts w:hint="eastAsia" w:ascii="Times New Roman" w:cs="Times New Roman"/>
                <w:sz w:val="24"/>
                <w:szCs w:val="24"/>
                <w:lang w:val="en-US" w:eastAsia="zh-CN"/>
              </w:rPr>
              <w:t>钝化后烘干、浸漆后固化均在</w:t>
            </w:r>
            <w:r>
              <w:rPr>
                <w:rFonts w:hint="default" w:ascii="Times New Roman" w:hAnsi="Times New Roman" w:cs="Times New Roman"/>
                <w:sz w:val="24"/>
                <w:szCs w:val="24"/>
                <w:lang w:val="en-US" w:eastAsia="zh-CN"/>
              </w:rPr>
              <w:t>全自动悬链钝化封闭线</w:t>
            </w:r>
            <w:r>
              <w:rPr>
                <w:rFonts w:hint="default" w:ascii="Times New Roman" w:hAnsi="Times New Roman" w:cs="Times New Roman"/>
                <w:sz w:val="24"/>
                <w:szCs w:val="24"/>
                <w:lang w:val="zh-CN"/>
              </w:rPr>
              <w:t>烘干室中进行，烘干过程仅留有一个出气口，出气口直接连接至废气处理设施。</w:t>
            </w:r>
            <w:r>
              <w:rPr>
                <w:rFonts w:hint="default" w:ascii="Times New Roman" w:hAnsi="Times New Roman" w:cs="Times New Roman"/>
                <w:sz w:val="24"/>
                <w:szCs w:val="24"/>
                <w:lang w:val="zh-CN" w:eastAsia="zh-CN"/>
              </w:rPr>
              <w:t>烘干室采用天然气燃烧供热，</w:t>
            </w:r>
            <w:r>
              <w:rPr>
                <w:rFonts w:hint="eastAsia" w:ascii="Times New Roman" w:cs="Times New Roman"/>
                <w:sz w:val="24"/>
                <w:szCs w:val="24"/>
                <w:lang w:val="en-US" w:eastAsia="zh-CN"/>
              </w:rPr>
              <w:t>年工作时间约1500h，</w:t>
            </w:r>
            <w:r>
              <w:rPr>
                <w:rFonts w:hint="default" w:ascii="Times New Roman" w:hAnsi="Times New Roman" w:cs="Times New Roman"/>
                <w:sz w:val="24"/>
                <w:szCs w:val="24"/>
                <w:lang w:val="zh-CN" w:eastAsia="zh-CN"/>
              </w:rPr>
              <w:t>天然气燃烧烟气、钝化烘干废气</w:t>
            </w:r>
            <w:r>
              <w:rPr>
                <w:rFonts w:hint="eastAsia" w:ascii="Times New Roman" w:cs="Times New Roman"/>
                <w:sz w:val="24"/>
                <w:szCs w:val="24"/>
                <w:lang w:val="en-US" w:eastAsia="zh-CN"/>
              </w:rPr>
              <w:t>、</w:t>
            </w:r>
            <w:r>
              <w:rPr>
                <w:rFonts w:hint="default" w:ascii="Times New Roman" w:hAnsi="Times New Roman" w:cs="Times New Roman"/>
                <w:sz w:val="24"/>
                <w:szCs w:val="24"/>
                <w:lang w:val="zh-CN"/>
              </w:rPr>
              <w:t>浸漆</w:t>
            </w:r>
            <w:r>
              <w:rPr>
                <w:rFonts w:hint="default" w:ascii="Times New Roman" w:hAnsi="Times New Roman" w:cs="Times New Roman"/>
                <w:sz w:val="24"/>
                <w:szCs w:val="24"/>
                <w:lang w:val="en-US" w:eastAsia="zh-CN"/>
              </w:rPr>
              <w:t>固化</w:t>
            </w:r>
            <w:r>
              <w:rPr>
                <w:rFonts w:hint="default" w:ascii="Times New Roman" w:hAnsi="Times New Roman" w:cs="Times New Roman"/>
                <w:sz w:val="24"/>
                <w:szCs w:val="24"/>
                <w:lang w:val="zh-CN"/>
              </w:rPr>
              <w:t>废气</w:t>
            </w:r>
            <w:r>
              <w:rPr>
                <w:rFonts w:hint="default" w:ascii="Times New Roman" w:hAnsi="Times New Roman" w:cs="Times New Roman"/>
                <w:sz w:val="24"/>
                <w:szCs w:val="24"/>
                <w:lang w:val="zh-CN" w:eastAsia="zh-CN"/>
              </w:rPr>
              <w:t>一并经管道收集进入</w:t>
            </w:r>
            <w:r>
              <w:rPr>
                <w:rFonts w:hint="eastAsia" w:ascii="Times New Roman" w:cs="Times New Roman"/>
                <w:sz w:val="24"/>
                <w:szCs w:val="24"/>
                <w:lang w:val="zh-CN" w:eastAsia="zh-CN"/>
              </w:rPr>
              <w:t>“</w:t>
            </w:r>
            <w:r>
              <w:rPr>
                <w:rFonts w:hint="default" w:ascii="Times New Roman" w:hAnsi="Times New Roman" w:cs="Times New Roman"/>
                <w:sz w:val="24"/>
                <w:szCs w:val="24"/>
                <w:lang w:val="zh-CN" w:eastAsia="zh-CN"/>
              </w:rPr>
              <w:t>UV光解+活性炭吸附</w:t>
            </w:r>
            <w:r>
              <w:rPr>
                <w:rFonts w:hint="eastAsia" w:ascii="Times New Roman" w:cs="Times New Roman"/>
                <w:sz w:val="24"/>
                <w:szCs w:val="24"/>
                <w:lang w:val="zh-CN" w:eastAsia="zh-CN"/>
              </w:rPr>
              <w:t>”</w:t>
            </w:r>
            <w:r>
              <w:rPr>
                <w:rFonts w:hint="eastAsia" w:ascii="Times New Roman" w:cs="Times New Roman"/>
                <w:sz w:val="24"/>
                <w:szCs w:val="24"/>
                <w:lang w:val="en-US" w:eastAsia="zh-CN"/>
              </w:rPr>
              <w:t>装置</w:t>
            </w:r>
            <w:r>
              <w:rPr>
                <w:rFonts w:hint="default" w:ascii="Times New Roman" w:hAnsi="Times New Roman" w:cs="Times New Roman"/>
                <w:sz w:val="24"/>
                <w:szCs w:val="24"/>
                <w:lang w:val="zh-CN" w:eastAsia="zh-CN"/>
              </w:rPr>
              <w:t>处理后经一根15m排气筒（DA005）排放，风机风量</w:t>
            </w:r>
            <w:r>
              <w:rPr>
                <w:rFonts w:hint="eastAsia" w:ascii="Times New Roman" w:cs="Times New Roman"/>
                <w:sz w:val="24"/>
                <w:szCs w:val="24"/>
                <w:lang w:val="en-US" w:eastAsia="zh-CN"/>
              </w:rPr>
              <w:t>20</w:t>
            </w:r>
            <w:r>
              <w:rPr>
                <w:rFonts w:hint="default" w:ascii="Times New Roman" w:hAnsi="Times New Roman" w:cs="Times New Roman"/>
                <w:sz w:val="24"/>
                <w:szCs w:val="24"/>
                <w:lang w:val="zh-CN" w:eastAsia="zh-CN"/>
              </w:rPr>
              <w:t>000m</w:t>
            </w:r>
            <w:r>
              <w:rPr>
                <w:rFonts w:hint="eastAsia" w:ascii="Times New Roman" w:cs="Times New Roman"/>
                <w:sz w:val="24"/>
                <w:szCs w:val="24"/>
                <w:vertAlign w:val="superscript"/>
                <w:lang w:val="en-US" w:eastAsia="zh-CN"/>
              </w:rPr>
              <w:t>3</w:t>
            </w:r>
            <w:r>
              <w:rPr>
                <w:rFonts w:hint="default" w:ascii="Times New Roman" w:hAnsi="Times New Roman" w:cs="Times New Roman"/>
                <w:sz w:val="24"/>
                <w:szCs w:val="24"/>
                <w:lang w:val="zh-CN" w:eastAsia="zh-CN"/>
              </w:rPr>
              <w:t>/h</w:t>
            </w:r>
            <w:r>
              <w:rPr>
                <w:rFonts w:hint="eastAsia" w:ascii="Times New Roman" w:cs="Times New Roman"/>
                <w:sz w:val="24"/>
                <w:szCs w:val="24"/>
                <w:lang w:val="zh-CN"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eastAsia" w:ascii="Times New Roman" w:cs="Times New Roman"/>
                <w:sz w:val="24"/>
                <w:szCs w:val="24"/>
                <w:lang w:val="en-US" w:eastAsia="zh-CN"/>
              </w:rPr>
              <w:t>①钝化烘干有机废气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sz w:val="24"/>
                <w:szCs w:val="24"/>
                <w:lang w:val="zh-CN"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lang w:val="zh-CN" w:eastAsia="zh-CN"/>
              </w:rPr>
              <w:t>项目钝化工序钝化剂使用量为</w:t>
            </w:r>
            <w:r>
              <w:rPr>
                <w:rFonts w:hint="eastAsia" w:ascii="Times New Roman" w:cs="Times New Roman"/>
                <w:sz w:val="24"/>
                <w:szCs w:val="24"/>
                <w:lang w:val="en-US" w:eastAsia="zh-CN"/>
              </w:rPr>
              <w:t>4.5</w:t>
            </w:r>
            <w:r>
              <w:rPr>
                <w:rFonts w:hint="default" w:ascii="Times New Roman" w:hAnsi="Times New Roman" w:cs="Times New Roman"/>
                <w:sz w:val="24"/>
                <w:szCs w:val="24"/>
                <w:lang w:val="zh-CN" w:eastAsia="zh-CN"/>
              </w:rPr>
              <w:t>t/a，根据类比河北畅盛科技工程有限公司</w:t>
            </w:r>
            <w:r>
              <w:rPr>
                <w:rFonts w:hint="eastAsia" w:asciiTheme="majorEastAsia" w:hAnsiTheme="majorEastAsia" w:eastAsiaTheme="majorEastAsia" w:cstheme="majorEastAsia"/>
                <w:sz w:val="24"/>
                <w:szCs w:val="24"/>
                <w:lang w:val="zh-CN" w:eastAsia="zh-CN"/>
              </w:rPr>
              <w:t>“</w:t>
            </w:r>
            <w:r>
              <w:rPr>
                <w:rFonts w:hint="default" w:ascii="Times New Roman" w:hAnsi="Times New Roman" w:cs="Times New Roman"/>
                <w:sz w:val="24"/>
                <w:szCs w:val="24"/>
                <w:lang w:val="zh-CN" w:eastAsia="zh-CN"/>
              </w:rPr>
              <w:t>年产5000吨多元合金共渗金属构件项目</w:t>
            </w:r>
            <w:r>
              <w:rPr>
                <w:rFonts w:hint="eastAsia" w:asciiTheme="majorEastAsia" w:hAnsiTheme="majorEastAsia" w:eastAsiaTheme="majorEastAsia" w:cstheme="majorEastAsia"/>
                <w:sz w:val="24"/>
                <w:szCs w:val="24"/>
                <w:lang w:val="zh-CN" w:eastAsia="zh-CN"/>
              </w:rPr>
              <w:t>”</w:t>
            </w:r>
            <w:r>
              <w:rPr>
                <w:rFonts w:hint="default" w:ascii="Times New Roman" w:hAnsi="Times New Roman" w:cs="Times New Roman"/>
                <w:sz w:val="24"/>
                <w:szCs w:val="24"/>
                <w:lang w:val="zh-CN" w:eastAsia="zh-CN"/>
              </w:rPr>
              <w:t>，钝化剂中挥发份高分子聚合物含量为15%，按照全部挥发计算VOCs（以非甲烷总烃计），钝化烘干工序VOCs（以非甲烷总烃计）产生量为0.</w:t>
            </w:r>
            <w:r>
              <w:rPr>
                <w:rFonts w:hint="eastAsia" w:ascii="Times New Roman" w:cs="Times New Roman"/>
                <w:sz w:val="24"/>
                <w:szCs w:val="24"/>
                <w:lang w:val="en-US" w:eastAsia="zh-CN"/>
              </w:rPr>
              <w:t>675</w:t>
            </w:r>
            <w:r>
              <w:rPr>
                <w:rFonts w:hint="default" w:ascii="Times New Roman" w:hAnsi="Times New Roman" w:cs="Times New Roman"/>
                <w:sz w:val="24"/>
                <w:szCs w:val="24"/>
                <w:lang w:val="zh-CN" w:eastAsia="zh-CN"/>
              </w:rPr>
              <w:t>t/a</w:t>
            </w:r>
            <w:r>
              <w:rPr>
                <w:rFonts w:hint="eastAsia" w:ascii="Times New Roman" w:cs="Times New Roman"/>
                <w:sz w:val="24"/>
                <w:szCs w:val="24"/>
                <w:lang w:val="zh-CN"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eastAsia" w:ascii="Times New Roman" w:cs="Times New Roman"/>
                <w:sz w:val="24"/>
                <w:szCs w:val="24"/>
                <w:lang w:val="en-US" w:eastAsia="zh-CN"/>
              </w:rPr>
              <w:t>②浸漆</w:t>
            </w:r>
            <w:r>
              <w:rPr>
                <w:rFonts w:hint="default" w:ascii="Times New Roman" w:hAnsi="Times New Roman" w:cs="Times New Roman"/>
                <w:sz w:val="24"/>
                <w:szCs w:val="24"/>
                <w:lang w:val="en-US" w:eastAsia="zh-CN"/>
              </w:rPr>
              <w:t>固化</w:t>
            </w:r>
            <w:r>
              <w:rPr>
                <w:rFonts w:hint="eastAsia" w:ascii="Times New Roman" w:cs="Times New Roman"/>
                <w:sz w:val="24"/>
                <w:szCs w:val="24"/>
                <w:lang w:val="en-US" w:eastAsia="zh-CN"/>
              </w:rPr>
              <w:t>有机</w:t>
            </w:r>
            <w:r>
              <w:rPr>
                <w:rFonts w:hint="default" w:ascii="Times New Roman" w:hAnsi="Times New Roman" w:cs="Times New Roman"/>
                <w:sz w:val="24"/>
                <w:szCs w:val="24"/>
                <w:lang w:val="zh-CN"/>
              </w:rPr>
              <w:t>废气</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cs="Times New Roman"/>
                <w:sz w:val="24"/>
                <w:szCs w:val="24"/>
                <w:lang w:val="en-US" w:eastAsia="zh-CN"/>
              </w:rPr>
              <w:t>改建完成后</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项目</w:t>
            </w:r>
            <w:r>
              <w:rPr>
                <w:rFonts w:hint="default" w:ascii="Times New Roman" w:hAnsi="Times New Roman" w:cs="Times New Roman"/>
                <w:sz w:val="24"/>
                <w:szCs w:val="24"/>
                <w:lang w:val="en-US" w:eastAsia="zh-CN"/>
              </w:rPr>
              <w:t>预埋件产品（水性漆浸漆处理）</w:t>
            </w:r>
            <w:r>
              <w:rPr>
                <w:rFonts w:hint="eastAsia" w:ascii="Times New Roman" w:cs="Times New Roman"/>
                <w:sz w:val="24"/>
                <w:szCs w:val="24"/>
                <w:lang w:val="en-US" w:eastAsia="zh-CN"/>
              </w:rPr>
              <w:t>量仍为</w:t>
            </w:r>
            <w:r>
              <w:rPr>
                <w:rFonts w:hint="default" w:ascii="Times New Roman" w:hAnsi="Times New Roman" w:cs="Times New Roman"/>
                <w:sz w:val="24"/>
                <w:szCs w:val="24"/>
                <w:lang w:val="en-US" w:eastAsia="zh-CN"/>
              </w:rPr>
              <w:t>2400t/a</w:t>
            </w:r>
            <w:r>
              <w:rPr>
                <w:rFonts w:hint="eastAsia" w:ascii="Times New Roman" w:cs="Times New Roman"/>
                <w:sz w:val="24"/>
                <w:szCs w:val="24"/>
                <w:lang w:val="en-US" w:eastAsia="zh-CN"/>
              </w:rPr>
              <w:t>，</w:t>
            </w:r>
            <w:r>
              <w:rPr>
                <w:rFonts w:hint="default" w:ascii="Times New Roman" w:hAnsi="Times New Roman" w:cs="Times New Roman"/>
                <w:sz w:val="24"/>
                <w:szCs w:val="24"/>
              </w:rPr>
              <w:t>水性漆用量</w:t>
            </w:r>
            <w:r>
              <w:rPr>
                <w:rFonts w:hint="eastAsia" w:ascii="Times New Roman" w:cs="Times New Roman"/>
                <w:sz w:val="24"/>
                <w:szCs w:val="24"/>
                <w:lang w:val="en-US" w:eastAsia="zh-CN"/>
              </w:rPr>
              <w:t>仍为</w:t>
            </w:r>
            <w:r>
              <w:rPr>
                <w:rFonts w:hint="default" w:ascii="Times New Roman" w:hAnsi="Times New Roman" w:cs="Times New Roman"/>
                <w:sz w:val="24"/>
                <w:szCs w:val="24"/>
                <w:lang w:val="en-US" w:eastAsia="zh-CN"/>
              </w:rPr>
              <w:t>的</w:t>
            </w:r>
            <w:r>
              <w:rPr>
                <w:rFonts w:hint="default" w:ascii="Times New Roman" w:hAnsi="Times New Roman" w:cs="Times New Roman"/>
                <w:sz w:val="24"/>
                <w:szCs w:val="24"/>
              </w:rPr>
              <w:t>4.377t/a，</w:t>
            </w:r>
            <w:r>
              <w:rPr>
                <w:rFonts w:hint="default" w:ascii="Times New Roman" w:hAnsi="Times New Roman" w:cs="Times New Roman"/>
                <w:sz w:val="24"/>
                <w:szCs w:val="24"/>
                <w:lang w:val="zh-CN"/>
              </w:rPr>
              <w:t>根据建设单位提供的资料，项目使用的水性漆</w:t>
            </w:r>
            <w:r>
              <w:rPr>
                <w:rFonts w:hint="default" w:ascii="Times New Roman" w:hAnsi="Times New Roman" w:cs="Times New Roman"/>
                <w:sz w:val="24"/>
                <w:szCs w:val="24"/>
              </w:rPr>
              <w:t>挥发性有机物含量约为</w:t>
            </w:r>
            <w:r>
              <w:rPr>
                <w:rFonts w:hint="eastAsia" w:ascii="Times New Roman" w:cs="Times New Roman"/>
                <w:sz w:val="24"/>
                <w:szCs w:val="24"/>
                <w:lang w:val="en-US" w:eastAsia="zh-CN"/>
              </w:rPr>
              <w:t>1</w:t>
            </w:r>
            <w:r>
              <w:rPr>
                <w:rFonts w:hint="default" w:ascii="Times New Roman" w:hAnsi="Times New Roman" w:cs="Times New Roman"/>
                <w:sz w:val="24"/>
                <w:szCs w:val="24"/>
              </w:rPr>
              <w:t>00g/L，水性漆密度1.2g/cm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，则水性漆用量约为</w:t>
            </w:r>
            <w:r>
              <w:rPr>
                <w:rFonts w:hint="eastAsia" w:ascii="Times New Roman" w:cs="Times New Roman"/>
                <w:sz w:val="24"/>
                <w:szCs w:val="24"/>
                <w:lang w:val="en-US" w:eastAsia="zh-CN"/>
              </w:rPr>
              <w:t>3647.5</w:t>
            </w:r>
            <w:r>
              <w:rPr>
                <w:rFonts w:hint="default" w:ascii="Times New Roman" w:hAnsi="Times New Roman" w:cs="Times New Roman"/>
                <w:sz w:val="24"/>
                <w:szCs w:val="24"/>
              </w:rPr>
              <w:t>L/a，有机废气按挥发性有机物全部挥发考虑，则有机废气产生量为</w:t>
            </w:r>
            <w:r>
              <w:rPr>
                <w:rFonts w:hint="default" w:ascii="Times New Roman" w:hAnsi="Times New Roman" w:cs="Times New Roman"/>
                <w:sz w:val="24"/>
                <w:szCs w:val="24"/>
                <w:lang w:val="en-US" w:eastAsia="zh-CN"/>
              </w:rPr>
              <w:t>0.</w:t>
            </w:r>
            <w:r>
              <w:rPr>
                <w:rFonts w:hint="eastAsia" w:ascii="Times New Roman" w:cs="Times New Roman"/>
                <w:sz w:val="24"/>
                <w:szCs w:val="24"/>
                <w:lang w:val="en-US" w:eastAsia="zh-CN"/>
              </w:rPr>
              <w:t>365</w:t>
            </w:r>
            <w:r>
              <w:rPr>
                <w:rFonts w:hint="default" w:ascii="Times New Roman" w:hAnsi="Times New Roman" w:cs="Times New Roman"/>
                <w:sz w:val="24"/>
                <w:szCs w:val="24"/>
              </w:rPr>
              <w:t>t/a</w:t>
            </w:r>
            <w:r>
              <w:rPr>
                <w:rFonts w:hint="eastAsia" w:ascii="Times New Roman" w:cs="Times New Roman"/>
                <w:sz w:val="24"/>
                <w:szCs w:val="24"/>
                <w:lang w:eastAsia="zh-CN"/>
              </w:rPr>
              <w:t>。</w:t>
            </w:r>
            <w:r>
              <w:rPr>
                <w:rFonts w:hint="default" w:ascii="Times New Roman" w:hAnsi="Times New Roman" w:cs="Times New Roman"/>
                <w:sz w:val="24"/>
                <w:szCs w:val="24"/>
              </w:rPr>
              <w:t>浸漆</w:t>
            </w:r>
            <w:r>
              <w:rPr>
                <w:rFonts w:hint="eastAsia" w:ascii="Times New Roman" w:cs="Times New Roman"/>
                <w:sz w:val="24"/>
                <w:szCs w:val="24"/>
                <w:lang w:val="en-US" w:eastAsia="zh-CN"/>
              </w:rPr>
              <w:t>固化</w:t>
            </w:r>
            <w:r>
              <w:rPr>
                <w:rFonts w:hint="default" w:ascii="Times New Roman" w:hAnsi="Times New Roman" w:cs="Times New Roman"/>
                <w:sz w:val="24"/>
                <w:szCs w:val="24"/>
              </w:rPr>
              <w:t>过程中有机废气挥发量占比约为</w:t>
            </w:r>
            <w:r>
              <w:rPr>
                <w:rFonts w:hint="default" w:ascii="Times New Roman" w:hAnsi="Times New Roman" w:cs="Times New Roman"/>
                <w:sz w:val="24"/>
                <w:szCs w:val="24"/>
                <w:lang w:val="en-US" w:eastAsia="zh-CN"/>
              </w:rPr>
              <w:t>9</w:t>
            </w:r>
            <w:r>
              <w:rPr>
                <w:rFonts w:hint="default" w:ascii="Times New Roman" w:hAnsi="Times New Roman" w:cs="Times New Roman"/>
                <w:sz w:val="24"/>
                <w:szCs w:val="24"/>
              </w:rPr>
              <w:t>0%，即</w:t>
            </w:r>
            <w:r>
              <w:rPr>
                <w:rFonts w:hint="default" w:ascii="Times New Roman" w:hAnsi="Times New Roman" w:cs="Times New Roman"/>
                <w:sz w:val="24"/>
                <w:szCs w:val="24"/>
                <w:lang w:val="en-US" w:eastAsia="zh-CN"/>
              </w:rPr>
              <w:t>0.</w:t>
            </w:r>
            <w:r>
              <w:rPr>
                <w:rFonts w:hint="eastAsia" w:ascii="Times New Roman" w:cs="Times New Roman"/>
                <w:sz w:val="24"/>
                <w:szCs w:val="24"/>
                <w:lang w:val="en-US" w:eastAsia="zh-CN"/>
              </w:rPr>
              <w:t>329</w:t>
            </w:r>
            <w:r>
              <w:rPr>
                <w:rFonts w:hint="default" w:ascii="Times New Roman" w:hAnsi="Times New Roman" w:cs="Times New Roman"/>
                <w:sz w:val="24"/>
                <w:szCs w:val="24"/>
              </w:rPr>
              <w:t>t/a</w:t>
            </w:r>
            <w:r>
              <w:rPr>
                <w:rFonts w:hint="eastAsia" w:ascii="Times New Roman" w:cs="Times New Roman"/>
                <w:sz w:val="24"/>
                <w:szCs w:val="24"/>
                <w:lang w:eastAsia="zh-CN"/>
              </w:rPr>
              <w:t>。</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sz w:val="24"/>
                <w:szCs w:val="24"/>
                <w:lang w:val="zh-CN" w:eastAsia="zh-CN"/>
              </w:rPr>
            </w:pPr>
            <w:r>
              <w:rPr>
                <w:rFonts w:hint="eastAsia" w:ascii="Times New Roman" w:cs="Times New Roman"/>
                <w:sz w:val="24"/>
                <w:szCs w:val="24"/>
                <w:lang w:val="en-US" w:eastAsia="zh-CN"/>
              </w:rPr>
              <w:t>综上，项目</w:t>
            </w:r>
            <w:r>
              <w:rPr>
                <w:rFonts w:hint="default" w:ascii="Times New Roman" w:hAnsi="Times New Roman" w:cs="Times New Roman"/>
                <w:sz w:val="24"/>
                <w:szCs w:val="24"/>
                <w:lang w:val="en-US" w:eastAsia="zh-CN"/>
              </w:rPr>
              <w:t>全自动悬链钝化封闭线</w:t>
            </w:r>
            <w:r>
              <w:rPr>
                <w:rFonts w:hint="default" w:ascii="Times New Roman" w:hAnsi="Times New Roman" w:cs="Times New Roman"/>
                <w:sz w:val="24"/>
                <w:szCs w:val="24"/>
                <w:lang w:val="zh-CN"/>
              </w:rPr>
              <w:t>烘干室中</w:t>
            </w:r>
            <w:r>
              <w:rPr>
                <w:rFonts w:hint="eastAsia" w:ascii="Times New Roman" w:cs="Times New Roman"/>
                <w:sz w:val="24"/>
                <w:szCs w:val="24"/>
                <w:lang w:val="en-US" w:eastAsia="zh-CN"/>
              </w:rPr>
              <w:t>有机废气产生量为1.004t/a，</w:t>
            </w:r>
            <w:r>
              <w:rPr>
                <w:rFonts w:hint="default" w:ascii="Times New Roman" w:hAnsi="Times New Roman" w:cs="Times New Roman"/>
                <w:sz w:val="24"/>
                <w:szCs w:val="24"/>
                <w:lang w:val="en-US" w:eastAsia="zh-CN"/>
              </w:rPr>
              <w:t>根据《衡阳市新德力交通材料有限公司改扩建项目竣工环境保护验收监测报告》可知，</w:t>
            </w:r>
            <w:r>
              <w:rPr>
                <w:rFonts w:hint="eastAsia" w:asciiTheme="majorEastAsia" w:hAnsiTheme="majorEastAsia" w:eastAsiaTheme="majorEastAsia" w:cstheme="majorEastAsia"/>
                <w:sz w:val="24"/>
                <w:szCs w:val="24"/>
              </w:rPr>
              <w:t>“</w:t>
            </w:r>
            <w:r>
              <w:rPr>
                <w:rFonts w:hint="default" w:ascii="Times New Roman" w:hAnsi="Times New Roman" w:cs="Times New Roman" w:eastAsiaTheme="majorEastAsia"/>
                <w:sz w:val="24"/>
                <w:szCs w:val="24"/>
              </w:rPr>
              <w:t>UV光解装置</w:t>
            </w:r>
            <w:r>
              <w:rPr>
                <w:rFonts w:hint="eastAsia" w:asciiTheme="majorEastAsia" w:hAnsiTheme="majorEastAsia" w:eastAsiaTheme="majorEastAsia" w:cstheme="majorEastAsia"/>
                <w:sz w:val="24"/>
                <w:szCs w:val="24"/>
              </w:rPr>
              <w:t>+活性炭吸附装置”</w:t>
            </w:r>
            <w:r>
              <w:rPr>
                <w:rFonts w:hint="default" w:ascii="Times New Roman" w:hAnsi="Times New Roman" w:cs="Times New Roman"/>
                <w:sz w:val="24"/>
                <w:szCs w:val="24"/>
              </w:rPr>
              <w:t>处理效率</w:t>
            </w:r>
            <w:r>
              <w:rPr>
                <w:rFonts w:hint="default" w:ascii="Times New Roman" w:hAnsi="Times New Roman" w:cs="Times New Roman"/>
                <w:sz w:val="24"/>
                <w:szCs w:val="24"/>
                <w:lang w:val="en-US" w:eastAsia="zh-CN"/>
              </w:rPr>
              <w:t>约71%，本环评</w:t>
            </w:r>
            <w:r>
              <w:rPr>
                <w:rFonts w:hint="default" w:ascii="Times New Roman" w:hAnsi="Times New Roman" w:cs="Times New Roman"/>
                <w:sz w:val="24"/>
                <w:szCs w:val="24"/>
              </w:rPr>
              <w:t>按</w:t>
            </w:r>
            <w:r>
              <w:rPr>
                <w:rFonts w:hint="default" w:ascii="Times New Roman" w:hAnsi="Times New Roman" w:cs="Times New Roman"/>
                <w:sz w:val="24"/>
                <w:szCs w:val="24"/>
                <w:lang w:val="en-US" w:eastAsia="zh-CN"/>
              </w:rPr>
              <w:t>70</w:t>
            </w:r>
            <w:r>
              <w:rPr>
                <w:rFonts w:hint="default" w:ascii="Times New Roman" w:hAnsi="Times New Roman" w:cs="Times New Roman"/>
                <w:sz w:val="24"/>
                <w:szCs w:val="24"/>
              </w:rPr>
              <w:t>%计算，</w:t>
            </w:r>
            <w:r>
              <w:rPr>
                <w:rFonts w:hint="default" w:ascii="Times New Roman" w:hAnsi="Times New Roman" w:cs="Times New Roman"/>
                <w:sz w:val="24"/>
                <w:szCs w:val="24"/>
                <w:lang w:val="en-US" w:eastAsia="zh-CN"/>
              </w:rPr>
              <w:t>则DA005排气筒</w:t>
            </w:r>
            <w:r>
              <w:rPr>
                <w:rFonts w:hint="default" w:ascii="Times New Roman" w:hAnsi="Times New Roman" w:cs="Times New Roman"/>
                <w:sz w:val="24"/>
                <w:szCs w:val="24"/>
              </w:rPr>
              <w:t>有机废气排放量为0.</w:t>
            </w:r>
            <w:r>
              <w:rPr>
                <w:rFonts w:hint="eastAsia" w:ascii="Times New Roman" w:cs="Times New Roman"/>
                <w:sz w:val="24"/>
                <w:szCs w:val="24"/>
                <w:lang w:val="en-US" w:eastAsia="zh-CN"/>
              </w:rPr>
              <w:t>301</w:t>
            </w:r>
            <w:r>
              <w:rPr>
                <w:rFonts w:hint="default" w:ascii="Times New Roman" w:hAnsi="Times New Roman" w:cs="Times New Roman"/>
                <w:sz w:val="24"/>
                <w:szCs w:val="24"/>
              </w:rPr>
              <w:t>t/a（0.</w:t>
            </w:r>
            <w:r>
              <w:rPr>
                <w:rFonts w:hint="eastAsia" w:ascii="Times New Roman" w:cs="Times New Roman"/>
                <w:sz w:val="24"/>
                <w:szCs w:val="24"/>
                <w:lang w:val="en-US" w:eastAsia="zh-CN"/>
              </w:rPr>
              <w:t>201</w:t>
            </w:r>
            <w:r>
              <w:rPr>
                <w:rFonts w:hint="default" w:ascii="Times New Roman" w:hAnsi="Times New Roman" w:cs="Times New Roman"/>
                <w:sz w:val="24"/>
                <w:szCs w:val="24"/>
              </w:rPr>
              <w:t>kg/h）</w:t>
            </w:r>
            <w:r>
              <w:rPr>
                <w:rFonts w:hint="eastAsia" w:ascii="Times New Roman" w:cs="Times New Roman"/>
                <w:sz w:val="24"/>
                <w:szCs w:val="24"/>
                <w:lang w:eastAsia="zh-CN"/>
              </w:rPr>
              <w:t>，</w:t>
            </w:r>
            <w:r>
              <w:rPr>
                <w:rFonts w:hint="default" w:ascii="Times New Roman" w:hAnsi="Times New Roman" w:cs="Times New Roman"/>
                <w:sz w:val="24"/>
                <w:szCs w:val="24"/>
              </w:rPr>
              <w:t>排放浓度为</w:t>
            </w:r>
            <w:r>
              <w:rPr>
                <w:rFonts w:hint="eastAsia" w:ascii="Times New Roman" w:cs="Times New Roman"/>
                <w:sz w:val="24"/>
                <w:szCs w:val="24"/>
                <w:lang w:val="en-US" w:eastAsia="zh-CN"/>
              </w:rPr>
              <w:t>10.04</w:t>
            </w:r>
            <w:r>
              <w:rPr>
                <w:rFonts w:hint="default" w:ascii="Times New Roman" w:hAnsi="Times New Roman" w:cs="Times New Roman"/>
                <w:sz w:val="24"/>
                <w:szCs w:val="24"/>
              </w:rPr>
              <w:t>mg/m</w:t>
            </w:r>
            <w:r>
              <w:rPr>
                <w:rFonts w:hint="default" w:ascii="Times New Roman" w:hAnsi="Times New Roman" w:cs="Times New Roman"/>
                <w:sz w:val="24"/>
                <w:szCs w:val="24"/>
                <w:vertAlign w:val="superscript"/>
              </w:rPr>
              <w:t>3</w:t>
            </w:r>
            <w:r>
              <w:rPr>
                <w:rFonts w:hint="eastAsia" w:ascii="Times New Roman" w:cs="Times New Roman"/>
                <w:sz w:val="24"/>
                <w:szCs w:val="24"/>
                <w:lang w:val="zh-CN" w:eastAsia="zh-CN"/>
              </w:rPr>
              <w:t>。</w:t>
            </w:r>
          </w:p>
          <w:p>
            <w:pPr>
              <w:pStyle w:val="2"/>
              <w:spacing w:line="360" w:lineRule="auto"/>
              <w:ind w:firstLine="480" w:firstLineChars="200"/>
              <w:jc w:val="both"/>
              <w:rPr>
                <w:rFonts w:hint="default" w:ascii="Times New Roman" w:hAnsi="Times New Roman" w:cs="Times New Roman"/>
                <w:sz w:val="24"/>
                <w:szCs w:val="24"/>
                <w:lang w:eastAsia="zh-CN"/>
              </w:rPr>
            </w:pPr>
            <w:r>
              <w:rPr>
                <w:rFonts w:hint="eastAsia" w:ascii="Times New Roman" w:cs="Times New Roman"/>
                <w:sz w:val="24"/>
                <w:szCs w:val="24"/>
                <w:lang w:val="en-US" w:eastAsia="zh-CN"/>
              </w:rPr>
              <w:t>③</w:t>
            </w:r>
            <w:r>
              <w:rPr>
                <w:rFonts w:hint="default" w:ascii="Times New Roman" w:hAnsi="Times New Roman" w:cs="Times New Roman"/>
                <w:sz w:val="24"/>
                <w:szCs w:val="24"/>
              </w:rPr>
              <w:t>天然气燃烧</w:t>
            </w:r>
            <w:r>
              <w:rPr>
                <w:rFonts w:hint="default" w:ascii="Times New Roman" w:hAnsi="Times New Roman" w:cs="Times New Roman"/>
                <w:sz w:val="24"/>
                <w:szCs w:val="24"/>
                <w:lang w:val="en-US" w:eastAsia="zh-CN"/>
              </w:rPr>
              <w:t>烟气</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rPr>
              <w:t>项目</w:t>
            </w:r>
            <w:r>
              <w:rPr>
                <w:rFonts w:hint="eastAsia" w:ascii="Times New Roman" w:cs="Times New Roman"/>
                <w:sz w:val="24"/>
                <w:szCs w:val="24"/>
                <w:lang w:val="en-US" w:eastAsia="zh-CN"/>
              </w:rPr>
              <w:t>钝化后</w:t>
            </w:r>
            <w:r>
              <w:rPr>
                <w:rFonts w:hint="default" w:ascii="Times New Roman" w:hAnsi="Times New Roman" w:cs="Times New Roman"/>
                <w:sz w:val="24"/>
                <w:szCs w:val="24"/>
                <w:lang w:val="en-US" w:eastAsia="zh-CN"/>
              </w:rPr>
              <w:t>的工件及浸漆后的工件均需烘干</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在全自动悬链钝化封闭线烘干室中进行，</w:t>
            </w:r>
            <w:r>
              <w:rPr>
                <w:rFonts w:hint="default" w:ascii="Times New Roman" w:hAnsi="Times New Roman" w:cs="Times New Roman"/>
                <w:sz w:val="24"/>
                <w:szCs w:val="24"/>
                <w:lang w:val="zh-CN"/>
              </w:rPr>
              <w:t>采</w:t>
            </w:r>
            <w:r>
              <w:rPr>
                <w:rFonts w:hint="default" w:ascii="Times New Roman" w:hAnsi="Times New Roman" w:cs="Times New Roman"/>
                <w:sz w:val="24"/>
                <w:szCs w:val="24"/>
              </w:rPr>
              <w:t>用天然气间接加热，天然气属于清洁能源</w:t>
            </w:r>
            <w:r>
              <w:rPr>
                <w:rFonts w:hint="default" w:ascii="Times New Roman" w:hAnsi="Times New Roman" w:cs="Times New Roman"/>
                <w:sz w:val="24"/>
                <w:szCs w:val="24"/>
                <w:lang w:eastAsia="zh-CN"/>
              </w:rPr>
              <w:t>，</w:t>
            </w:r>
            <w:r>
              <w:rPr>
                <w:rFonts w:hint="default" w:ascii="Times New Roman" w:hAnsi="Times New Roman" w:cs="Times New Roman"/>
                <w:sz w:val="24"/>
                <w:szCs w:val="24"/>
              </w:rPr>
              <w:t>主要污染物为</w:t>
            </w:r>
            <w:r>
              <w:rPr>
                <w:rFonts w:hint="default" w:ascii="Times New Roman" w:hAnsi="Times New Roman" w:cs="Times New Roman"/>
                <w:sz w:val="24"/>
                <w:szCs w:val="24"/>
                <w:lang w:val="en-US" w:eastAsia="zh-CN"/>
              </w:rPr>
              <w:t>烟尘</w:t>
            </w:r>
            <w:r>
              <w:rPr>
                <w:rFonts w:hint="default" w:ascii="Times New Roman" w:hAnsi="Times New Roman" w:cs="Times New Roman"/>
                <w:sz w:val="24"/>
                <w:szCs w:val="24"/>
              </w:rPr>
              <w:t>、SO</w:t>
            </w:r>
            <w:r>
              <w:rPr>
                <w:rFonts w:hint="default" w:ascii="Times New Roman" w:hAnsi="Times New Roman" w:cs="Times New Roman"/>
                <w:sz w:val="24"/>
                <w:szCs w:val="24"/>
                <w:vertAlign w:val="subscript"/>
              </w:rPr>
              <w:t>2</w:t>
            </w:r>
            <w:r>
              <w:rPr>
                <w:rFonts w:hint="default" w:ascii="Times New Roman" w:hAnsi="Times New Roman" w:cs="Times New Roman"/>
                <w:sz w:val="24"/>
                <w:szCs w:val="24"/>
              </w:rPr>
              <w:t>、NO</w:t>
            </w:r>
            <w:r>
              <w:rPr>
                <w:rFonts w:hint="default" w:ascii="Times New Roman" w:hAnsi="Times New Roman" w:cs="Times New Roman"/>
                <w:sz w:val="24"/>
                <w:szCs w:val="24"/>
                <w:vertAlign w:val="subscript"/>
              </w:rPr>
              <w:t>X</w:t>
            </w:r>
            <w:r>
              <w:rPr>
                <w:rFonts w:hint="default" w:ascii="Times New Roman" w:hAnsi="Times New Roman" w:cs="Times New Roman"/>
                <w:sz w:val="24"/>
                <w:szCs w:val="24"/>
                <w:lang w:val="zh-CN"/>
              </w:rPr>
              <w:t>。烘干室天然气燃烧烟气</w:t>
            </w:r>
            <w:r>
              <w:rPr>
                <w:rFonts w:hint="default" w:ascii="Times New Roman" w:hAnsi="Times New Roman" w:cs="Times New Roman"/>
                <w:sz w:val="24"/>
                <w:szCs w:val="24"/>
                <w:lang w:val="en-US" w:eastAsia="zh-CN"/>
              </w:rPr>
              <w:t>与烘干有机废气一道经</w:t>
            </w:r>
            <w:r>
              <w:rPr>
                <w:rFonts w:hint="eastAsia" w:asciiTheme="majorEastAsia" w:hAnsiTheme="majorEastAsia" w:eastAsiaTheme="majorEastAsia" w:cstheme="majorEastAsia"/>
                <w:sz w:val="24"/>
                <w:szCs w:val="24"/>
              </w:rPr>
              <w:t>“</w:t>
            </w:r>
            <w:r>
              <w:rPr>
                <w:rFonts w:hint="default" w:ascii="Times New Roman" w:hAnsi="Times New Roman" w:cs="Times New Roman" w:eastAsiaTheme="majorEastAsia"/>
                <w:sz w:val="24"/>
                <w:szCs w:val="24"/>
              </w:rPr>
              <w:t>UV光解装置</w:t>
            </w:r>
            <w:r>
              <w:rPr>
                <w:rFonts w:hint="eastAsia" w:asciiTheme="majorEastAsia" w:hAnsiTheme="majorEastAsia" w:eastAsiaTheme="majorEastAsia" w:cstheme="majorEastAsia"/>
                <w:sz w:val="24"/>
                <w:szCs w:val="24"/>
              </w:rPr>
              <w:t>+活性炭吸附装置”</w:t>
            </w:r>
            <w:r>
              <w:rPr>
                <w:rFonts w:hint="default" w:ascii="Times New Roman" w:hAnsi="Times New Roman" w:cs="Times New Roman"/>
                <w:sz w:val="24"/>
                <w:szCs w:val="24"/>
              </w:rPr>
              <w:t>处理后，通过一根15m高排气筒（</w:t>
            </w:r>
            <w:r>
              <w:rPr>
                <w:rFonts w:hint="default" w:ascii="Times New Roman" w:hAnsi="Times New Roman" w:cs="Times New Roman"/>
                <w:sz w:val="24"/>
                <w:szCs w:val="24"/>
                <w:lang w:val="en-US" w:eastAsia="zh-CN"/>
              </w:rPr>
              <w:t>DA005</w:t>
            </w:r>
            <w:r>
              <w:rPr>
                <w:rFonts w:hint="default" w:ascii="Times New Roman" w:hAnsi="Times New Roman" w:cs="Times New Roman"/>
                <w:sz w:val="24"/>
                <w:szCs w:val="24"/>
              </w:rPr>
              <w:t>）排放</w:t>
            </w:r>
            <w:r>
              <w:rPr>
                <w:rFonts w:hint="default" w:ascii="Times New Roman" w:hAnsi="Times New Roman" w:cs="Times New Roman"/>
                <w:sz w:val="24"/>
                <w:szCs w:val="24"/>
                <w:lang w:eastAsia="zh-CN"/>
              </w:rPr>
              <w:t>。</w:t>
            </w:r>
          </w:p>
          <w:p>
            <w:pPr>
              <w:autoSpaceDE w:val="0"/>
              <w:autoSpaceDN w:val="0"/>
              <w:adjustRightIn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参照</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排放源统计调查产排污核算方法和系数</w:t>
            </w:r>
            <w:r>
              <w:rPr>
                <w:rFonts w:hint="default" w:ascii="Times New Roman" w:hAnsi="Times New Roman" w:cs="Times New Roman"/>
                <w:sz w:val="24"/>
                <w:szCs w:val="24"/>
              </w:rPr>
              <w:t>手册</w:t>
            </w:r>
            <w:r>
              <w:rPr>
                <w:rFonts w:hint="default" w:ascii="Times New Roman" w:hAnsi="Times New Roman" w:cs="Times New Roman"/>
                <w:sz w:val="24"/>
                <w:szCs w:val="24"/>
                <w:lang w:val="en-US" w:eastAsia="zh-CN"/>
              </w:rPr>
              <w:t xml:space="preserve"> 4430 工业锅炉（热力供应）行业系数手册</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可知，</w:t>
            </w:r>
            <w:r>
              <w:rPr>
                <w:rFonts w:hint="default" w:ascii="Times New Roman" w:hAnsi="Times New Roman" w:cs="Times New Roman"/>
                <w:sz w:val="24"/>
                <w:szCs w:val="24"/>
              </w:rPr>
              <w:t>天然气燃烧</w:t>
            </w:r>
            <w:r>
              <w:rPr>
                <w:rFonts w:hint="default" w:ascii="Times New Roman" w:hAnsi="Times New Roman" w:cs="Times New Roman"/>
                <w:sz w:val="24"/>
                <w:szCs w:val="24"/>
                <w:lang w:val="en-US" w:eastAsia="zh-CN"/>
              </w:rPr>
              <w:t>烟气量为107753</w:t>
            </w:r>
            <w:r>
              <w:rPr>
                <w:rFonts w:hint="default" w:ascii="Times New Roman" w:hAnsi="Times New Roman" w:cs="Times New Roman"/>
                <w:sz w:val="24"/>
                <w:szCs w:val="24"/>
              </w:rPr>
              <w:t>Nm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/万m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lang w:val="en-US" w:eastAsia="zh-CN"/>
              </w:rPr>
              <w:t>-燃料</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参照</w:t>
            </w:r>
            <w:r>
              <w:rPr>
                <w:rFonts w:hint="default" w:ascii="Times New Roman" w:hAnsi="Times New Roman" w:cs="Times New Roman"/>
                <w:sz w:val="24"/>
                <w:szCs w:val="24"/>
              </w:rPr>
              <w:t>《排污许可证申请与核发技术规范</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锅炉》（HJ953-2018）</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附表F.3 燃气工业锅炉的废气产排污系数</w:t>
            </w:r>
            <w:r>
              <w:rPr>
                <w:rFonts w:hint="eastAsia" w:asciiTheme="majorEastAsia" w:hAnsiTheme="majorEastAsia" w:eastAsiaTheme="majorEastAsia" w:cstheme="majorEastAsia"/>
                <w:sz w:val="24"/>
                <w:szCs w:val="24"/>
                <w:lang w:eastAsia="zh-CN"/>
              </w:rPr>
              <w:t>”</w:t>
            </w:r>
            <w:r>
              <w:rPr>
                <w:rFonts w:hint="default" w:ascii="Times New Roman" w:hAnsi="Times New Roman" w:cs="Times New Roman"/>
                <w:sz w:val="24"/>
                <w:szCs w:val="24"/>
                <w:lang w:val="en-US" w:eastAsia="zh-CN"/>
              </w:rPr>
              <w:t>可知</w:t>
            </w:r>
            <w:r>
              <w:rPr>
                <w:rFonts w:hint="default" w:ascii="Times New Roman" w:hAnsi="Times New Roman" w:cs="Times New Roman"/>
                <w:sz w:val="24"/>
                <w:szCs w:val="24"/>
              </w:rPr>
              <w:t>，天然气</w:t>
            </w:r>
            <w:r>
              <w:rPr>
                <w:rFonts w:hint="default" w:ascii="Times New Roman" w:hAnsi="Times New Roman" w:cs="Times New Roman"/>
                <w:sz w:val="24"/>
                <w:szCs w:val="24"/>
                <w:lang w:val="en-US" w:eastAsia="zh-CN"/>
              </w:rPr>
              <w:t>燃烧</w:t>
            </w:r>
            <w:r>
              <w:rPr>
                <w:rFonts w:hint="default" w:ascii="Times New Roman" w:hAnsi="Times New Roman" w:cs="Times New Roman"/>
                <w:sz w:val="24"/>
                <w:szCs w:val="24"/>
              </w:rPr>
              <w:t>烟气</w:t>
            </w:r>
            <w:r>
              <w:rPr>
                <w:rFonts w:hint="default" w:ascii="Times New Roman" w:hAnsi="Times New Roman" w:cs="Times New Roman"/>
                <w:sz w:val="24"/>
                <w:szCs w:val="24"/>
                <w:lang w:val="zh-CN" w:eastAsia="zh-CN"/>
              </w:rPr>
              <w:t>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zh-CN" w:eastAsia="zh-CN"/>
              </w:rPr>
              <w:t>、NOx</w:t>
            </w:r>
            <w:r>
              <w:rPr>
                <w:rFonts w:hint="default" w:ascii="Times New Roman" w:hAnsi="Times New Roman" w:cs="Times New Roman"/>
                <w:sz w:val="24"/>
                <w:szCs w:val="24"/>
                <w:lang w:val="en-US" w:eastAsia="zh-CN"/>
              </w:rPr>
              <w:t>、烟尘</w:t>
            </w:r>
            <w:r>
              <w:rPr>
                <w:rFonts w:hint="default" w:ascii="Times New Roman" w:hAnsi="Times New Roman" w:cs="Times New Roman"/>
                <w:sz w:val="24"/>
                <w:szCs w:val="24"/>
              </w:rPr>
              <w:t>的产污系数</w:t>
            </w:r>
            <w:r>
              <w:rPr>
                <w:rFonts w:hint="default" w:ascii="Times New Roman" w:hAnsi="Times New Roman" w:cs="Times New Roman"/>
                <w:sz w:val="24"/>
                <w:szCs w:val="24"/>
                <w:lang w:val="en-US" w:eastAsia="zh-CN"/>
              </w:rPr>
              <w:t>如下：</w:t>
            </w:r>
          </w:p>
          <w:p>
            <w:pPr>
              <w:autoSpaceDE w:val="0"/>
              <w:autoSpaceDN w:val="0"/>
              <w:adjustRightIn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rPr>
              <w:t>SO</w:t>
            </w:r>
            <w:r>
              <w:rPr>
                <w:rFonts w:hint="default" w:ascii="Times New Roman" w:hAnsi="Times New Roman" w:cs="Times New Roman"/>
                <w:sz w:val="24"/>
                <w:szCs w:val="24"/>
                <w:vertAlign w:val="subscript"/>
              </w:rPr>
              <w:t>2</w:t>
            </w:r>
            <w:r>
              <w:rPr>
                <w:rFonts w:hint="default" w:ascii="Times New Roman" w:hAnsi="Times New Roman" w:cs="Times New Roman"/>
                <w:sz w:val="24"/>
                <w:szCs w:val="24"/>
              </w:rPr>
              <w:t>产污系数</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G</w:t>
            </w:r>
            <w:r>
              <w:rPr>
                <w:rFonts w:hint="default" w:ascii="Times New Roman" w:hAnsi="Times New Roman" w:cs="Times New Roman"/>
                <w:sz w:val="24"/>
                <w:szCs w:val="24"/>
              </w:rPr>
              <w:t>SO</w:t>
            </w:r>
            <w:r>
              <w:rPr>
                <w:rFonts w:hint="default" w:ascii="Times New Roman" w:hAnsi="Times New Roman" w:cs="Times New Roman"/>
                <w:sz w:val="24"/>
                <w:szCs w:val="24"/>
                <w:vertAlign w:val="subscript"/>
              </w:rPr>
              <w:t>2</w:t>
            </w:r>
            <w:r>
              <w:rPr>
                <w:rFonts w:hint="default" w:ascii="Times New Roman" w:hAnsi="Times New Roman" w:cs="Times New Roman"/>
                <w:sz w:val="24"/>
                <w:szCs w:val="24"/>
                <w:lang w:val="en-US" w:eastAsia="zh-CN"/>
              </w:rPr>
              <w:t>=0.02s=4</w:t>
            </w:r>
            <w:r>
              <w:rPr>
                <w:rFonts w:hint="default" w:ascii="Times New Roman" w:hAnsi="Times New Roman" w:cs="Times New Roman"/>
                <w:sz w:val="24"/>
                <w:szCs w:val="24"/>
              </w:rPr>
              <w:t>kg/万m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lang w:val="en-US" w:eastAsia="zh-CN"/>
              </w:rPr>
              <w:t>-燃料（S含硫量，本项目取60）；</w:t>
            </w:r>
          </w:p>
          <w:p>
            <w:pPr>
              <w:autoSpaceDE w:val="0"/>
              <w:autoSpaceDN w:val="0"/>
              <w:adjustRightIn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NO</w:t>
            </w:r>
            <w:r>
              <w:rPr>
                <w:rFonts w:hint="default" w:ascii="Times New Roman" w:hAnsi="Times New Roman" w:cs="Times New Roman"/>
                <w:sz w:val="24"/>
                <w:szCs w:val="24"/>
                <w:vertAlign w:val="subscript"/>
                <w:lang w:val="en-US" w:eastAsia="zh-CN"/>
              </w:rPr>
              <w:t>X</w:t>
            </w:r>
            <w:r>
              <w:rPr>
                <w:rFonts w:hint="default" w:ascii="Times New Roman" w:hAnsi="Times New Roman" w:cs="Times New Roman"/>
                <w:sz w:val="24"/>
                <w:szCs w:val="24"/>
              </w:rPr>
              <w:t>产污系数</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GNO</w:t>
            </w:r>
            <w:r>
              <w:rPr>
                <w:rFonts w:hint="default" w:ascii="Times New Roman" w:hAnsi="Times New Roman" w:cs="Times New Roman"/>
                <w:sz w:val="24"/>
                <w:szCs w:val="24"/>
                <w:vertAlign w:val="subscript"/>
                <w:lang w:val="en-US" w:eastAsia="zh-CN"/>
              </w:rPr>
              <w:t>X</w:t>
            </w:r>
            <w:r>
              <w:rPr>
                <w:rFonts w:hint="default" w:ascii="Times New Roman" w:hAnsi="Times New Roman" w:cs="Times New Roman"/>
                <w:sz w:val="24"/>
                <w:szCs w:val="24"/>
                <w:lang w:val="en-US" w:eastAsia="zh-CN"/>
              </w:rPr>
              <w:t>=9.36</w:t>
            </w:r>
            <w:r>
              <w:rPr>
                <w:rFonts w:hint="default" w:ascii="Times New Roman" w:hAnsi="Times New Roman" w:cs="Times New Roman"/>
                <w:sz w:val="24"/>
                <w:szCs w:val="24"/>
              </w:rPr>
              <w:t>kg/万m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lang w:val="en-US" w:eastAsia="zh-CN"/>
              </w:rPr>
              <w:t>-燃料；</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烟尘</w:t>
            </w:r>
            <w:r>
              <w:rPr>
                <w:rFonts w:hint="default" w:ascii="Times New Roman" w:hAnsi="Times New Roman" w:cs="Times New Roman"/>
                <w:sz w:val="24"/>
                <w:szCs w:val="24"/>
              </w:rPr>
              <w:t>产污系数</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G烟尘=2.86</w:t>
            </w:r>
            <w:r>
              <w:rPr>
                <w:rFonts w:hint="default" w:ascii="Times New Roman" w:hAnsi="Times New Roman" w:cs="Times New Roman"/>
                <w:sz w:val="24"/>
                <w:szCs w:val="24"/>
              </w:rPr>
              <w:t>kg/万m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lang w:val="en-US" w:eastAsia="zh-CN"/>
              </w:rPr>
              <w:t>-燃料。</w:t>
            </w:r>
          </w:p>
          <w:p>
            <w:pPr>
              <w:autoSpaceDE w:val="0"/>
              <w:autoSpaceDN w:val="0"/>
              <w:adjustRightIn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根据建设单位提供的资料</w:t>
            </w: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项目全自动悬链钝化封闭线烘干室工作时间由现有的1200h增加至1500h，消耗天然气总量由1.8万m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/a增加至2.4万m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则</w:t>
            </w:r>
            <w:r>
              <w:rPr>
                <w:rFonts w:hint="eastAsia" w:cs="Times New Roman"/>
                <w:sz w:val="24"/>
                <w:szCs w:val="24"/>
                <w:lang w:val="en-US" w:eastAsia="zh-CN"/>
              </w:rPr>
              <w:t>改建完成后</w:t>
            </w:r>
            <w:r>
              <w:rPr>
                <w:rFonts w:hint="default" w:ascii="Times New Roman" w:hAnsi="Times New Roman" w:cs="Times New Roman"/>
                <w:sz w:val="24"/>
                <w:szCs w:val="24"/>
                <w:lang w:val="en-US" w:eastAsia="zh-CN"/>
              </w:rPr>
              <w:t>，全自动悬链钝化封闭线烘干室天然气燃烧烟气量为258607.2Nm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/a（172.405m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/h）</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烘干室天然气燃烧烟气各污染物产排情况见表4-3：</w:t>
            </w:r>
          </w:p>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w:t>
            </w:r>
            <w:r>
              <w:rPr>
                <w:rFonts w:hint="default" w:ascii="Times New Roman" w:hAnsi="Times New Roman" w:cs="Times New Roman"/>
                <w:b/>
                <w:bCs/>
                <w:sz w:val="21"/>
                <w:szCs w:val="21"/>
                <w:lang w:val="en-US" w:eastAsia="zh-CN"/>
              </w:rPr>
              <w:t>4-3</w:t>
            </w:r>
            <w:r>
              <w:rPr>
                <w:rFonts w:hint="default" w:ascii="Times New Roman" w:hAnsi="Times New Roman" w:cs="Times New Roman"/>
                <w:b/>
                <w:bCs/>
                <w:sz w:val="21"/>
                <w:szCs w:val="21"/>
              </w:rPr>
              <w:t xml:space="preserve"> </w:t>
            </w:r>
            <w:r>
              <w:rPr>
                <w:rFonts w:hint="default" w:ascii="Times New Roman" w:hAnsi="Times New Roman" w:cs="Times New Roman"/>
                <w:b/>
                <w:bCs/>
                <w:sz w:val="21"/>
                <w:szCs w:val="21"/>
                <w:lang w:val="en-US" w:eastAsia="zh-CN"/>
              </w:rPr>
              <w:t xml:space="preserve"> 烘干室</w:t>
            </w:r>
            <w:r>
              <w:rPr>
                <w:rFonts w:hint="default" w:ascii="Times New Roman" w:hAnsi="Times New Roman" w:cs="Times New Roman"/>
                <w:b/>
                <w:bCs/>
                <w:sz w:val="21"/>
                <w:szCs w:val="21"/>
              </w:rPr>
              <w:t>天然气燃烧废气产生、排放情况一览表</w:t>
            </w:r>
          </w:p>
          <w:tbl>
            <w:tblPr>
              <w:tblStyle w:val="25"/>
              <w:tblW w:w="499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41"/>
              <w:gridCol w:w="1507"/>
              <w:gridCol w:w="1614"/>
              <w:gridCol w:w="1578"/>
              <w:gridCol w:w="1629"/>
              <w:gridCol w:w="191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restart"/>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污染物名称</w:t>
                  </w:r>
                </w:p>
              </w:tc>
              <w:tc>
                <w:tcPr>
                  <w:tcW w:w="1663" w:type="pct"/>
                  <w:gridSpan w:val="2"/>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产生情况</w:t>
                  </w:r>
                </w:p>
              </w:tc>
              <w:tc>
                <w:tcPr>
                  <w:tcW w:w="841" w:type="pct"/>
                  <w:vMerge w:val="restart"/>
                  <w:vAlign w:val="center"/>
                </w:tcPr>
                <w:p>
                  <w:pPr>
                    <w:pStyle w:val="2"/>
                    <w:jc w:val="center"/>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处理设施</w:t>
                  </w:r>
                </w:p>
              </w:tc>
              <w:tc>
                <w:tcPr>
                  <w:tcW w:w="1886" w:type="pct"/>
                  <w:gridSpan w:val="2"/>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lang w:val="en-US" w:eastAsia="zh-CN"/>
                    </w:rPr>
                    <w:t>排放</w:t>
                  </w:r>
                  <w:r>
                    <w:rPr>
                      <w:rFonts w:hint="default" w:ascii="Times New Roman" w:hAnsi="Times New Roman" w:cs="Times New Roman"/>
                      <w:b/>
                      <w:bCs/>
                      <w:sz w:val="21"/>
                      <w:szCs w:val="21"/>
                    </w:rPr>
                    <w:t>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Merge w:val="continue"/>
                  <w:vAlign w:val="center"/>
                </w:tcPr>
                <w:p>
                  <w:pPr>
                    <w:pStyle w:val="2"/>
                    <w:jc w:val="center"/>
                    <w:rPr>
                      <w:rFonts w:hint="default" w:ascii="Times New Roman" w:hAnsi="Times New Roman" w:cs="Times New Roman"/>
                      <w:b/>
                      <w:bCs/>
                      <w:sz w:val="21"/>
                      <w:szCs w:val="21"/>
                    </w:rPr>
                  </w:pPr>
                </w:p>
              </w:tc>
              <w:tc>
                <w:tcPr>
                  <w:tcW w:w="803" w:type="pct"/>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产生量（</w:t>
                  </w:r>
                  <w:r>
                    <w:rPr>
                      <w:rFonts w:hint="default" w:ascii="Times New Roman" w:hAnsi="Times New Roman" w:cs="Times New Roman"/>
                      <w:b/>
                      <w:bCs/>
                      <w:sz w:val="21"/>
                      <w:szCs w:val="21"/>
                      <w:lang w:val="en-US" w:eastAsia="zh-CN"/>
                    </w:rPr>
                    <w:t>kg</w:t>
                  </w:r>
                  <w:r>
                    <w:rPr>
                      <w:rFonts w:hint="default" w:ascii="Times New Roman" w:hAnsi="Times New Roman" w:cs="Times New Roman"/>
                      <w:b/>
                      <w:bCs/>
                      <w:sz w:val="21"/>
                      <w:szCs w:val="21"/>
                    </w:rPr>
                    <w:t>/a）</w:t>
                  </w:r>
                </w:p>
              </w:tc>
              <w:tc>
                <w:tcPr>
                  <w:tcW w:w="860" w:type="pct"/>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产生浓度（mg/m</w:t>
                  </w:r>
                  <w:r>
                    <w:rPr>
                      <w:rFonts w:hint="default" w:ascii="Times New Roman" w:hAnsi="Times New Roman" w:cs="Times New Roman"/>
                      <w:b/>
                      <w:bCs/>
                      <w:sz w:val="21"/>
                      <w:szCs w:val="21"/>
                      <w:vertAlign w:val="superscript"/>
                    </w:rPr>
                    <w:t>3</w:t>
                  </w:r>
                  <w:r>
                    <w:rPr>
                      <w:rFonts w:hint="default" w:ascii="Times New Roman" w:hAnsi="Times New Roman" w:cs="Times New Roman"/>
                      <w:b/>
                      <w:bCs/>
                      <w:sz w:val="21"/>
                      <w:szCs w:val="21"/>
                    </w:rPr>
                    <w:t>）</w:t>
                  </w:r>
                </w:p>
              </w:tc>
              <w:tc>
                <w:tcPr>
                  <w:tcW w:w="841" w:type="pct"/>
                  <w:vMerge w:val="continue"/>
                  <w:vAlign w:val="center"/>
                </w:tcPr>
                <w:p>
                  <w:pPr>
                    <w:pStyle w:val="2"/>
                    <w:jc w:val="center"/>
                    <w:rPr>
                      <w:rFonts w:hint="default" w:ascii="Times New Roman" w:hAnsi="Times New Roman" w:cs="Times New Roman"/>
                      <w:b/>
                      <w:bCs/>
                      <w:sz w:val="21"/>
                      <w:szCs w:val="21"/>
                    </w:rPr>
                  </w:pPr>
                </w:p>
              </w:tc>
              <w:tc>
                <w:tcPr>
                  <w:tcW w:w="868" w:type="pct"/>
                  <w:vAlign w:val="center"/>
                </w:tcPr>
                <w:p>
                  <w:pPr>
                    <w:pStyle w:val="2"/>
                    <w:jc w:val="center"/>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排放</w:t>
                  </w:r>
                  <w:r>
                    <w:rPr>
                      <w:rFonts w:hint="default" w:ascii="Times New Roman" w:hAnsi="Times New Roman" w:cs="Times New Roman"/>
                      <w:b/>
                      <w:bCs/>
                      <w:sz w:val="21"/>
                      <w:szCs w:val="21"/>
                    </w:rPr>
                    <w:t>量（</w:t>
                  </w:r>
                  <w:r>
                    <w:rPr>
                      <w:rFonts w:hint="default" w:ascii="Times New Roman" w:hAnsi="Times New Roman" w:cs="Times New Roman"/>
                      <w:b/>
                      <w:bCs/>
                      <w:sz w:val="21"/>
                      <w:szCs w:val="21"/>
                      <w:lang w:val="en-US" w:eastAsia="zh-CN"/>
                    </w:rPr>
                    <w:t>kg</w:t>
                  </w:r>
                  <w:r>
                    <w:rPr>
                      <w:rFonts w:hint="default" w:ascii="Times New Roman" w:hAnsi="Times New Roman" w:cs="Times New Roman"/>
                      <w:b/>
                      <w:bCs/>
                      <w:sz w:val="21"/>
                      <w:szCs w:val="21"/>
                    </w:rPr>
                    <w:t>/a）</w:t>
                  </w:r>
                </w:p>
              </w:tc>
              <w:tc>
                <w:tcPr>
                  <w:tcW w:w="1018" w:type="pct"/>
                  <w:vAlign w:val="center"/>
                </w:tcPr>
                <w:p>
                  <w:pPr>
                    <w:pStyle w:val="2"/>
                    <w:jc w:val="center"/>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排放</w:t>
                  </w:r>
                  <w:r>
                    <w:rPr>
                      <w:rFonts w:hint="default" w:ascii="Times New Roman" w:hAnsi="Times New Roman" w:cs="Times New Roman"/>
                      <w:b/>
                      <w:bCs/>
                      <w:sz w:val="21"/>
                      <w:szCs w:val="21"/>
                    </w:rPr>
                    <w:t>浓度（mg/m</w:t>
                  </w:r>
                  <w:r>
                    <w:rPr>
                      <w:rFonts w:hint="default" w:ascii="Times New Roman" w:hAnsi="Times New Roman" w:cs="Times New Roman"/>
                      <w:b/>
                      <w:bCs/>
                      <w:sz w:val="21"/>
                      <w:szCs w:val="21"/>
                      <w:vertAlign w:val="superscript"/>
                    </w:rPr>
                    <w:t>3</w:t>
                  </w:r>
                  <w:r>
                    <w:rPr>
                      <w:rFonts w:hint="default" w:ascii="Times New Roman" w:hAnsi="Times New Roman" w:cs="Times New Roman"/>
                      <w:b/>
                      <w:bCs/>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2.88</w:t>
                  </w:r>
                </w:p>
              </w:tc>
              <w:tc>
                <w:tcPr>
                  <w:tcW w:w="860"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841"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经15m（DA005）排气筒排放</w:t>
                  </w:r>
                </w:p>
              </w:tc>
              <w:tc>
                <w:tcPr>
                  <w:tcW w:w="868"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2.88</w:t>
                  </w:r>
                </w:p>
              </w:tc>
              <w:tc>
                <w:tcPr>
                  <w:tcW w:w="1018"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氮氧化物</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22.464</w:t>
                  </w:r>
                </w:p>
              </w:tc>
              <w:tc>
                <w:tcPr>
                  <w:tcW w:w="860"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841" w:type="pct"/>
                  <w:vMerge w:val="continue"/>
                  <w:vAlign w:val="center"/>
                </w:tcPr>
                <w:p>
                  <w:pPr>
                    <w:pStyle w:val="2"/>
                    <w:jc w:val="center"/>
                    <w:rPr>
                      <w:rFonts w:hint="default" w:ascii="Times New Roman" w:hAnsi="Times New Roman" w:cs="Times New Roman"/>
                      <w:sz w:val="21"/>
                      <w:szCs w:val="21"/>
                      <w:lang w:val="en-US" w:eastAsia="zh-CN"/>
                    </w:rPr>
                  </w:pPr>
                </w:p>
              </w:tc>
              <w:tc>
                <w:tcPr>
                  <w:tcW w:w="868"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22.464</w:t>
                  </w:r>
                </w:p>
              </w:tc>
              <w:tc>
                <w:tcPr>
                  <w:tcW w:w="1018"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8" w:type="pct"/>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803"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6.864</w:t>
                  </w:r>
                </w:p>
              </w:tc>
              <w:tc>
                <w:tcPr>
                  <w:tcW w:w="860"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841" w:type="pct"/>
                  <w:vMerge w:val="continue"/>
                  <w:vAlign w:val="center"/>
                </w:tcPr>
                <w:p>
                  <w:pPr>
                    <w:pStyle w:val="2"/>
                    <w:jc w:val="center"/>
                    <w:rPr>
                      <w:rFonts w:hint="default" w:ascii="Times New Roman" w:hAnsi="Times New Roman" w:cs="Times New Roman"/>
                      <w:sz w:val="21"/>
                      <w:szCs w:val="21"/>
                      <w:lang w:val="en-US" w:eastAsia="zh-CN"/>
                    </w:rPr>
                  </w:pPr>
                </w:p>
              </w:tc>
              <w:tc>
                <w:tcPr>
                  <w:tcW w:w="868"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6.864</w:t>
                  </w:r>
                </w:p>
              </w:tc>
              <w:tc>
                <w:tcPr>
                  <w:tcW w:w="1018"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r>
          </w:tbl>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由上表可知，项目DA005排气筒SO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排放量为2.88kg/a（0.002kg/h），排放浓度为11.14mg/m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；NO</w:t>
            </w:r>
            <w:r>
              <w:rPr>
                <w:rFonts w:hint="default" w:ascii="Times New Roman" w:hAnsi="Times New Roman" w:cs="Times New Roman"/>
                <w:sz w:val="24"/>
                <w:szCs w:val="24"/>
                <w:vertAlign w:val="subscript"/>
                <w:lang w:val="en-US" w:eastAsia="zh-CN"/>
              </w:rPr>
              <w:t>X</w:t>
            </w:r>
            <w:r>
              <w:rPr>
                <w:rFonts w:hint="default" w:ascii="Times New Roman" w:hAnsi="Times New Roman" w:cs="Times New Roman"/>
                <w:sz w:val="24"/>
                <w:szCs w:val="24"/>
                <w:lang w:val="en-US" w:eastAsia="zh-CN"/>
              </w:rPr>
              <w:t>排放量为22.464kg/a（0.015kg/h），排放浓度为86.87mg/m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；烟尘排放量为6.864kg/a（0.005kg/h），排放浓度为26.54mg/m</w:t>
            </w:r>
            <w:r>
              <w:rPr>
                <w:rFonts w:hint="default" w:ascii="Times New Roman" w:hAnsi="Times New Roman" w:cs="Times New Roman"/>
                <w:sz w:val="24"/>
                <w:szCs w:val="24"/>
                <w:vertAlign w:val="superscript"/>
                <w:lang w:val="en-US" w:eastAsia="zh-CN"/>
              </w:rPr>
              <w:t>3</w:t>
            </w:r>
            <w:r>
              <w:rPr>
                <w:rFonts w:hint="eastAsia" w:ascii="Times New Roman" w:cs="Times New Roman"/>
                <w:sz w:val="24"/>
                <w:szCs w:val="24"/>
                <w:vertAlign w:val="baseline"/>
                <w:lang w:val="en-US" w:eastAsia="zh-CN"/>
              </w:rPr>
              <w:t>。</w:t>
            </w:r>
          </w:p>
          <w:p>
            <w:pPr>
              <w:pStyle w:val="2"/>
              <w:spacing w:line="360" w:lineRule="auto"/>
              <w:ind w:firstLine="480" w:firstLineChars="200"/>
              <w:jc w:val="both"/>
              <w:rPr>
                <w:rFonts w:hint="default" w:ascii="Times New Roman" w:hAnsi="Times New Roman" w:eastAsia="宋体" w:cs="Times New Roman"/>
                <w:sz w:val="24"/>
                <w:szCs w:val="24"/>
                <w:lang w:val="en-US" w:eastAsia="zh-CN"/>
              </w:rPr>
            </w:pPr>
            <w:r>
              <w:rPr>
                <w:rFonts w:hint="eastAsia" w:ascii="Times New Roman" w:cs="Times New Roman"/>
                <w:sz w:val="24"/>
                <w:szCs w:val="24"/>
                <w:lang w:val="zh-CN"/>
              </w:rPr>
              <w:t>（</w:t>
            </w:r>
            <w:r>
              <w:rPr>
                <w:rFonts w:hint="eastAsia" w:ascii="Times New Roman" w:cs="Times New Roman"/>
                <w:sz w:val="24"/>
                <w:szCs w:val="24"/>
                <w:lang w:val="en-US" w:eastAsia="zh-CN"/>
              </w:rPr>
              <w:t>8</w:t>
            </w:r>
            <w:r>
              <w:rPr>
                <w:rFonts w:hint="eastAsia" w:ascii="Times New Roman" w:cs="Times New Roman"/>
                <w:sz w:val="24"/>
                <w:szCs w:val="24"/>
                <w:lang w:val="zh-CN"/>
              </w:rPr>
              <w:t>）</w:t>
            </w:r>
            <w:r>
              <w:rPr>
                <w:rFonts w:hint="eastAsia" w:ascii="Times New Roman" w:cs="Times New Roman"/>
                <w:sz w:val="24"/>
                <w:szCs w:val="24"/>
                <w:lang w:val="en-US" w:eastAsia="zh-CN"/>
              </w:rPr>
              <w:t>浸漆无组织废气</w:t>
            </w:r>
          </w:p>
          <w:p>
            <w:pPr>
              <w:pStyle w:val="2"/>
              <w:spacing w:line="360" w:lineRule="auto"/>
              <w:ind w:firstLine="480" w:firstLineChars="200"/>
              <w:jc w:val="both"/>
              <w:rPr>
                <w:rFonts w:hint="default" w:ascii="Times New Roman" w:hAnsi="Times New Roman" w:cs="Times New Roman"/>
                <w:sz w:val="24"/>
                <w:szCs w:val="24"/>
                <w:lang w:val="zh-CN"/>
              </w:rPr>
            </w:pPr>
            <w:r>
              <w:rPr>
                <w:rFonts w:hint="default" w:ascii="Times New Roman" w:hAnsi="Times New Roman" w:cs="Times New Roman"/>
                <w:sz w:val="24"/>
                <w:szCs w:val="24"/>
              </w:rPr>
              <w:t>项目浸漆在加盖的浸漆槽里进行，浸漆过程处于敞开状态，不工作时则处</w:t>
            </w:r>
            <w:r>
              <w:rPr>
                <w:rFonts w:hint="default" w:ascii="Times New Roman" w:hAnsi="Times New Roman" w:cs="Times New Roman"/>
                <w:sz w:val="24"/>
                <w:szCs w:val="24"/>
                <w:lang w:val="en-US" w:eastAsia="zh-CN"/>
              </w:rPr>
              <w:t>于</w:t>
            </w:r>
            <w:r>
              <w:rPr>
                <w:rFonts w:hint="default" w:ascii="Times New Roman" w:hAnsi="Times New Roman" w:cs="Times New Roman"/>
                <w:sz w:val="24"/>
                <w:szCs w:val="24"/>
              </w:rPr>
              <w:t>关闭的状态。浸漆过程中会产生一定的挥发性有机废气，</w:t>
            </w:r>
            <w:r>
              <w:rPr>
                <w:rFonts w:hint="eastAsia" w:ascii="Times New Roman" w:cs="Times New Roman"/>
                <w:sz w:val="24"/>
                <w:szCs w:val="24"/>
                <w:lang w:val="en-US" w:eastAsia="zh-CN"/>
              </w:rPr>
              <w:t>占比约10%，故浸漆过程中产生的VOCs量约为0.037t/a，呈无组织排放</w:t>
            </w:r>
            <w:r>
              <w:rPr>
                <w:rFonts w:hint="default" w:ascii="Times New Roman" w:hAnsi="Times New Roman" w:cs="Times New Roman"/>
                <w:sz w:val="24"/>
                <w:szCs w:val="24"/>
              </w:rPr>
              <w:t>。</w:t>
            </w:r>
          </w:p>
          <w:p>
            <w:pPr>
              <w:pStyle w:val="2"/>
              <w:spacing w:line="360" w:lineRule="auto"/>
              <w:ind w:firstLine="480" w:firstLineChars="200"/>
              <w:jc w:val="both"/>
              <w:rPr>
                <w:rFonts w:hint="default" w:ascii="Times New Roman" w:hAnsi="Times New Roman" w:cs="Times New Roman"/>
                <w:sz w:val="24"/>
                <w:szCs w:val="24"/>
                <w:lang w:val="zh-CN" w:eastAsia="zh-CN"/>
              </w:rPr>
            </w:pPr>
            <w:r>
              <w:rPr>
                <w:rFonts w:hint="default" w:ascii="Times New Roman" w:hAnsi="Times New Roman" w:cs="Times New Roman"/>
                <w:sz w:val="24"/>
                <w:szCs w:val="24"/>
                <w:lang w:val="en-US" w:eastAsia="zh-CN"/>
              </w:rPr>
              <w:t>（9）</w:t>
            </w:r>
            <w:r>
              <w:rPr>
                <w:rFonts w:hint="default" w:ascii="Times New Roman" w:hAnsi="Times New Roman" w:cs="Times New Roman"/>
                <w:sz w:val="24"/>
                <w:szCs w:val="24"/>
                <w:lang w:val="zh-CN" w:eastAsia="zh-CN"/>
              </w:rPr>
              <w:t>喷漆废气</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eastAsia" w:ascii="Times New Roman" w:cs="Times New Roman"/>
                <w:sz w:val="24"/>
                <w:szCs w:val="24"/>
                <w:lang w:val="en-US" w:eastAsia="zh-CN"/>
              </w:rPr>
              <w:t>改建</w:t>
            </w:r>
            <w:r>
              <w:rPr>
                <w:rFonts w:hint="default" w:ascii="Times New Roman" w:hAnsi="Times New Roman" w:cs="Times New Roman"/>
                <w:sz w:val="24"/>
                <w:szCs w:val="24"/>
                <w:lang w:val="en-US" w:eastAsia="zh-CN"/>
              </w:rPr>
              <w:t>前后，项目</w:t>
            </w:r>
            <w:r>
              <w:rPr>
                <w:rFonts w:hint="default" w:ascii="Times New Roman" w:hAnsi="Times New Roman" w:cs="Times New Roman"/>
                <w:sz w:val="24"/>
                <w:szCs w:val="24"/>
              </w:rPr>
              <w:t>项目</w:t>
            </w:r>
            <w:r>
              <w:rPr>
                <w:rFonts w:hint="default" w:ascii="Times New Roman" w:hAnsi="Times New Roman" w:cs="Times New Roman"/>
                <w:sz w:val="24"/>
                <w:szCs w:val="24"/>
                <w:lang w:val="en-US" w:eastAsia="zh-CN"/>
              </w:rPr>
              <w:t>预埋件产品（</w:t>
            </w:r>
            <w:r>
              <w:rPr>
                <w:rFonts w:hint="eastAsia" w:ascii="Times New Roman" w:cs="Times New Roman"/>
                <w:sz w:val="24"/>
                <w:szCs w:val="24"/>
                <w:lang w:val="en-US" w:eastAsia="zh-CN"/>
              </w:rPr>
              <w:t>喷漆</w:t>
            </w:r>
            <w:r>
              <w:rPr>
                <w:rFonts w:hint="default" w:ascii="Times New Roman" w:hAnsi="Times New Roman" w:cs="Times New Roman"/>
                <w:sz w:val="24"/>
                <w:szCs w:val="24"/>
                <w:lang w:val="en-US" w:eastAsia="zh-CN"/>
              </w:rPr>
              <w:t>处理）仍为600t/a，</w:t>
            </w:r>
            <w:r>
              <w:rPr>
                <w:rFonts w:hint="default" w:ascii="Times New Roman" w:hAnsi="Times New Roman" w:cs="Times New Roman"/>
                <w:sz w:val="24"/>
                <w:szCs w:val="24"/>
              </w:rPr>
              <w:t>油性油漆</w:t>
            </w:r>
            <w:r>
              <w:rPr>
                <w:rFonts w:hint="default" w:ascii="Times New Roman" w:hAnsi="Times New Roman" w:cs="Times New Roman"/>
                <w:sz w:val="24"/>
                <w:szCs w:val="24"/>
                <w:lang w:eastAsia="zh-CN"/>
              </w:rPr>
              <w:t>、</w:t>
            </w:r>
            <w:r>
              <w:rPr>
                <w:rFonts w:hint="default" w:ascii="Times New Roman" w:hAnsi="Times New Roman" w:cs="Times New Roman"/>
                <w:sz w:val="24"/>
                <w:szCs w:val="24"/>
              </w:rPr>
              <w:t>固化剂</w:t>
            </w:r>
            <w:r>
              <w:rPr>
                <w:rFonts w:hint="default" w:ascii="Times New Roman" w:hAnsi="Times New Roman" w:cs="Times New Roman"/>
                <w:sz w:val="24"/>
                <w:szCs w:val="24"/>
                <w:lang w:eastAsia="zh-CN"/>
              </w:rPr>
              <w:t>、</w:t>
            </w:r>
            <w:r>
              <w:rPr>
                <w:rFonts w:hint="default" w:ascii="Times New Roman" w:hAnsi="Times New Roman" w:cs="Times New Roman"/>
                <w:sz w:val="24"/>
                <w:szCs w:val="24"/>
              </w:rPr>
              <w:t>稀释剂使用量</w:t>
            </w:r>
            <w:r>
              <w:rPr>
                <w:rFonts w:hint="default" w:ascii="Times New Roman" w:hAnsi="Times New Roman" w:cs="Times New Roman"/>
                <w:sz w:val="24"/>
                <w:szCs w:val="24"/>
                <w:lang w:val="en-US" w:eastAsia="zh-CN"/>
              </w:rPr>
              <w:t>不变，</w:t>
            </w:r>
            <w:r>
              <w:rPr>
                <w:rFonts w:hint="default" w:ascii="Times New Roman" w:hAnsi="Times New Roman" w:cs="Times New Roman"/>
                <w:sz w:val="24"/>
                <w:szCs w:val="24"/>
                <w:lang w:val="zh-CN" w:eastAsia="zh-CN"/>
              </w:rPr>
              <w:t>喷漆</w:t>
            </w:r>
            <w:r>
              <w:rPr>
                <w:rFonts w:hint="default" w:ascii="Times New Roman" w:hAnsi="Times New Roman" w:cs="Times New Roman"/>
                <w:sz w:val="24"/>
                <w:szCs w:val="24"/>
                <w:lang w:val="en-US" w:eastAsia="zh-CN"/>
              </w:rPr>
              <w:t>房密闭设置，喷漆</w:t>
            </w:r>
            <w:r>
              <w:rPr>
                <w:rFonts w:hint="default" w:ascii="Times New Roman" w:hAnsi="Times New Roman" w:cs="Times New Roman"/>
                <w:sz w:val="24"/>
                <w:szCs w:val="24"/>
                <w:lang w:val="zh-CN" w:eastAsia="zh-CN"/>
              </w:rPr>
              <w:t>废气</w:t>
            </w:r>
            <w:r>
              <w:rPr>
                <w:rFonts w:hint="default" w:ascii="Times New Roman" w:hAnsi="Times New Roman" w:cs="Times New Roman"/>
                <w:sz w:val="24"/>
                <w:szCs w:val="24"/>
                <w:lang w:val="en-US" w:eastAsia="zh-CN"/>
              </w:rPr>
              <w:t>负压收集后经</w:t>
            </w:r>
            <w:r>
              <w:rPr>
                <w:rFonts w:hint="eastAsia" w:asciiTheme="majorEastAsia" w:hAnsiTheme="majorEastAsia" w:eastAsiaTheme="majorEastAsia" w:cstheme="majorEastAsia"/>
                <w:sz w:val="24"/>
                <w:szCs w:val="24"/>
                <w:lang w:val="en-US" w:eastAsia="zh-CN"/>
              </w:rPr>
              <w:t>“干式过滤+活性炭吸附+催化燃烧脱附</w:t>
            </w:r>
            <w:r>
              <w:rPr>
                <w:rFonts w:hint="default" w:ascii="Times New Roman" w:hAnsi="Times New Roman" w:cs="Times New Roman" w:eastAsiaTheme="majorEastAsia"/>
                <w:sz w:val="24"/>
                <w:szCs w:val="24"/>
                <w:lang w:val="en-US" w:eastAsia="zh-CN"/>
              </w:rPr>
              <w:t>（RCO</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装置处理后通过1根15m高排气筒（DA006）排放。</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根据《衡阳市新德力交通材料有限公司改扩建项目竣工环境保护验收监测报告》可知，排气筒（DA006）的颗粒物平均排放速率为0.099</w:t>
            </w:r>
            <w:r>
              <w:rPr>
                <w:rFonts w:hint="default" w:ascii="Times New Roman" w:hAnsi="Times New Roman" w:cs="Times New Roman"/>
                <w:sz w:val="24"/>
                <w:szCs w:val="24"/>
                <w:lang w:val="zh-CN"/>
              </w:rPr>
              <w:t>kg/h，</w:t>
            </w:r>
            <w:r>
              <w:rPr>
                <w:rFonts w:hint="default" w:ascii="Times New Roman" w:hAnsi="Times New Roman" w:cs="Times New Roman"/>
                <w:sz w:val="24"/>
                <w:szCs w:val="24"/>
                <w:lang w:val="en-US" w:eastAsia="zh-CN"/>
              </w:rPr>
              <w:t>平均排放浓度为7.15</w:t>
            </w:r>
            <w:r>
              <w:rPr>
                <w:rFonts w:hint="default" w:ascii="Times New Roman" w:hAnsi="Times New Roman" w:cs="Times New Roman"/>
                <w:sz w:val="24"/>
                <w:szCs w:val="24"/>
                <w:lang w:val="zh-CN"/>
              </w:rPr>
              <w:t>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，净化效率85%；VOCs平均排放速率为0.035</w:t>
            </w:r>
            <w:r>
              <w:rPr>
                <w:rFonts w:hint="default" w:ascii="Times New Roman" w:hAnsi="Times New Roman" w:cs="Times New Roman"/>
                <w:sz w:val="24"/>
                <w:szCs w:val="24"/>
                <w:lang w:val="zh-CN"/>
              </w:rPr>
              <w:t>kg/h，</w:t>
            </w:r>
            <w:r>
              <w:rPr>
                <w:rFonts w:hint="default" w:ascii="Times New Roman" w:hAnsi="Times New Roman" w:cs="Times New Roman"/>
                <w:sz w:val="24"/>
                <w:szCs w:val="24"/>
                <w:lang w:val="en-US" w:eastAsia="zh-CN"/>
              </w:rPr>
              <w:t>平均排放浓度为2.52</w:t>
            </w:r>
            <w:r>
              <w:rPr>
                <w:rFonts w:hint="default" w:ascii="Times New Roman" w:hAnsi="Times New Roman" w:cs="Times New Roman"/>
                <w:sz w:val="24"/>
                <w:szCs w:val="24"/>
                <w:lang w:val="zh-CN"/>
              </w:rPr>
              <w:t>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，净化效率85%。项目喷漆室年工作时间约1200h，故喷漆室漆雾有组织排放量为0.119t/a，有机废气VOCs有组织排放量为0.042t/a。</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eastAsia="zh-CN"/>
              </w:rPr>
              <w:t>根据建设单位提供的资料，</w:t>
            </w:r>
            <w:r>
              <w:rPr>
                <w:rFonts w:hint="default" w:ascii="Times New Roman" w:hAnsi="Times New Roman" w:cs="Times New Roman"/>
                <w:sz w:val="24"/>
                <w:szCs w:val="24"/>
                <w:lang w:val="en-US" w:eastAsia="zh-CN"/>
              </w:rPr>
              <w:t>废气处理设施风机设计风量为30000m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/h，收集效率95%，故喷漆室漆雾产生量为0.835t/a，无组织排放量为0.042t/a；VOCs产生量为0.295t/a，无组织排放量为0.015t/a。</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1</w:t>
            </w:r>
            <w:r>
              <w:rPr>
                <w:rFonts w:hint="eastAsia" w:cs="Times New Roman"/>
                <w:sz w:val="24"/>
                <w:szCs w:val="24"/>
                <w:lang w:val="en-US" w:eastAsia="zh-CN"/>
              </w:rPr>
              <w:t>0</w:t>
            </w: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食堂油烟</w:t>
            </w:r>
          </w:p>
          <w:p>
            <w:pPr>
              <w:keepNext w:val="0"/>
              <w:keepLines w:val="0"/>
              <w:pageBreakBefore w:val="0"/>
              <w:widowControl w:val="0"/>
              <w:numPr>
                <w:ilvl w:val="0"/>
                <w:numId w:val="0"/>
              </w:numPr>
              <w:kinsoku/>
              <w:wordWrap/>
              <w:overflowPunct/>
              <w:topLinePunct w:val="0"/>
              <w:bidi w:val="0"/>
              <w:adjustRightInd w:val="0"/>
              <w:snapToGrid w:val="0"/>
              <w:spacing w:line="360" w:lineRule="auto"/>
              <w:ind w:leftChars="0" w:firstLine="480" w:firstLineChars="200"/>
              <w:jc w:val="both"/>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技改工程不新增员工，故</w:t>
            </w:r>
            <w:r>
              <w:rPr>
                <w:rFonts w:hint="default" w:ascii="Times New Roman" w:hAnsi="Times New Roman" w:cs="Times New Roman"/>
                <w:sz w:val="24"/>
                <w:szCs w:val="24"/>
                <w:lang w:val="zh-CN" w:eastAsia="zh-CN"/>
              </w:rPr>
              <w:t>食堂</w:t>
            </w:r>
            <w:r>
              <w:rPr>
                <w:rFonts w:hint="default" w:ascii="Times New Roman" w:hAnsi="Times New Roman" w:cs="Times New Roman"/>
                <w:sz w:val="24"/>
                <w:szCs w:val="24"/>
              </w:rPr>
              <w:t>油烟排放量</w:t>
            </w:r>
            <w:r>
              <w:rPr>
                <w:rFonts w:hint="default" w:ascii="Times New Roman" w:hAnsi="Times New Roman" w:cs="Times New Roman"/>
                <w:sz w:val="24"/>
                <w:szCs w:val="24"/>
                <w:lang w:val="en-US" w:eastAsia="zh-CN"/>
              </w:rPr>
              <w:t>不变，仍</w:t>
            </w:r>
            <w:r>
              <w:rPr>
                <w:rFonts w:hint="default" w:ascii="Times New Roman" w:hAnsi="Times New Roman" w:cs="Times New Roman"/>
                <w:sz w:val="24"/>
                <w:szCs w:val="24"/>
              </w:rPr>
              <w:t>为12.15kg/a</w:t>
            </w:r>
            <w:r>
              <w:rPr>
                <w:rFonts w:hint="default" w:ascii="Times New Roman" w:hAnsi="Times New Roman" w:cs="Times New Roman"/>
                <w:sz w:val="24"/>
                <w:szCs w:val="24"/>
                <w:lang w:eastAsia="zh-CN"/>
              </w:rPr>
              <w:t>。</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（1</w:t>
            </w:r>
            <w:r>
              <w:rPr>
                <w:rFonts w:hint="eastAsia" w:ascii="Times New Roman" w:cs="Times New Roman"/>
                <w:sz w:val="24"/>
                <w:szCs w:val="24"/>
                <w:lang w:val="en-US" w:eastAsia="zh-CN"/>
              </w:rPr>
              <w:t>1</w:t>
            </w:r>
            <w:r>
              <w:rPr>
                <w:rFonts w:hint="default" w:ascii="Times New Roman" w:hAnsi="Times New Roman" w:cs="Times New Roman"/>
                <w:sz w:val="24"/>
                <w:szCs w:val="24"/>
                <w:lang w:val="en-US" w:eastAsia="zh-CN"/>
              </w:rPr>
              <w:t>）汇总</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本项目废气污染物有组织排放情况见表4-4，废气污染物无组织排放情况见表4-5，废气排放总量情况见表4-6。</w:t>
            </w:r>
          </w:p>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4</w:t>
            </w:r>
            <w:r>
              <w:rPr>
                <w:rFonts w:hint="default" w:ascii="Times New Roman" w:hAnsi="Times New Roman" w:cs="Times New Roman"/>
                <w:b/>
                <w:bCs/>
                <w:sz w:val="21"/>
                <w:szCs w:val="21"/>
              </w:rPr>
              <w:t xml:space="preserve">  废气污染物有组织排放情况一览表</w:t>
            </w:r>
          </w:p>
          <w:tbl>
            <w:tblPr>
              <w:tblStyle w:val="25"/>
              <w:tblW w:w="499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30"/>
              <w:gridCol w:w="1932"/>
              <w:gridCol w:w="1529"/>
              <w:gridCol w:w="1651"/>
              <w:gridCol w:w="1623"/>
              <w:gridCol w:w="161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1029"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排放口编号</w:t>
                  </w:r>
                </w:p>
              </w:tc>
              <w:tc>
                <w:tcPr>
                  <w:tcW w:w="815"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w:t>
                  </w:r>
                </w:p>
              </w:tc>
              <w:tc>
                <w:tcPr>
                  <w:tcW w:w="880"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核算排放浓度（mg/m</w:t>
                  </w:r>
                  <w:r>
                    <w:rPr>
                      <w:rFonts w:hint="default" w:ascii="Times New Roman" w:hAnsi="Times New Roman" w:cs="Times New Roman"/>
                      <w:b/>
                      <w:bCs/>
                      <w:sz w:val="21"/>
                      <w:szCs w:val="21"/>
                      <w:vertAlign w:val="superscript"/>
                    </w:rPr>
                    <w:t>3</w:t>
                  </w:r>
                  <w:r>
                    <w:rPr>
                      <w:rFonts w:hint="default" w:ascii="Times New Roman" w:hAnsi="Times New Roman" w:cs="Times New Roman"/>
                      <w:b/>
                      <w:bCs/>
                      <w:sz w:val="21"/>
                      <w:szCs w:val="21"/>
                    </w:rPr>
                    <w:t>）</w:t>
                  </w:r>
                </w:p>
              </w:tc>
              <w:tc>
                <w:tcPr>
                  <w:tcW w:w="865"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核算排放速率（kg/h）</w:t>
                  </w:r>
                </w:p>
              </w:tc>
              <w:tc>
                <w:tcPr>
                  <w:tcW w:w="860" w:type="pct"/>
                  <w:noWrap w:val="0"/>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核算年排放量（t/a）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noWrap w:val="0"/>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w:t>
                  </w:r>
                </w:p>
              </w:tc>
              <w:tc>
                <w:tcPr>
                  <w:tcW w:w="1029" w:type="pct"/>
                  <w:noWrap w:val="0"/>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炉料分离粉尘</w:t>
                  </w:r>
                  <w:r>
                    <w:rPr>
                      <w:rFonts w:hint="default" w:ascii="Times New Roman" w:hAnsi="Times New Roman" w:cs="Times New Roman"/>
                      <w:sz w:val="21"/>
                      <w:szCs w:val="21"/>
                      <w:lang w:val="en-US" w:eastAsia="zh-CN"/>
                    </w:rPr>
                    <w:t>排气筒（DA002）</w:t>
                  </w:r>
                </w:p>
              </w:tc>
              <w:tc>
                <w:tcPr>
                  <w:tcW w:w="81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8.33</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0.052</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noWrap w:val="0"/>
                  <w:vAlign w:val="center"/>
                </w:tcPr>
                <w:p>
                  <w:pPr>
                    <w:pStyle w:val="2"/>
                    <w:jc w:val="center"/>
                    <w:rPr>
                      <w:rFonts w:hint="default" w:ascii="Times New Roman" w:hAnsi="Times New Roman" w:cs="Times New Roman"/>
                      <w:sz w:val="21"/>
                      <w:szCs w:val="21"/>
                      <w:lang w:eastAsia="zh-CN"/>
                    </w:rPr>
                  </w:pPr>
                  <w:r>
                    <w:rPr>
                      <w:rFonts w:hint="default" w:ascii="Times New Roman" w:hAnsi="Times New Roman" w:cs="Times New Roman"/>
                      <w:sz w:val="21"/>
                      <w:szCs w:val="21"/>
                      <w:lang w:val="en-US" w:eastAsia="zh-CN"/>
                    </w:rPr>
                    <w:t>2</w:t>
                  </w:r>
                </w:p>
              </w:tc>
              <w:tc>
                <w:tcPr>
                  <w:tcW w:w="1029" w:type="pct"/>
                  <w:vMerge w:val="restart"/>
                  <w:noWrap w:val="0"/>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3）</w:t>
                  </w:r>
                </w:p>
              </w:tc>
              <w:tc>
                <w:tcPr>
                  <w:tcW w:w="815" w:type="pct"/>
                  <w:noWrap w:val="0"/>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noWrap w:val="0"/>
                  <w:vAlign w:val="center"/>
                </w:tcPr>
                <w:p>
                  <w:pPr>
                    <w:pStyle w:val="2"/>
                    <w:jc w:val="center"/>
                    <w:rPr>
                      <w:rFonts w:hint="default" w:ascii="Times New Roman" w:hAnsi="Times New Roman" w:cs="Times New Roman"/>
                      <w:sz w:val="21"/>
                      <w:szCs w:val="21"/>
                    </w:rPr>
                  </w:pPr>
                </w:p>
              </w:tc>
              <w:tc>
                <w:tcPr>
                  <w:tcW w:w="1029" w:type="pct"/>
                  <w:vMerge w:val="continue"/>
                  <w:noWrap w:val="0"/>
                  <w:vAlign w:val="center"/>
                </w:tcPr>
                <w:p>
                  <w:pPr>
                    <w:pStyle w:val="2"/>
                    <w:jc w:val="center"/>
                    <w:rPr>
                      <w:rFonts w:hint="default" w:ascii="Times New Roman" w:hAnsi="Times New Roman" w:cs="Times New Roman"/>
                      <w:sz w:val="21"/>
                      <w:szCs w:val="21"/>
                    </w:rPr>
                  </w:pPr>
                </w:p>
              </w:tc>
              <w:tc>
                <w:tcPr>
                  <w:tcW w:w="815" w:type="pct"/>
                  <w:noWrap w:val="0"/>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氮氧化物</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0.019</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noWrap w:val="0"/>
                  <w:vAlign w:val="center"/>
                </w:tcPr>
                <w:p>
                  <w:pPr>
                    <w:pStyle w:val="2"/>
                    <w:jc w:val="center"/>
                    <w:rPr>
                      <w:rFonts w:hint="default" w:ascii="Times New Roman" w:hAnsi="Times New Roman" w:cs="Times New Roman"/>
                      <w:sz w:val="21"/>
                      <w:szCs w:val="21"/>
                    </w:rPr>
                  </w:pPr>
                </w:p>
              </w:tc>
              <w:tc>
                <w:tcPr>
                  <w:tcW w:w="1029" w:type="pct"/>
                  <w:vMerge w:val="continue"/>
                  <w:noWrap w:val="0"/>
                  <w:vAlign w:val="center"/>
                </w:tcPr>
                <w:p>
                  <w:pPr>
                    <w:pStyle w:val="2"/>
                    <w:jc w:val="center"/>
                    <w:rPr>
                      <w:rFonts w:hint="default" w:ascii="Times New Roman" w:hAnsi="Times New Roman" w:cs="Times New Roman"/>
                      <w:sz w:val="21"/>
                      <w:szCs w:val="21"/>
                    </w:rPr>
                  </w:pPr>
                </w:p>
              </w:tc>
              <w:tc>
                <w:tcPr>
                  <w:tcW w:w="815" w:type="pct"/>
                  <w:noWrap w:val="0"/>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noWrap w:val="0"/>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w:t>
                  </w:r>
                </w:p>
              </w:tc>
              <w:tc>
                <w:tcPr>
                  <w:tcW w:w="1029" w:type="pct"/>
                  <w:vMerge w:val="restart"/>
                  <w:noWrap w:val="0"/>
                  <w:vAlign w:val="center"/>
                </w:tcPr>
                <w:p>
                  <w:pPr>
                    <w:pStyle w:val="2"/>
                    <w:jc w:val="center"/>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4）</w:t>
                  </w:r>
                </w:p>
              </w:tc>
              <w:tc>
                <w:tcPr>
                  <w:tcW w:w="815" w:type="pct"/>
                  <w:noWrap w:val="0"/>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noWrap w:val="0"/>
                  <w:vAlign w:val="center"/>
                </w:tcPr>
                <w:p>
                  <w:pPr>
                    <w:pStyle w:val="2"/>
                    <w:jc w:val="center"/>
                    <w:rPr>
                      <w:rFonts w:hint="default" w:ascii="Times New Roman" w:hAnsi="Times New Roman" w:cs="Times New Roman"/>
                      <w:sz w:val="21"/>
                      <w:szCs w:val="21"/>
                    </w:rPr>
                  </w:pPr>
                </w:p>
              </w:tc>
              <w:tc>
                <w:tcPr>
                  <w:tcW w:w="1029" w:type="pct"/>
                  <w:vMerge w:val="continue"/>
                  <w:noWrap w:val="0"/>
                  <w:vAlign w:val="center"/>
                </w:tcPr>
                <w:p>
                  <w:pPr>
                    <w:pStyle w:val="2"/>
                    <w:jc w:val="center"/>
                    <w:rPr>
                      <w:rFonts w:hint="default" w:ascii="Times New Roman" w:hAnsi="Times New Roman" w:cs="Times New Roman"/>
                      <w:sz w:val="21"/>
                      <w:szCs w:val="21"/>
                    </w:rPr>
                  </w:pPr>
                </w:p>
              </w:tc>
              <w:tc>
                <w:tcPr>
                  <w:tcW w:w="815" w:type="pct"/>
                  <w:noWrap w:val="0"/>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88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865"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0.019</w:t>
                  </w:r>
                </w:p>
              </w:tc>
              <w:tc>
                <w:tcPr>
                  <w:tcW w:w="8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rPr>
                  </w:pPr>
                </w:p>
              </w:tc>
              <w:tc>
                <w:tcPr>
                  <w:tcW w:w="1029" w:type="pct"/>
                  <w:vMerge w:val="continue"/>
                  <w:vAlign w:val="center"/>
                </w:tcPr>
                <w:p>
                  <w:pPr>
                    <w:pStyle w:val="2"/>
                    <w:jc w:val="center"/>
                    <w:rPr>
                      <w:rFonts w:hint="default" w:ascii="Times New Roman" w:hAnsi="Times New Roman" w:cs="Times New Roman"/>
                      <w:sz w:val="21"/>
                      <w:szCs w:val="21"/>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4</w:t>
                  </w:r>
                </w:p>
              </w:tc>
              <w:tc>
                <w:tcPr>
                  <w:tcW w:w="1029" w:type="pct"/>
                  <w:vMerge w:val="restart"/>
                  <w:vAlign w:val="center"/>
                </w:tcPr>
                <w:p>
                  <w:pPr>
                    <w:pStyle w:val="2"/>
                    <w:jc w:val="center"/>
                    <w:rPr>
                      <w:rFonts w:hint="default" w:ascii="Times New Roman" w:hAnsi="Times New Roman" w:cs="Times New Roman"/>
                      <w:sz w:val="21"/>
                      <w:szCs w:val="21"/>
                      <w:lang w:val="en-US" w:eastAsia="zh-CN"/>
                    </w:rPr>
                  </w:pPr>
                  <w:r>
                    <w:rPr>
                      <w:rFonts w:hint="eastAsia" w:ascii="Times New Roman" w:cs="Times New Roman"/>
                      <w:sz w:val="21"/>
                      <w:szCs w:val="21"/>
                      <w:lang w:val="en-US" w:eastAsia="zh-CN"/>
                    </w:rPr>
                    <w:t>钝化烘干、</w:t>
                  </w:r>
                  <w:r>
                    <w:rPr>
                      <w:rFonts w:hint="default" w:ascii="Times New Roman" w:hAnsi="Times New Roman" w:cs="Times New Roman"/>
                      <w:sz w:val="21"/>
                      <w:szCs w:val="21"/>
                      <w:lang w:val="en-US" w:eastAsia="zh-CN"/>
                    </w:rPr>
                    <w:t>浸漆固化有机废气及烘干室燃烧废气排气筒（DA005）</w:t>
                  </w: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0.00288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0.015</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0.022464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0.006864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651" w:type="dxa"/>
                  <w:vAlign w:val="center"/>
                </w:tcPr>
                <w:p>
                  <w:pPr>
                    <w:jc w:val="center"/>
                    <w:rPr>
                      <w:rFonts w:hint="default" w:ascii="Times New Roman" w:hAnsi="Times New Roman" w:cs="Times New Roman"/>
                      <w:sz w:val="21"/>
                      <w:szCs w:val="21"/>
                      <w:lang w:val="en-US" w:eastAsia="zh-CN"/>
                    </w:rPr>
                  </w:pPr>
                  <w:r>
                    <w:rPr>
                      <w:rFonts w:hint="eastAsia" w:cs="Times New Roman"/>
                      <w:sz w:val="21"/>
                      <w:szCs w:val="21"/>
                      <w:lang w:val="en-US" w:eastAsia="zh-CN"/>
                    </w:rPr>
                    <w:t>10.04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201</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301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p>
              </w:tc>
              <w:tc>
                <w:tcPr>
                  <w:tcW w:w="102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喷漆废气排气筒（DA006）</w:t>
                  </w: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7.15</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0.099</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2.52</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0.035</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0.042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trPr>
              <w:tc>
                <w:tcPr>
                  <w:tcW w:w="54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w:t>
                  </w:r>
                </w:p>
              </w:tc>
              <w:tc>
                <w:tcPr>
                  <w:tcW w:w="102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碳化除油废气排气筒（DA007）</w:t>
                  </w: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0.00144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0.019</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0.01123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0.003432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0.6</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7</w:t>
                  </w:r>
                </w:p>
              </w:tc>
              <w:tc>
                <w:tcPr>
                  <w:tcW w:w="102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8）</w:t>
                  </w: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0.019</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w:t>
                  </w:r>
                </w:p>
              </w:tc>
              <w:tc>
                <w:tcPr>
                  <w:tcW w:w="1029" w:type="pct"/>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9）</w:t>
                  </w: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86.87</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0.019</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49" w:type="pct"/>
                  <w:vMerge w:val="continue"/>
                  <w:vAlign w:val="center"/>
                </w:tcPr>
                <w:p>
                  <w:pPr>
                    <w:pStyle w:val="2"/>
                    <w:jc w:val="center"/>
                    <w:rPr>
                      <w:rFonts w:hint="default" w:ascii="Times New Roman" w:hAnsi="Times New Roman" w:cs="Times New Roman"/>
                      <w:sz w:val="21"/>
                      <w:szCs w:val="21"/>
                      <w:lang w:val="en-US" w:eastAsia="zh-CN"/>
                    </w:rPr>
                  </w:pPr>
                </w:p>
              </w:tc>
              <w:tc>
                <w:tcPr>
                  <w:tcW w:w="1029" w:type="pct"/>
                  <w:vMerge w:val="continue"/>
                  <w:vAlign w:val="center"/>
                </w:tcPr>
                <w:p>
                  <w:pPr>
                    <w:pStyle w:val="2"/>
                    <w:jc w:val="center"/>
                    <w:rPr>
                      <w:rFonts w:hint="default" w:ascii="Times New Roman" w:hAnsi="Times New Roman" w:cs="Times New Roman"/>
                      <w:sz w:val="21"/>
                      <w:szCs w:val="21"/>
                      <w:lang w:val="en-US" w:eastAsia="zh-CN"/>
                    </w:rPr>
                  </w:pPr>
                </w:p>
              </w:tc>
              <w:tc>
                <w:tcPr>
                  <w:tcW w:w="1529" w:type="dxa"/>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1651"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26.54</w:t>
                  </w:r>
                </w:p>
              </w:tc>
              <w:tc>
                <w:tcPr>
                  <w:tcW w:w="1623"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0.006</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9" w:type="pct"/>
                  <w:gridSpan w:val="2"/>
                  <w:vMerge w:val="restar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合计</w:t>
                  </w:r>
                </w:p>
              </w:tc>
              <w:tc>
                <w:tcPr>
                  <w:tcW w:w="2560" w:type="pct"/>
                  <w:gridSpan w:val="3"/>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0.0216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9" w:type="pct"/>
                  <w:gridSpan w:val="2"/>
                  <w:vMerge w:val="continue"/>
                  <w:vAlign w:val="center"/>
                </w:tcPr>
                <w:p>
                  <w:pPr>
                    <w:pStyle w:val="2"/>
                    <w:jc w:val="center"/>
                    <w:rPr>
                      <w:rFonts w:hint="default" w:ascii="Times New Roman" w:hAnsi="Times New Roman" w:cs="Times New Roman"/>
                      <w:sz w:val="21"/>
                      <w:szCs w:val="21"/>
                      <w:lang w:val="en-US" w:eastAsia="zh-CN"/>
                    </w:rPr>
                  </w:pPr>
                </w:p>
              </w:tc>
              <w:tc>
                <w:tcPr>
                  <w:tcW w:w="2560" w:type="pct"/>
                  <w:gridSpan w:val="3"/>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0.168478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9" w:type="pct"/>
                  <w:gridSpan w:val="2"/>
                  <w:vMerge w:val="continue"/>
                  <w:vAlign w:val="center"/>
                </w:tcPr>
                <w:p>
                  <w:pPr>
                    <w:pStyle w:val="2"/>
                    <w:jc w:val="center"/>
                    <w:rPr>
                      <w:rFonts w:hint="default" w:ascii="Times New Roman" w:hAnsi="Times New Roman" w:cs="Times New Roman"/>
                      <w:sz w:val="21"/>
                      <w:szCs w:val="21"/>
                      <w:lang w:val="en-US" w:eastAsia="zh-CN"/>
                    </w:rPr>
                  </w:pPr>
                </w:p>
              </w:tc>
              <w:tc>
                <w:tcPr>
                  <w:tcW w:w="2560" w:type="pct"/>
                  <w:gridSpan w:val="3"/>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20148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9" w:type="pct"/>
                  <w:gridSpan w:val="2"/>
                  <w:vMerge w:val="continue"/>
                  <w:vAlign w:val="center"/>
                </w:tcPr>
                <w:p>
                  <w:pPr>
                    <w:pStyle w:val="2"/>
                    <w:jc w:val="center"/>
                    <w:rPr>
                      <w:rFonts w:hint="default" w:ascii="Times New Roman" w:hAnsi="Times New Roman" w:cs="Times New Roman"/>
                      <w:sz w:val="21"/>
                      <w:szCs w:val="21"/>
                      <w:lang w:val="en-US" w:eastAsia="zh-CN"/>
                    </w:rPr>
                  </w:pPr>
                </w:p>
              </w:tc>
              <w:tc>
                <w:tcPr>
                  <w:tcW w:w="2560" w:type="pct"/>
                  <w:gridSpan w:val="3"/>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614" w:type="dxa"/>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343</w:t>
                  </w:r>
                  <w:r>
                    <w:rPr>
                      <w:rFonts w:hint="default" w:ascii="Times New Roman" w:hAnsi="Times New Roman" w:cs="Times New Roman"/>
                      <w:sz w:val="21"/>
                      <w:szCs w:val="21"/>
                      <w:lang w:val="en-US" w:eastAsia="zh-CN"/>
                    </w:rPr>
                    <w:t>7</w:t>
                  </w:r>
                </w:p>
              </w:tc>
            </w:tr>
          </w:tbl>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5</w:t>
            </w:r>
            <w:r>
              <w:rPr>
                <w:rFonts w:hint="default" w:ascii="Times New Roman" w:hAnsi="Times New Roman" w:cs="Times New Roman"/>
                <w:b/>
                <w:bCs/>
                <w:sz w:val="21"/>
                <w:szCs w:val="21"/>
              </w:rPr>
              <w:t xml:space="preserve">  废气污染物</w:t>
            </w:r>
            <w:r>
              <w:rPr>
                <w:rFonts w:hint="default" w:ascii="Times New Roman" w:hAnsi="Times New Roman" w:cs="Times New Roman"/>
                <w:b/>
                <w:bCs/>
                <w:sz w:val="21"/>
                <w:szCs w:val="21"/>
                <w:lang w:val="en-US" w:eastAsia="zh-CN"/>
              </w:rPr>
              <w:t>无</w:t>
            </w:r>
            <w:r>
              <w:rPr>
                <w:rFonts w:hint="default" w:ascii="Times New Roman" w:hAnsi="Times New Roman" w:cs="Times New Roman"/>
                <w:b/>
                <w:bCs/>
                <w:sz w:val="21"/>
                <w:szCs w:val="21"/>
              </w:rPr>
              <w:t>组织排放情况一览表</w:t>
            </w:r>
          </w:p>
          <w:tbl>
            <w:tblPr>
              <w:tblStyle w:val="26"/>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343"/>
              <w:gridCol w:w="2344"/>
              <w:gridCol w:w="2346"/>
              <w:gridCol w:w="234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序号</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污染源</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污染物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切割工序粉尘</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打磨工序粉尘</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焊接工序粉尘</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4</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抛丸工序粉尘</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碳化除油</w:t>
                  </w:r>
                  <w:r>
                    <w:rPr>
                      <w:rFonts w:hint="default" w:ascii="Times New Roman" w:hAnsi="Times New Roman" w:cs="Times New Roman"/>
                      <w:sz w:val="21"/>
                      <w:szCs w:val="21"/>
                      <w:lang w:val="en-US" w:eastAsia="zh-CN"/>
                    </w:rPr>
                    <w:t>有机废气</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炉料分离粉尘</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7</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浸漆有机废气</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w:t>
                  </w:r>
                  <w:r>
                    <w:rPr>
                      <w:rFonts w:hint="eastAsia" w:ascii="Times New Roman" w:cs="Times New Roman"/>
                      <w:sz w:val="21"/>
                      <w:szCs w:val="21"/>
                      <w:lang w:val="en-US" w:eastAsia="zh-CN"/>
                    </w:rPr>
                    <w:t>37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w:t>
                  </w: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喷漆室漆雾</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249" w:type="pct"/>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p>
              </w:tc>
              <w:tc>
                <w:tcPr>
                  <w:tcW w:w="1249"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喷漆室有机废气</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498" w:type="pct"/>
                  <w:gridSpan w:val="2"/>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合计</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eastAsia" w:ascii="Times New Roman" w:cs="Times New Roman"/>
                      <w:sz w:val="21"/>
                      <w:szCs w:val="21"/>
                      <w:lang w:val="en-US" w:eastAsia="zh-CN"/>
                    </w:rPr>
                    <w:t>0.99</w:t>
                  </w:r>
                  <w:r>
                    <w:rPr>
                      <w:rFonts w:hint="eastAsia" w:ascii="Times New Roman" w:hAnsi="Times New Roman" w:cs="Times New Roman"/>
                      <w:sz w:val="21"/>
                      <w:szCs w:val="21"/>
                      <w:lang w:val="en-US" w:eastAsia="zh-CN"/>
                    </w:rPr>
                    <w:t>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498" w:type="pct"/>
                  <w:gridSpan w:val="2"/>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250" w:type="pc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w:t>
                  </w:r>
                  <w:r>
                    <w:rPr>
                      <w:rFonts w:hint="eastAsia" w:ascii="Times New Roman" w:cs="Times New Roman"/>
                      <w:sz w:val="21"/>
                      <w:szCs w:val="21"/>
                      <w:lang w:val="en-US" w:eastAsia="zh-CN"/>
                    </w:rPr>
                    <w:t>522</w:t>
                  </w:r>
                </w:p>
              </w:tc>
            </w:tr>
          </w:tbl>
          <w:p>
            <w:pPr>
              <w:adjustRightInd w:val="0"/>
              <w:snapToGrid w:val="0"/>
              <w:spacing w:beforeLines="50"/>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表</w:t>
            </w:r>
            <w:r>
              <w:rPr>
                <w:rFonts w:hint="default" w:ascii="Times New Roman" w:hAnsi="Times New Roman" w:cs="Times New Roman"/>
                <w:b/>
                <w:bCs/>
                <w:color w:val="FF0000"/>
                <w:sz w:val="21"/>
                <w:szCs w:val="21"/>
                <w:u w:val="wave"/>
                <w:lang w:val="en-US" w:eastAsia="zh-CN"/>
              </w:rPr>
              <w:t>4-6</w:t>
            </w:r>
            <w:r>
              <w:rPr>
                <w:rFonts w:hint="default" w:ascii="Times New Roman" w:hAnsi="Times New Roman" w:cs="Times New Roman"/>
                <w:b/>
                <w:bCs/>
                <w:color w:val="FF0000"/>
                <w:sz w:val="21"/>
                <w:szCs w:val="21"/>
                <w:u w:val="wave"/>
              </w:rPr>
              <w:t xml:space="preserve">  大气污染物年排放量核算表（总量）</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128"/>
              <w:gridCol w:w="3130"/>
              <w:gridCol w:w="313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666" w:type="pct"/>
                  <w:noWrap w:val="0"/>
                  <w:vAlign w:val="center"/>
                </w:tcPr>
                <w:p>
                  <w:pPr>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序号</w:t>
                  </w:r>
                </w:p>
              </w:tc>
              <w:tc>
                <w:tcPr>
                  <w:tcW w:w="1667" w:type="pct"/>
                  <w:noWrap w:val="0"/>
                  <w:vAlign w:val="center"/>
                </w:tcPr>
                <w:p>
                  <w:pPr>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污染物</w:t>
                  </w:r>
                </w:p>
              </w:tc>
              <w:tc>
                <w:tcPr>
                  <w:tcW w:w="1667" w:type="pct"/>
                  <w:noWrap w:val="0"/>
                  <w:vAlign w:val="center"/>
                </w:tcPr>
                <w:p>
                  <w:pPr>
                    <w:jc w:val="center"/>
                    <w:rPr>
                      <w:rFonts w:hint="default" w:ascii="Times New Roman" w:hAnsi="Times New Roman" w:cs="Times New Roman"/>
                      <w:b/>
                      <w:bCs/>
                      <w:color w:val="FF0000"/>
                      <w:sz w:val="21"/>
                      <w:szCs w:val="21"/>
                      <w:u w:val="wave"/>
                    </w:rPr>
                  </w:pPr>
                  <w:r>
                    <w:rPr>
                      <w:rFonts w:hint="default" w:ascii="Times New Roman" w:hAnsi="Times New Roman" w:cs="Times New Roman"/>
                      <w:b/>
                      <w:bCs/>
                      <w:color w:val="FF0000"/>
                      <w:sz w:val="21"/>
                      <w:szCs w:val="21"/>
                      <w:u w:val="wave"/>
                    </w:rPr>
                    <w:t>年排放量（t/a）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666" w:type="pct"/>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1</w:t>
                  </w:r>
                </w:p>
              </w:tc>
              <w:tc>
                <w:tcPr>
                  <w:tcW w:w="3130" w:type="dxa"/>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SO</w:t>
                  </w:r>
                  <w:r>
                    <w:rPr>
                      <w:rFonts w:hint="default" w:ascii="Times New Roman" w:hAnsi="Times New Roman" w:cs="Times New Roman"/>
                      <w:color w:val="FF0000"/>
                      <w:sz w:val="21"/>
                      <w:szCs w:val="21"/>
                      <w:u w:val="wave"/>
                      <w:vertAlign w:val="subscript"/>
                    </w:rPr>
                    <w:t>2</w:t>
                  </w:r>
                </w:p>
              </w:tc>
              <w:tc>
                <w:tcPr>
                  <w:tcW w:w="1667" w:type="pct"/>
                  <w:noWrap w:val="0"/>
                  <w:vAlign w:val="center"/>
                </w:tcPr>
                <w:p>
                  <w:pPr>
                    <w:pStyle w:val="99"/>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0.022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666" w:type="pct"/>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2</w:t>
                  </w:r>
                </w:p>
              </w:tc>
              <w:tc>
                <w:tcPr>
                  <w:tcW w:w="3130" w:type="dxa"/>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氮氧化物</w:t>
                  </w:r>
                </w:p>
              </w:tc>
              <w:tc>
                <w:tcPr>
                  <w:tcW w:w="2843" w:type="dxa"/>
                  <w:noWrap w:val="0"/>
                  <w:vAlign w:val="center"/>
                </w:tcPr>
                <w:p>
                  <w:pPr>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0.168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trPr>
              <w:tc>
                <w:tcPr>
                  <w:tcW w:w="1666" w:type="pct"/>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3</w:t>
                  </w:r>
                </w:p>
              </w:tc>
              <w:tc>
                <w:tcPr>
                  <w:tcW w:w="3130" w:type="dxa"/>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lang w:val="en-US" w:eastAsia="zh-CN"/>
                    </w:rPr>
                    <w:t>颗粒物</w:t>
                  </w:r>
                </w:p>
              </w:tc>
              <w:tc>
                <w:tcPr>
                  <w:tcW w:w="2843" w:type="dxa"/>
                  <w:noWrap w:val="0"/>
                  <w:vAlign w:val="center"/>
                </w:tcPr>
                <w:p>
                  <w:pPr>
                    <w:jc w:val="center"/>
                    <w:rPr>
                      <w:rFonts w:hint="default" w:ascii="Times New Roman" w:hAnsi="Times New Roman" w:cs="Times New Roman"/>
                      <w:color w:val="FF0000"/>
                      <w:sz w:val="21"/>
                      <w:szCs w:val="21"/>
                      <w:u w:val="wave"/>
                      <w:lang w:val="en-US" w:eastAsia="zh-CN"/>
                    </w:rPr>
                  </w:pPr>
                  <w:r>
                    <w:rPr>
                      <w:rFonts w:hint="eastAsia" w:ascii="Times New Roman" w:hAnsi="Times New Roman" w:cs="Times New Roman"/>
                      <w:color w:val="FF0000"/>
                      <w:sz w:val="21"/>
                      <w:szCs w:val="21"/>
                      <w:u w:val="wave"/>
                      <w:lang w:val="en-US" w:eastAsia="zh-CN"/>
                    </w:rPr>
                    <w:t>1.</w:t>
                  </w:r>
                  <w:r>
                    <w:rPr>
                      <w:rFonts w:hint="eastAsia" w:cs="Times New Roman"/>
                      <w:color w:val="FF0000"/>
                      <w:sz w:val="21"/>
                      <w:szCs w:val="21"/>
                      <w:u w:val="wave"/>
                      <w:lang w:val="en-US" w:eastAsia="zh-CN"/>
                    </w:rPr>
                    <w:t>198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666" w:type="pct"/>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rPr>
                    <w:t>4</w:t>
                  </w:r>
                </w:p>
              </w:tc>
              <w:tc>
                <w:tcPr>
                  <w:tcW w:w="3130" w:type="dxa"/>
                  <w:noWrap w:val="0"/>
                  <w:vAlign w:val="center"/>
                </w:tcPr>
                <w:p>
                  <w:pPr>
                    <w:jc w:val="center"/>
                    <w:rPr>
                      <w:rFonts w:hint="default" w:ascii="Times New Roman" w:hAnsi="Times New Roman" w:cs="Times New Roman"/>
                      <w:color w:val="FF0000"/>
                      <w:sz w:val="21"/>
                      <w:szCs w:val="21"/>
                      <w:u w:val="wave"/>
                    </w:rPr>
                  </w:pPr>
                  <w:r>
                    <w:rPr>
                      <w:rFonts w:hint="default" w:ascii="Times New Roman" w:hAnsi="Times New Roman" w:cs="Times New Roman"/>
                      <w:color w:val="FF0000"/>
                      <w:sz w:val="21"/>
                      <w:szCs w:val="21"/>
                      <w:u w:val="wave"/>
                      <w:lang w:val="en-US" w:eastAsia="zh-CN"/>
                    </w:rPr>
                    <w:t>VOCs</w:t>
                  </w:r>
                </w:p>
              </w:tc>
              <w:tc>
                <w:tcPr>
                  <w:tcW w:w="2843" w:type="dxa"/>
                  <w:noWrap w:val="0"/>
                  <w:vAlign w:val="center"/>
                </w:tcPr>
                <w:p>
                  <w:pPr>
                    <w:jc w:val="center"/>
                    <w:rPr>
                      <w:rFonts w:hint="default" w:ascii="Times New Roman" w:hAnsi="Times New Roman" w:cs="Times New Roman"/>
                      <w:color w:val="FF0000"/>
                      <w:sz w:val="21"/>
                      <w:szCs w:val="21"/>
                      <w:u w:val="wave"/>
                      <w:lang w:val="en-US" w:eastAsia="zh-CN"/>
                    </w:rPr>
                  </w:pPr>
                  <w:r>
                    <w:rPr>
                      <w:rFonts w:hint="default" w:ascii="Times New Roman" w:hAnsi="Times New Roman" w:cs="Times New Roman"/>
                      <w:color w:val="FF0000"/>
                      <w:sz w:val="21"/>
                      <w:szCs w:val="21"/>
                      <w:u w:val="wave"/>
                      <w:lang w:val="en-US" w:eastAsia="zh-CN"/>
                    </w:rPr>
                    <w:t>0.3</w:t>
                  </w:r>
                  <w:r>
                    <w:rPr>
                      <w:rFonts w:hint="eastAsia" w:cs="Times New Roman"/>
                      <w:color w:val="FF0000"/>
                      <w:sz w:val="21"/>
                      <w:szCs w:val="21"/>
                      <w:u w:val="wave"/>
                      <w:lang w:val="en-US" w:eastAsia="zh-CN"/>
                    </w:rPr>
                    <w:t>96</w:t>
                  </w:r>
                </w:p>
              </w:tc>
            </w:tr>
          </w:tbl>
          <w:p>
            <w:pPr>
              <w:pStyle w:val="2"/>
              <w:spacing w:line="360" w:lineRule="auto"/>
              <w:ind w:firstLine="482" w:firstLineChars="200"/>
              <w:jc w:val="both"/>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2</w:t>
            </w:r>
            <w:r>
              <w:rPr>
                <w:rFonts w:hint="default" w:ascii="Times New Roman" w:hAnsi="Times New Roman" w:cs="Times New Roman"/>
                <w:b/>
                <w:bCs/>
                <w:sz w:val="24"/>
                <w:szCs w:val="24"/>
              </w:rPr>
              <w:t>、排污口设置情况、监测要求</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项目废气排放口情况如下表：</w:t>
            </w:r>
          </w:p>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7</w:t>
            </w:r>
            <w:r>
              <w:rPr>
                <w:rFonts w:hint="default" w:ascii="Times New Roman" w:hAnsi="Times New Roman" w:cs="Times New Roman"/>
                <w:b/>
                <w:bCs/>
                <w:sz w:val="21"/>
                <w:szCs w:val="21"/>
              </w:rPr>
              <w:t xml:space="preserve">  本项目废气排放口设置情况</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51"/>
              <w:gridCol w:w="1593"/>
              <w:gridCol w:w="1238"/>
              <w:gridCol w:w="872"/>
              <w:gridCol w:w="823"/>
              <w:gridCol w:w="872"/>
              <w:gridCol w:w="1822"/>
              <w:gridCol w:w="131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56" w:hRule="atLeast"/>
              </w:trPr>
              <w:tc>
                <w:tcPr>
                  <w:tcW w:w="453" w:type="pct"/>
                  <w:vMerge w:val="restar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lang w:val="en-US" w:eastAsia="zh-CN"/>
                    </w:rPr>
                    <w:t>排放口</w:t>
                  </w:r>
                  <w:r>
                    <w:rPr>
                      <w:rFonts w:hint="default" w:ascii="Times New Roman" w:hAnsi="Times New Roman" w:cs="Times New Roman"/>
                      <w:b/>
                      <w:bCs/>
                      <w:sz w:val="21"/>
                      <w:szCs w:val="21"/>
                    </w:rPr>
                    <w:t>编号</w:t>
                  </w:r>
                </w:p>
              </w:tc>
              <w:tc>
                <w:tcPr>
                  <w:tcW w:w="848"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排污口名称</w:t>
                  </w:r>
                </w:p>
              </w:tc>
              <w:tc>
                <w:tcPr>
                  <w:tcW w:w="659" w:type="pct"/>
                  <w:vMerge w:val="restar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污染物种类</w:t>
                  </w:r>
                </w:p>
              </w:tc>
              <w:tc>
                <w:tcPr>
                  <w:tcW w:w="3037" w:type="pct"/>
                  <w:gridSpan w:val="5"/>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排放口基本情况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Merge w:val="continue"/>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p>
              </w:tc>
              <w:tc>
                <w:tcPr>
                  <w:tcW w:w="848"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p>
              </w:tc>
              <w:tc>
                <w:tcPr>
                  <w:tcW w:w="659" w:type="pct"/>
                  <w:vMerge w:val="continue"/>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高度（m）</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内径（m）</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温度（℃）</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坐标</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类型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DA002</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炉料分离粉尘</w:t>
                  </w:r>
                  <w:r>
                    <w:rPr>
                      <w:rFonts w:hint="default" w:ascii="Times New Roman" w:hAnsi="Times New Roman" w:cs="Times New Roman"/>
                      <w:sz w:val="21"/>
                      <w:szCs w:val="21"/>
                      <w:lang w:val="en-US" w:eastAsia="zh-CN"/>
                    </w:rPr>
                    <w:t>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0.5</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25</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112.385232°</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26.974383°</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3</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112.385033°</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26.974129°</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4</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112.384970°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26.974189°</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DA005</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钝化烘干、浸漆固化有机废气及烘干室燃烧废气排气筒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VOCs</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0.58</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112.384900°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26.974207°</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DA006</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喷漆废气排气筒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r>
                    <w:rPr>
                      <w:rFonts w:hint="default" w:ascii="Times New Roman" w:hAnsi="Times New Roman" w:cs="Times New Roman"/>
                      <w:sz w:val="21"/>
                      <w:szCs w:val="21"/>
                    </w:rPr>
                    <w:t>VOCs</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0.68</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25</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112.385019°</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26.973682°</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DA007</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碳化除油废气排气筒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VOCs</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112.385193°</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26.973864°</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DA008</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112.385341°</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26.973989°</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DA009</w:t>
                  </w:r>
                </w:p>
              </w:tc>
              <w:tc>
                <w:tcPr>
                  <w:tcW w:w="84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59"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43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464"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80</w:t>
                  </w:r>
                </w:p>
              </w:tc>
              <w:tc>
                <w:tcPr>
                  <w:tcW w:w="97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112.384933°</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26.974324°</w:t>
                  </w:r>
                </w:p>
              </w:tc>
              <w:tc>
                <w:tcPr>
                  <w:tcW w:w="698"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bl>
          <w:p>
            <w:pPr>
              <w:spacing w:line="360" w:lineRule="auto"/>
              <w:ind w:firstLine="480" w:firstLineChars="200"/>
              <w:jc w:val="left"/>
              <w:rPr>
                <w:rFonts w:hint="default" w:ascii="Times New Roman" w:hAnsi="Times New Roman" w:cs="Times New Roman"/>
                <w:sz w:val="24"/>
                <w:szCs w:val="24"/>
              </w:rPr>
            </w:pPr>
            <w:r>
              <w:rPr>
                <w:rFonts w:hint="default" w:ascii="Times New Roman" w:hAnsi="Times New Roman" w:cs="Times New Roman"/>
                <w:sz w:val="24"/>
                <w:szCs w:val="24"/>
              </w:rPr>
              <w:t>根据《固定污染源排污许可分类管理名录》（2019年版）、《排污许可证申请与核发技术规范 铁路、船舶、航空航天和其他运输设备制造业》（HJ1124-2020）中的相关规定，大气监测计划详见下表，制定本项目大气监测计划如下：</w:t>
            </w:r>
          </w:p>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8</w:t>
            </w:r>
            <w:r>
              <w:rPr>
                <w:rFonts w:hint="default" w:ascii="Times New Roman" w:hAnsi="Times New Roman" w:cs="Times New Roman"/>
                <w:b/>
                <w:bCs/>
                <w:sz w:val="21"/>
                <w:szCs w:val="21"/>
              </w:rPr>
              <w:t xml:space="preserve">  本项目大气污染物监测计划</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13"/>
              <w:gridCol w:w="1343"/>
              <w:gridCol w:w="1277"/>
              <w:gridCol w:w="1131"/>
              <w:gridCol w:w="1277"/>
              <w:gridCol w:w="344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7" w:hRule="atLeast"/>
              </w:trPr>
              <w:tc>
                <w:tcPr>
                  <w:tcW w:w="1201" w:type="pct"/>
                  <w:gridSpan w:val="2"/>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监测点位</w:t>
                  </w:r>
                </w:p>
              </w:tc>
              <w:tc>
                <w:tcPr>
                  <w:tcW w:w="680" w:type="pct"/>
                  <w:vMerge w:val="restar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监测因子</w:t>
                  </w:r>
                </w:p>
              </w:tc>
              <w:tc>
                <w:tcPr>
                  <w:tcW w:w="602" w:type="pct"/>
                  <w:vMerge w:val="restar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监测频次</w:t>
                  </w:r>
                </w:p>
              </w:tc>
              <w:tc>
                <w:tcPr>
                  <w:tcW w:w="2515" w:type="pct"/>
                  <w:gridSpan w:val="2"/>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执行标准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编号</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名称</w:t>
                  </w:r>
                </w:p>
              </w:tc>
              <w:tc>
                <w:tcPr>
                  <w:tcW w:w="680" w:type="pct"/>
                  <w:vMerge w:val="continue"/>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p>
              </w:tc>
              <w:tc>
                <w:tcPr>
                  <w:tcW w:w="602" w:type="pct"/>
                  <w:vMerge w:val="continue"/>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p>
              </w:tc>
              <w:tc>
                <w:tcPr>
                  <w:tcW w:w="68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浓度限值（mg/m</w:t>
                  </w:r>
                  <w:r>
                    <w:rPr>
                      <w:rFonts w:hint="default" w:ascii="Times New Roman" w:hAnsi="Times New Roman" w:cs="Times New Roman"/>
                      <w:b/>
                      <w:bCs/>
                      <w:sz w:val="21"/>
                      <w:szCs w:val="21"/>
                      <w:vertAlign w:val="superscript"/>
                    </w:rPr>
                    <w:t>3</w:t>
                  </w:r>
                  <w:r>
                    <w:rPr>
                      <w:rFonts w:hint="default" w:ascii="Times New Roman" w:hAnsi="Times New Roman" w:cs="Times New Roman"/>
                      <w:b/>
                      <w:bCs/>
                      <w:sz w:val="21"/>
                      <w:szCs w:val="21"/>
                    </w:rPr>
                    <w:t>）</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标准名称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DA002</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炉料分离粉尘</w:t>
                  </w:r>
                  <w:r>
                    <w:rPr>
                      <w:rFonts w:hint="default" w:ascii="Times New Roman" w:hAnsi="Times New Roman" w:cs="Times New Roman"/>
                      <w:sz w:val="21"/>
                      <w:szCs w:val="21"/>
                      <w:lang w:val="en-US" w:eastAsia="zh-CN"/>
                    </w:rPr>
                    <w:t>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《大气污染物综合排放标准》（GB16297-1996）表</w:t>
                  </w:r>
                  <w:r>
                    <w:rPr>
                      <w:rFonts w:hint="default" w:ascii="Times New Roman" w:hAnsi="Times New Roman" w:cs="Times New Roman"/>
                      <w:sz w:val="21"/>
                      <w:szCs w:val="21"/>
                      <w:lang w:val="en-US" w:eastAsia="zh-CN"/>
                    </w:rPr>
                    <w:t>2</w:t>
                  </w:r>
                  <w:r>
                    <w:rPr>
                      <w:rFonts w:hint="default" w:ascii="Times New Roman" w:hAnsi="Times New Roman" w:cs="Times New Roman"/>
                      <w:sz w:val="21"/>
                      <w:szCs w:val="21"/>
                    </w:rPr>
                    <w:t>中二级标准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3</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w:t>
                  </w:r>
                </w:p>
              </w:tc>
              <w:tc>
                <w:tcPr>
                  <w:tcW w:w="1835"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《工业炉窑大气污染物排放标准》（GB9078-1996）表2及《湖南省工业炉窑大气环境污染综合治理实施方案》附件1标准限值较严者要求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4</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w:t>
                  </w:r>
                </w:p>
              </w:tc>
              <w:tc>
                <w:tcPr>
                  <w:tcW w:w="1835"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DA005</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eastAsia" w:ascii="Times New Roman" w:cs="Times New Roman"/>
                      <w:sz w:val="21"/>
                      <w:szCs w:val="21"/>
                      <w:lang w:val="en-US" w:eastAsia="zh-CN"/>
                    </w:rPr>
                    <w:t>钝化烘干、</w:t>
                  </w:r>
                  <w:r>
                    <w:rPr>
                      <w:rFonts w:hint="default" w:ascii="Times New Roman" w:hAnsi="Times New Roman" w:cs="Times New Roman"/>
                      <w:sz w:val="21"/>
                      <w:szCs w:val="21"/>
                      <w:lang w:val="en-US" w:eastAsia="zh-CN"/>
                    </w:rPr>
                    <w:t>浸漆固化有机废气及烘干室燃烧废气排气筒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VOCs</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w:t>
                  </w:r>
                </w:p>
                <w:p>
                  <w:pPr>
                    <w:pStyle w:val="19"/>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50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《工业炉窑大气污染物排放标准》（GB9078-1996）表2及《湖南省工业炉窑大气环境污染综合治理实施方案》附件1标准限值较严者要求</w:t>
                  </w:r>
                  <w:r>
                    <w:rPr>
                      <w:rFonts w:hint="default" w:ascii="Times New Roman" w:hAnsi="Times New Roman" w:cs="Times New Roman"/>
                      <w:sz w:val="21"/>
                      <w:szCs w:val="21"/>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19"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DA006</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喷漆废气排气筒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r>
                    <w:rPr>
                      <w:rFonts w:hint="default" w:ascii="Times New Roman" w:hAnsi="Times New Roman" w:cs="Times New Roman"/>
                      <w:sz w:val="21"/>
                      <w:szCs w:val="21"/>
                    </w:rPr>
                    <w:t>VOCs</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120</w:t>
                  </w:r>
                </w:p>
                <w:p>
                  <w:pPr>
                    <w:pStyle w:val="19"/>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rPr>
                    <w:t>《大气污染物综合排放标准》（GB16297-1996）表</w:t>
                  </w:r>
                  <w:r>
                    <w:rPr>
                      <w:rFonts w:hint="default" w:ascii="Times New Roman" w:hAnsi="Times New Roman" w:cs="Times New Roman"/>
                      <w:sz w:val="21"/>
                      <w:szCs w:val="21"/>
                      <w:lang w:val="en-US" w:eastAsia="zh-CN"/>
                    </w:rPr>
                    <w:t>2</w:t>
                  </w:r>
                  <w:r>
                    <w:rPr>
                      <w:rFonts w:hint="default" w:ascii="Times New Roman" w:hAnsi="Times New Roman" w:cs="Times New Roman"/>
                      <w:sz w:val="21"/>
                      <w:szCs w:val="21"/>
                    </w:rPr>
                    <w:t>中二级标准</w:t>
                  </w:r>
                  <w:r>
                    <w:rPr>
                      <w:rFonts w:hint="default" w:ascii="Times New Roman" w:hAnsi="Times New Roman" w:cs="Times New Roman"/>
                      <w:sz w:val="21"/>
                      <w:szCs w:val="21"/>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DA007</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碳化除油废气排气筒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VOCs</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w:t>
                  </w:r>
                </w:p>
                <w:p>
                  <w:pPr>
                    <w:pStyle w:val="19"/>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50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《工业炉窑大气污染物排放标准》（GB9078-1996）表2及《湖南省工业炉窑大气环境污染综合治理实施方案》附件1标准限值较严者要求</w:t>
                  </w:r>
                  <w:r>
                    <w:rPr>
                      <w:rFonts w:hint="default" w:ascii="Times New Roman" w:hAnsi="Times New Roman" w:cs="Times New Roman"/>
                      <w:sz w:val="21"/>
                      <w:szCs w:val="21"/>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DA008</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30</w:t>
                  </w:r>
                </w:p>
              </w:tc>
              <w:tc>
                <w:tcPr>
                  <w:tcW w:w="1835"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《工业炉窑大气污染物排放标准》（GB9078-1996）表2及《湖南省工业炉窑大气环境污染综合治理实施方案》附件1标准限值较严者要求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DA009</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烟尘</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200</w:t>
                  </w:r>
                </w:p>
                <w:p>
                  <w:pPr>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300</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30</w:t>
                  </w:r>
                </w:p>
              </w:tc>
              <w:tc>
                <w:tcPr>
                  <w:tcW w:w="1835"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厂界</w:t>
                  </w:r>
                  <w:r>
                    <w:rPr>
                      <w:rFonts w:hint="default" w:ascii="Times New Roman" w:hAnsi="Times New Roman" w:cs="Times New Roman"/>
                      <w:sz w:val="21"/>
                      <w:szCs w:val="21"/>
                      <w:lang w:val="en-US" w:eastAsia="zh-CN"/>
                    </w:rPr>
                    <w:t>上、下风向</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颗粒物</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keepNext w:val="0"/>
                    <w:keepLines w:val="0"/>
                    <w:pageBreakBefore w:val="0"/>
                    <w:widowControl w:val="0"/>
                    <w:tabs>
                      <w:tab w:val="left" w:pos="-2848"/>
                    </w:tabs>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《大气污染物综合排放标准》（GB16297-1996）无组织监控浓度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86"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71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厂区内</w:t>
                  </w:r>
                </w:p>
              </w:tc>
              <w:tc>
                <w:tcPr>
                  <w:tcW w:w="680"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NMHC</w:t>
                  </w:r>
                </w:p>
              </w:tc>
              <w:tc>
                <w:tcPr>
                  <w:tcW w:w="602" w:type="pct"/>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1次/年</w:t>
                  </w:r>
                </w:p>
              </w:tc>
              <w:tc>
                <w:tcPr>
                  <w:tcW w:w="680" w:type="pct"/>
                  <w:shd w:val="clear" w:color="auto" w:fill="auto"/>
                  <w:vAlign w:val="center"/>
                </w:tcPr>
                <w:p>
                  <w:pPr>
                    <w:keepNext w:val="0"/>
                    <w:keepLines w:val="0"/>
                    <w:pageBreakBefore w:val="0"/>
                    <w:widowControl w:val="0"/>
                    <w:tabs>
                      <w:tab w:val="left" w:pos="-2848"/>
                    </w:tabs>
                    <w:kinsoku/>
                    <w:wordWrap/>
                    <w:overflowPunct/>
                    <w:topLinePunct w:val="0"/>
                    <w:autoSpaceDE/>
                    <w:autoSpaceDN/>
                    <w:bidi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1h：10；任意一次：30</w:t>
                  </w:r>
                </w:p>
              </w:tc>
              <w:tc>
                <w:tcPr>
                  <w:tcW w:w="1835" w:type="pc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《挥发性有机物无组织排放控制标准》（GB37822-2019）</w:t>
                  </w:r>
                </w:p>
              </w:tc>
            </w:tr>
          </w:tbl>
          <w:p>
            <w:pPr>
              <w:pStyle w:val="2"/>
              <w:spacing w:line="360" w:lineRule="auto"/>
              <w:ind w:firstLine="482" w:firstLineChars="200"/>
              <w:jc w:val="both"/>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3</w:t>
            </w:r>
            <w:r>
              <w:rPr>
                <w:rFonts w:hint="default" w:ascii="Times New Roman" w:hAnsi="Times New Roman" w:cs="Times New Roman"/>
                <w:b/>
                <w:bCs/>
                <w:sz w:val="24"/>
                <w:szCs w:val="24"/>
              </w:rPr>
              <w:t>、</w:t>
            </w:r>
            <w:r>
              <w:rPr>
                <w:rFonts w:hint="default" w:ascii="Times New Roman" w:hAnsi="Times New Roman" w:cs="Times New Roman"/>
                <w:b/>
                <w:bCs/>
                <w:sz w:val="24"/>
                <w:szCs w:val="24"/>
                <w:lang w:val="en-US" w:eastAsia="zh-CN"/>
              </w:rPr>
              <w:t>达标排放情况</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排气筒排放限值达标性</w:t>
            </w:r>
          </w:p>
          <w:p>
            <w:pPr>
              <w:pStyle w:val="2"/>
              <w:spacing w:line="360" w:lineRule="auto"/>
              <w:ind w:firstLine="480" w:firstLineChars="200"/>
              <w:jc w:val="both"/>
              <w:rPr>
                <w:rFonts w:hint="eastAsia" w:ascii="Times New Roman" w:cs="Times New Roman"/>
                <w:sz w:val="24"/>
                <w:szCs w:val="24"/>
                <w:lang w:val="en-US" w:eastAsia="zh-CN"/>
              </w:rPr>
            </w:pPr>
            <w:r>
              <w:rPr>
                <w:rFonts w:hint="default" w:ascii="Times New Roman" w:hAnsi="Times New Roman" w:cs="Times New Roman"/>
                <w:sz w:val="24"/>
                <w:szCs w:val="24"/>
                <w:lang w:val="en-US" w:eastAsia="zh-CN"/>
              </w:rPr>
              <w:t>项目现有2台密闭四方滚筒燃气渗锌炉（4m）共用1台现有的炉料分离器，分离工位产生的粉尘直接抽到配套的吸、放料装置（内含除尘器）内处理后通过15m高排气筒（DA002）排放，颗粒物排放浓度、排放速率满足《大气污染物综合排放标准》（GB16297-1996）表2中二级标准要求（颗粒物120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、速率3.5kg/h）</w:t>
            </w:r>
            <w:r>
              <w:rPr>
                <w:rFonts w:hint="eastAsia" w:ascii="Times New Roman" w:cs="Times New Roman"/>
                <w:sz w:val="24"/>
                <w:szCs w:val="24"/>
                <w:lang w:val="en-US" w:eastAsia="zh-CN"/>
              </w:rPr>
              <w:t>。</w:t>
            </w:r>
          </w:p>
          <w:p>
            <w:pPr>
              <w:pStyle w:val="2"/>
              <w:spacing w:line="360" w:lineRule="auto"/>
              <w:ind w:firstLine="480" w:firstLineChars="200"/>
              <w:jc w:val="both"/>
              <w:rPr>
                <w:rFonts w:hint="eastAsia" w:ascii="Times New Roman" w:cs="Times New Roman"/>
                <w:sz w:val="24"/>
                <w:szCs w:val="24"/>
                <w:lang w:val="en-US" w:eastAsia="zh-CN"/>
              </w:rPr>
            </w:pPr>
            <w:r>
              <w:rPr>
                <w:rFonts w:hint="default" w:ascii="Times New Roman" w:hAnsi="Times New Roman" w:cs="Times New Roman"/>
                <w:sz w:val="24"/>
                <w:szCs w:val="24"/>
                <w:lang w:val="en-US" w:eastAsia="zh-CN"/>
              </w:rPr>
              <w:t>渗锌炉天然气燃烧烟气</w:t>
            </w:r>
            <w:r>
              <w:rPr>
                <w:rFonts w:hint="default" w:ascii="Times New Roman" w:hAnsi="Times New Roman" w:cs="Times New Roman"/>
                <w:sz w:val="24"/>
                <w:szCs w:val="24"/>
                <w:lang w:val="zh-CN" w:eastAsia="zh-CN"/>
              </w:rPr>
              <w:t>经15m</w:t>
            </w:r>
            <w:r>
              <w:rPr>
                <w:rFonts w:hint="default" w:ascii="Times New Roman" w:hAnsi="Times New Roman" w:cs="Times New Roman"/>
                <w:sz w:val="24"/>
                <w:szCs w:val="24"/>
                <w:lang w:val="en-US" w:eastAsia="zh-CN"/>
              </w:rPr>
              <w:t>高</w:t>
            </w:r>
            <w:r>
              <w:rPr>
                <w:rFonts w:hint="default" w:ascii="Times New Roman" w:hAnsi="Times New Roman" w:cs="Times New Roman"/>
                <w:sz w:val="24"/>
                <w:szCs w:val="24"/>
                <w:lang w:val="zh-CN" w:eastAsia="zh-CN"/>
              </w:rPr>
              <w:t>排气筒（</w:t>
            </w:r>
            <w:r>
              <w:rPr>
                <w:rFonts w:hint="default" w:ascii="Times New Roman" w:hAnsi="Times New Roman" w:cs="Times New Roman"/>
                <w:sz w:val="24"/>
                <w:szCs w:val="24"/>
                <w:lang w:val="en-US" w:eastAsia="zh-CN"/>
              </w:rPr>
              <w:t>DA003、DA004、DA008、DA009</w:t>
            </w: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直接</w:t>
            </w:r>
            <w:r>
              <w:rPr>
                <w:rFonts w:hint="default" w:ascii="Times New Roman" w:hAnsi="Times New Roman" w:cs="Times New Roman"/>
                <w:sz w:val="24"/>
                <w:szCs w:val="24"/>
                <w:lang w:val="zh-CN" w:eastAsia="zh-CN"/>
              </w:rPr>
              <w:t>排放，</w:t>
            </w:r>
            <w:r>
              <w:rPr>
                <w:rFonts w:hint="default" w:ascii="Times New Roman" w:hAnsi="Times New Roman" w:cs="Times New Roman"/>
                <w:sz w:val="24"/>
                <w:szCs w:val="24"/>
                <w:lang w:val="en-US" w:eastAsia="zh-CN"/>
              </w:rPr>
              <w:t>满足《工业炉窑大气污染物排放标准》（GB9078-1996）表2及《湖南省工业炉窑大气环境污染综合治理实施方案》附件1标准限值较严者要求（颗粒物30mg/m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200mg/m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、NOx300mg/m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w:t>
            </w:r>
            <w:r>
              <w:rPr>
                <w:rFonts w:hint="eastAsia" w:ascii="Times New Roman" w:cs="Times New Roman"/>
                <w:sz w:val="24"/>
                <w:szCs w:val="24"/>
                <w:lang w:val="en-US" w:eastAsia="zh-CN"/>
              </w:rPr>
              <w:t>。</w:t>
            </w:r>
          </w:p>
          <w:p>
            <w:pPr>
              <w:pStyle w:val="2"/>
              <w:spacing w:line="360" w:lineRule="auto"/>
              <w:ind w:firstLine="480" w:firstLineChars="200"/>
              <w:jc w:val="both"/>
              <w:rPr>
                <w:rFonts w:hint="eastAsia" w:ascii="Times New Roman" w:cs="Times New Roman"/>
                <w:sz w:val="24"/>
                <w:szCs w:val="24"/>
                <w:lang w:val="en-US" w:eastAsia="zh-CN"/>
              </w:rPr>
            </w:pPr>
            <w:r>
              <w:rPr>
                <w:rFonts w:hint="default" w:ascii="Times New Roman" w:hAnsi="Times New Roman" w:cs="Times New Roman"/>
                <w:sz w:val="24"/>
                <w:szCs w:val="24"/>
                <w:lang w:val="en-US" w:eastAsia="zh-CN"/>
              </w:rPr>
              <w:t>钝化烘干、浸漆固化有机废气及烘干室天然气燃烧烟气一道</w:t>
            </w:r>
            <w:r>
              <w:rPr>
                <w:rFonts w:hint="default" w:ascii="Times New Roman" w:hAnsi="Times New Roman" w:cs="Times New Roman"/>
                <w:sz w:val="24"/>
                <w:szCs w:val="24"/>
              </w:rPr>
              <w:t>经</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UV光解装置+活性炭吸附装置</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处理后，通过一根15m高排气筒（</w:t>
            </w:r>
            <w:r>
              <w:rPr>
                <w:rFonts w:hint="default" w:ascii="Times New Roman" w:hAnsi="Times New Roman" w:cs="Times New Roman"/>
                <w:sz w:val="24"/>
                <w:szCs w:val="24"/>
                <w:lang w:val="en-US" w:eastAsia="zh-CN"/>
              </w:rPr>
              <w:t>DA005</w:t>
            </w:r>
            <w:r>
              <w:rPr>
                <w:rFonts w:hint="default" w:ascii="Times New Roman" w:hAnsi="Times New Roman" w:cs="Times New Roman"/>
                <w:sz w:val="24"/>
                <w:szCs w:val="24"/>
              </w:rPr>
              <w:t>）排放</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烟尘、SO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、NOx排放浓度满足《工业炉窑大气污染物排放标准》（GB9078-1996）表2及《湖南省工业炉窑大气环境污染综合治理实施方案》附件1标准限值较严者要求（颗粒物30mg/m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200mg/m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、NOx300mg/m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），有机废气VOCs排放浓度满足《表面涂装（汽车制造及维修）挥发性有机物、镍排放标准》（DB43/1356-2017）表1标准要求（</w:t>
            </w:r>
            <w:r>
              <w:rPr>
                <w:rFonts w:hint="default" w:ascii="Times New Roman" w:hAnsi="Times New Roman" w:cs="Times New Roman"/>
                <w:sz w:val="24"/>
                <w:szCs w:val="24"/>
                <w:lang w:eastAsia="zh-CN"/>
              </w:rPr>
              <w:t>TVOCs</w:t>
            </w:r>
            <w:r>
              <w:rPr>
                <w:rFonts w:hint="default" w:ascii="Times New Roman" w:hAnsi="Times New Roman" w:cs="Times New Roman"/>
                <w:sz w:val="24"/>
                <w:szCs w:val="24"/>
                <w:lang w:val="en-US" w:eastAsia="zh-CN"/>
              </w:rPr>
              <w:t>50mg/m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w:t>
            </w:r>
            <w:r>
              <w:rPr>
                <w:rFonts w:hint="eastAsia" w:ascii="Times New Roman" w:cs="Times New Roman"/>
                <w:sz w:val="24"/>
                <w:szCs w:val="24"/>
                <w:lang w:val="en-US" w:eastAsia="zh-CN"/>
              </w:rPr>
              <w:t>。</w:t>
            </w:r>
          </w:p>
          <w:p>
            <w:pPr>
              <w:pStyle w:val="2"/>
              <w:spacing w:line="360" w:lineRule="auto"/>
              <w:ind w:firstLine="480" w:firstLineChars="200"/>
              <w:jc w:val="both"/>
              <w:rPr>
                <w:rFonts w:hint="eastAsia" w:ascii="Times New Roman" w:cs="Times New Roman"/>
                <w:sz w:val="24"/>
                <w:szCs w:val="24"/>
                <w:lang w:val="en-US" w:eastAsia="zh-CN"/>
              </w:rPr>
            </w:pPr>
            <w:r>
              <w:rPr>
                <w:rFonts w:hint="default" w:ascii="Times New Roman" w:hAnsi="Times New Roman" w:cs="Times New Roman"/>
                <w:sz w:val="24"/>
                <w:szCs w:val="24"/>
                <w:lang w:val="en-US" w:eastAsia="zh-CN"/>
              </w:rPr>
              <w:t>喷漆废气负压收集后经</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干式过滤+活性炭吸附+催化燃烧脱附（RCO）</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装置处理后经1根15m高排气筒（DA006）排放，颗粒物排放浓度、排放速率满足《大气污染物综合排放标准》（GB16297-1996）表2中二级标准要求（颗粒物120mg/m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、速率3.5kg/h），有机废气VOCs排放浓度满足《表面涂装（汽车制造及维修）挥发性有机物、镍排放标准》（DB43/1356-2017）表1标准要求（</w:t>
            </w:r>
            <w:r>
              <w:rPr>
                <w:rFonts w:hint="default" w:ascii="Times New Roman" w:hAnsi="Times New Roman" w:cs="Times New Roman"/>
                <w:sz w:val="24"/>
                <w:szCs w:val="24"/>
                <w:lang w:eastAsia="zh-CN"/>
              </w:rPr>
              <w:t>TVOCs</w:t>
            </w:r>
            <w:r>
              <w:rPr>
                <w:rFonts w:hint="default" w:ascii="Times New Roman" w:hAnsi="Times New Roman" w:cs="Times New Roman"/>
                <w:sz w:val="24"/>
                <w:szCs w:val="24"/>
                <w:lang w:val="en-US" w:eastAsia="zh-CN"/>
              </w:rPr>
              <w:t>50mg/m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w:t>
            </w:r>
            <w:r>
              <w:rPr>
                <w:rFonts w:hint="eastAsia" w:ascii="Times New Roman" w:cs="Times New Roman"/>
                <w:sz w:val="24"/>
                <w:szCs w:val="24"/>
                <w:lang w:val="en-US" w:eastAsia="zh-CN"/>
              </w:rPr>
              <w:t>。</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碳化除油炉废气经光解式复合油烟净化器处理后经</w:t>
            </w:r>
            <w:r>
              <w:rPr>
                <w:rFonts w:hint="default" w:ascii="Times New Roman" w:hAnsi="Times New Roman" w:cs="Times New Roman"/>
                <w:sz w:val="24"/>
                <w:szCs w:val="24"/>
                <w:lang w:val="zh-CN" w:eastAsia="zh-CN"/>
              </w:rPr>
              <w:t>15m排气筒（DA00</w:t>
            </w:r>
            <w:r>
              <w:rPr>
                <w:rFonts w:hint="default" w:ascii="Times New Roman" w:hAnsi="Times New Roman" w:cs="Times New Roman"/>
                <w:sz w:val="24"/>
                <w:szCs w:val="24"/>
                <w:lang w:val="en-US" w:eastAsia="zh-CN"/>
              </w:rPr>
              <w:t>7</w:t>
            </w:r>
            <w:r>
              <w:rPr>
                <w:rFonts w:hint="default" w:ascii="Times New Roman" w:hAnsi="Times New Roman" w:cs="Times New Roman"/>
                <w:sz w:val="24"/>
                <w:szCs w:val="24"/>
                <w:lang w:val="zh-CN" w:eastAsia="zh-CN"/>
              </w:rPr>
              <w:t>）排放，</w:t>
            </w:r>
            <w:r>
              <w:rPr>
                <w:rFonts w:hint="default" w:ascii="Times New Roman" w:hAnsi="Times New Roman" w:cs="Times New Roman"/>
                <w:sz w:val="24"/>
                <w:szCs w:val="24"/>
                <w:lang w:val="en-US" w:eastAsia="zh-CN"/>
              </w:rPr>
              <w:t>烟尘、SO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、NOx排放浓度满足《工业炉窑大气污染物排放标准》（GB9078-1996）表2及《湖南省工业炉窑大气环境污染综合治理实施方案》附件1标准限值较严者要求（颗粒物30mg/m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200mg/m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、NOx300mg/m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），有机废气VOCs排放浓度满足《表面涂装（汽车制造及维修）挥发性有机物、镍排放标准》（DB43/1356-2017）表1标准要求（</w:t>
            </w:r>
            <w:r>
              <w:rPr>
                <w:rFonts w:hint="default" w:ascii="Times New Roman" w:hAnsi="Times New Roman" w:cs="Times New Roman"/>
                <w:sz w:val="24"/>
                <w:szCs w:val="24"/>
                <w:lang w:eastAsia="zh-CN"/>
              </w:rPr>
              <w:t>TVOCs</w:t>
            </w:r>
            <w:r>
              <w:rPr>
                <w:rFonts w:hint="default" w:ascii="Times New Roman" w:hAnsi="Times New Roman" w:cs="Times New Roman"/>
                <w:sz w:val="24"/>
                <w:szCs w:val="24"/>
                <w:lang w:val="en-US" w:eastAsia="zh-CN"/>
              </w:rPr>
              <w:t>50mg/m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lang w:val="zh-CN" w:eastAsia="zh-CN"/>
              </w:rPr>
              <w:t>。</w:t>
            </w:r>
          </w:p>
          <w:p>
            <w:pPr>
              <w:pStyle w:val="2"/>
              <w:spacing w:line="360" w:lineRule="auto"/>
              <w:ind w:firstLine="480" w:firstLineChars="200"/>
              <w:jc w:val="both"/>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（2）无</w:t>
            </w:r>
            <w:r>
              <w:rPr>
                <w:rFonts w:hint="default" w:ascii="Times New Roman" w:hAnsi="Times New Roman" w:cs="Times New Roman"/>
                <w:sz w:val="24"/>
                <w:szCs w:val="24"/>
                <w:lang w:eastAsia="zh-CN"/>
              </w:rPr>
              <w:t>组织排放限值达标性</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rPr>
              <w:t>本项目颗粒物，经车间阻隔、通风外排，经类比同类企业验收监测数据</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厂</w:t>
            </w:r>
            <w:r>
              <w:rPr>
                <w:rFonts w:hint="default" w:ascii="Times New Roman" w:hAnsi="Times New Roman" w:cs="Times New Roman"/>
                <w:sz w:val="24"/>
                <w:szCs w:val="24"/>
              </w:rPr>
              <w:t>界无组织排放颗粒物可满足《大气污染物综合排放标准》</w:t>
            </w:r>
            <w:r>
              <w:rPr>
                <w:rFonts w:hint="default" w:ascii="Times New Roman" w:hAnsi="Times New Roman" w:cs="Times New Roman"/>
                <w:sz w:val="24"/>
                <w:szCs w:val="24"/>
                <w:lang w:eastAsia="zh-CN"/>
              </w:rPr>
              <w:t>（</w:t>
            </w:r>
            <w:r>
              <w:rPr>
                <w:rFonts w:hint="default" w:ascii="Times New Roman" w:hAnsi="Times New Roman" w:cs="Times New Roman"/>
                <w:sz w:val="24"/>
                <w:szCs w:val="24"/>
              </w:rPr>
              <w:t>GB16297-1996</w:t>
            </w:r>
            <w:r>
              <w:rPr>
                <w:rFonts w:hint="default" w:ascii="Times New Roman" w:hAnsi="Times New Roman" w:cs="Times New Roman"/>
                <w:sz w:val="24"/>
                <w:szCs w:val="24"/>
                <w:lang w:eastAsia="zh-CN"/>
              </w:rPr>
              <w:t>）</w:t>
            </w:r>
            <w:r>
              <w:rPr>
                <w:rFonts w:hint="default" w:ascii="Times New Roman" w:hAnsi="Times New Roman" w:cs="Times New Roman"/>
                <w:sz w:val="24"/>
                <w:szCs w:val="24"/>
              </w:rPr>
              <w:t>表2中无组织排放监控浓度限值。生产过程会产生微量的VOCs，经无组织排放，经类比</w:t>
            </w:r>
            <w:r>
              <w:rPr>
                <w:rFonts w:hint="eastAsia" w:ascii="Times New Roman" w:cs="Times New Roman"/>
                <w:sz w:val="24"/>
                <w:szCs w:val="24"/>
                <w:lang w:val="en-US" w:eastAsia="zh-CN"/>
              </w:rPr>
              <w:t>同</w:t>
            </w:r>
            <w:r>
              <w:rPr>
                <w:rFonts w:hint="default" w:ascii="Times New Roman" w:hAnsi="Times New Roman" w:cs="Times New Roman"/>
                <w:sz w:val="24"/>
                <w:szCs w:val="24"/>
              </w:rPr>
              <w:t>类企业验收监测数据，厂区内VOCs可满足《挥发性有机物无组织排放控制标准》</w:t>
            </w:r>
            <w:r>
              <w:rPr>
                <w:rFonts w:hint="default" w:ascii="Times New Roman" w:hAnsi="Times New Roman" w:cs="Times New Roman"/>
                <w:sz w:val="24"/>
                <w:szCs w:val="24"/>
                <w:lang w:eastAsia="zh-CN"/>
              </w:rPr>
              <w:t>（</w:t>
            </w:r>
            <w:r>
              <w:rPr>
                <w:rFonts w:hint="default" w:ascii="Times New Roman" w:hAnsi="Times New Roman" w:cs="Times New Roman"/>
                <w:sz w:val="24"/>
                <w:szCs w:val="24"/>
              </w:rPr>
              <w:t>GB378922-2019</w:t>
            </w:r>
            <w:r>
              <w:rPr>
                <w:rFonts w:hint="default" w:ascii="Times New Roman" w:hAnsi="Times New Roman" w:cs="Times New Roman"/>
                <w:sz w:val="24"/>
                <w:szCs w:val="24"/>
                <w:lang w:eastAsia="zh-CN"/>
              </w:rPr>
              <w:t>）</w:t>
            </w:r>
            <w:r>
              <w:rPr>
                <w:rFonts w:hint="default" w:ascii="Times New Roman" w:hAnsi="Times New Roman" w:cs="Times New Roman"/>
                <w:sz w:val="24"/>
                <w:szCs w:val="24"/>
              </w:rPr>
              <w:t>中表A.1规定的排放限值</w:t>
            </w:r>
            <w:r>
              <w:rPr>
                <w:rFonts w:hint="default" w:ascii="Times New Roman" w:hAnsi="Times New Roman" w:cs="Times New Roman"/>
                <w:sz w:val="24"/>
                <w:szCs w:val="24"/>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2" w:firstLineChars="200"/>
              <w:jc w:val="both"/>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4、废气治理设施可行性分析</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有组织污染物防治措施可行性</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rPr>
              <w:t>根据《排污许可证申请与核发技术规范 铁路、船舶、航空航天和其他运输设备制造业》（HJ1124-2020）判定项目采取的废气治理措施符合情况，具体符合情况分析见下表</w:t>
            </w:r>
            <w:r>
              <w:rPr>
                <w:rFonts w:hint="default" w:ascii="Times New Roman" w:hAnsi="Times New Roman" w:cs="Times New Roman"/>
                <w:sz w:val="24"/>
                <w:szCs w:val="24"/>
                <w:lang w:eastAsia="zh-CN"/>
              </w:rPr>
              <w:t>。</w:t>
            </w:r>
          </w:p>
          <w:p>
            <w:pPr>
              <w:adjustRightInd w:val="0"/>
              <w:snapToGrid w:val="0"/>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w:t>
            </w:r>
            <w:r>
              <w:rPr>
                <w:rFonts w:hint="default" w:ascii="Times New Roman" w:hAnsi="Times New Roman" w:cs="Times New Roman"/>
                <w:b/>
                <w:bCs/>
                <w:sz w:val="21"/>
                <w:szCs w:val="21"/>
                <w:lang w:val="en-US" w:eastAsia="zh-CN"/>
              </w:rPr>
              <w:t>4-9</w:t>
            </w:r>
            <w:r>
              <w:rPr>
                <w:rFonts w:hint="default" w:ascii="Times New Roman" w:hAnsi="Times New Roman" w:cs="Times New Roman"/>
                <w:b/>
                <w:bCs/>
                <w:sz w:val="21"/>
                <w:szCs w:val="21"/>
              </w:rPr>
              <w:t xml:space="preserve"> </w:t>
            </w:r>
            <w:r>
              <w:rPr>
                <w:rFonts w:hint="default" w:ascii="Times New Roman" w:hAnsi="Times New Roman" w:cs="Times New Roman"/>
                <w:b/>
                <w:bCs/>
                <w:sz w:val="21"/>
                <w:szCs w:val="21"/>
                <w:lang w:val="en-US" w:eastAsia="zh-CN"/>
              </w:rPr>
              <w:t xml:space="preserve"> 项目废气治理措施可行性分析</w:t>
            </w:r>
            <w:r>
              <w:rPr>
                <w:rFonts w:hint="default" w:ascii="Times New Roman" w:hAnsi="Times New Roman" w:cs="Times New Roman"/>
                <w:b/>
                <w:bCs/>
                <w:sz w:val="21"/>
                <w:szCs w:val="21"/>
              </w:rPr>
              <w:t>一览表</w:t>
            </w:r>
          </w:p>
          <w:tbl>
            <w:tblPr>
              <w:tblStyle w:val="26"/>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40"/>
              <w:gridCol w:w="1080"/>
              <w:gridCol w:w="1280"/>
              <w:gridCol w:w="2220"/>
              <w:gridCol w:w="2110"/>
              <w:gridCol w:w="13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产污环节</w:t>
                  </w: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污染物</w:t>
                  </w:r>
                </w:p>
              </w:tc>
              <w:tc>
                <w:tcPr>
                  <w:tcW w:w="12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排放形式</w:t>
                  </w: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可行性分析</w:t>
                  </w:r>
                </w:p>
              </w:tc>
              <w:tc>
                <w:tcPr>
                  <w:tcW w:w="211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项目采取措施</w:t>
                  </w:r>
                </w:p>
              </w:tc>
              <w:tc>
                <w:tcPr>
                  <w:tcW w:w="1358"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符合性分析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碳化除油</w:t>
                  </w: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12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有组织</w:t>
                  </w: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油雾净化装置，机械过滤、静电过滤</w:t>
                  </w:r>
                </w:p>
              </w:tc>
              <w:tc>
                <w:tcPr>
                  <w:tcW w:w="211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光解式复合油烟净化器</w:t>
                  </w:r>
                  <w:r>
                    <w:rPr>
                      <w:rFonts w:hint="default" w:ascii="Times New Roman" w:hAnsi="Times New Roman" w:cs="Times New Roman"/>
                      <w:sz w:val="21"/>
                      <w:szCs w:val="21"/>
                    </w:rPr>
                    <w:t>+15m高排气筒（</w:t>
                  </w:r>
                  <w:r>
                    <w:rPr>
                      <w:rFonts w:hint="default" w:ascii="Times New Roman" w:hAnsi="Times New Roman" w:cs="Times New Roman"/>
                      <w:sz w:val="21"/>
                      <w:szCs w:val="21"/>
                      <w:lang w:val="en-US" w:eastAsia="zh-CN"/>
                    </w:rPr>
                    <w:t>DA007</w:t>
                  </w:r>
                  <w:r>
                    <w:rPr>
                      <w:rFonts w:hint="default" w:ascii="Times New Roman" w:hAnsi="Times New Roman" w:cs="Times New Roman"/>
                      <w:sz w:val="21"/>
                      <w:szCs w:val="21"/>
                    </w:rPr>
                    <w:t>）</w:t>
                  </w:r>
                </w:p>
              </w:tc>
              <w:tc>
                <w:tcPr>
                  <w:tcW w:w="1358"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多元共渗</w:t>
                  </w: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8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有组织</w:t>
                  </w: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除尘设施，袋式除尘</w:t>
                  </w:r>
                </w:p>
              </w:tc>
              <w:tc>
                <w:tcPr>
                  <w:tcW w:w="211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除尘器+</w:t>
                  </w:r>
                  <w:r>
                    <w:rPr>
                      <w:rFonts w:hint="default" w:ascii="Times New Roman" w:hAnsi="Times New Roman" w:cs="Times New Roman"/>
                      <w:sz w:val="21"/>
                      <w:szCs w:val="21"/>
                    </w:rPr>
                    <w:t>15m高排气筒</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DA002</w:t>
                  </w:r>
                  <w:r>
                    <w:rPr>
                      <w:rFonts w:hint="default" w:ascii="Times New Roman" w:hAnsi="Times New Roman" w:cs="Times New Roman"/>
                      <w:sz w:val="21"/>
                      <w:szCs w:val="21"/>
                      <w:lang w:eastAsia="zh-CN"/>
                    </w:rPr>
                    <w:t>）；</w:t>
                  </w:r>
                  <w:r>
                    <w:rPr>
                      <w:rFonts w:hint="default" w:ascii="Times New Roman" w:hAnsi="Times New Roman" w:cs="Times New Roman"/>
                      <w:sz w:val="21"/>
                      <w:szCs w:val="21"/>
                    </w:rPr>
                    <w:t>低氮燃烧+15m高排气筒（DA003、DA004、DA008、DA009）</w:t>
                  </w:r>
                </w:p>
              </w:tc>
              <w:tc>
                <w:tcPr>
                  <w:tcW w:w="1358"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28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脱硫设施，燃用低硫燃料、干法/半干法/湿法脱硫</w:t>
                  </w:r>
                </w:p>
              </w:tc>
              <w:tc>
                <w:tcPr>
                  <w:tcW w:w="211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358"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氮氧化物</w:t>
                  </w:r>
                </w:p>
              </w:tc>
              <w:tc>
                <w:tcPr>
                  <w:tcW w:w="128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脱硝设施，低氮燃烧、SCR、SNCR、SCR+SNCR</w:t>
                  </w:r>
                </w:p>
              </w:tc>
              <w:tc>
                <w:tcPr>
                  <w:tcW w:w="211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358"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钝化、封闭、烘干</w:t>
                  </w: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VOCs</w:t>
                  </w:r>
                </w:p>
              </w:tc>
              <w:tc>
                <w:tcPr>
                  <w:tcW w:w="128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有组织</w:t>
                  </w:r>
                </w:p>
              </w:tc>
              <w:tc>
                <w:tcPr>
                  <w:tcW w:w="222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有机废气治理设施，热力焚烧/催化氧化、吸附/浓缩+热力燃烧/催化氧化</w:t>
                  </w:r>
                </w:p>
              </w:tc>
              <w:tc>
                <w:tcPr>
                  <w:tcW w:w="211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UV光解+活性炭吸附装置</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rPr>
                    <w:t>15m高排气筒</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DA005</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干式过滤+活性炭吸附+催化燃烧脱附（RCO）+</w:t>
                  </w:r>
                  <w:r>
                    <w:rPr>
                      <w:rFonts w:hint="default" w:ascii="Times New Roman" w:hAnsi="Times New Roman" w:cs="Times New Roman"/>
                      <w:sz w:val="21"/>
                      <w:szCs w:val="21"/>
                    </w:rPr>
                    <w:t>15m高排气筒</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DA006</w:t>
                  </w:r>
                  <w:r>
                    <w:rPr>
                      <w:rFonts w:hint="default" w:ascii="Times New Roman" w:hAnsi="Times New Roman" w:cs="Times New Roman"/>
                      <w:sz w:val="21"/>
                      <w:szCs w:val="21"/>
                      <w:lang w:eastAsia="zh-CN"/>
                    </w:rPr>
                    <w:t>）</w:t>
                  </w:r>
                </w:p>
              </w:tc>
              <w:tc>
                <w:tcPr>
                  <w:tcW w:w="1358"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128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220" w:type="dxa"/>
                  <w:vMerge w:val="restart"/>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p>
              </w:tc>
              <w:tc>
                <w:tcPr>
                  <w:tcW w:w="211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358"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128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22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11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358"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4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080" w:type="dxa"/>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128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22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2110"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c>
                <w:tcPr>
                  <w:tcW w:w="1358" w:type="dxa"/>
                  <w:vMerge w:val="continue"/>
                  <w:tcBorders>
                    <w:tl2br w:val="nil"/>
                    <w:tr2bl w:val="nil"/>
                  </w:tcBorders>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cs="Times New Roman"/>
                      <w:sz w:val="21"/>
                      <w:szCs w:val="21"/>
                    </w:rPr>
                  </w:pPr>
                </w:p>
              </w:tc>
            </w:tr>
          </w:tbl>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由上表可知，</w:t>
            </w:r>
            <w:r>
              <w:rPr>
                <w:rFonts w:hint="default" w:ascii="Times New Roman" w:hAnsi="Times New Roman" w:cs="Times New Roman"/>
                <w:sz w:val="24"/>
                <w:szCs w:val="24"/>
              </w:rPr>
              <w:t>本项目污染物处理工艺均属于排污许可技术规范中确认的可行技术。</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rPr>
              <w:t>①碳化除油废气治理可行性分析</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rPr>
              <w:t>本项目碳化除油废气</w:t>
            </w:r>
            <w:r>
              <w:rPr>
                <w:rFonts w:hint="default" w:ascii="Times New Roman" w:hAnsi="Times New Roman" w:cs="Times New Roman"/>
                <w:sz w:val="24"/>
                <w:szCs w:val="24"/>
                <w:lang w:val="en-US" w:eastAsia="zh-CN"/>
              </w:rPr>
              <w:t>经</w:t>
            </w:r>
            <w:r>
              <w:rPr>
                <w:rFonts w:hint="default" w:ascii="Times New Roman" w:hAnsi="Times New Roman" w:cs="Times New Roman"/>
                <w:sz w:val="24"/>
                <w:szCs w:val="24"/>
                <w:lang w:eastAsia="zh-CN"/>
              </w:rPr>
              <w:t>光解式复合油烟净化器</w:t>
            </w:r>
            <w:r>
              <w:rPr>
                <w:rFonts w:hint="default" w:ascii="Times New Roman" w:hAnsi="Times New Roman" w:cs="Times New Roman"/>
                <w:sz w:val="24"/>
                <w:szCs w:val="24"/>
                <w:lang w:val="en-US" w:eastAsia="zh-CN"/>
              </w:rPr>
              <w:t>处理后通过</w:t>
            </w:r>
            <w:r>
              <w:rPr>
                <w:rFonts w:hint="default" w:ascii="Times New Roman" w:hAnsi="Times New Roman" w:cs="Times New Roman"/>
                <w:sz w:val="24"/>
                <w:szCs w:val="24"/>
              </w:rPr>
              <w:t>15m高排气筒排放。</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光解式复合油烟净化器</w:t>
            </w:r>
            <w:r>
              <w:rPr>
                <w:rFonts w:hint="default" w:ascii="Times New Roman" w:hAnsi="Times New Roman" w:cs="Times New Roman"/>
                <w:sz w:val="24"/>
                <w:szCs w:val="24"/>
                <w:lang w:val="en-US" w:eastAsia="zh-CN"/>
              </w:rPr>
              <w:t>工作原理：</w:t>
            </w:r>
            <w:r>
              <w:rPr>
                <w:rFonts w:hint="default" w:ascii="Times New Roman" w:hAnsi="Times New Roman" w:cs="Times New Roman"/>
                <w:sz w:val="24"/>
                <w:szCs w:val="24"/>
              </w:rPr>
              <w:t>光解式复合油烟净化器传出的纳米段激起油雾分子结构，将油雾分子结构链断开，在光解作用下产生细微的激发态油雾分子结构，从而将油雾分解为二氧化碳和水分</w:t>
            </w:r>
            <w:r>
              <w:rPr>
                <w:rFonts w:hint="default" w:ascii="Times New Roman" w:hAnsi="Times New Roman" w:cs="Times New Roman"/>
                <w:sz w:val="24"/>
                <w:szCs w:val="24"/>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达标分析：</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根据工程分析可知，项目</w:t>
            </w:r>
            <w:r>
              <w:rPr>
                <w:rFonts w:hint="default" w:ascii="Times New Roman" w:hAnsi="Times New Roman" w:cs="Times New Roman"/>
                <w:sz w:val="24"/>
                <w:szCs w:val="24"/>
              </w:rPr>
              <w:t>碳化除油废气</w:t>
            </w:r>
            <w:r>
              <w:rPr>
                <w:rFonts w:hint="default" w:ascii="Times New Roman" w:hAnsi="Times New Roman" w:cs="Times New Roman"/>
                <w:sz w:val="24"/>
                <w:szCs w:val="24"/>
                <w:lang w:val="en-US" w:eastAsia="zh-CN"/>
              </w:rPr>
              <w:t>经光解式复合油烟净化器处理后通过</w:t>
            </w:r>
            <w:r>
              <w:rPr>
                <w:rFonts w:hint="default" w:ascii="Times New Roman" w:hAnsi="Times New Roman" w:cs="Times New Roman"/>
                <w:sz w:val="24"/>
                <w:szCs w:val="24"/>
                <w:lang w:val="zh-CN" w:eastAsia="zh-CN"/>
              </w:rPr>
              <w:t>15m排气筒排放，</w:t>
            </w:r>
            <w:r>
              <w:rPr>
                <w:rFonts w:hint="default" w:ascii="Times New Roman" w:hAnsi="Times New Roman" w:cs="Times New Roman"/>
                <w:sz w:val="24"/>
                <w:szCs w:val="24"/>
                <w:lang w:val="en-US" w:eastAsia="zh-CN"/>
              </w:rPr>
              <w:t>烟尘、SO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NOx排放浓度满足《工业炉窑大气污染物排放标准》（GB9078-1996）表2及《湖南省工业炉窑大气环境污染综合治理实施方案》附件1标准限值较严者要求，有机废气VOCs排放浓度满足《表面涂装（汽车制造及维修）挥发性有机物、镍排放标准》（DB43/1356-2017）表1标准要求</w:t>
            </w:r>
            <w:r>
              <w:rPr>
                <w:rFonts w:hint="default" w:ascii="Times New Roman" w:hAnsi="Times New Roman" w:cs="Times New Roman"/>
                <w:sz w:val="24"/>
                <w:szCs w:val="24"/>
              </w:rPr>
              <w:t>，措施可行</w:t>
            </w:r>
            <w:r>
              <w:rPr>
                <w:rFonts w:hint="default" w:ascii="Times New Roman" w:hAnsi="Times New Roman" w:cs="Times New Roman"/>
                <w:sz w:val="24"/>
                <w:szCs w:val="24"/>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②渗锌炉和烘干室天然气燃烧烟气</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天然气燃烧烟气经15m高排气筒直排，根据工程分析可知，天然气燃烧产生的烟尘、SO</w:t>
            </w:r>
            <w:r>
              <w:rPr>
                <w:rFonts w:hint="default"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、NO</w:t>
            </w:r>
            <w:r>
              <w:rPr>
                <w:rFonts w:hint="default" w:ascii="Times New Roman" w:hAnsi="Times New Roman" w:cs="Times New Roman"/>
                <w:sz w:val="24"/>
                <w:szCs w:val="24"/>
                <w:vertAlign w:val="subscript"/>
                <w:lang w:val="en-US" w:eastAsia="zh-CN"/>
              </w:rPr>
              <w:t>X</w:t>
            </w:r>
            <w:r>
              <w:rPr>
                <w:rFonts w:hint="default" w:ascii="Times New Roman" w:hAnsi="Times New Roman" w:cs="Times New Roman"/>
                <w:sz w:val="24"/>
                <w:szCs w:val="24"/>
                <w:lang w:val="en-US" w:eastAsia="zh-CN"/>
              </w:rPr>
              <w:t>排放浓度均能满足《工业炉窑大气污染物排放标准》（GB9078-1996）表2及《湖南省工业炉窑大气环境污染综合治理实施方案》附件1标准限值较严者要求，</w:t>
            </w:r>
            <w:r>
              <w:rPr>
                <w:rFonts w:hint="default" w:ascii="Times New Roman" w:hAnsi="Times New Roman" w:cs="Times New Roman"/>
                <w:sz w:val="24"/>
                <w:szCs w:val="24"/>
              </w:rPr>
              <w:t>措施可行</w:t>
            </w:r>
            <w:r>
              <w:rPr>
                <w:rFonts w:hint="default" w:ascii="Times New Roman" w:hAnsi="Times New Roman" w:cs="Times New Roman"/>
                <w:sz w:val="24"/>
                <w:szCs w:val="24"/>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③钝化烘干、浸漆固化有机废气</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钝化烘干、浸漆固化有机废气</w:t>
            </w:r>
            <w:r>
              <w:rPr>
                <w:rFonts w:hint="default" w:ascii="Times New Roman" w:hAnsi="Times New Roman" w:cs="Times New Roman"/>
                <w:sz w:val="24"/>
                <w:szCs w:val="24"/>
              </w:rPr>
              <w:t>经</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UV光解装置+活性炭吸附装置</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处理后，通过15m高排气筒排放</w:t>
            </w:r>
            <w:r>
              <w:rPr>
                <w:rFonts w:hint="default" w:ascii="Times New Roman" w:hAnsi="Times New Roman" w:cs="Times New Roman"/>
                <w:sz w:val="24"/>
                <w:szCs w:val="24"/>
                <w:lang w:eastAsia="zh-CN"/>
              </w:rPr>
              <w:t>。</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A、</w:t>
            </w:r>
            <w:r>
              <w:rPr>
                <w:rFonts w:hint="default" w:ascii="Times New Roman" w:hAnsi="Times New Roman" w:cs="Times New Roman"/>
                <w:sz w:val="24"/>
                <w:szCs w:val="24"/>
              </w:rPr>
              <w:t>UV光解原理：利用特制的高能高臭氧UV紫外线光束照射废气，裂解工业废气如：氨、三甲胺、硫化氢、甲硫氢、甲硫醇、甲硫醚、乙酸丁酯、乙酸乙酯、二甲二硫、二硫化碳和苯乙烯、硫化物H2S、VOC类、苯、甲苯、二甲苯的分子链结构，使有机或无机高分子恶臭化合物分子链，在高能紫外线光束照射下，降解转变成低分子化合物，如CO2、H2O等。利用高能高臭氧UV紫外线光束分解空气中的氧分子产生游离氧，即活性氧，因游离氧所携正负电子不平衡所以需与氧分子结合，进而产生臭氧。UV＋O2→O-+O（活性氧）O+O2→O3（臭氧），众所周知臭氧对有机物具有极强的氧化作用，对工业废气及其它刺激性异味有立竿见影的清除效果。工业废气利用排风设备输入到本净化设备后，净化设备运用高能UV紫外线光束及臭氧对工业废气进行协同分解氧化反应，使工业废气降解转化成低分子化合物、水和二氧化碳，再通过排风管道排出室外。</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B、</w:t>
            </w:r>
            <w:r>
              <w:rPr>
                <w:rFonts w:hint="default" w:ascii="Times New Roman" w:hAnsi="Times New Roman" w:cs="Times New Roman"/>
                <w:sz w:val="24"/>
                <w:szCs w:val="24"/>
              </w:rPr>
              <w:t>活性炭吸附工作原理：废气在流经活性炭层时被比表面积很大的活性炭截留，在其颗粒表面形成一层平衡的表面浓度，并将有机物等吸附到活性炭的细孔，使用初期的吸附效果很高。但时间一长，活性炭的吸附能力会不同程度地减弱，吸附效果也随之下降。活性炭颗粒的大小对吸附能力也有影响。一般来说，活性炭颗粒越小，过滤面积就越大，但过小的颗粒将会使有机气体流过碳层的气流阻力过大，造成气流不通畅，吸附法气体净化设备的设计主要参数是空塔风速，现一般使用0.5～2m/s。炭层高度为0.5～1.5m。吸附后的饱和活性炭均交由委托有资质的单位进行回收处理，杜绝二次污染</w:t>
            </w:r>
            <w:r>
              <w:rPr>
                <w:rFonts w:hint="default" w:ascii="Times New Roman" w:hAnsi="Times New Roman" w:cs="Times New Roman"/>
                <w:sz w:val="24"/>
                <w:szCs w:val="24"/>
                <w:lang w:eastAsia="zh-CN"/>
              </w:rPr>
              <w:t>。</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根据工程分析可知，项目</w:t>
            </w:r>
            <w:r>
              <w:rPr>
                <w:rFonts w:hint="default" w:ascii="Times New Roman" w:hAnsi="Times New Roman" w:cs="Times New Roman"/>
                <w:sz w:val="24"/>
                <w:szCs w:val="24"/>
              </w:rPr>
              <w:t>烘干</w:t>
            </w:r>
            <w:r>
              <w:rPr>
                <w:rFonts w:hint="default" w:ascii="Times New Roman" w:hAnsi="Times New Roman" w:cs="Times New Roman"/>
                <w:sz w:val="24"/>
                <w:szCs w:val="24"/>
                <w:lang w:val="en-US" w:eastAsia="zh-CN"/>
              </w:rPr>
              <w:t>固化有机</w:t>
            </w:r>
            <w:r>
              <w:rPr>
                <w:rFonts w:hint="default" w:ascii="Times New Roman" w:hAnsi="Times New Roman" w:cs="Times New Roman"/>
                <w:sz w:val="24"/>
                <w:szCs w:val="24"/>
              </w:rPr>
              <w:t>废气经“UV光解装置+活性炭吸附装置”处理后，通过15m高排气筒排放</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有机废气VOCs排放浓度满足《表面涂装（汽车制造及维修）挥发性有机物、镍排放标准》（DB43/1356-2017）表1标准要求。</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④喷漆废气</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喷漆废气负压收集后</w:t>
            </w:r>
            <w:r>
              <w:rPr>
                <w:rFonts w:hint="eastAsia" w:asciiTheme="minorEastAsia" w:hAnsiTheme="minorEastAsia" w:eastAsiaTheme="minorEastAsia" w:cstheme="minorEastAsia"/>
                <w:sz w:val="24"/>
                <w:szCs w:val="24"/>
                <w:lang w:val="en-US" w:eastAsia="zh-CN"/>
              </w:rPr>
              <w:t>经“</w:t>
            </w:r>
            <w:r>
              <w:rPr>
                <w:rFonts w:hint="default" w:ascii="Times New Roman" w:hAnsi="Times New Roman" w:cs="Times New Roman"/>
                <w:sz w:val="24"/>
                <w:szCs w:val="24"/>
                <w:lang w:val="en-US" w:eastAsia="zh-CN"/>
              </w:rPr>
              <w:t>干式过滤+活性炭吸附+催化燃烧脱附（RCO）</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装置处理后经15m高排气筒排放。</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rPr>
              <w:t>A、</w:t>
            </w:r>
            <w:r>
              <w:rPr>
                <w:rFonts w:hint="default" w:ascii="Times New Roman" w:hAnsi="Times New Roman" w:cs="Times New Roman"/>
                <w:sz w:val="24"/>
                <w:szCs w:val="24"/>
                <w:lang w:val="en-US" w:eastAsia="zh-CN"/>
              </w:rPr>
              <w:t>干式过滤器的工作原理：干式过滤器为内置三层过滤棉的设备，工作原理跟过滤棉类似：淋漆工作时，漆雾飞扬，漆雾颗粒微小、粘度大，易粘附物质表面，漆雾被气流带走，经干式漆雾过滤器内填充过滤棉吸附（在吸附漆雾过程中不会产生其他化学反应造成二次污染）。过滤棉能有效对漆雾进行隔除，又保证风压损失最小，确保下一工序活性炭的使用效率及延长使用周期，从而降低成本。过滤棉处理方式可行。</w:t>
            </w:r>
          </w:p>
          <w:p>
            <w:pPr>
              <w:spacing w:line="360" w:lineRule="auto"/>
              <w:ind w:firstLine="480" w:firstLineChars="200"/>
              <w:jc w:val="left"/>
              <w:rPr>
                <w:rFonts w:hint="default" w:ascii="Times New Roman" w:hAnsi="Times New Roman" w:cs="Times New Roman"/>
                <w:sz w:val="24"/>
                <w:szCs w:val="24"/>
              </w:rPr>
            </w:pPr>
            <w:r>
              <w:rPr>
                <w:rFonts w:hint="default" w:ascii="Times New Roman" w:hAnsi="Times New Roman" w:cs="Times New Roman"/>
                <w:sz w:val="24"/>
                <w:szCs w:val="24"/>
                <w:lang w:val="en-US" w:eastAsia="zh-CN"/>
              </w:rPr>
              <w:t>B、</w:t>
            </w:r>
            <w:r>
              <w:rPr>
                <w:rFonts w:hint="default" w:ascii="Times New Roman" w:hAnsi="Times New Roman" w:cs="Times New Roman"/>
                <w:sz w:val="24"/>
                <w:szCs w:val="24"/>
              </w:rPr>
              <w:t>活性炭吸附工作原理：废气在流经活性炭层时被比表面积很大的活性炭截留，在其颗粒表面形成一层平衡的表面浓度，并将有机物等吸附到活性炭的细孔，使用初期的吸附效果很高。但时间一长，活性炭的吸附能力会不同程度地减弱，吸附效果也随之下降。活性炭颗粒的大小对吸附能力也有影响。一般来说，活性炭颗粒越小，过滤面积就越大，但过小的颗粒将会使有机气体流过碳层的气流阻力过大，造成气流不通畅，吸附法气体净化设备的设计主要参数是空塔风速，现一般使用0.5～2m/s。炭层高度为0.5～1.5m。吸附后的饱和活性炭均交由委托有资质的单位进行回收处理，杜绝二次污染。</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C、催化燃烧脱附</w:t>
            </w:r>
            <w:r>
              <w:rPr>
                <w:rFonts w:hint="default" w:ascii="Times New Roman" w:hAnsi="Times New Roman" w:cs="Times New Roman"/>
                <w:sz w:val="24"/>
                <w:szCs w:val="24"/>
              </w:rPr>
              <w:t>工作原理：</w:t>
            </w:r>
          </w:p>
          <w:p>
            <w:pPr>
              <w:adjustRightInd w:val="0"/>
              <w:snapToGri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吸附饱和后用催化燃烧产生的热能使有机溶剂达到沸点使之挥发出来，此时挥发出的气体为高浓度、小风量的有机溶剂再经催化燃烧低温催化裂解，同时产生热能（有机物分解放热）回用于活性炭脱附再生。具体工作图如下。</w:t>
            </w:r>
          </w:p>
          <w:p>
            <w:pPr>
              <w:pStyle w:val="19"/>
              <w:ind w:left="0" w:leftChars="0" w:firstLine="0" w:firstLineChars="0"/>
              <w:jc w:val="cente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5727700" cy="1854200"/>
                  <wp:effectExtent l="0" t="0" r="0" b="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pic:cNvPicPr>
                            <a:picLocks noChangeAspect="1"/>
                          </pic:cNvPicPr>
                        </pic:nvPicPr>
                        <pic:blipFill>
                          <a:blip r:embed="rId21"/>
                          <a:stretch>
                            <a:fillRect/>
                          </a:stretch>
                        </pic:blipFill>
                        <pic:spPr>
                          <a:xfrm>
                            <a:off x="0" y="0"/>
                            <a:ext cx="5727700" cy="18542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157" w:afterLines="5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rPr>
              <w:t>图</w:t>
            </w:r>
            <w:r>
              <w:rPr>
                <w:rFonts w:hint="default" w:ascii="Times New Roman" w:hAnsi="Times New Roman" w:cs="Times New Roman"/>
                <w:b/>
                <w:bCs/>
                <w:sz w:val="21"/>
                <w:szCs w:val="21"/>
                <w:lang w:val="en-US" w:eastAsia="zh-CN"/>
              </w:rPr>
              <w:t>4-1</w:t>
            </w:r>
            <w:r>
              <w:rPr>
                <w:rFonts w:hint="default" w:ascii="Times New Roman" w:hAnsi="Times New Roman" w:cs="Times New Roman"/>
                <w:b/>
                <w:bCs/>
                <w:sz w:val="21"/>
                <w:szCs w:val="21"/>
              </w:rPr>
              <w:t xml:space="preserve">  </w:t>
            </w:r>
            <w:r>
              <w:rPr>
                <w:rFonts w:hint="default" w:ascii="Times New Roman" w:hAnsi="Times New Roman" w:cs="Times New Roman"/>
                <w:b/>
                <w:bCs/>
                <w:sz w:val="21"/>
                <w:szCs w:val="21"/>
                <w:lang w:val="en-US" w:eastAsia="zh-CN"/>
              </w:rPr>
              <w:t>RCO废气处理设施图</w:t>
            </w:r>
          </w:p>
          <w:p>
            <w:pPr>
              <w:spacing w:line="360" w:lineRule="auto"/>
              <w:ind w:firstLine="480" w:firstLineChars="200"/>
              <w:jc w:val="left"/>
              <w:rPr>
                <w:rFonts w:hint="default" w:ascii="Times New Roman" w:hAnsi="Times New Roman" w:cs="Times New Roman"/>
                <w:sz w:val="24"/>
                <w:szCs w:val="24"/>
              </w:rPr>
            </w:pPr>
            <w:r>
              <w:rPr>
                <w:rFonts w:hint="default" w:ascii="Times New Roman" w:hAnsi="Times New Roman" w:cs="Times New Roman"/>
                <w:sz w:val="24"/>
                <w:szCs w:val="24"/>
              </w:rPr>
              <w:t>根据工程分析可知，</w:t>
            </w:r>
            <w:r>
              <w:rPr>
                <w:rFonts w:hint="default" w:ascii="Times New Roman" w:hAnsi="Times New Roman" w:cs="Times New Roman"/>
                <w:sz w:val="24"/>
                <w:szCs w:val="24"/>
                <w:lang w:val="en-US" w:eastAsia="zh-CN"/>
              </w:rPr>
              <w:t>喷漆废气负压收集后经</w:t>
            </w:r>
            <w:r>
              <w:rPr>
                <w:rFonts w:hint="eastAsia" w:asciiTheme="majorEastAsia" w:hAnsiTheme="majorEastAsia" w:eastAsiaTheme="majorEastAsia" w:cstheme="majorEastAsia"/>
                <w:sz w:val="24"/>
                <w:szCs w:val="24"/>
                <w:lang w:val="en-US" w:eastAsia="zh-CN"/>
              </w:rPr>
              <w:t>“</w:t>
            </w:r>
            <w:r>
              <w:rPr>
                <w:rFonts w:hint="default" w:ascii="Times New Roman" w:hAnsi="Times New Roman" w:cs="Times New Roman"/>
                <w:sz w:val="24"/>
                <w:szCs w:val="24"/>
                <w:lang w:val="en-US" w:eastAsia="zh-CN"/>
              </w:rPr>
              <w:t>干式过滤+活性炭吸附+催化燃烧脱附（RCO）</w:t>
            </w:r>
            <w:r>
              <w:rPr>
                <w:rFonts w:hint="eastAsia" w:asciiTheme="minorEastAsia" w:hAnsiTheme="minorEastAsia" w:eastAsiaTheme="minorEastAsia" w:cstheme="minorEastAsia"/>
                <w:sz w:val="24"/>
                <w:szCs w:val="24"/>
                <w:lang w:val="en-US" w:eastAsia="zh-CN"/>
              </w:rPr>
              <w:t>”</w:t>
            </w:r>
            <w:r>
              <w:rPr>
                <w:rFonts w:hint="default" w:ascii="Times New Roman" w:hAnsi="Times New Roman" w:cs="Times New Roman"/>
                <w:sz w:val="24"/>
                <w:szCs w:val="24"/>
                <w:lang w:val="en-US" w:eastAsia="zh-CN"/>
              </w:rPr>
              <w:t>装置处理后经15m高排气筒排放</w:t>
            </w:r>
            <w:r>
              <w:rPr>
                <w:rFonts w:hint="default" w:ascii="Times New Roman" w:hAnsi="Times New Roman" w:cs="Times New Roman"/>
                <w:sz w:val="24"/>
                <w:szCs w:val="24"/>
              </w:rPr>
              <w:t>。颗粒物排放浓度、排放速率满足《大气污染物综合排放标准》（GB16297-1996）表2中二级标准要求</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有机废气VOCs排放浓度满足《表面涂装（汽车制造及维修）挥发性有机物、镍排放标准》（DB43/1356-2017）表1标准要求。</w:t>
            </w:r>
          </w:p>
          <w:p>
            <w:pPr>
              <w:pStyle w:val="2"/>
              <w:keepNext w:val="0"/>
              <w:keepLines w:val="0"/>
              <w:pageBreakBefore w:val="0"/>
              <w:widowControl w:val="0"/>
              <w:kinsoku/>
              <w:wordWrap/>
              <w:overflowPunct/>
              <w:topLinePunct w:val="0"/>
              <w:autoSpaceDE w:val="0"/>
              <w:autoSpaceDN w:val="0"/>
              <w:bidi w:val="0"/>
              <w:adjustRightInd w:val="0"/>
              <w:snapToGrid/>
              <w:spacing w:line="360" w:lineRule="auto"/>
              <w:ind w:lef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无组织污染物防治措施可行性</w:t>
            </w:r>
          </w:p>
          <w:p>
            <w:pPr>
              <w:spacing w:line="360" w:lineRule="auto"/>
              <w:ind w:firstLine="480" w:firstLineChars="200"/>
              <w:jc w:val="left"/>
              <w:rPr>
                <w:rFonts w:hint="default" w:ascii="Times New Roman" w:hAnsi="Times New Roman" w:cs="Times New Roman"/>
                <w:sz w:val="24"/>
                <w:szCs w:val="24"/>
              </w:rPr>
            </w:pPr>
            <w:r>
              <w:rPr>
                <w:rFonts w:hint="default" w:ascii="Times New Roman" w:hAnsi="Times New Roman" w:cs="Times New Roman"/>
                <w:sz w:val="24"/>
                <w:szCs w:val="24"/>
              </w:rPr>
              <w:t>①</w:t>
            </w:r>
            <w:r>
              <w:rPr>
                <w:rFonts w:hint="default" w:ascii="Times New Roman" w:hAnsi="Times New Roman" w:cs="Times New Roman"/>
                <w:sz w:val="24"/>
                <w:szCs w:val="24"/>
                <w:lang w:val="en-US" w:eastAsia="zh-CN"/>
              </w:rPr>
              <w:t>切割</w:t>
            </w:r>
            <w:r>
              <w:rPr>
                <w:rFonts w:hint="default" w:ascii="Times New Roman" w:hAnsi="Times New Roman" w:cs="Times New Roman"/>
                <w:sz w:val="24"/>
                <w:szCs w:val="24"/>
              </w:rPr>
              <w:t>粉尘治理可行性分析</w:t>
            </w:r>
          </w:p>
          <w:p>
            <w:pPr>
              <w:spacing w:line="360" w:lineRule="auto"/>
              <w:ind w:firstLine="480" w:firstLineChars="200"/>
              <w:jc w:val="left"/>
              <w:rPr>
                <w:rFonts w:hint="default" w:ascii="Times New Roman" w:hAnsi="Times New Roman" w:cs="Times New Roman"/>
                <w:sz w:val="24"/>
                <w:szCs w:val="24"/>
                <w:lang w:eastAsia="zh-CN"/>
              </w:rPr>
            </w:pPr>
            <w:r>
              <w:rPr>
                <w:rFonts w:hint="default" w:ascii="Times New Roman" w:hAnsi="Times New Roman" w:cs="Times New Roman"/>
                <w:sz w:val="24"/>
                <w:szCs w:val="24"/>
              </w:rPr>
              <w:t>项目工件在金属</w:t>
            </w:r>
            <w:r>
              <w:rPr>
                <w:rFonts w:hint="default" w:ascii="Times New Roman" w:hAnsi="Times New Roman" w:cs="Times New Roman"/>
                <w:sz w:val="24"/>
                <w:szCs w:val="24"/>
                <w:lang w:val="en-US" w:eastAsia="zh-CN"/>
              </w:rPr>
              <w:t>切割</w:t>
            </w:r>
            <w:r>
              <w:rPr>
                <w:rFonts w:hint="default" w:ascii="Times New Roman" w:hAnsi="Times New Roman" w:cs="Times New Roman"/>
                <w:sz w:val="24"/>
                <w:szCs w:val="24"/>
              </w:rPr>
              <w:t>工序会有金属粉尘产生，金属粉尘尘粒通常大于100微米，其粒径和比重都较大，不易漂浮再空气中，一般沉降再工作台附近0.5m范围内。本项目</w:t>
            </w:r>
            <w:r>
              <w:rPr>
                <w:rFonts w:hint="default" w:ascii="Times New Roman" w:hAnsi="Times New Roman" w:cs="Times New Roman"/>
                <w:sz w:val="24"/>
                <w:szCs w:val="24"/>
                <w:lang w:val="en-US" w:eastAsia="zh-CN"/>
              </w:rPr>
              <w:t>切割</w:t>
            </w:r>
            <w:r>
              <w:rPr>
                <w:rFonts w:hint="default" w:ascii="Times New Roman" w:hAnsi="Times New Roman" w:cs="Times New Roman"/>
                <w:sz w:val="24"/>
                <w:szCs w:val="24"/>
              </w:rPr>
              <w:t>粉尘产生量较小，根据建设单位提供的资料可知，</w:t>
            </w:r>
            <w:r>
              <w:rPr>
                <w:rFonts w:hint="default" w:ascii="Times New Roman" w:hAnsi="Times New Roman" w:cs="Times New Roman"/>
                <w:sz w:val="24"/>
                <w:szCs w:val="24"/>
                <w:lang w:val="en-US" w:eastAsia="zh-CN"/>
              </w:rPr>
              <w:t>切割</w:t>
            </w:r>
            <w:r>
              <w:rPr>
                <w:rFonts w:hint="default" w:ascii="Times New Roman" w:hAnsi="Times New Roman" w:cs="Times New Roman"/>
                <w:sz w:val="24"/>
                <w:szCs w:val="24"/>
              </w:rPr>
              <w:t>工序在密闭的车间内进行，通过设备自带的粉尘处理装置能有效地收集处理粉尘，</w:t>
            </w:r>
            <w:r>
              <w:rPr>
                <w:rFonts w:hint="default" w:ascii="Times New Roman" w:hAnsi="Times New Roman" w:cs="Times New Roman"/>
                <w:sz w:val="24"/>
                <w:szCs w:val="24"/>
                <w:lang w:val="en-US" w:eastAsia="zh-CN"/>
              </w:rPr>
              <w:t>处理效率95%，切割</w:t>
            </w:r>
            <w:r>
              <w:rPr>
                <w:rFonts w:hint="default" w:ascii="Times New Roman" w:hAnsi="Times New Roman" w:cs="Times New Roman"/>
                <w:sz w:val="24"/>
                <w:szCs w:val="24"/>
              </w:rPr>
              <w:t>粉尘在车间无组织扩散，对周边环境影响较小</w:t>
            </w:r>
            <w:r>
              <w:rPr>
                <w:rFonts w:hint="default" w:ascii="Times New Roman" w:hAnsi="Times New Roman" w:cs="Times New Roman"/>
                <w:sz w:val="24"/>
                <w:szCs w:val="24"/>
                <w:lang w:eastAsia="zh-CN"/>
              </w:rPr>
              <w:t>。</w:t>
            </w:r>
          </w:p>
          <w:p>
            <w:pPr>
              <w:spacing w:line="360" w:lineRule="auto"/>
              <w:ind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②焊接烟尘治理</w:t>
            </w:r>
            <w:r>
              <w:rPr>
                <w:rFonts w:hint="default" w:ascii="Times New Roman" w:hAnsi="Times New Roman" w:cs="Times New Roman"/>
                <w:sz w:val="24"/>
                <w:szCs w:val="24"/>
              </w:rPr>
              <w:t>可行性分析</w:t>
            </w:r>
          </w:p>
          <w:p>
            <w:pPr>
              <w:spacing w:line="360" w:lineRule="auto"/>
              <w:ind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焊接过程产生的焊接烟尘，根据前文工程分析，焊接烟尘产生量较小，建设单位采用移动式焊接烟尘净化器设施进行处理，处理效率85%，经过焊接烟尘净化器处理后的粉尘排放量较小，焊接烟尘呈经处理后在车间无组织扩散，对周边环境影响较小。</w:t>
            </w:r>
          </w:p>
          <w:p>
            <w:pPr>
              <w:spacing w:line="360" w:lineRule="auto"/>
              <w:ind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③抛丸粉尘治理可行性分析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抛丸过程中产生的粉尘经滤筒式除尘器处理，在车间内无组织排放，其中滤筒式除尘器工作原理：在系统主风机的作用下，含尘气体从除尘器上部的进风口进入除尘器底部的气箱内进行含尘气体的预处理，然后从底部进入到上箱体的各除尘室内；粒度细、 密度小的尘粒进入滤尘室后，通过布朗扩散和筛滤等组合效应，使粉尘吸附在滤料的外表面上，过滤后的干净气体透过滤筒进入上箱体的净气室由排气管经风机汇集至出风口排出。随着过滤工况持续，积聚在滤筒外表面上的粉尘将越积越多，相应就会增加设备的运行阻力，阻力随滤料表面粉尘层厚度的增加而增大。为了保证系统的正常运行，除尘器阻力的上限应维持在1400～1600Pa范围内，当超过此限定范围，应由PLC脉冲自动控制器通过定阻或定时发出指令进行清灰。该滤筒除尘器的清灰过程是脉冲控制仪控制脉冲阀的启闭。当脉冲阀开启时，气包内的压缩空气通过脉冲阀经喷吹管上的小孔喷射处一股高速、高压的引射气流，从而形成一股相当于引射气流体积1～2倍的诱导缺陷流，一同进入滤筒内，使滤筒内出现瞬间正压并产生鼓胀和微动；沉积在滤料上的粉尘脱落，掉入灰斗内，灰斗内的粉尘通过卸灰阀，连续排出。如此逐序循环清灰，此清灰方式不但彻底、还避免了喷吹清灰产生的粉尘二次吸附。</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通过类比同类型可知，滤筒式除尘器的处理效率为95-99.9%，本项目处理效率按99.8%。本项目未回收的粉尘量较少，浓度低，对环境影响轻微。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④渗锌工序工件分离粉尘布治理可行性分析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渗锌工序工件分离过程中产生的粉尘经负压收集后由吸放料装置处理后回收利用，吸放料装置中内含除尘器，其中除尘器工作原理：含尘气体由除尘器下部进气管道，经导流板进入灰斗时，由于导流板的碰撞和气体速度的降低等作用，粗粒粉尘将落入灰斗中，其余细小颗粒粉尘随气体进入滤袋室，由于滤料纤维及织物的惯性、扩散、阻隔、钩挂、静电等作用,粉尘被阻留在滤袋内，净化后的气体逸出袋外，经排气管排出，滤袋上的积灰也可以采用喷吹脉冲气流的方法去除，从而达到清灰的目的，清除下来的粉尘由排灰装置排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通过类比同类型可知，除尘器的效率为98%，未回收的粉尘量较少，浓度低，对环境影响轻微。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⑤无组织污染防治措施建议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建设单位通过以下措施加强无组织废气控制：</w:t>
            </w:r>
            <w:r>
              <w:rPr>
                <w:rFonts w:hint="eastAsia" w:ascii="Times New Roman" w:hAnsi="Times New Roman" w:cs="Times New Roman"/>
                <w:sz w:val="24"/>
                <w:szCs w:val="24"/>
                <w:lang w:val="en-US" w:eastAsia="zh-CN"/>
              </w:rPr>
              <w:t>1）</w:t>
            </w:r>
            <w:r>
              <w:rPr>
                <w:rFonts w:hint="default" w:ascii="Times New Roman" w:hAnsi="Times New Roman" w:cs="Times New Roman"/>
                <w:sz w:val="24"/>
                <w:szCs w:val="24"/>
                <w:lang w:val="en-US" w:eastAsia="zh-CN"/>
              </w:rPr>
              <w:t>提高生产车间生产线区域的密闭程度，严禁喷漆房、分离渗锌粉尘等敞开式作业，合理设计送排风系统，提高废气捕集率，尽量将废气收集集中处置、排放，减少无组织排放废气的产生量，减少其环境影响。</w:t>
            </w:r>
            <w:r>
              <w:rPr>
                <w:rFonts w:hint="eastAsia" w:cs="Times New Roman"/>
                <w:sz w:val="24"/>
                <w:szCs w:val="24"/>
                <w:lang w:val="en-US" w:eastAsia="zh-CN"/>
              </w:rPr>
              <w:t>2</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加强生产管理，规范操作，使设备处于正常工作状态，减少生产、控制、输送等过程中的废气散发。</w:t>
            </w:r>
            <w:r>
              <w:rPr>
                <w:rFonts w:hint="eastAsia" w:cs="Times New Roman"/>
                <w:sz w:val="24"/>
                <w:szCs w:val="24"/>
                <w:lang w:val="en-US" w:eastAsia="zh-CN"/>
              </w:rPr>
              <w:t>3</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加强车间整体通风换气，使车间内的无组织废气高处排放。</w:t>
            </w:r>
            <w:r>
              <w:rPr>
                <w:rFonts w:hint="eastAsia" w:cs="Times New Roman"/>
                <w:sz w:val="24"/>
                <w:szCs w:val="24"/>
                <w:lang w:val="en-US" w:eastAsia="zh-CN"/>
              </w:rPr>
              <w:t>4</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加强生产管理，规范操作使设备设施处于正常工作状态，减少生产、控制、输送等过程中的废气散发。</w:t>
            </w:r>
            <w:r>
              <w:rPr>
                <w:rFonts w:hint="eastAsia" w:cs="Times New Roman"/>
                <w:sz w:val="24"/>
                <w:szCs w:val="24"/>
                <w:lang w:val="en-US" w:eastAsia="zh-CN"/>
              </w:rPr>
              <w:t>5</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加强设备的维护，定期对生产装置进行检查检验，减少装置的跑、冒、滴、漏。</w:t>
            </w:r>
            <w:r>
              <w:rPr>
                <w:rFonts w:hint="eastAsia" w:cs="Times New Roman"/>
                <w:sz w:val="24"/>
                <w:szCs w:val="24"/>
                <w:lang w:val="en-US" w:eastAsia="zh-CN"/>
              </w:rPr>
              <w:t>6</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按《挥发性有机物无组织排放控制标准》（GB37822-2019）要求，水性漆等物料每次取料完成后均将盖子盖紧，配备专人进行管理，定期检查物料的存储情况，减少存储废气无组织排放。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无组织废气经上述治理措施后可使无组织颗粒物满足《大气污染物综合排放标准》（GB16297-1996）、VOCs满足《挥发性有机物无组织排放控制标准》（GB37822-2019）中相关要求。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综上所述，本项目废气污染防治措施可行。</w:t>
            </w:r>
          </w:p>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二、废水</w:t>
            </w:r>
          </w:p>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1、废水源强</w:t>
            </w:r>
          </w:p>
          <w:p>
            <w:pPr>
              <w:adjustRightInd w:val="0"/>
              <w:snapToGrid w:val="0"/>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本次</w:t>
            </w:r>
            <w:r>
              <w:rPr>
                <w:rFonts w:hint="eastAsia" w:cs="Times New Roman"/>
                <w:sz w:val="24"/>
                <w:szCs w:val="24"/>
                <w:lang w:val="en-US" w:eastAsia="zh-CN"/>
              </w:rPr>
              <w:t>改建</w:t>
            </w:r>
            <w:r>
              <w:rPr>
                <w:rFonts w:hint="default" w:ascii="Times New Roman" w:hAnsi="Times New Roman" w:cs="Times New Roman"/>
                <w:sz w:val="24"/>
                <w:szCs w:val="24"/>
              </w:rPr>
              <w:t>项目不新增</w:t>
            </w:r>
            <w:r>
              <w:rPr>
                <w:rFonts w:hint="default" w:ascii="Times New Roman" w:hAnsi="Times New Roman" w:cs="Times New Roman"/>
                <w:sz w:val="24"/>
                <w:szCs w:val="24"/>
                <w:lang w:val="en-US" w:eastAsia="zh-CN"/>
              </w:rPr>
              <w:t>员工、不新增车间面积、清洗设备类型及台（套）数不变、产品及产量也不变，故不新增</w:t>
            </w:r>
            <w:r>
              <w:rPr>
                <w:rFonts w:hint="default" w:ascii="Times New Roman" w:hAnsi="Times New Roman" w:cs="Times New Roman"/>
                <w:sz w:val="24"/>
                <w:szCs w:val="24"/>
              </w:rPr>
              <w:t>用水及排水</w:t>
            </w:r>
            <w:r>
              <w:rPr>
                <w:rFonts w:hint="default" w:ascii="Times New Roman" w:hAnsi="Times New Roman" w:cs="Times New Roman"/>
                <w:sz w:val="24"/>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项目排水系统实行</w:t>
            </w:r>
            <w:r>
              <w:rPr>
                <w:rFonts w:hint="eastAsia" w:asciiTheme="minorEastAsia" w:hAnsiTheme="minorEastAsia" w:eastAsiaTheme="minorEastAsia" w:cstheme="minorEastAsia"/>
                <w:sz w:val="24"/>
                <w:szCs w:val="24"/>
              </w:rPr>
              <w:t>“清污分流、雨污分流”</w:t>
            </w:r>
            <w:r>
              <w:rPr>
                <w:rFonts w:hint="default" w:ascii="Times New Roman" w:hAnsi="Times New Roman" w:cs="Times New Roman"/>
                <w:sz w:val="24"/>
                <w:szCs w:val="24"/>
              </w:rPr>
              <w:t>，生产废水主要为夹片产品湿法喷砂清洗废水、</w:t>
            </w:r>
            <w:r>
              <w:rPr>
                <w:rFonts w:hint="default" w:ascii="Times New Roman" w:hAnsi="Times New Roman" w:cs="Times New Roman"/>
                <w:sz w:val="24"/>
                <w:szCs w:val="24"/>
                <w:lang w:eastAsia="zh-CN"/>
              </w:rPr>
              <w:t>设备清洗废水</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车间</w:t>
            </w:r>
            <w:r>
              <w:rPr>
                <w:rFonts w:hint="default" w:ascii="Times New Roman" w:hAnsi="Times New Roman" w:cs="Times New Roman"/>
                <w:sz w:val="24"/>
                <w:szCs w:val="24"/>
              </w:rPr>
              <w:t>保洁废水</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共渗工件清洗废水</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共渗工件清洗工序</w:t>
            </w:r>
            <w:r>
              <w:rPr>
                <w:rFonts w:hint="default" w:ascii="Times New Roman" w:hAnsi="Times New Roman" w:cs="Times New Roman"/>
                <w:sz w:val="24"/>
                <w:szCs w:val="24"/>
              </w:rPr>
              <w:t>软水站排水，其中</w:t>
            </w:r>
            <w:r>
              <w:rPr>
                <w:rFonts w:hint="default" w:ascii="Times New Roman" w:hAnsi="Times New Roman" w:cs="Times New Roman"/>
                <w:sz w:val="24"/>
                <w:szCs w:val="24"/>
                <w:lang w:val="en-US" w:eastAsia="zh-CN"/>
              </w:rPr>
              <w:t>共渗工件清洗废水经沉淀池沉淀后循环使用，不外排；共渗工件清洗工序</w:t>
            </w:r>
            <w:r>
              <w:rPr>
                <w:rFonts w:hint="default" w:ascii="Times New Roman" w:hAnsi="Times New Roman" w:cs="Times New Roman"/>
                <w:sz w:val="24"/>
                <w:szCs w:val="24"/>
              </w:rPr>
              <w:t>软水站排水</w:t>
            </w:r>
            <w:r>
              <w:rPr>
                <w:rFonts w:hint="default" w:ascii="Times New Roman" w:hAnsi="Times New Roman" w:cs="Times New Roman"/>
                <w:sz w:val="24"/>
                <w:szCs w:val="24"/>
                <w:lang w:val="en-US" w:eastAsia="zh-CN"/>
              </w:rPr>
              <w:t>属于清净下水，经雨水管道排放</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外排生产废水量约为8</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/d，主要污染物为COD、SS、石油类。</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rPr>
              <w:t>员工生活污水量约为14.4m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/d，主要污染物为COD、BOD</w:t>
            </w:r>
            <w:r>
              <w:rPr>
                <w:rFonts w:hint="default" w:ascii="Times New Roman" w:hAnsi="Times New Roman" w:cs="Times New Roman"/>
                <w:sz w:val="24"/>
                <w:szCs w:val="24"/>
                <w:vertAlign w:val="subscript"/>
              </w:rPr>
              <w:t>5</w:t>
            </w:r>
            <w:r>
              <w:rPr>
                <w:rFonts w:hint="default" w:ascii="Times New Roman" w:hAnsi="Times New Roman" w:cs="Times New Roman"/>
                <w:sz w:val="24"/>
                <w:szCs w:val="24"/>
              </w:rPr>
              <w:t>、氨氮、动植物油、SS</w:t>
            </w:r>
            <w:r>
              <w:rPr>
                <w:rFonts w:hint="default" w:ascii="Times New Roman" w:hAnsi="Times New Roman" w:cs="Times New Roman"/>
                <w:sz w:val="24"/>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项目经</w:t>
            </w:r>
            <w:r>
              <w:rPr>
                <w:rFonts w:hint="default" w:ascii="Times New Roman" w:hAnsi="Times New Roman" w:cs="Times New Roman"/>
                <w:sz w:val="24"/>
                <w:szCs w:val="24"/>
              </w:rPr>
              <w:t>中和隔油</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沉淀处理的</w:t>
            </w:r>
            <w:r>
              <w:rPr>
                <w:rFonts w:hint="default" w:ascii="Times New Roman" w:hAnsi="Times New Roman" w:cs="Times New Roman"/>
                <w:sz w:val="24"/>
                <w:szCs w:val="24"/>
                <w:lang w:val="en-US" w:eastAsia="zh-CN"/>
              </w:rPr>
              <w:t>生产废水（</w:t>
            </w:r>
            <w:r>
              <w:rPr>
                <w:rFonts w:hint="default" w:ascii="Times New Roman" w:hAnsi="Times New Roman" w:cs="Times New Roman"/>
                <w:sz w:val="24"/>
                <w:szCs w:val="24"/>
              </w:rPr>
              <w:t>夹片产品喷砂清洗废水、设备清洗废水及车间保洁废水</w:t>
            </w:r>
            <w:r>
              <w:rPr>
                <w:rFonts w:hint="default" w:ascii="Times New Roman" w:hAnsi="Times New Roman" w:cs="Times New Roman"/>
                <w:sz w:val="24"/>
                <w:szCs w:val="24"/>
                <w:lang w:val="en-US" w:eastAsia="zh-CN"/>
              </w:rPr>
              <w:t>）与生活污水（隔油池+化粪池预处理）</w:t>
            </w:r>
            <w:r>
              <w:rPr>
                <w:rFonts w:hint="default" w:ascii="Times New Roman" w:hAnsi="Times New Roman" w:cs="Times New Roman"/>
                <w:sz w:val="24"/>
                <w:szCs w:val="24"/>
              </w:rPr>
              <w:t>一并处理达到《污水综合排放标准》（GB8978-1996）三级标准</w:t>
            </w:r>
            <w:r>
              <w:rPr>
                <w:rFonts w:hint="default" w:ascii="Times New Roman" w:hAnsi="Times New Roman" w:cs="Times New Roman"/>
                <w:sz w:val="24"/>
                <w:szCs w:val="24"/>
                <w:lang w:eastAsia="zh-CN"/>
              </w:rPr>
              <w:t>后</w:t>
            </w:r>
            <w:r>
              <w:rPr>
                <w:rFonts w:hint="default" w:ascii="Times New Roman" w:hAnsi="Times New Roman" w:cs="Times New Roman"/>
                <w:sz w:val="24"/>
                <w:szCs w:val="24"/>
              </w:rPr>
              <w:t>，通过市政污水管网排至衡阳县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污水处理厂深度处理后排入蒸水</w:t>
            </w:r>
            <w:r>
              <w:rPr>
                <w:rFonts w:hint="default" w:ascii="Times New Roman" w:hAnsi="Times New Roman" w:cs="Times New Roman"/>
                <w:sz w:val="24"/>
                <w:szCs w:val="24"/>
                <w:lang w:eastAsia="zh-CN"/>
              </w:rPr>
              <w:t>。</w:t>
            </w:r>
          </w:p>
          <w:p>
            <w:pPr>
              <w:adjustRightInd w:val="0"/>
              <w:snapToGrid w:val="0"/>
              <w:spacing w:line="360" w:lineRule="auto"/>
              <w:ind w:firstLine="482" w:firstLineChars="200"/>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2、处理设施可行性分析</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lang w:eastAsia="zh-CN"/>
              </w:rPr>
              <w:t>）</w:t>
            </w:r>
            <w:r>
              <w:rPr>
                <w:rFonts w:hint="default" w:ascii="Times New Roman" w:hAnsi="Times New Roman" w:cs="Times New Roman"/>
                <w:sz w:val="24"/>
                <w:szCs w:val="24"/>
              </w:rPr>
              <w:t>清洗废水</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rPr>
              <w:t>项目多元合金共渗后的工件需要使用纯水进行清洗除去表面残留的锌粉等杂质，清洗废水经沉淀池沉淀后循环使用，不外排，定期补充损耗量</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纯水制备浓水属于高浓度盐分的浓水，属于清净下水，经雨水管道排放</w:t>
            </w:r>
            <w:r>
              <w:rPr>
                <w:rFonts w:hint="default" w:ascii="Times New Roman" w:hAnsi="Times New Roman" w:cs="Times New Roman"/>
                <w:sz w:val="24"/>
                <w:szCs w:val="24"/>
              </w:rPr>
              <w:t>。项目配套设置压滤机，沉淀池污泥经压滤机压滤后，</w:t>
            </w:r>
            <w:r>
              <w:rPr>
                <w:rFonts w:hint="default" w:ascii="Times New Roman" w:hAnsi="Times New Roman" w:cs="Times New Roman"/>
                <w:sz w:val="24"/>
                <w:szCs w:val="24"/>
                <w:lang w:eastAsia="zh-CN"/>
              </w:rPr>
              <w:t>压滤机压滤泥饼</w:t>
            </w:r>
            <w:r>
              <w:rPr>
                <w:rFonts w:hint="default" w:ascii="Times New Roman" w:hAnsi="Times New Roman" w:cs="Times New Roman"/>
                <w:sz w:val="24"/>
                <w:szCs w:val="24"/>
              </w:rPr>
              <w:t>可回用于多元合金共渗工艺</w:t>
            </w:r>
            <w:r>
              <w:rPr>
                <w:rFonts w:hint="default" w:ascii="Times New Roman" w:hAnsi="Times New Roman" w:cs="Times New Roman"/>
                <w:sz w:val="24"/>
                <w:szCs w:val="24"/>
                <w:lang w:val="en-US" w:eastAsia="zh-CN"/>
              </w:rPr>
              <w:t>。由水平衡可知，循环水量为4m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/d，沉淀池容积为12m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，措施可行。</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（2）生产废水</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项目</w:t>
            </w:r>
            <w:r>
              <w:rPr>
                <w:rFonts w:hint="default" w:ascii="Times New Roman" w:hAnsi="Times New Roman" w:cs="Times New Roman"/>
                <w:sz w:val="24"/>
                <w:szCs w:val="24"/>
              </w:rPr>
              <w:t>夹片产品喷砂清洗废水、设备清洗废水及车间保洁废水</w:t>
            </w:r>
            <w:r>
              <w:rPr>
                <w:rFonts w:hint="default" w:ascii="Times New Roman" w:hAnsi="Times New Roman" w:cs="Times New Roman"/>
                <w:sz w:val="24"/>
                <w:szCs w:val="24"/>
                <w:lang w:val="en-US" w:eastAsia="zh-CN"/>
              </w:rPr>
              <w:t>经</w:t>
            </w:r>
            <w:r>
              <w:rPr>
                <w:rFonts w:hint="default" w:ascii="Times New Roman" w:hAnsi="Times New Roman" w:cs="Times New Roman"/>
                <w:sz w:val="24"/>
                <w:szCs w:val="24"/>
              </w:rPr>
              <w:t>中和隔油</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沉淀处理</w:t>
            </w:r>
            <w:r>
              <w:rPr>
                <w:rFonts w:hint="default" w:ascii="Times New Roman" w:hAnsi="Times New Roman" w:cs="Times New Roman"/>
                <w:sz w:val="24"/>
                <w:szCs w:val="24"/>
                <w:lang w:eastAsia="zh-CN"/>
              </w:rPr>
              <w:t>后</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与生活污水（隔油池+化粪池预处理）</w:t>
            </w:r>
            <w:r>
              <w:rPr>
                <w:rFonts w:hint="default" w:ascii="Times New Roman" w:hAnsi="Times New Roman" w:cs="Times New Roman"/>
                <w:sz w:val="24"/>
                <w:szCs w:val="24"/>
              </w:rPr>
              <w:t>一并处理达到《污水综合排放标准》（GB8978-1996）三级标准通过市政污水管网排至衡阳县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污水处理厂深度处理后排入蒸水</w:t>
            </w:r>
            <w:r>
              <w:rPr>
                <w:rFonts w:hint="default" w:ascii="Times New Roman" w:hAnsi="Times New Roman" w:cs="Times New Roman"/>
                <w:sz w:val="24"/>
                <w:szCs w:val="24"/>
                <w:lang w:eastAsia="zh-CN"/>
              </w:rPr>
              <w:t>。</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项目外排生产废水量约为8</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w:t>
            </w:r>
            <w:r>
              <w:rPr>
                <w:rFonts w:hint="default" w:ascii="Times New Roman" w:hAnsi="Times New Roman" w:cs="Times New Roman"/>
                <w:sz w:val="24"/>
                <w:szCs w:val="24"/>
                <w:lang w:val="en-US" w:eastAsia="zh-CN"/>
              </w:rPr>
              <w:t>及其产生浓度为</w:t>
            </w:r>
            <w:r>
              <w:rPr>
                <w:rFonts w:hint="default" w:ascii="Times New Roman" w:hAnsi="Times New Roman" w:cs="Times New Roman"/>
                <w:sz w:val="24"/>
                <w:szCs w:val="24"/>
              </w:rPr>
              <w:t>COD</w:t>
            </w:r>
            <w:r>
              <w:rPr>
                <w:rFonts w:hint="default" w:ascii="Times New Roman" w:hAnsi="Times New Roman" w:cs="Times New Roman"/>
                <w:sz w:val="24"/>
                <w:szCs w:val="24"/>
                <w:lang w:val="en-US" w:eastAsia="zh-CN"/>
              </w:rPr>
              <w:t>150mg/L</w:t>
            </w:r>
            <w:r>
              <w:rPr>
                <w:rFonts w:hint="default" w:ascii="Times New Roman" w:hAnsi="Times New Roman" w:cs="Times New Roman"/>
                <w:sz w:val="24"/>
                <w:szCs w:val="24"/>
              </w:rPr>
              <w:t>、SS</w:t>
            </w:r>
            <w:r>
              <w:rPr>
                <w:rFonts w:hint="default" w:ascii="Times New Roman" w:hAnsi="Times New Roman" w:cs="Times New Roman"/>
                <w:sz w:val="24"/>
                <w:szCs w:val="24"/>
                <w:lang w:val="en-US" w:eastAsia="zh-CN"/>
              </w:rPr>
              <w:t>500mg/L</w:t>
            </w:r>
            <w:r>
              <w:rPr>
                <w:rFonts w:hint="default" w:ascii="Times New Roman" w:hAnsi="Times New Roman" w:cs="Times New Roman"/>
                <w:sz w:val="24"/>
                <w:szCs w:val="24"/>
              </w:rPr>
              <w:t>、石油类</w:t>
            </w:r>
            <w:r>
              <w:rPr>
                <w:rFonts w:hint="default" w:ascii="Times New Roman" w:hAnsi="Times New Roman" w:cs="Times New Roman"/>
                <w:sz w:val="24"/>
                <w:szCs w:val="24"/>
                <w:lang w:val="en-US" w:eastAsia="zh-CN"/>
              </w:rPr>
              <w:t>150mg/L，</w:t>
            </w:r>
            <w:r>
              <w:rPr>
                <w:rFonts w:hint="default" w:ascii="Times New Roman" w:hAnsi="Times New Roman" w:cs="Times New Roman"/>
                <w:sz w:val="24"/>
                <w:szCs w:val="24"/>
              </w:rPr>
              <w:t>本项目</w:t>
            </w:r>
            <w:r>
              <w:rPr>
                <w:rFonts w:hint="default" w:ascii="Times New Roman" w:hAnsi="Times New Roman" w:cs="Times New Roman"/>
                <w:sz w:val="24"/>
                <w:szCs w:val="24"/>
                <w:lang w:val="en-US" w:eastAsia="zh-CN"/>
              </w:rPr>
              <w:t>生产废水</w:t>
            </w:r>
            <w:r>
              <w:rPr>
                <w:rFonts w:hint="default" w:ascii="Times New Roman" w:hAnsi="Times New Roman" w:cs="Times New Roman"/>
                <w:sz w:val="24"/>
                <w:szCs w:val="24"/>
              </w:rPr>
              <w:t>产</w:t>
            </w:r>
            <w:r>
              <w:rPr>
                <w:rFonts w:hint="default" w:ascii="Times New Roman" w:hAnsi="Times New Roman" w:cs="Times New Roman"/>
                <w:sz w:val="24"/>
                <w:szCs w:val="24"/>
                <w:lang w:eastAsia="zh-CN"/>
              </w:rPr>
              <w:t>、</w:t>
            </w:r>
            <w:r>
              <w:rPr>
                <w:rFonts w:hint="default" w:ascii="Times New Roman" w:hAnsi="Times New Roman" w:cs="Times New Roman"/>
                <w:sz w:val="24"/>
                <w:szCs w:val="24"/>
              </w:rPr>
              <w:t>排污情况见表4-</w:t>
            </w:r>
            <w:r>
              <w:rPr>
                <w:rFonts w:hint="default" w:ascii="Times New Roman" w:hAnsi="Times New Roman" w:cs="Times New Roman"/>
                <w:sz w:val="24"/>
                <w:szCs w:val="24"/>
                <w:lang w:val="en-US" w:eastAsia="zh-CN"/>
              </w:rPr>
              <w:t>10</w:t>
            </w:r>
            <w:r>
              <w:rPr>
                <w:rFonts w:hint="default" w:ascii="Times New Roman" w:hAnsi="Times New Roman" w:cs="Times New Roman"/>
                <w:sz w:val="24"/>
                <w:szCs w:val="24"/>
              </w:rPr>
              <w:t>。</w:t>
            </w:r>
          </w:p>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10</w:t>
            </w:r>
            <w:r>
              <w:rPr>
                <w:rFonts w:hint="default" w:ascii="Times New Roman" w:hAnsi="Times New Roman" w:cs="Times New Roman"/>
                <w:b/>
                <w:bCs/>
                <w:sz w:val="21"/>
                <w:szCs w:val="21"/>
              </w:rPr>
              <w:t xml:space="preserve">  </w:t>
            </w:r>
            <w:r>
              <w:rPr>
                <w:rFonts w:hint="default" w:ascii="Times New Roman" w:hAnsi="Times New Roman" w:cs="Times New Roman"/>
                <w:b/>
                <w:bCs/>
                <w:sz w:val="21"/>
                <w:szCs w:val="21"/>
                <w:lang w:val="en-US" w:eastAsia="zh-CN"/>
              </w:rPr>
              <w:t>项目生产废水</w:t>
            </w:r>
            <w:r>
              <w:rPr>
                <w:rFonts w:hint="default" w:ascii="Times New Roman" w:hAnsi="Times New Roman" w:cs="Times New Roman"/>
                <w:b/>
                <w:bCs/>
                <w:sz w:val="21"/>
                <w:szCs w:val="21"/>
              </w:rPr>
              <w:t>产</w:t>
            </w:r>
            <w:r>
              <w:rPr>
                <w:rFonts w:hint="default" w:ascii="Times New Roman" w:hAnsi="Times New Roman" w:cs="Times New Roman"/>
                <w:b/>
                <w:bCs/>
                <w:sz w:val="21"/>
                <w:szCs w:val="21"/>
                <w:lang w:eastAsia="zh-CN"/>
              </w:rPr>
              <w:t>、</w:t>
            </w:r>
            <w:r>
              <w:rPr>
                <w:rFonts w:hint="default" w:ascii="Times New Roman" w:hAnsi="Times New Roman" w:cs="Times New Roman"/>
                <w:b/>
                <w:bCs/>
                <w:sz w:val="21"/>
                <w:szCs w:val="21"/>
              </w:rPr>
              <w:t>排污情况一览表</w:t>
            </w:r>
          </w:p>
          <w:tbl>
            <w:tblPr>
              <w:tblStyle w:val="25"/>
              <w:tblW w:w="499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60"/>
              <w:gridCol w:w="3206"/>
              <w:gridCol w:w="1411"/>
              <w:gridCol w:w="1411"/>
              <w:gridCol w:w="189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废水量</w:t>
                  </w:r>
                </w:p>
              </w:tc>
              <w:tc>
                <w:tcPr>
                  <w:tcW w:w="1709"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项目</w:t>
                  </w:r>
                </w:p>
              </w:tc>
              <w:tc>
                <w:tcPr>
                  <w:tcW w:w="752"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COD</w:t>
                  </w:r>
                </w:p>
              </w:tc>
              <w:tc>
                <w:tcPr>
                  <w:tcW w:w="752"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SS</w:t>
                  </w:r>
                </w:p>
              </w:tc>
              <w:tc>
                <w:tcPr>
                  <w:tcW w:w="1007"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动植物油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Merge w:val="restar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生产废水</w:t>
                  </w:r>
                  <w:r>
                    <w:rPr>
                      <w:rFonts w:hint="eastAsia" w:ascii="Times New Roman" w:hAnsi="Times New Roman" w:cs="Times New Roman"/>
                      <w:sz w:val="21"/>
                      <w:szCs w:val="21"/>
                      <w:lang w:eastAsia="zh-CN"/>
                    </w:rPr>
                    <w:t>（</w:t>
                  </w:r>
                  <w:r>
                    <w:rPr>
                      <w:rFonts w:hint="default" w:ascii="Times New Roman" w:hAnsi="Times New Roman" w:cs="Times New Roman"/>
                      <w:sz w:val="21"/>
                      <w:szCs w:val="21"/>
                      <w:lang w:val="en-US" w:eastAsia="zh-CN"/>
                    </w:rPr>
                    <w:t>2400</w:t>
                  </w:r>
                  <w:r>
                    <w:rPr>
                      <w:rFonts w:hint="default" w:ascii="Times New Roman" w:hAnsi="Times New Roman" w:cs="Times New Roman"/>
                      <w:sz w:val="21"/>
                      <w:szCs w:val="21"/>
                    </w:rPr>
                    <w:t>t/a</w:t>
                  </w:r>
                  <w:r>
                    <w:rPr>
                      <w:rFonts w:hint="eastAsia" w:ascii="Times New Roman" w:hAnsi="Times New Roman" w:cs="Times New Roman"/>
                      <w:sz w:val="21"/>
                      <w:szCs w:val="21"/>
                      <w:lang w:eastAsia="zh-CN"/>
                    </w:rPr>
                    <w:t>）</w:t>
                  </w:r>
                </w:p>
              </w:tc>
              <w:tc>
                <w:tcPr>
                  <w:tcW w:w="170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产生浓度（mg/L）</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150</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500</w:t>
                  </w:r>
                </w:p>
              </w:tc>
              <w:tc>
                <w:tcPr>
                  <w:tcW w:w="100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15</w:t>
                  </w: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Merge w:val="continue"/>
                  <w:vAlign w:val="center"/>
                </w:tcPr>
                <w:p>
                  <w:pPr>
                    <w:jc w:val="center"/>
                    <w:rPr>
                      <w:rFonts w:hint="default" w:ascii="Times New Roman" w:hAnsi="Times New Roman" w:cs="Times New Roman"/>
                      <w:sz w:val="21"/>
                      <w:szCs w:val="21"/>
                    </w:rPr>
                  </w:pPr>
                </w:p>
              </w:tc>
              <w:tc>
                <w:tcPr>
                  <w:tcW w:w="170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产生量（t/a）</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0.360</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1.200</w:t>
                  </w:r>
                </w:p>
              </w:tc>
              <w:tc>
                <w:tcPr>
                  <w:tcW w:w="100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0.360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Merge w:val="continue"/>
                  <w:vAlign w:val="center"/>
                </w:tcPr>
                <w:p>
                  <w:pPr>
                    <w:jc w:val="center"/>
                    <w:rPr>
                      <w:rFonts w:hint="default" w:ascii="Times New Roman" w:hAnsi="Times New Roman" w:cs="Times New Roman"/>
                      <w:sz w:val="21"/>
                      <w:szCs w:val="21"/>
                    </w:rPr>
                  </w:pPr>
                </w:p>
              </w:tc>
              <w:tc>
                <w:tcPr>
                  <w:tcW w:w="170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处理措施</w:t>
                  </w:r>
                </w:p>
              </w:tc>
              <w:tc>
                <w:tcPr>
                  <w:tcW w:w="2512" w:type="pct"/>
                  <w:gridSpan w:val="3"/>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中和隔油+沉淀处理后外排市政污水管网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Merge w:val="continue"/>
                  <w:vAlign w:val="center"/>
                </w:tcPr>
                <w:p>
                  <w:pPr>
                    <w:jc w:val="center"/>
                    <w:rPr>
                      <w:rFonts w:hint="default" w:ascii="Times New Roman" w:hAnsi="Times New Roman" w:cs="Times New Roman"/>
                      <w:sz w:val="21"/>
                      <w:szCs w:val="21"/>
                    </w:rPr>
                  </w:pPr>
                </w:p>
              </w:tc>
              <w:tc>
                <w:tcPr>
                  <w:tcW w:w="170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排放浓度（mg/L）</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125</w:t>
                  </w:r>
                </w:p>
              </w:tc>
              <w:tc>
                <w:tcPr>
                  <w:tcW w:w="75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100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78" w:type="pct"/>
                  <w:vMerge w:val="continue"/>
                  <w:vAlign w:val="center"/>
                </w:tcPr>
                <w:p>
                  <w:pPr>
                    <w:jc w:val="center"/>
                    <w:rPr>
                      <w:rFonts w:hint="default" w:ascii="Times New Roman" w:hAnsi="Times New Roman" w:cs="Times New Roman"/>
                      <w:sz w:val="21"/>
                      <w:szCs w:val="21"/>
                    </w:rPr>
                  </w:pPr>
                </w:p>
              </w:tc>
              <w:tc>
                <w:tcPr>
                  <w:tcW w:w="170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排放量（t/a）</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0.300</w:t>
                  </w:r>
                </w:p>
              </w:tc>
              <w:tc>
                <w:tcPr>
                  <w:tcW w:w="75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0.240</w:t>
                  </w:r>
                </w:p>
              </w:tc>
              <w:tc>
                <w:tcPr>
                  <w:tcW w:w="100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0.216</w:t>
                  </w:r>
                </w:p>
              </w:tc>
            </w:tr>
          </w:tbl>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3</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生活污水</w:t>
            </w:r>
          </w:p>
          <w:p>
            <w:pPr>
              <w:pStyle w:val="19"/>
              <w:keepNext w:val="0"/>
              <w:keepLines w:val="0"/>
              <w:pageBreakBefore w:val="0"/>
              <w:widowControl w:val="0"/>
              <w:kinsoku/>
              <w:wordWrap/>
              <w:overflowPunct/>
              <w:topLinePunct w:val="0"/>
              <w:autoSpaceDE/>
              <w:autoSpaceDN/>
              <w:bidi w:val="0"/>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项目经隔油池+化粪池预处理后的生活污水与</w:t>
            </w:r>
            <w:r>
              <w:rPr>
                <w:rFonts w:hint="default" w:ascii="Times New Roman" w:hAnsi="Times New Roman" w:cs="Times New Roman"/>
                <w:sz w:val="24"/>
                <w:szCs w:val="24"/>
              </w:rPr>
              <w:t>中和隔油</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沉淀处理</w:t>
            </w:r>
            <w:r>
              <w:rPr>
                <w:rFonts w:hint="default" w:ascii="Times New Roman" w:hAnsi="Times New Roman" w:cs="Times New Roman"/>
                <w:sz w:val="24"/>
                <w:szCs w:val="24"/>
                <w:lang w:val="en-US" w:eastAsia="zh-CN"/>
              </w:rPr>
              <w:t>后</w:t>
            </w:r>
            <w:r>
              <w:rPr>
                <w:rFonts w:hint="default" w:ascii="Times New Roman" w:hAnsi="Times New Roman" w:cs="Times New Roman"/>
                <w:sz w:val="24"/>
                <w:szCs w:val="24"/>
              </w:rPr>
              <w:t>的</w:t>
            </w:r>
            <w:r>
              <w:rPr>
                <w:rFonts w:hint="default" w:ascii="Times New Roman" w:hAnsi="Times New Roman" w:cs="Times New Roman"/>
                <w:sz w:val="24"/>
                <w:szCs w:val="24"/>
                <w:lang w:val="en-US" w:eastAsia="zh-CN"/>
              </w:rPr>
              <w:t>生产废水（</w:t>
            </w:r>
            <w:r>
              <w:rPr>
                <w:rFonts w:hint="default" w:ascii="Times New Roman" w:hAnsi="Times New Roman" w:cs="Times New Roman"/>
                <w:sz w:val="24"/>
                <w:szCs w:val="24"/>
              </w:rPr>
              <w:t>夹片产品喷砂清洗废水、设备清洗废水及车间保洁废水</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一并处理达到《污水综合排放标准》（GB8978-1996）三级标准通过市政污水管网排至衡阳县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污水处理厂深度处理后排入蒸水</w:t>
            </w:r>
            <w:r>
              <w:rPr>
                <w:rFonts w:hint="default" w:ascii="Times New Roman" w:hAnsi="Times New Roman" w:cs="Times New Roman"/>
                <w:sz w:val="24"/>
                <w:szCs w:val="24"/>
                <w:lang w:eastAsia="zh-CN"/>
              </w:rPr>
              <w:t>。</w:t>
            </w:r>
            <w:r>
              <w:rPr>
                <w:rFonts w:hint="default" w:ascii="Times New Roman" w:hAnsi="Times New Roman" w:cs="Times New Roman"/>
                <w:sz w:val="24"/>
                <w:szCs w:val="24"/>
              </w:rPr>
              <w:t>员工生活污水量约为14.4m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/d，主要污染物</w:t>
            </w:r>
            <w:r>
              <w:rPr>
                <w:rFonts w:hint="default" w:ascii="Times New Roman" w:hAnsi="Times New Roman" w:cs="Times New Roman"/>
                <w:sz w:val="24"/>
                <w:szCs w:val="24"/>
                <w:lang w:val="en-US" w:eastAsia="zh-CN"/>
              </w:rPr>
              <w:t>及其产生浓度</w:t>
            </w:r>
            <w:r>
              <w:rPr>
                <w:rFonts w:hint="default" w:ascii="Times New Roman" w:hAnsi="Times New Roman" w:cs="Times New Roman"/>
                <w:sz w:val="24"/>
                <w:szCs w:val="24"/>
              </w:rPr>
              <w:t>为COD</w:t>
            </w:r>
            <w:r>
              <w:rPr>
                <w:rFonts w:hint="default" w:ascii="Times New Roman" w:hAnsi="Times New Roman" w:cs="Times New Roman"/>
                <w:sz w:val="24"/>
                <w:szCs w:val="24"/>
                <w:lang w:val="en-US" w:eastAsia="zh-CN"/>
              </w:rPr>
              <w:t>300mg/L</w:t>
            </w:r>
            <w:r>
              <w:rPr>
                <w:rFonts w:hint="default" w:ascii="Times New Roman" w:hAnsi="Times New Roman" w:cs="Times New Roman"/>
                <w:sz w:val="24"/>
                <w:szCs w:val="24"/>
              </w:rPr>
              <w:t>、BOD5</w:t>
            </w:r>
            <w:r>
              <w:rPr>
                <w:rFonts w:hint="default" w:ascii="Times New Roman" w:hAnsi="Times New Roman" w:cs="Times New Roman"/>
                <w:sz w:val="24"/>
                <w:szCs w:val="24"/>
                <w:lang w:val="en-US" w:eastAsia="zh-CN"/>
              </w:rPr>
              <w:t>200mg/L</w:t>
            </w:r>
            <w:r>
              <w:rPr>
                <w:rFonts w:hint="default" w:ascii="Times New Roman" w:hAnsi="Times New Roman" w:cs="Times New Roman"/>
                <w:sz w:val="24"/>
                <w:szCs w:val="24"/>
              </w:rPr>
              <w:t>、氨氮</w:t>
            </w:r>
            <w:r>
              <w:rPr>
                <w:rFonts w:hint="default" w:ascii="Times New Roman" w:hAnsi="Times New Roman" w:cs="Times New Roman"/>
                <w:sz w:val="24"/>
                <w:szCs w:val="24"/>
                <w:lang w:val="en-US" w:eastAsia="zh-CN"/>
              </w:rPr>
              <w:t>30mg/L</w:t>
            </w:r>
            <w:r>
              <w:rPr>
                <w:rFonts w:hint="default" w:ascii="Times New Roman" w:hAnsi="Times New Roman" w:cs="Times New Roman"/>
                <w:sz w:val="24"/>
                <w:szCs w:val="24"/>
              </w:rPr>
              <w:t>、动植物油</w:t>
            </w:r>
            <w:r>
              <w:rPr>
                <w:rFonts w:hint="default" w:ascii="Times New Roman" w:hAnsi="Times New Roman" w:cs="Times New Roman"/>
                <w:sz w:val="24"/>
                <w:szCs w:val="24"/>
                <w:lang w:val="en-US" w:eastAsia="zh-CN"/>
              </w:rPr>
              <w:t>15mg/L</w:t>
            </w:r>
            <w:r>
              <w:rPr>
                <w:rFonts w:hint="default" w:ascii="Times New Roman" w:hAnsi="Times New Roman" w:cs="Times New Roman"/>
                <w:sz w:val="24"/>
                <w:szCs w:val="24"/>
              </w:rPr>
              <w:t>、SS</w:t>
            </w:r>
            <w:r>
              <w:rPr>
                <w:rFonts w:hint="default" w:ascii="Times New Roman" w:hAnsi="Times New Roman" w:cs="Times New Roman"/>
                <w:sz w:val="24"/>
                <w:szCs w:val="24"/>
                <w:lang w:val="en-US" w:eastAsia="zh-CN"/>
              </w:rPr>
              <w:t>250mg/L。</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项目生活污水产</w:t>
            </w:r>
            <w:r>
              <w:rPr>
                <w:rFonts w:hint="default" w:ascii="Times New Roman" w:hAnsi="Times New Roman" w:cs="Times New Roman"/>
                <w:sz w:val="24"/>
                <w:szCs w:val="24"/>
                <w:lang w:eastAsia="zh-CN"/>
              </w:rPr>
              <w:t>、</w:t>
            </w:r>
            <w:r>
              <w:rPr>
                <w:rFonts w:hint="default" w:ascii="Times New Roman" w:hAnsi="Times New Roman" w:cs="Times New Roman"/>
                <w:sz w:val="24"/>
                <w:szCs w:val="24"/>
              </w:rPr>
              <w:t>排污情况见表4-</w:t>
            </w:r>
            <w:r>
              <w:rPr>
                <w:rFonts w:hint="default" w:ascii="Times New Roman" w:hAnsi="Times New Roman" w:cs="Times New Roman"/>
                <w:sz w:val="24"/>
                <w:szCs w:val="24"/>
                <w:lang w:val="en-US" w:eastAsia="zh-CN"/>
              </w:rPr>
              <w:t>11</w:t>
            </w:r>
            <w:r>
              <w:rPr>
                <w:rFonts w:hint="default" w:ascii="Times New Roman" w:hAnsi="Times New Roman" w:cs="Times New Roman"/>
                <w:sz w:val="24"/>
                <w:szCs w:val="24"/>
              </w:rPr>
              <w:t>。</w:t>
            </w:r>
          </w:p>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11</w:t>
            </w:r>
            <w:r>
              <w:rPr>
                <w:rFonts w:hint="default" w:ascii="Times New Roman" w:hAnsi="Times New Roman" w:cs="Times New Roman"/>
                <w:b/>
                <w:bCs/>
                <w:sz w:val="21"/>
                <w:szCs w:val="21"/>
              </w:rPr>
              <w:t xml:space="preserve">  项目生活污水产</w:t>
            </w:r>
            <w:r>
              <w:rPr>
                <w:rFonts w:hint="default" w:ascii="Times New Roman" w:hAnsi="Times New Roman" w:cs="Times New Roman"/>
                <w:b/>
                <w:bCs/>
                <w:sz w:val="21"/>
                <w:szCs w:val="21"/>
                <w:lang w:eastAsia="zh-CN"/>
              </w:rPr>
              <w:t>、</w:t>
            </w:r>
            <w:r>
              <w:rPr>
                <w:rFonts w:hint="default" w:ascii="Times New Roman" w:hAnsi="Times New Roman" w:cs="Times New Roman"/>
                <w:b/>
                <w:bCs/>
                <w:sz w:val="21"/>
                <w:szCs w:val="21"/>
              </w:rPr>
              <w:t>排污情况一览表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225"/>
              <w:gridCol w:w="2363"/>
              <w:gridCol w:w="1086"/>
              <w:gridCol w:w="1086"/>
              <w:gridCol w:w="1086"/>
              <w:gridCol w:w="1086"/>
              <w:gridCol w:w="145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废水量</w:t>
                  </w:r>
                </w:p>
              </w:tc>
              <w:tc>
                <w:tcPr>
                  <w:tcW w:w="125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项目</w:t>
                  </w:r>
                </w:p>
              </w:tc>
              <w:tc>
                <w:tcPr>
                  <w:tcW w:w="57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COD</w:t>
                  </w:r>
                </w:p>
              </w:tc>
              <w:tc>
                <w:tcPr>
                  <w:tcW w:w="57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BOD</w:t>
                  </w:r>
                  <w:r>
                    <w:rPr>
                      <w:rFonts w:hint="default" w:ascii="Times New Roman" w:hAnsi="Times New Roman" w:cs="Times New Roman"/>
                      <w:b/>
                      <w:bCs/>
                      <w:sz w:val="21"/>
                      <w:szCs w:val="21"/>
                      <w:vertAlign w:val="subscript"/>
                    </w:rPr>
                    <w:t>5</w:t>
                  </w:r>
                </w:p>
              </w:tc>
              <w:tc>
                <w:tcPr>
                  <w:tcW w:w="57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NH</w:t>
                  </w:r>
                  <w:r>
                    <w:rPr>
                      <w:rFonts w:hint="default" w:ascii="Times New Roman" w:hAnsi="Times New Roman" w:cs="Times New Roman"/>
                      <w:b/>
                      <w:bCs/>
                      <w:sz w:val="21"/>
                      <w:szCs w:val="21"/>
                      <w:vertAlign w:val="subscript"/>
                    </w:rPr>
                    <w:t>3</w:t>
                  </w:r>
                  <w:r>
                    <w:rPr>
                      <w:rFonts w:hint="default" w:ascii="Times New Roman" w:hAnsi="Times New Roman" w:cs="Times New Roman"/>
                      <w:b/>
                      <w:bCs/>
                      <w:sz w:val="21"/>
                      <w:szCs w:val="21"/>
                    </w:rPr>
                    <w:t>-N</w:t>
                  </w:r>
                </w:p>
              </w:tc>
              <w:tc>
                <w:tcPr>
                  <w:tcW w:w="578"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SS</w:t>
                  </w:r>
                </w:p>
              </w:tc>
              <w:tc>
                <w:tcPr>
                  <w:tcW w:w="775"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动植物油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Merge w:val="restar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生活污水</w:t>
                  </w:r>
                  <w:r>
                    <w:rPr>
                      <w:rFonts w:hint="eastAsia" w:ascii="Times New Roman" w:hAnsi="Times New Roman" w:cs="Times New Roman"/>
                      <w:sz w:val="21"/>
                      <w:szCs w:val="21"/>
                      <w:lang w:eastAsia="zh-CN"/>
                    </w:rPr>
                    <w:t>（</w:t>
                  </w:r>
                  <w:r>
                    <w:rPr>
                      <w:rFonts w:hint="eastAsia" w:cs="Times New Roman"/>
                      <w:sz w:val="21"/>
                      <w:szCs w:val="21"/>
                      <w:lang w:val="en-US" w:eastAsia="zh-CN"/>
                    </w:rPr>
                    <w:t>432</w:t>
                  </w:r>
                  <w:r>
                    <w:rPr>
                      <w:rFonts w:hint="default" w:ascii="Times New Roman" w:hAnsi="Times New Roman" w:cs="Times New Roman"/>
                      <w:sz w:val="21"/>
                      <w:szCs w:val="21"/>
                      <w:lang w:val="en-US" w:eastAsia="zh-CN"/>
                    </w:rPr>
                    <w:t>0</w:t>
                  </w:r>
                  <w:r>
                    <w:rPr>
                      <w:rFonts w:hint="default" w:ascii="Times New Roman" w:hAnsi="Times New Roman" w:cs="Times New Roman"/>
                      <w:sz w:val="21"/>
                      <w:szCs w:val="21"/>
                    </w:rPr>
                    <w:t>t/a</w:t>
                  </w:r>
                  <w:r>
                    <w:rPr>
                      <w:rFonts w:hint="eastAsia" w:ascii="Times New Roman" w:hAnsi="Times New Roman" w:cs="Times New Roman"/>
                      <w:sz w:val="21"/>
                      <w:szCs w:val="21"/>
                      <w:lang w:eastAsia="zh-CN"/>
                    </w:rPr>
                    <w:t>）</w:t>
                  </w:r>
                </w:p>
              </w:tc>
              <w:tc>
                <w:tcPr>
                  <w:tcW w:w="125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产生浓度（mg/L）</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300</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200</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30</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250</w:t>
                  </w:r>
                </w:p>
              </w:tc>
              <w:tc>
                <w:tcPr>
                  <w:tcW w:w="775"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Merge w:val="continue"/>
                  <w:vAlign w:val="center"/>
                </w:tcPr>
                <w:p>
                  <w:pPr>
                    <w:jc w:val="center"/>
                    <w:rPr>
                      <w:rFonts w:hint="default" w:ascii="Times New Roman" w:hAnsi="Times New Roman" w:cs="Times New Roman"/>
                      <w:sz w:val="21"/>
                      <w:szCs w:val="21"/>
                    </w:rPr>
                  </w:pPr>
                </w:p>
              </w:tc>
              <w:tc>
                <w:tcPr>
                  <w:tcW w:w="125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产生量（t/a）</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1.296</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0.864</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0.130</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1.080</w:t>
                  </w:r>
                </w:p>
              </w:tc>
              <w:tc>
                <w:tcPr>
                  <w:tcW w:w="775"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0.065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Merge w:val="continue"/>
                  <w:vAlign w:val="center"/>
                </w:tcPr>
                <w:p>
                  <w:pPr>
                    <w:jc w:val="center"/>
                    <w:rPr>
                      <w:rFonts w:hint="default" w:ascii="Times New Roman" w:hAnsi="Times New Roman" w:cs="Times New Roman"/>
                      <w:sz w:val="21"/>
                      <w:szCs w:val="21"/>
                    </w:rPr>
                  </w:pPr>
                </w:p>
              </w:tc>
              <w:tc>
                <w:tcPr>
                  <w:tcW w:w="125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处理措施</w:t>
                  </w:r>
                </w:p>
              </w:tc>
              <w:tc>
                <w:tcPr>
                  <w:tcW w:w="3089" w:type="pct"/>
                  <w:gridSpan w:val="5"/>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隔油池+化粪池预处理后外排市政污水管网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Merge w:val="continue"/>
                  <w:vAlign w:val="center"/>
                </w:tcPr>
                <w:p>
                  <w:pPr>
                    <w:jc w:val="center"/>
                    <w:rPr>
                      <w:rFonts w:hint="default" w:ascii="Times New Roman" w:hAnsi="Times New Roman" w:cs="Times New Roman"/>
                      <w:sz w:val="21"/>
                      <w:szCs w:val="21"/>
                    </w:rPr>
                  </w:pPr>
                </w:p>
              </w:tc>
              <w:tc>
                <w:tcPr>
                  <w:tcW w:w="125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排放浓度（mg/L）</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200</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25</w:t>
                  </w:r>
                </w:p>
              </w:tc>
              <w:tc>
                <w:tcPr>
                  <w:tcW w:w="57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100</w:t>
                  </w:r>
                </w:p>
              </w:tc>
              <w:tc>
                <w:tcPr>
                  <w:tcW w:w="775"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652" w:type="pct"/>
                  <w:vMerge w:val="continue"/>
                  <w:vAlign w:val="center"/>
                </w:tcPr>
                <w:p>
                  <w:pPr>
                    <w:jc w:val="center"/>
                    <w:rPr>
                      <w:rFonts w:hint="default" w:ascii="Times New Roman" w:hAnsi="Times New Roman" w:cs="Times New Roman"/>
                      <w:sz w:val="21"/>
                      <w:szCs w:val="21"/>
                    </w:rPr>
                  </w:pPr>
                </w:p>
              </w:tc>
              <w:tc>
                <w:tcPr>
                  <w:tcW w:w="125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排放量（t/a）</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0.864</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0.432</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0.108</w:t>
                  </w:r>
                </w:p>
              </w:tc>
              <w:tc>
                <w:tcPr>
                  <w:tcW w:w="57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0.432</w:t>
                  </w:r>
                </w:p>
              </w:tc>
              <w:tc>
                <w:tcPr>
                  <w:tcW w:w="775"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0.052</w:t>
                  </w:r>
                </w:p>
              </w:tc>
            </w:tr>
          </w:tbl>
          <w:p>
            <w:pPr>
              <w:adjustRightInd w:val="0"/>
              <w:snapToGri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综上可知，项目废水总排口排放量为6720m3/a（22.4m3/d），</w:t>
            </w:r>
            <w:r>
              <w:rPr>
                <w:rFonts w:hint="default" w:ascii="Times New Roman" w:hAnsi="Times New Roman" w:cs="Times New Roman"/>
                <w:sz w:val="24"/>
                <w:szCs w:val="24"/>
              </w:rPr>
              <w:t>主要污染物</w:t>
            </w:r>
            <w:r>
              <w:rPr>
                <w:rFonts w:hint="default" w:ascii="Times New Roman" w:hAnsi="Times New Roman" w:cs="Times New Roman"/>
                <w:sz w:val="24"/>
                <w:szCs w:val="24"/>
                <w:lang w:val="en-US" w:eastAsia="zh-CN"/>
              </w:rPr>
              <w:t>及其产生量</w:t>
            </w:r>
            <w:r>
              <w:rPr>
                <w:rFonts w:hint="default" w:ascii="Times New Roman" w:hAnsi="Times New Roman" w:cs="Times New Roman"/>
                <w:sz w:val="24"/>
                <w:szCs w:val="24"/>
              </w:rPr>
              <w:t>为COD</w:t>
            </w:r>
            <w:r>
              <w:rPr>
                <w:rFonts w:hint="default" w:ascii="Times New Roman" w:hAnsi="Times New Roman" w:cs="Times New Roman"/>
                <w:sz w:val="24"/>
                <w:szCs w:val="24"/>
                <w:lang w:val="en-US" w:eastAsia="zh-CN"/>
              </w:rPr>
              <w:t>1.164t/a（173.21mg/L）</w:t>
            </w:r>
            <w:r>
              <w:rPr>
                <w:rFonts w:hint="default" w:ascii="Times New Roman" w:hAnsi="Times New Roman" w:cs="Times New Roman"/>
                <w:sz w:val="24"/>
                <w:szCs w:val="24"/>
              </w:rPr>
              <w:t>、BOD5</w:t>
            </w:r>
            <w:r>
              <w:rPr>
                <w:rFonts w:hint="default" w:ascii="Times New Roman" w:hAnsi="Times New Roman" w:cs="Times New Roman"/>
                <w:sz w:val="24"/>
                <w:szCs w:val="24"/>
                <w:lang w:val="en-US" w:eastAsia="zh-CN"/>
              </w:rPr>
              <w:t>0.432t/a（64.29mg/L）</w:t>
            </w:r>
            <w:r>
              <w:rPr>
                <w:rFonts w:hint="default" w:ascii="Times New Roman" w:hAnsi="Times New Roman" w:cs="Times New Roman"/>
                <w:sz w:val="24"/>
                <w:szCs w:val="24"/>
              </w:rPr>
              <w:t>、氨氮</w:t>
            </w:r>
            <w:r>
              <w:rPr>
                <w:rFonts w:hint="default" w:ascii="Times New Roman" w:hAnsi="Times New Roman" w:cs="Times New Roman"/>
                <w:sz w:val="24"/>
                <w:szCs w:val="24"/>
                <w:lang w:val="en-US" w:eastAsia="zh-CN"/>
              </w:rPr>
              <w:t>0.108t/a（16.07mg/L）</w:t>
            </w:r>
            <w:r>
              <w:rPr>
                <w:rFonts w:hint="default" w:ascii="Times New Roman" w:hAnsi="Times New Roman" w:cs="Times New Roman"/>
                <w:sz w:val="24"/>
                <w:szCs w:val="24"/>
              </w:rPr>
              <w:t>、动植物油</w:t>
            </w:r>
            <w:r>
              <w:rPr>
                <w:rFonts w:hint="default" w:ascii="Times New Roman" w:hAnsi="Times New Roman" w:cs="Times New Roman"/>
                <w:sz w:val="24"/>
                <w:szCs w:val="24"/>
                <w:lang w:val="en-US" w:eastAsia="zh-CN"/>
              </w:rPr>
              <w:t>0.268t/a（39.88mg/L）</w:t>
            </w:r>
            <w:r>
              <w:rPr>
                <w:rFonts w:hint="default" w:ascii="Times New Roman" w:hAnsi="Times New Roman" w:cs="Times New Roman"/>
                <w:sz w:val="24"/>
                <w:szCs w:val="24"/>
              </w:rPr>
              <w:t>、SS</w:t>
            </w:r>
            <w:r>
              <w:rPr>
                <w:rFonts w:hint="default" w:ascii="Times New Roman" w:hAnsi="Times New Roman" w:cs="Times New Roman"/>
                <w:sz w:val="24"/>
                <w:szCs w:val="24"/>
                <w:lang w:val="en-US" w:eastAsia="zh-CN"/>
              </w:rPr>
              <w:t>0.672t/a（100mg/L）。</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w:t>
            </w:r>
            <w:r>
              <w:rPr>
                <w:rFonts w:hint="default" w:ascii="Times New Roman" w:hAnsi="Times New Roman" w:cs="Times New Roman"/>
                <w:sz w:val="24"/>
                <w:szCs w:val="24"/>
                <w:lang w:val="en-US" w:eastAsia="zh-CN"/>
              </w:rPr>
              <w:t>废水总排口</w:t>
            </w:r>
            <w:r>
              <w:rPr>
                <w:rFonts w:hint="default" w:ascii="Times New Roman" w:hAnsi="Times New Roman" w:cs="Times New Roman"/>
                <w:sz w:val="24"/>
                <w:szCs w:val="24"/>
              </w:rPr>
              <w:t>主要污染物产生及处理情况详见下表。</w:t>
            </w:r>
          </w:p>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12</w:t>
            </w:r>
            <w:r>
              <w:rPr>
                <w:rFonts w:hint="default" w:ascii="Times New Roman" w:hAnsi="Times New Roman" w:cs="Times New Roman"/>
                <w:b/>
                <w:bCs/>
                <w:sz w:val="21"/>
                <w:szCs w:val="21"/>
              </w:rPr>
              <w:t xml:space="preserve">  废水污染源强核算结果一览表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78"/>
              <w:gridCol w:w="813"/>
              <w:gridCol w:w="733"/>
              <w:gridCol w:w="793"/>
              <w:gridCol w:w="940"/>
              <w:gridCol w:w="686"/>
              <w:gridCol w:w="583"/>
              <w:gridCol w:w="810"/>
              <w:gridCol w:w="714"/>
              <w:gridCol w:w="716"/>
              <w:gridCol w:w="857"/>
              <w:gridCol w:w="584"/>
              <w:gridCol w:w="58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restar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产污环节</w:t>
                  </w:r>
                </w:p>
              </w:tc>
              <w:tc>
                <w:tcPr>
                  <w:tcW w:w="433" w:type="pct"/>
                  <w:vMerge w:val="restar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污染物种类</w:t>
                  </w:r>
                </w:p>
              </w:tc>
              <w:tc>
                <w:tcPr>
                  <w:tcW w:w="1312" w:type="pct"/>
                  <w:gridSpan w:val="3"/>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污染物产生情况</w:t>
                  </w:r>
                </w:p>
              </w:tc>
              <w:tc>
                <w:tcPr>
                  <w:tcW w:w="1106" w:type="pct"/>
                  <w:gridSpan w:val="3"/>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治理措施</w:t>
                  </w:r>
                </w:p>
              </w:tc>
              <w:tc>
                <w:tcPr>
                  <w:tcW w:w="1217" w:type="pct"/>
                  <w:gridSpan w:val="3"/>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污染物排放情况</w:t>
                  </w:r>
                </w:p>
              </w:tc>
              <w:tc>
                <w:tcPr>
                  <w:tcW w:w="311" w:type="pct"/>
                  <w:vMerge w:val="restar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排放方式</w:t>
                  </w:r>
                </w:p>
              </w:tc>
              <w:tc>
                <w:tcPr>
                  <w:tcW w:w="309" w:type="pct"/>
                  <w:vMerge w:val="restar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排放去向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3"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90"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废水产生量t/a</w:t>
                  </w:r>
                </w:p>
              </w:tc>
              <w:tc>
                <w:tcPr>
                  <w:tcW w:w="422" w:type="pct"/>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产生量t/a</w:t>
                  </w:r>
                </w:p>
              </w:tc>
              <w:tc>
                <w:tcPr>
                  <w:tcW w:w="499"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产生浓度mg/L</w:t>
                  </w:r>
                </w:p>
              </w:tc>
              <w:tc>
                <w:tcPr>
                  <w:tcW w:w="365"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工艺</w:t>
                  </w:r>
                </w:p>
              </w:tc>
              <w:tc>
                <w:tcPr>
                  <w:tcW w:w="310"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治理效率/%</w:t>
                  </w:r>
                </w:p>
              </w:tc>
              <w:tc>
                <w:tcPr>
                  <w:tcW w:w="430"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是否为技术可行</w:t>
                  </w:r>
                </w:p>
              </w:tc>
              <w:tc>
                <w:tcPr>
                  <w:tcW w:w="380"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废水排放量t/a</w:t>
                  </w:r>
                </w:p>
              </w:tc>
              <w:tc>
                <w:tcPr>
                  <w:tcW w:w="381"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排放量t/a</w:t>
                  </w:r>
                </w:p>
              </w:tc>
              <w:tc>
                <w:tcPr>
                  <w:tcW w:w="455" w:type="pct"/>
                  <w:shd w:val="clear" w:color="auto" w:fill="auto"/>
                  <w:vAlign w:val="center"/>
                </w:tcPr>
                <w:p>
                  <w:pPr>
                    <w:adjustRightInd w:val="0"/>
                    <w:snapToGrid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排放浓度mg/L</w:t>
                  </w:r>
                </w:p>
              </w:tc>
              <w:tc>
                <w:tcPr>
                  <w:tcW w:w="311"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09"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restar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综合废水</w:t>
                  </w:r>
                </w:p>
              </w:tc>
              <w:tc>
                <w:tcPr>
                  <w:tcW w:w="433" w:type="pc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COD</w:t>
                  </w:r>
                </w:p>
              </w:tc>
              <w:tc>
                <w:tcPr>
                  <w:tcW w:w="390" w:type="pct"/>
                  <w:vMerge w:val="restar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6720</w:t>
                  </w:r>
                </w:p>
              </w:tc>
              <w:tc>
                <w:tcPr>
                  <w:tcW w:w="422" w:type="pct"/>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1.16</w:t>
                  </w:r>
                </w:p>
              </w:tc>
              <w:tc>
                <w:tcPr>
                  <w:tcW w:w="499"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173.21</w:t>
                  </w:r>
                </w:p>
              </w:tc>
              <w:tc>
                <w:tcPr>
                  <w:tcW w:w="365" w:type="pct"/>
                  <w:vMerge w:val="restar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市政管网+</w:t>
                  </w:r>
                  <w:r>
                    <w:rPr>
                      <w:rFonts w:hint="default" w:ascii="Times New Roman" w:hAnsi="Times New Roman" w:cs="Times New Roman"/>
                      <w:sz w:val="18"/>
                      <w:szCs w:val="18"/>
                    </w:rPr>
                    <w:t>污水处理厂</w:t>
                  </w:r>
                </w:p>
              </w:tc>
              <w:tc>
                <w:tcPr>
                  <w:tcW w:w="310" w:type="pct"/>
                  <w:vMerge w:val="restar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w:t>
                  </w:r>
                </w:p>
              </w:tc>
              <w:tc>
                <w:tcPr>
                  <w:tcW w:w="430" w:type="pct"/>
                  <w:vMerge w:val="restar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是</w:t>
                  </w:r>
                </w:p>
              </w:tc>
              <w:tc>
                <w:tcPr>
                  <w:tcW w:w="380" w:type="pct"/>
                  <w:vMerge w:val="restar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6720</w:t>
                  </w:r>
                </w:p>
              </w:tc>
              <w:tc>
                <w:tcPr>
                  <w:tcW w:w="381"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0.336</w:t>
                  </w:r>
                </w:p>
              </w:tc>
              <w:tc>
                <w:tcPr>
                  <w:tcW w:w="455"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50</w:t>
                  </w:r>
                </w:p>
              </w:tc>
              <w:tc>
                <w:tcPr>
                  <w:tcW w:w="311" w:type="pct"/>
                  <w:vMerge w:val="restar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间接排放</w:t>
                  </w:r>
                </w:p>
              </w:tc>
              <w:tc>
                <w:tcPr>
                  <w:tcW w:w="309" w:type="pct"/>
                  <w:vMerge w:val="restar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lang w:val="en-US" w:eastAsia="zh-CN"/>
                    </w:rPr>
                    <w:t>衡阳县国祯</w:t>
                  </w:r>
                  <w:r>
                    <w:rPr>
                      <w:rFonts w:hint="default" w:ascii="Times New Roman" w:hAnsi="Times New Roman" w:cs="Times New Roman"/>
                      <w:sz w:val="18"/>
                      <w:szCs w:val="18"/>
                    </w:rPr>
                    <w:t>污水处理厂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3" w:type="pc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BOD</w:t>
                  </w:r>
                  <w:r>
                    <w:rPr>
                      <w:rFonts w:hint="default" w:ascii="Times New Roman" w:hAnsi="Times New Roman" w:cs="Times New Roman"/>
                      <w:sz w:val="18"/>
                      <w:szCs w:val="18"/>
                      <w:vertAlign w:val="subscript"/>
                    </w:rPr>
                    <w:t>5</w:t>
                  </w:r>
                </w:p>
              </w:tc>
              <w:tc>
                <w:tcPr>
                  <w:tcW w:w="39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22" w:type="pct"/>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0.432</w:t>
                  </w:r>
                </w:p>
              </w:tc>
              <w:tc>
                <w:tcPr>
                  <w:tcW w:w="499"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64.29</w:t>
                  </w:r>
                </w:p>
              </w:tc>
              <w:tc>
                <w:tcPr>
                  <w:tcW w:w="365"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1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1"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0.067</w:t>
                  </w:r>
                </w:p>
              </w:tc>
              <w:tc>
                <w:tcPr>
                  <w:tcW w:w="455"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10</w:t>
                  </w:r>
                </w:p>
              </w:tc>
              <w:tc>
                <w:tcPr>
                  <w:tcW w:w="311"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09"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3" w:type="pc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NH</w:t>
                  </w:r>
                  <w:r>
                    <w:rPr>
                      <w:rFonts w:hint="default" w:ascii="Times New Roman" w:hAnsi="Times New Roman" w:cs="Times New Roman"/>
                      <w:sz w:val="18"/>
                      <w:szCs w:val="18"/>
                      <w:vertAlign w:val="subscript"/>
                    </w:rPr>
                    <w:t>3</w:t>
                  </w:r>
                  <w:r>
                    <w:rPr>
                      <w:rFonts w:hint="default" w:ascii="Times New Roman" w:hAnsi="Times New Roman" w:cs="Times New Roman"/>
                      <w:sz w:val="18"/>
                      <w:szCs w:val="18"/>
                    </w:rPr>
                    <w:t>-N</w:t>
                  </w:r>
                </w:p>
              </w:tc>
              <w:tc>
                <w:tcPr>
                  <w:tcW w:w="39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22" w:type="pct"/>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0.108</w:t>
                  </w:r>
                </w:p>
              </w:tc>
              <w:tc>
                <w:tcPr>
                  <w:tcW w:w="499"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16.07</w:t>
                  </w:r>
                </w:p>
              </w:tc>
              <w:tc>
                <w:tcPr>
                  <w:tcW w:w="365"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1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1"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0.034</w:t>
                  </w:r>
                </w:p>
              </w:tc>
              <w:tc>
                <w:tcPr>
                  <w:tcW w:w="455" w:type="pct"/>
                  <w:shd w:val="clear" w:color="auto" w:fill="auto"/>
                  <w:vAlign w:val="center"/>
                </w:tcPr>
                <w:p>
                  <w:pPr>
                    <w:adjustRightInd w:val="0"/>
                    <w:snapToGrid w:val="0"/>
                    <w:jc w:val="center"/>
                    <w:rPr>
                      <w:rFonts w:hint="default" w:ascii="Times New Roman" w:hAnsi="Times New Roman" w:cs="Times New Roman"/>
                      <w:sz w:val="18"/>
                      <w:szCs w:val="18"/>
                      <w:lang w:eastAsia="zh-CN"/>
                    </w:rPr>
                  </w:pPr>
                  <w:r>
                    <w:rPr>
                      <w:rFonts w:hint="default" w:ascii="Times New Roman" w:hAnsi="Times New Roman" w:cs="Times New Roman"/>
                      <w:sz w:val="18"/>
                      <w:szCs w:val="18"/>
                      <w:lang w:val="en-US" w:eastAsia="zh-CN"/>
                    </w:rPr>
                    <w:t>5</w:t>
                  </w:r>
                </w:p>
              </w:tc>
              <w:tc>
                <w:tcPr>
                  <w:tcW w:w="311"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09"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3" w:type="pct"/>
                  <w:shd w:val="clear" w:color="auto" w:fill="auto"/>
                  <w:vAlign w:val="center"/>
                </w:tcPr>
                <w:p>
                  <w:pPr>
                    <w:adjustRightInd w:val="0"/>
                    <w:snapToGrid w:val="0"/>
                    <w:jc w:val="center"/>
                    <w:rPr>
                      <w:rFonts w:hint="default" w:ascii="Times New Roman" w:hAnsi="Times New Roman" w:cs="Times New Roman"/>
                      <w:sz w:val="18"/>
                      <w:szCs w:val="18"/>
                    </w:rPr>
                  </w:pPr>
                  <w:r>
                    <w:rPr>
                      <w:rFonts w:hint="default" w:ascii="Times New Roman" w:hAnsi="Times New Roman" w:cs="Times New Roman"/>
                      <w:sz w:val="18"/>
                      <w:szCs w:val="18"/>
                    </w:rPr>
                    <w:t>SS</w:t>
                  </w:r>
                </w:p>
              </w:tc>
              <w:tc>
                <w:tcPr>
                  <w:tcW w:w="39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22" w:type="pct"/>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0.672</w:t>
                  </w:r>
                </w:p>
              </w:tc>
              <w:tc>
                <w:tcPr>
                  <w:tcW w:w="499"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100</w:t>
                  </w:r>
                </w:p>
              </w:tc>
              <w:tc>
                <w:tcPr>
                  <w:tcW w:w="365"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1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1"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0.067</w:t>
                  </w:r>
                </w:p>
              </w:tc>
              <w:tc>
                <w:tcPr>
                  <w:tcW w:w="455"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10</w:t>
                  </w:r>
                </w:p>
              </w:tc>
              <w:tc>
                <w:tcPr>
                  <w:tcW w:w="311"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09"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08"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3"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石油类</w:t>
                  </w:r>
                </w:p>
              </w:tc>
              <w:tc>
                <w:tcPr>
                  <w:tcW w:w="39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22" w:type="pct"/>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0.268</w:t>
                  </w:r>
                </w:p>
              </w:tc>
              <w:tc>
                <w:tcPr>
                  <w:tcW w:w="499"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39.88</w:t>
                  </w:r>
                </w:p>
              </w:tc>
              <w:tc>
                <w:tcPr>
                  <w:tcW w:w="365"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1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43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0"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81"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0.0067</w:t>
                  </w:r>
                </w:p>
              </w:tc>
              <w:tc>
                <w:tcPr>
                  <w:tcW w:w="455" w:type="pct"/>
                  <w:shd w:val="clear" w:color="auto" w:fill="auto"/>
                  <w:vAlign w:val="center"/>
                </w:tcPr>
                <w:p>
                  <w:pPr>
                    <w:adjustRightInd w:val="0"/>
                    <w:snapToGrid w:val="0"/>
                    <w:jc w:val="center"/>
                    <w:rPr>
                      <w:rFonts w:hint="default" w:ascii="Times New Roman" w:hAnsi="Times New Roman" w:cs="Times New Roman"/>
                      <w:sz w:val="18"/>
                      <w:szCs w:val="18"/>
                      <w:lang w:val="en-US" w:eastAsia="zh-CN"/>
                    </w:rPr>
                  </w:pPr>
                  <w:r>
                    <w:rPr>
                      <w:rFonts w:hint="default" w:ascii="Times New Roman" w:hAnsi="Times New Roman" w:cs="Times New Roman"/>
                      <w:sz w:val="18"/>
                      <w:szCs w:val="18"/>
                      <w:lang w:val="en-US" w:eastAsia="zh-CN"/>
                    </w:rPr>
                    <w:t>1</w:t>
                  </w:r>
                </w:p>
              </w:tc>
              <w:tc>
                <w:tcPr>
                  <w:tcW w:w="311"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c>
                <w:tcPr>
                  <w:tcW w:w="309" w:type="pct"/>
                  <w:vMerge w:val="continue"/>
                  <w:shd w:val="clear" w:color="auto" w:fill="auto"/>
                  <w:vAlign w:val="center"/>
                </w:tcPr>
                <w:p>
                  <w:pPr>
                    <w:adjustRightInd w:val="0"/>
                    <w:snapToGrid w:val="0"/>
                    <w:jc w:val="center"/>
                    <w:rPr>
                      <w:rFonts w:hint="default" w:ascii="Times New Roman" w:hAnsi="Times New Roman" w:cs="Times New Roman"/>
                      <w:sz w:val="18"/>
                      <w:szCs w:val="18"/>
                    </w:rPr>
                  </w:pPr>
                </w:p>
              </w:tc>
            </w:tr>
          </w:tbl>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3</w:t>
            </w:r>
            <w:r>
              <w:rPr>
                <w:rFonts w:hint="default" w:ascii="Times New Roman" w:hAnsi="Times New Roman" w:cs="Times New Roman"/>
                <w:b/>
                <w:bCs/>
                <w:sz w:val="24"/>
                <w:szCs w:val="24"/>
              </w:rPr>
              <w:t>、依托集中污水处理厂可行性分析</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A、污水处理厂概况</w:t>
            </w:r>
          </w:p>
          <w:p>
            <w:pPr>
              <w:tabs>
                <w:tab w:val="left" w:pos="3544"/>
              </w:tabs>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位于衡阳县西渡镇豆陂村（湘江流域支流的蒸水河下游）。该项目是采取BOT+TOT模式，一期采取TOT模式经营转让，二期采取BOT模式。该污水处理厂的设计处理规模为6万t/d，总投资9714万元，一期投资3484万元，占地面积34.05亩，采取改良型氧化沟工艺，处理规模为2万t/d，出水执行国家《城镇污水处理厂污染物排放标准》（GB18918-2002）中的一级B标准，投运日期：一期2009年12月；环保验收时间：一期2009年12月。2014年，县委、县政府决定启动污水处理二期，二期总投资6230万元，占地面积32.04亩，污泥脱水采用板框压滤，污泥含水率降至60%以下运至利达垃圾场进行填埋，投运日期：二期2015年5月，环保验收时间：二期2015年8月。</w:t>
            </w:r>
          </w:p>
          <w:p>
            <w:pPr>
              <w:tabs>
                <w:tab w:val="left" w:pos="3544"/>
              </w:tabs>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污水处理厂实际处理生活污水规模为4万t/d。2019年4月，对衡阳县</w:t>
            </w:r>
            <w:r>
              <w:rPr>
                <w:rFonts w:hint="default" w:ascii="Times New Roman" w:hAnsi="Times New Roman" w:cs="Times New Roman"/>
                <w:sz w:val="24"/>
                <w:szCs w:val="24"/>
                <w:lang w:val="en-US" w:eastAsia="zh-CN"/>
              </w:rPr>
              <w:t>国祯</w:t>
            </w:r>
            <w:r>
              <w:rPr>
                <w:rFonts w:hint="default" w:ascii="Times New Roman" w:hAnsi="Times New Roman" w:cs="Times New Roman"/>
                <w:sz w:val="24"/>
                <w:szCs w:val="24"/>
              </w:rPr>
              <w:t>污水处理厂提标改造，处理规模不变，新增高效沉淀池+反硝化滤池，处理后排放标准由原来的一级B提升至一级A标准，根据现场勘查，提标改造工程已完成并正常运行。</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B、接管可行性分析</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1）水质方面</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本项目外排废水主要污染物为COD、BOD5、氨氮、SS</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石油类</w:t>
            </w:r>
            <w:r>
              <w:rPr>
                <w:rFonts w:hint="default" w:ascii="Times New Roman" w:hAnsi="Times New Roman" w:cs="Times New Roman"/>
                <w:sz w:val="24"/>
                <w:szCs w:val="24"/>
              </w:rPr>
              <w:t>等，没有特殊的污染因子，因此本项目废水排入衡阳县国祯污水处理厂后不会对其水质造成冲击，从水质角度接管是可行的。</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2）水量方面</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本项目外排废水量为</w:t>
            </w:r>
            <w:r>
              <w:rPr>
                <w:rFonts w:hint="default" w:ascii="Times New Roman" w:hAnsi="Times New Roman" w:cs="Times New Roman"/>
                <w:sz w:val="24"/>
                <w:szCs w:val="24"/>
                <w:lang w:val="en-US" w:eastAsia="zh-CN"/>
              </w:rPr>
              <w:t>6720</w:t>
            </w:r>
            <w:r>
              <w:rPr>
                <w:rFonts w:hint="default" w:ascii="Times New Roman" w:hAnsi="Times New Roman" w:cs="Times New Roman"/>
                <w:sz w:val="24"/>
                <w:szCs w:val="24"/>
              </w:rPr>
              <w:t>m3/a（</w:t>
            </w:r>
            <w:r>
              <w:rPr>
                <w:rFonts w:hint="default" w:ascii="Times New Roman" w:hAnsi="Times New Roman" w:cs="Times New Roman"/>
                <w:sz w:val="24"/>
                <w:szCs w:val="24"/>
                <w:lang w:val="en-US" w:eastAsia="zh-CN"/>
              </w:rPr>
              <w:t>22.4</w:t>
            </w:r>
            <w:r>
              <w:rPr>
                <w:rFonts w:hint="default" w:ascii="Times New Roman" w:hAnsi="Times New Roman" w:cs="Times New Roman"/>
                <w:sz w:val="24"/>
                <w:szCs w:val="24"/>
              </w:rPr>
              <w:t>m3/d），仅衡阳县国祯污水处理厂处理规模的0.0</w:t>
            </w:r>
            <w:r>
              <w:rPr>
                <w:rFonts w:hint="default" w:ascii="Times New Roman" w:hAnsi="Times New Roman" w:cs="Times New Roman"/>
                <w:sz w:val="24"/>
                <w:szCs w:val="24"/>
                <w:lang w:val="en-US" w:eastAsia="zh-CN"/>
              </w:rPr>
              <w:t>56</w:t>
            </w:r>
            <w:r>
              <w:rPr>
                <w:rFonts w:hint="default" w:ascii="Times New Roman" w:hAnsi="Times New Roman" w:cs="Times New Roman"/>
                <w:sz w:val="24"/>
                <w:szCs w:val="24"/>
              </w:rPr>
              <w:t>%，排放水量相对于污水处理厂接管能力来说很小，不会对其水量造成冲击，从水量角度接管是可行的。</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3）纳管范围</w:t>
            </w:r>
          </w:p>
          <w:p>
            <w:pPr>
              <w:adjustRightInd w:val="0"/>
              <w:snapToGrid w:val="0"/>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衡阳县国祯污水处理厂主要服务</w:t>
            </w:r>
            <w:r>
              <w:rPr>
                <w:rFonts w:hint="default" w:ascii="Times New Roman" w:hAnsi="Times New Roman" w:cs="Times New Roman"/>
                <w:sz w:val="24"/>
                <w:szCs w:val="24"/>
                <w:lang w:val="en-US" w:eastAsia="zh-CN"/>
              </w:rPr>
              <w:t>总规划的衡阳县县城城区</w:t>
            </w:r>
            <w:r>
              <w:rPr>
                <w:rFonts w:hint="default" w:ascii="Times New Roman" w:hAnsi="Times New Roman" w:cs="Times New Roman"/>
                <w:sz w:val="24"/>
                <w:szCs w:val="24"/>
              </w:rPr>
              <w:t>，本项目位于衡阳县西渡镇清江北路5号（衡阳市新德力交通材料有限公司现有厂区内），在衡阳县国祯污水处理厂</w:t>
            </w:r>
            <w:r>
              <w:rPr>
                <w:rFonts w:hint="default" w:ascii="Times New Roman" w:hAnsi="Times New Roman" w:cs="Times New Roman"/>
                <w:sz w:val="24"/>
                <w:szCs w:val="24"/>
                <w:lang w:val="en-US" w:eastAsia="zh-CN"/>
              </w:rPr>
              <w:t>污水管网</w:t>
            </w:r>
            <w:r>
              <w:rPr>
                <w:rFonts w:hint="default" w:ascii="Times New Roman" w:hAnsi="Times New Roman" w:cs="Times New Roman"/>
                <w:sz w:val="24"/>
                <w:szCs w:val="24"/>
              </w:rPr>
              <w:t>规划范围内，目前，周边污水管网已铺设完成，因此废水能够通过市政污水管网进入衡阳县国祯污水处理厂</w:t>
            </w:r>
            <w:r>
              <w:rPr>
                <w:rFonts w:hint="default" w:ascii="Times New Roman" w:hAnsi="Times New Roman" w:cs="Times New Roman"/>
                <w:sz w:val="24"/>
                <w:szCs w:val="24"/>
                <w:lang w:eastAsia="zh-CN"/>
              </w:rPr>
              <w:t>。</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综上，本项目废水外排去向可行。项目废水量很小，进入衡阳县国祯污水处理厂深度处理达标后，对地表水体不会造成不利影响。</w:t>
            </w:r>
          </w:p>
          <w:p>
            <w:pPr>
              <w:tabs>
                <w:tab w:val="left" w:pos="8580"/>
              </w:tabs>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3、排放口情况</w:t>
            </w:r>
          </w:p>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13</w:t>
            </w:r>
            <w:r>
              <w:rPr>
                <w:rFonts w:hint="default" w:ascii="Times New Roman" w:hAnsi="Times New Roman" w:cs="Times New Roman"/>
                <w:b/>
                <w:bCs/>
                <w:sz w:val="21"/>
                <w:szCs w:val="21"/>
              </w:rPr>
              <w:t xml:space="preserve">  废水类别、污染物及污染治理设施信息表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38"/>
              <w:gridCol w:w="1275"/>
              <w:gridCol w:w="1919"/>
              <w:gridCol w:w="1341"/>
              <w:gridCol w:w="1341"/>
              <w:gridCol w:w="1341"/>
              <w:gridCol w:w="133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46"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废水类别</w:t>
                  </w:r>
                </w:p>
              </w:tc>
              <w:tc>
                <w:tcPr>
                  <w:tcW w:w="679"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污染物种类</w:t>
                  </w:r>
                </w:p>
              </w:tc>
              <w:tc>
                <w:tcPr>
                  <w:tcW w:w="1022"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排放规律</w:t>
                  </w:r>
                </w:p>
              </w:tc>
              <w:tc>
                <w:tcPr>
                  <w:tcW w:w="714"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污染治理设施</w:t>
                  </w:r>
                </w:p>
              </w:tc>
              <w:tc>
                <w:tcPr>
                  <w:tcW w:w="714"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排放口编号</w:t>
                  </w:r>
                </w:p>
              </w:tc>
              <w:tc>
                <w:tcPr>
                  <w:tcW w:w="714"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排放口是否符合要求</w:t>
                  </w:r>
                </w:p>
              </w:tc>
              <w:tc>
                <w:tcPr>
                  <w:tcW w:w="710"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排放口类型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46"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综合废水</w:t>
                  </w:r>
                </w:p>
              </w:tc>
              <w:tc>
                <w:tcPr>
                  <w:tcW w:w="679"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COD</w:t>
                  </w:r>
                </w:p>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BOD</w:t>
                  </w:r>
                  <w:r>
                    <w:rPr>
                      <w:rFonts w:hint="default" w:ascii="Times New Roman" w:hAnsi="Times New Roman" w:cs="Times New Roman"/>
                      <w:sz w:val="21"/>
                      <w:szCs w:val="21"/>
                      <w:vertAlign w:val="subscript"/>
                    </w:rPr>
                    <w:t>5</w:t>
                  </w:r>
                </w:p>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w:t>
                  </w:r>
                </w:p>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SS</w:t>
                  </w:r>
                </w:p>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石油类</w:t>
                  </w:r>
                </w:p>
              </w:tc>
              <w:tc>
                <w:tcPr>
                  <w:tcW w:w="1022"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间断排放，排放期间流量不稳定且无规律，但不属于冲击型排放</w:t>
                  </w:r>
                </w:p>
              </w:tc>
              <w:tc>
                <w:tcPr>
                  <w:tcW w:w="714"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化粪池</w:t>
                  </w:r>
                </w:p>
              </w:tc>
              <w:tc>
                <w:tcPr>
                  <w:tcW w:w="71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DW001</w:t>
                  </w:r>
                </w:p>
              </w:tc>
              <w:tc>
                <w:tcPr>
                  <w:tcW w:w="71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是</w:t>
                  </w:r>
                </w:p>
              </w:tc>
              <w:tc>
                <w:tcPr>
                  <w:tcW w:w="710"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一般排放口</w:t>
                  </w:r>
                </w:p>
              </w:tc>
            </w:tr>
          </w:tbl>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14</w:t>
            </w:r>
            <w:r>
              <w:rPr>
                <w:rFonts w:hint="default" w:ascii="Times New Roman" w:hAnsi="Times New Roman" w:cs="Times New Roman"/>
                <w:b/>
                <w:bCs/>
                <w:sz w:val="21"/>
                <w:szCs w:val="21"/>
              </w:rPr>
              <w:t xml:space="preserve">  废水排放口基本情况表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81"/>
              <w:gridCol w:w="1650"/>
              <w:gridCol w:w="1114"/>
              <w:gridCol w:w="1114"/>
              <w:gridCol w:w="1114"/>
              <w:gridCol w:w="1116"/>
              <w:gridCol w:w="1116"/>
              <w:gridCol w:w="128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排放口编号</w:t>
                  </w:r>
                </w:p>
              </w:tc>
              <w:tc>
                <w:tcPr>
                  <w:tcW w:w="878"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排放口地理坐标</w:t>
                  </w:r>
                </w:p>
              </w:tc>
              <w:tc>
                <w:tcPr>
                  <w:tcW w:w="593"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废水排放量（t/a）</w:t>
                  </w:r>
                </w:p>
              </w:tc>
              <w:tc>
                <w:tcPr>
                  <w:tcW w:w="593"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排放方式</w:t>
                  </w:r>
                </w:p>
              </w:tc>
              <w:tc>
                <w:tcPr>
                  <w:tcW w:w="593"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排放去向</w:t>
                  </w:r>
                </w:p>
              </w:tc>
              <w:tc>
                <w:tcPr>
                  <w:tcW w:w="1871" w:type="pct"/>
                  <w:gridSpan w:val="3"/>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受纳污水处理厂/水体名称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DW001</w:t>
                  </w:r>
                </w:p>
              </w:tc>
              <w:tc>
                <w:tcPr>
                  <w:tcW w:w="878"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E 112.387120°</w:t>
                  </w:r>
                </w:p>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N 26.972004°</w:t>
                  </w:r>
                </w:p>
              </w:tc>
              <w:tc>
                <w:tcPr>
                  <w:tcW w:w="593" w:type="pct"/>
                  <w:vMerge w:val="restart"/>
                  <w:shd w:val="clear" w:color="auto" w:fill="auto"/>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6720</w:t>
                  </w:r>
                </w:p>
              </w:tc>
              <w:tc>
                <w:tcPr>
                  <w:tcW w:w="593" w:type="pct"/>
                  <w:vMerge w:val="restar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间接排放</w:t>
                  </w:r>
                </w:p>
              </w:tc>
              <w:tc>
                <w:tcPr>
                  <w:tcW w:w="593" w:type="pct"/>
                  <w:vMerge w:val="restar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市政污水管网</w:t>
                  </w:r>
                </w:p>
              </w:tc>
              <w:tc>
                <w:tcPr>
                  <w:tcW w:w="594"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衡阳县国祯污水处理厂</w:t>
                  </w:r>
                </w:p>
              </w:tc>
              <w:tc>
                <w:tcPr>
                  <w:tcW w:w="59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COD</w:t>
                  </w:r>
                </w:p>
              </w:tc>
              <w:tc>
                <w:tcPr>
                  <w:tcW w:w="681"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50mg/L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Merge w:val="continue"/>
                  <w:vAlign w:val="center"/>
                </w:tcPr>
                <w:p>
                  <w:pPr>
                    <w:adjustRightInd w:val="0"/>
                    <w:snapToGrid w:val="0"/>
                    <w:jc w:val="center"/>
                    <w:rPr>
                      <w:rFonts w:hint="default" w:ascii="Times New Roman" w:hAnsi="Times New Roman" w:cs="Times New Roman"/>
                      <w:sz w:val="21"/>
                      <w:szCs w:val="21"/>
                    </w:rPr>
                  </w:pPr>
                </w:p>
              </w:tc>
              <w:tc>
                <w:tcPr>
                  <w:tcW w:w="878" w:type="pct"/>
                  <w:vMerge w:val="continue"/>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4" w:type="pct"/>
                  <w:vMerge w:val="continue"/>
                  <w:vAlign w:val="center"/>
                </w:tcPr>
                <w:p>
                  <w:pPr>
                    <w:adjustRightInd w:val="0"/>
                    <w:snapToGrid w:val="0"/>
                    <w:jc w:val="center"/>
                    <w:rPr>
                      <w:rFonts w:hint="default" w:ascii="Times New Roman" w:hAnsi="Times New Roman" w:cs="Times New Roman"/>
                      <w:sz w:val="21"/>
                      <w:szCs w:val="21"/>
                    </w:rPr>
                  </w:pPr>
                </w:p>
              </w:tc>
              <w:tc>
                <w:tcPr>
                  <w:tcW w:w="59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BOD</w:t>
                  </w:r>
                  <w:r>
                    <w:rPr>
                      <w:rFonts w:hint="default" w:ascii="Times New Roman" w:hAnsi="Times New Roman" w:cs="Times New Roman"/>
                      <w:sz w:val="21"/>
                      <w:szCs w:val="21"/>
                      <w:vertAlign w:val="subscript"/>
                    </w:rPr>
                    <w:t>5</w:t>
                  </w:r>
                </w:p>
              </w:tc>
              <w:tc>
                <w:tcPr>
                  <w:tcW w:w="681"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10mg/L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Merge w:val="continue"/>
                  <w:vAlign w:val="center"/>
                </w:tcPr>
                <w:p>
                  <w:pPr>
                    <w:adjustRightInd w:val="0"/>
                    <w:snapToGrid w:val="0"/>
                    <w:jc w:val="center"/>
                    <w:rPr>
                      <w:rFonts w:hint="default" w:ascii="Times New Roman" w:hAnsi="Times New Roman" w:cs="Times New Roman"/>
                      <w:sz w:val="21"/>
                      <w:szCs w:val="21"/>
                    </w:rPr>
                  </w:pPr>
                </w:p>
              </w:tc>
              <w:tc>
                <w:tcPr>
                  <w:tcW w:w="878" w:type="pct"/>
                  <w:vMerge w:val="continue"/>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4" w:type="pct"/>
                  <w:vMerge w:val="continue"/>
                  <w:vAlign w:val="center"/>
                </w:tcPr>
                <w:p>
                  <w:pPr>
                    <w:adjustRightInd w:val="0"/>
                    <w:snapToGrid w:val="0"/>
                    <w:jc w:val="center"/>
                    <w:rPr>
                      <w:rFonts w:hint="default" w:ascii="Times New Roman" w:hAnsi="Times New Roman" w:cs="Times New Roman"/>
                      <w:sz w:val="21"/>
                      <w:szCs w:val="21"/>
                    </w:rPr>
                  </w:pPr>
                </w:p>
              </w:tc>
              <w:tc>
                <w:tcPr>
                  <w:tcW w:w="59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SS</w:t>
                  </w:r>
                </w:p>
              </w:tc>
              <w:tc>
                <w:tcPr>
                  <w:tcW w:w="681"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10mg/L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Merge w:val="continue"/>
                  <w:vAlign w:val="center"/>
                </w:tcPr>
                <w:p>
                  <w:pPr>
                    <w:adjustRightInd w:val="0"/>
                    <w:snapToGrid w:val="0"/>
                    <w:jc w:val="center"/>
                    <w:rPr>
                      <w:rFonts w:hint="default" w:ascii="Times New Roman" w:hAnsi="Times New Roman" w:cs="Times New Roman"/>
                      <w:sz w:val="21"/>
                      <w:szCs w:val="21"/>
                    </w:rPr>
                  </w:pPr>
                </w:p>
              </w:tc>
              <w:tc>
                <w:tcPr>
                  <w:tcW w:w="878" w:type="pct"/>
                  <w:vMerge w:val="continue"/>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4" w:type="pct"/>
                  <w:vMerge w:val="continue"/>
                  <w:vAlign w:val="center"/>
                </w:tcPr>
                <w:p>
                  <w:pPr>
                    <w:adjustRightInd w:val="0"/>
                    <w:snapToGrid w:val="0"/>
                    <w:jc w:val="center"/>
                    <w:rPr>
                      <w:rFonts w:hint="default" w:ascii="Times New Roman" w:hAnsi="Times New Roman" w:cs="Times New Roman"/>
                      <w:sz w:val="21"/>
                      <w:szCs w:val="21"/>
                    </w:rPr>
                  </w:pPr>
                </w:p>
              </w:tc>
              <w:tc>
                <w:tcPr>
                  <w:tcW w:w="594"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w:t>
                  </w:r>
                </w:p>
              </w:tc>
              <w:tc>
                <w:tcPr>
                  <w:tcW w:w="681"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5mg/L</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69" w:type="pct"/>
                  <w:vMerge w:val="continue"/>
                  <w:vAlign w:val="center"/>
                </w:tcPr>
                <w:p>
                  <w:pPr>
                    <w:adjustRightInd w:val="0"/>
                    <w:snapToGrid w:val="0"/>
                    <w:jc w:val="center"/>
                    <w:rPr>
                      <w:rFonts w:hint="default" w:ascii="Times New Roman" w:hAnsi="Times New Roman" w:cs="Times New Roman"/>
                      <w:sz w:val="21"/>
                      <w:szCs w:val="21"/>
                    </w:rPr>
                  </w:pPr>
                </w:p>
              </w:tc>
              <w:tc>
                <w:tcPr>
                  <w:tcW w:w="878" w:type="pct"/>
                  <w:vMerge w:val="continue"/>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3" w:type="pct"/>
                  <w:vMerge w:val="continue"/>
                  <w:shd w:val="clear" w:color="auto" w:fill="auto"/>
                  <w:vAlign w:val="center"/>
                </w:tcPr>
                <w:p>
                  <w:pPr>
                    <w:adjustRightInd w:val="0"/>
                    <w:snapToGrid w:val="0"/>
                    <w:jc w:val="center"/>
                    <w:rPr>
                      <w:rFonts w:hint="default" w:ascii="Times New Roman" w:hAnsi="Times New Roman" w:cs="Times New Roman"/>
                      <w:sz w:val="21"/>
                      <w:szCs w:val="21"/>
                    </w:rPr>
                  </w:pPr>
                </w:p>
              </w:tc>
              <w:tc>
                <w:tcPr>
                  <w:tcW w:w="594" w:type="pct"/>
                  <w:vMerge w:val="continue"/>
                  <w:vAlign w:val="center"/>
                </w:tcPr>
                <w:p>
                  <w:pPr>
                    <w:adjustRightInd w:val="0"/>
                    <w:snapToGrid w:val="0"/>
                    <w:jc w:val="center"/>
                    <w:rPr>
                      <w:rFonts w:hint="default" w:ascii="Times New Roman" w:hAnsi="Times New Roman" w:cs="Times New Roman"/>
                      <w:sz w:val="21"/>
                      <w:szCs w:val="21"/>
                    </w:rPr>
                  </w:pPr>
                </w:p>
              </w:tc>
              <w:tc>
                <w:tcPr>
                  <w:tcW w:w="594"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石油类</w:t>
                  </w:r>
                </w:p>
              </w:tc>
              <w:tc>
                <w:tcPr>
                  <w:tcW w:w="681"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1</w:t>
                  </w:r>
                  <w:r>
                    <w:rPr>
                      <w:rFonts w:hint="default" w:ascii="Times New Roman" w:hAnsi="Times New Roman" w:cs="Times New Roman"/>
                      <w:sz w:val="21"/>
                      <w:szCs w:val="21"/>
                    </w:rPr>
                    <w:t>mg/L</w:t>
                  </w:r>
                </w:p>
              </w:tc>
            </w:tr>
          </w:tbl>
          <w:p>
            <w:pPr>
              <w:tabs>
                <w:tab w:val="left" w:pos="8580"/>
              </w:tabs>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4、污染物排放量核算</w:t>
            </w:r>
          </w:p>
          <w:p>
            <w:pPr>
              <w:tabs>
                <w:tab w:val="left" w:pos="8580"/>
              </w:tabs>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根据《环境影响评价技术导则  地表水环境》（HJ 2.3-2018）：间接排放建设项目污染源排放量核算根据依托污水处理设施的控制要求核算确定。项目废水接管后最终纳入衡阳县国祯污水处理厂处置，则项目废水接管后污染排放量按照《城镇污水处理厂污染物排放标准》（GB18918-2002）一级</w:t>
            </w:r>
            <w:r>
              <w:rPr>
                <w:rFonts w:hint="default" w:ascii="Times New Roman" w:hAnsi="Times New Roman" w:cs="Times New Roman"/>
                <w:sz w:val="24"/>
                <w:szCs w:val="24"/>
                <w:lang w:val="en-US" w:eastAsia="zh-CN"/>
              </w:rPr>
              <w:t>A</w:t>
            </w:r>
            <w:r>
              <w:rPr>
                <w:rFonts w:hint="default" w:ascii="Times New Roman" w:hAnsi="Times New Roman" w:cs="Times New Roman"/>
                <w:sz w:val="24"/>
                <w:szCs w:val="24"/>
              </w:rPr>
              <w:t>标准进行核算。</w:t>
            </w:r>
          </w:p>
          <w:p>
            <w:pPr>
              <w:spacing w:before="120"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15</w:t>
            </w:r>
            <w:r>
              <w:rPr>
                <w:rFonts w:hint="default" w:ascii="Times New Roman" w:hAnsi="Times New Roman" w:cs="Times New Roman"/>
                <w:b/>
                <w:bCs/>
                <w:sz w:val="21"/>
                <w:szCs w:val="21"/>
              </w:rPr>
              <w:t xml:space="preserve">  废水污染物排放信息表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347"/>
              <w:gridCol w:w="2349"/>
              <w:gridCol w:w="2349"/>
              <w:gridCol w:w="23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编号</w:t>
                  </w:r>
                </w:p>
              </w:tc>
              <w:tc>
                <w:tcPr>
                  <w:tcW w:w="1251" w:type="pct"/>
                  <w:shd w:val="clear" w:color="auto" w:fill="auto"/>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污染物种类</w:t>
                  </w:r>
                </w:p>
              </w:tc>
              <w:tc>
                <w:tcPr>
                  <w:tcW w:w="1251"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排放浓度mg/L</w:t>
                  </w:r>
                </w:p>
              </w:tc>
              <w:tc>
                <w:tcPr>
                  <w:tcW w:w="1248"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排放量t/a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DW001（</w:t>
                  </w:r>
                  <w:r>
                    <w:rPr>
                      <w:rFonts w:hint="default" w:ascii="Times New Roman" w:hAnsi="Times New Roman" w:cs="Times New Roman"/>
                      <w:sz w:val="21"/>
                      <w:szCs w:val="21"/>
                      <w:lang w:val="en-US" w:eastAsia="zh-CN"/>
                    </w:rPr>
                    <w:t>6720</w:t>
                  </w:r>
                  <w:r>
                    <w:rPr>
                      <w:rFonts w:hint="default" w:ascii="Times New Roman" w:hAnsi="Times New Roman" w:cs="Times New Roman"/>
                      <w:sz w:val="21"/>
                      <w:szCs w:val="21"/>
                    </w:rPr>
                    <w:t>m3/a）</w:t>
                  </w:r>
                </w:p>
              </w:tc>
              <w:tc>
                <w:tcPr>
                  <w:tcW w:w="1251"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COD</w:t>
                  </w:r>
                </w:p>
              </w:tc>
              <w:tc>
                <w:tcPr>
                  <w:tcW w:w="2349"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50</w:t>
                  </w:r>
                </w:p>
              </w:tc>
              <w:tc>
                <w:tcPr>
                  <w:tcW w:w="2343"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0.336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Merge w:val="continue"/>
                  <w:vAlign w:val="center"/>
                </w:tcPr>
                <w:p>
                  <w:pPr>
                    <w:adjustRightInd w:val="0"/>
                    <w:snapToGrid w:val="0"/>
                    <w:jc w:val="center"/>
                    <w:rPr>
                      <w:rFonts w:hint="default" w:ascii="Times New Roman" w:hAnsi="Times New Roman" w:cs="Times New Roman"/>
                      <w:sz w:val="21"/>
                      <w:szCs w:val="21"/>
                    </w:rPr>
                  </w:pPr>
                </w:p>
              </w:tc>
              <w:tc>
                <w:tcPr>
                  <w:tcW w:w="1251"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BOD</w:t>
                  </w:r>
                  <w:r>
                    <w:rPr>
                      <w:rFonts w:hint="default" w:ascii="Times New Roman" w:hAnsi="Times New Roman" w:cs="Times New Roman"/>
                      <w:sz w:val="21"/>
                      <w:szCs w:val="21"/>
                      <w:vertAlign w:val="subscript"/>
                    </w:rPr>
                    <w:t>5</w:t>
                  </w:r>
                </w:p>
              </w:tc>
              <w:tc>
                <w:tcPr>
                  <w:tcW w:w="2349"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10</w:t>
                  </w:r>
                </w:p>
              </w:tc>
              <w:tc>
                <w:tcPr>
                  <w:tcW w:w="2343"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Merge w:val="continue"/>
                  <w:vAlign w:val="center"/>
                </w:tcPr>
                <w:p>
                  <w:pPr>
                    <w:adjustRightInd w:val="0"/>
                    <w:snapToGrid w:val="0"/>
                    <w:jc w:val="center"/>
                    <w:rPr>
                      <w:rFonts w:hint="default" w:ascii="Times New Roman" w:hAnsi="Times New Roman" w:cs="Times New Roman"/>
                      <w:sz w:val="21"/>
                      <w:szCs w:val="21"/>
                    </w:rPr>
                  </w:pPr>
                </w:p>
              </w:tc>
              <w:tc>
                <w:tcPr>
                  <w:tcW w:w="1251"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SS</w:t>
                  </w:r>
                </w:p>
              </w:tc>
              <w:tc>
                <w:tcPr>
                  <w:tcW w:w="2349"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5</w:t>
                  </w:r>
                </w:p>
              </w:tc>
              <w:tc>
                <w:tcPr>
                  <w:tcW w:w="2343"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0.034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Merge w:val="continue"/>
                  <w:vAlign w:val="center"/>
                </w:tcPr>
                <w:p>
                  <w:pPr>
                    <w:adjustRightInd w:val="0"/>
                    <w:snapToGrid w:val="0"/>
                    <w:jc w:val="center"/>
                    <w:rPr>
                      <w:rFonts w:hint="default" w:ascii="Times New Roman" w:hAnsi="Times New Roman" w:cs="Times New Roman"/>
                      <w:sz w:val="21"/>
                      <w:szCs w:val="21"/>
                    </w:rPr>
                  </w:pPr>
                </w:p>
              </w:tc>
              <w:tc>
                <w:tcPr>
                  <w:tcW w:w="1251"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w:t>
                  </w:r>
                </w:p>
              </w:tc>
              <w:tc>
                <w:tcPr>
                  <w:tcW w:w="2349"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10</w:t>
                  </w:r>
                </w:p>
              </w:tc>
              <w:tc>
                <w:tcPr>
                  <w:tcW w:w="2343"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Merge w:val="continue"/>
                  <w:vAlign w:val="center"/>
                </w:tcPr>
                <w:p>
                  <w:pPr>
                    <w:adjustRightInd w:val="0"/>
                    <w:snapToGrid w:val="0"/>
                    <w:jc w:val="center"/>
                    <w:rPr>
                      <w:rFonts w:hint="default" w:ascii="Times New Roman" w:hAnsi="Times New Roman" w:cs="Times New Roman"/>
                      <w:sz w:val="21"/>
                      <w:szCs w:val="21"/>
                    </w:rPr>
                  </w:pPr>
                </w:p>
              </w:tc>
              <w:tc>
                <w:tcPr>
                  <w:tcW w:w="1251" w:type="pct"/>
                  <w:shd w:val="clear" w:color="auto" w:fill="auto"/>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石油类</w:t>
                  </w:r>
                </w:p>
              </w:tc>
              <w:tc>
                <w:tcPr>
                  <w:tcW w:w="2349"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1</w:t>
                  </w:r>
                </w:p>
              </w:tc>
              <w:tc>
                <w:tcPr>
                  <w:tcW w:w="2343" w:type="dxa"/>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0.0067</w:t>
                  </w:r>
                </w:p>
              </w:tc>
            </w:tr>
          </w:tbl>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5、监测要求</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依据《排污单位自行监测技术指南 总则》（HJ 819-2017）、《排污许可证申请与核发技术规范 总则》（HJ942-2018）、《环境影响评价技术导则  地表水环境》（HJ2.3-2018），本项目属于间接排放且仅排放生活污水，水污染源无需开展环境监测。</w:t>
            </w:r>
          </w:p>
          <w:p>
            <w:pPr>
              <w:adjustRightInd w:val="0"/>
              <w:snapToGri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三、噪声</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1、预测模型</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根据项目建设内容及《环境影响评价技术导则  声环境》（HJ2.4-2021）的要求，项目环评采用的模型为《环境影响评价技术导则声环境》（HJ2.4-2021）附录A（规范性附录）户外声传播的衰减和附录B（规范性附录）中“B.1工业噪声预测计算模型”。</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2、预测参数</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（1）源强</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技改项目主要新增碳化除油炉、密闭四方滚筒燃气渗锌炉、自动配料吸送装置</w:t>
            </w:r>
            <w:r>
              <w:rPr>
                <w:rFonts w:hint="default" w:ascii="Times New Roman" w:hAnsi="Times New Roman" w:cs="Times New Roman"/>
                <w:sz w:val="24"/>
                <w:szCs w:val="24"/>
              </w:rPr>
              <w:t>等</w:t>
            </w:r>
            <w:r>
              <w:rPr>
                <w:rFonts w:hint="default" w:ascii="Times New Roman" w:hAnsi="Times New Roman" w:cs="Times New Roman"/>
                <w:sz w:val="24"/>
                <w:szCs w:val="24"/>
                <w:lang w:val="en-US" w:eastAsia="zh-CN"/>
              </w:rPr>
              <w:t>设备</w:t>
            </w:r>
            <w:r>
              <w:rPr>
                <w:rFonts w:hint="default" w:ascii="Times New Roman" w:hAnsi="Times New Roman" w:cs="Times New Roman"/>
                <w:sz w:val="24"/>
                <w:szCs w:val="24"/>
              </w:rPr>
              <w:t>，这些设备产生的噪声声级一般在</w:t>
            </w:r>
            <w:r>
              <w:rPr>
                <w:rFonts w:hint="default" w:ascii="Times New Roman" w:hAnsi="Times New Roman" w:cs="Times New Roman"/>
                <w:sz w:val="24"/>
                <w:szCs w:val="24"/>
                <w:lang w:val="en-US" w:eastAsia="zh-CN"/>
              </w:rPr>
              <w:t>80</w:t>
            </w:r>
            <w:r>
              <w:rPr>
                <w:rFonts w:hint="default" w:ascii="Times New Roman" w:hAnsi="Times New Roman" w:cs="Times New Roman"/>
                <w:sz w:val="24"/>
                <w:szCs w:val="24"/>
              </w:rPr>
              <w:t>~85dB（A）。主要噪声源排放情况见下表4-</w:t>
            </w:r>
            <w:r>
              <w:rPr>
                <w:rFonts w:hint="default" w:ascii="Times New Roman" w:hAnsi="Times New Roman" w:cs="Times New Roman"/>
                <w:sz w:val="24"/>
                <w:szCs w:val="24"/>
                <w:lang w:val="en-US" w:eastAsia="zh-CN"/>
              </w:rPr>
              <w:t>16</w:t>
            </w:r>
            <w:r>
              <w:rPr>
                <w:rFonts w:hint="default" w:ascii="Times New Roman" w:hAnsi="Times New Roman" w:cs="Times New Roman"/>
                <w:sz w:val="24"/>
                <w:szCs w:val="24"/>
              </w:rPr>
              <w:t>。</w:t>
            </w:r>
          </w:p>
          <w:p>
            <w:pPr>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16</w:t>
            </w:r>
            <w:r>
              <w:rPr>
                <w:rFonts w:hint="default" w:ascii="Times New Roman" w:hAnsi="Times New Roman" w:cs="Times New Roman"/>
                <w:b/>
                <w:bCs/>
                <w:sz w:val="21"/>
                <w:szCs w:val="21"/>
              </w:rPr>
              <w:t xml:space="preserve">  工业企业噪声源强调查清单（室内声源）</w:t>
            </w:r>
          </w:p>
          <w:tbl>
            <w:tblPr>
              <w:tblStyle w:val="26"/>
              <w:tblW w:w="499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80"/>
              <w:gridCol w:w="751"/>
              <w:gridCol w:w="1061"/>
              <w:gridCol w:w="755"/>
              <w:gridCol w:w="1237"/>
              <w:gridCol w:w="1038"/>
              <w:gridCol w:w="1022"/>
              <w:gridCol w:w="924"/>
              <w:gridCol w:w="933"/>
              <w:gridCol w:w="97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trPr>
              <w:tc>
                <w:tcPr>
                  <w:tcW w:w="362"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400"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建筑物名称</w:t>
                  </w:r>
                </w:p>
              </w:tc>
              <w:tc>
                <w:tcPr>
                  <w:tcW w:w="565"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声源名称</w:t>
                  </w:r>
                </w:p>
              </w:tc>
              <w:tc>
                <w:tcPr>
                  <w:tcW w:w="402"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型号</w:t>
                  </w:r>
                </w:p>
              </w:tc>
              <w:tc>
                <w:tcPr>
                  <w:tcW w:w="659"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声功率级/dB（A）</w:t>
                  </w:r>
                </w:p>
              </w:tc>
              <w:tc>
                <w:tcPr>
                  <w:tcW w:w="553" w:type="pct"/>
                  <w:vMerge w:val="restar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声源控制措施</w:t>
                  </w:r>
                </w:p>
              </w:tc>
              <w:tc>
                <w:tcPr>
                  <w:tcW w:w="1534" w:type="pct"/>
                  <w:gridSpan w:val="3"/>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空间相对位置/m</w:t>
                  </w:r>
                </w:p>
              </w:tc>
              <w:tc>
                <w:tcPr>
                  <w:tcW w:w="521" w:type="pct"/>
                  <w:vMerge w:val="restart"/>
                  <w:vAlign w:val="center"/>
                </w:tcPr>
                <w:p>
                  <w:pPr>
                    <w:pStyle w:val="2"/>
                    <w:jc w:val="center"/>
                    <w:rPr>
                      <w:rFonts w:hint="default" w:ascii="Times New Roman" w:hAnsi="Times New Roman" w:cs="Times New Roman"/>
                      <w:b/>
                      <w:bCs/>
                      <w:sz w:val="21"/>
                      <w:szCs w:val="21"/>
                    </w:rPr>
                  </w:pPr>
                  <w:r>
                    <w:rPr>
                      <w:rFonts w:hint="default" w:ascii="Times New Roman" w:hAnsi="Times New Roman" w:cs="Times New Roman"/>
                      <w:b/>
                      <w:bCs/>
                      <w:sz w:val="21"/>
                      <w:szCs w:val="21"/>
                    </w:rPr>
                    <w:t>距室内边界距离/m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62" w:type="pct"/>
                  <w:vMerge w:val="continue"/>
                  <w:vAlign w:val="center"/>
                </w:tcPr>
                <w:p>
                  <w:pPr>
                    <w:jc w:val="center"/>
                    <w:rPr>
                      <w:rFonts w:hint="default" w:ascii="Times New Roman" w:hAnsi="Times New Roman" w:cs="Times New Roman"/>
                      <w:sz w:val="21"/>
                      <w:szCs w:val="21"/>
                    </w:rPr>
                  </w:pPr>
                </w:p>
              </w:tc>
              <w:tc>
                <w:tcPr>
                  <w:tcW w:w="400" w:type="pct"/>
                  <w:vMerge w:val="continue"/>
                  <w:vAlign w:val="center"/>
                </w:tcPr>
                <w:p>
                  <w:pPr>
                    <w:jc w:val="center"/>
                    <w:rPr>
                      <w:rFonts w:hint="default" w:ascii="Times New Roman" w:hAnsi="Times New Roman" w:cs="Times New Roman"/>
                      <w:sz w:val="21"/>
                      <w:szCs w:val="21"/>
                    </w:rPr>
                  </w:pPr>
                </w:p>
              </w:tc>
              <w:tc>
                <w:tcPr>
                  <w:tcW w:w="565" w:type="pct"/>
                  <w:vMerge w:val="continue"/>
                  <w:vAlign w:val="center"/>
                </w:tcPr>
                <w:p>
                  <w:pPr>
                    <w:jc w:val="center"/>
                    <w:rPr>
                      <w:rFonts w:hint="default" w:ascii="Times New Roman" w:hAnsi="Times New Roman" w:cs="Times New Roman"/>
                      <w:sz w:val="21"/>
                      <w:szCs w:val="21"/>
                    </w:rPr>
                  </w:pPr>
                </w:p>
              </w:tc>
              <w:tc>
                <w:tcPr>
                  <w:tcW w:w="402" w:type="pct"/>
                  <w:vMerge w:val="continue"/>
                  <w:vAlign w:val="center"/>
                </w:tcPr>
                <w:p>
                  <w:pPr>
                    <w:jc w:val="center"/>
                    <w:rPr>
                      <w:rFonts w:hint="default" w:ascii="Times New Roman" w:hAnsi="Times New Roman" w:cs="Times New Roman"/>
                      <w:sz w:val="21"/>
                      <w:szCs w:val="21"/>
                    </w:rPr>
                  </w:pPr>
                </w:p>
              </w:tc>
              <w:tc>
                <w:tcPr>
                  <w:tcW w:w="659" w:type="pct"/>
                  <w:vMerge w:val="continue"/>
                  <w:vAlign w:val="center"/>
                </w:tcPr>
                <w:p>
                  <w:pPr>
                    <w:pStyle w:val="2"/>
                    <w:jc w:val="center"/>
                    <w:rPr>
                      <w:rFonts w:hint="default" w:ascii="Times New Roman" w:hAnsi="Times New Roman" w:cs="Times New Roman"/>
                      <w:sz w:val="21"/>
                      <w:szCs w:val="21"/>
                    </w:rPr>
                  </w:pPr>
                </w:p>
              </w:tc>
              <w:tc>
                <w:tcPr>
                  <w:tcW w:w="553" w:type="pct"/>
                  <w:vMerge w:val="continue"/>
                  <w:vAlign w:val="center"/>
                </w:tcPr>
                <w:p>
                  <w:pPr>
                    <w:jc w:val="center"/>
                    <w:rPr>
                      <w:rFonts w:hint="default" w:ascii="Times New Roman" w:hAnsi="Times New Roman" w:cs="Times New Roman"/>
                      <w:sz w:val="21"/>
                      <w:szCs w:val="21"/>
                    </w:rPr>
                  </w:pPr>
                </w:p>
              </w:tc>
              <w:tc>
                <w:tcPr>
                  <w:tcW w:w="544"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X</w:t>
                  </w:r>
                </w:p>
              </w:tc>
              <w:tc>
                <w:tcPr>
                  <w:tcW w:w="492"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Y</w:t>
                  </w:r>
                </w:p>
              </w:tc>
              <w:tc>
                <w:tcPr>
                  <w:tcW w:w="497" w:type="pct"/>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Z</w:t>
                  </w:r>
                </w:p>
              </w:tc>
              <w:tc>
                <w:tcPr>
                  <w:tcW w:w="521" w:type="pct"/>
                  <w:vMerge w:val="continue"/>
                  <w:vAlign w:val="center"/>
                </w:tcPr>
                <w:p>
                  <w:pPr>
                    <w:pStyle w:val="2"/>
                    <w:jc w:val="center"/>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6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400" w:type="pct"/>
                  <w:vMerge w:val="restar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生产车间</w:t>
                  </w:r>
                </w:p>
              </w:tc>
              <w:tc>
                <w:tcPr>
                  <w:tcW w:w="565"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碳化除油炉</w:t>
                  </w:r>
                </w:p>
              </w:tc>
              <w:tc>
                <w:tcPr>
                  <w:tcW w:w="40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659"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8</w:t>
                  </w:r>
                  <w:r>
                    <w:rPr>
                      <w:rFonts w:hint="default" w:ascii="Times New Roman" w:hAnsi="Times New Roman" w:cs="Times New Roman"/>
                      <w:sz w:val="21"/>
                      <w:szCs w:val="21"/>
                      <w:lang w:val="en-US" w:eastAsia="zh-CN"/>
                    </w:rPr>
                    <w:t>0</w:t>
                  </w:r>
                </w:p>
              </w:tc>
              <w:tc>
                <w:tcPr>
                  <w:tcW w:w="5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减振</w:t>
                  </w:r>
                </w:p>
                <w:p>
                  <w:pPr>
                    <w:jc w:val="center"/>
                    <w:rPr>
                      <w:rFonts w:hint="default" w:ascii="Times New Roman" w:hAnsi="Times New Roman" w:cs="Times New Roman"/>
                      <w:sz w:val="21"/>
                      <w:szCs w:val="21"/>
                    </w:rPr>
                  </w:pPr>
                  <w:r>
                    <w:rPr>
                      <w:rFonts w:hint="default" w:ascii="Times New Roman" w:hAnsi="Times New Roman" w:cs="Times New Roman"/>
                      <w:sz w:val="21"/>
                      <w:szCs w:val="21"/>
                    </w:rPr>
                    <w:t>隔声</w:t>
                  </w:r>
                </w:p>
              </w:tc>
              <w:tc>
                <w:tcPr>
                  <w:tcW w:w="544"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-59.7</w:t>
                  </w:r>
                </w:p>
              </w:tc>
              <w:tc>
                <w:tcPr>
                  <w:tcW w:w="49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94.6</w:t>
                  </w:r>
                </w:p>
              </w:tc>
              <w:tc>
                <w:tcPr>
                  <w:tcW w:w="49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92.2</w:t>
                  </w:r>
                </w:p>
              </w:tc>
              <w:tc>
                <w:tcPr>
                  <w:tcW w:w="521"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东</w:t>
                  </w:r>
                  <w:r>
                    <w:rPr>
                      <w:rFonts w:hint="default" w:ascii="Times New Roman" w:hAnsi="Times New Roman" w:cs="Times New Roman"/>
                      <w:sz w:val="21"/>
                      <w:szCs w:val="21"/>
                      <w:lang w:val="en-US" w:eastAsia="zh-CN"/>
                    </w:rPr>
                    <w:t>285</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南</w:t>
                  </w:r>
                  <w:r>
                    <w:rPr>
                      <w:rFonts w:hint="default" w:ascii="Times New Roman" w:hAnsi="Times New Roman" w:cs="Times New Roman"/>
                      <w:sz w:val="21"/>
                      <w:szCs w:val="21"/>
                      <w:lang w:val="en-US" w:eastAsia="zh-CN"/>
                    </w:rPr>
                    <w:t>136</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西</w:t>
                  </w:r>
                  <w:r>
                    <w:rPr>
                      <w:rFonts w:hint="default" w:ascii="Times New Roman" w:hAnsi="Times New Roman" w:cs="Times New Roman"/>
                      <w:sz w:val="21"/>
                      <w:szCs w:val="21"/>
                      <w:lang w:val="en-US" w:eastAsia="zh-CN"/>
                    </w:rPr>
                    <w:t>62</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北</w:t>
                  </w:r>
                  <w:r>
                    <w:rPr>
                      <w:rFonts w:hint="default" w:ascii="Times New Roman" w:hAnsi="Times New Roman" w:cs="Times New Roman"/>
                      <w:sz w:val="21"/>
                      <w:szCs w:val="21"/>
                      <w:lang w:val="en-US" w:eastAsia="zh-CN"/>
                    </w:rPr>
                    <w:t>151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6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w:t>
                  </w:r>
                </w:p>
              </w:tc>
              <w:tc>
                <w:tcPr>
                  <w:tcW w:w="400" w:type="pct"/>
                  <w:vMerge w:val="continue"/>
                  <w:vAlign w:val="center"/>
                </w:tcPr>
                <w:p>
                  <w:pPr>
                    <w:jc w:val="center"/>
                    <w:rPr>
                      <w:rFonts w:hint="default" w:ascii="Times New Roman" w:hAnsi="Times New Roman" w:cs="Times New Roman"/>
                      <w:sz w:val="21"/>
                      <w:szCs w:val="21"/>
                    </w:rPr>
                  </w:pPr>
                </w:p>
              </w:tc>
              <w:tc>
                <w:tcPr>
                  <w:tcW w:w="565"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密闭四方滚筒燃气渗锌炉</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5m</w:t>
                  </w:r>
                  <w:r>
                    <w:rPr>
                      <w:rFonts w:hint="default" w:ascii="Times New Roman" w:hAnsi="Times New Roman" w:cs="Times New Roman"/>
                      <w:sz w:val="21"/>
                      <w:szCs w:val="21"/>
                      <w:lang w:eastAsia="zh-CN"/>
                    </w:rPr>
                    <w:t>）</w:t>
                  </w:r>
                </w:p>
              </w:tc>
              <w:tc>
                <w:tcPr>
                  <w:tcW w:w="40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659"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8</w:t>
                  </w:r>
                  <w:r>
                    <w:rPr>
                      <w:rFonts w:hint="default" w:ascii="Times New Roman" w:hAnsi="Times New Roman" w:cs="Times New Roman"/>
                      <w:sz w:val="21"/>
                      <w:szCs w:val="21"/>
                      <w:lang w:val="en-US" w:eastAsia="zh-CN"/>
                    </w:rPr>
                    <w:t>0</w:t>
                  </w:r>
                </w:p>
              </w:tc>
              <w:tc>
                <w:tcPr>
                  <w:tcW w:w="5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减振</w:t>
                  </w:r>
                </w:p>
                <w:p>
                  <w:pPr>
                    <w:jc w:val="center"/>
                    <w:rPr>
                      <w:rFonts w:hint="default" w:ascii="Times New Roman" w:hAnsi="Times New Roman" w:cs="Times New Roman"/>
                      <w:sz w:val="21"/>
                      <w:szCs w:val="21"/>
                    </w:rPr>
                  </w:pPr>
                  <w:r>
                    <w:rPr>
                      <w:rFonts w:hint="default" w:ascii="Times New Roman" w:hAnsi="Times New Roman" w:cs="Times New Roman"/>
                      <w:sz w:val="21"/>
                      <w:szCs w:val="21"/>
                    </w:rPr>
                    <w:t>隔声</w:t>
                  </w:r>
                </w:p>
              </w:tc>
              <w:tc>
                <w:tcPr>
                  <w:tcW w:w="544"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-42.2</w:t>
                  </w:r>
                </w:p>
              </w:tc>
              <w:tc>
                <w:tcPr>
                  <w:tcW w:w="49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111.8</w:t>
                  </w:r>
                </w:p>
              </w:tc>
              <w:tc>
                <w:tcPr>
                  <w:tcW w:w="49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92.2</w:t>
                  </w:r>
                </w:p>
              </w:tc>
              <w:tc>
                <w:tcPr>
                  <w:tcW w:w="521"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东</w:t>
                  </w:r>
                  <w:r>
                    <w:rPr>
                      <w:rFonts w:hint="default" w:ascii="Times New Roman" w:hAnsi="Times New Roman" w:cs="Times New Roman"/>
                      <w:sz w:val="21"/>
                      <w:szCs w:val="21"/>
                      <w:lang w:val="en-US" w:eastAsia="zh-CN"/>
                    </w:rPr>
                    <w:t>285</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南</w:t>
                  </w:r>
                  <w:r>
                    <w:rPr>
                      <w:rFonts w:hint="default" w:ascii="Times New Roman" w:hAnsi="Times New Roman" w:cs="Times New Roman"/>
                      <w:sz w:val="21"/>
                      <w:szCs w:val="21"/>
                      <w:lang w:val="en-US" w:eastAsia="zh-CN"/>
                    </w:rPr>
                    <w:t>158</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西</w:t>
                  </w:r>
                  <w:r>
                    <w:rPr>
                      <w:rFonts w:hint="default" w:ascii="Times New Roman" w:hAnsi="Times New Roman" w:cs="Times New Roman"/>
                      <w:sz w:val="21"/>
                      <w:szCs w:val="21"/>
                      <w:lang w:val="en-US" w:eastAsia="zh-CN"/>
                    </w:rPr>
                    <w:t>70</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北</w:t>
                  </w:r>
                  <w:r>
                    <w:rPr>
                      <w:rFonts w:hint="default" w:ascii="Times New Roman" w:hAnsi="Times New Roman" w:cs="Times New Roman"/>
                      <w:sz w:val="21"/>
                      <w:szCs w:val="21"/>
                      <w:lang w:val="en-US" w:eastAsia="zh-CN"/>
                    </w:rPr>
                    <w:t>145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36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3</w:t>
                  </w:r>
                </w:p>
              </w:tc>
              <w:tc>
                <w:tcPr>
                  <w:tcW w:w="400" w:type="pct"/>
                  <w:vMerge w:val="continue"/>
                  <w:vAlign w:val="center"/>
                </w:tcPr>
                <w:p>
                  <w:pPr>
                    <w:jc w:val="center"/>
                    <w:rPr>
                      <w:rFonts w:hint="default" w:ascii="Times New Roman" w:hAnsi="Times New Roman" w:cs="Times New Roman"/>
                      <w:sz w:val="21"/>
                      <w:szCs w:val="21"/>
                    </w:rPr>
                  </w:pPr>
                </w:p>
              </w:tc>
              <w:tc>
                <w:tcPr>
                  <w:tcW w:w="565"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密闭四方滚筒燃气渗锌炉</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6.5m</w:t>
                  </w:r>
                  <w:r>
                    <w:rPr>
                      <w:rFonts w:hint="default" w:ascii="Times New Roman" w:hAnsi="Times New Roman" w:cs="Times New Roman"/>
                      <w:sz w:val="21"/>
                      <w:szCs w:val="21"/>
                      <w:lang w:eastAsia="zh-CN"/>
                    </w:rPr>
                    <w:t>）</w:t>
                  </w:r>
                </w:p>
              </w:tc>
              <w:tc>
                <w:tcPr>
                  <w:tcW w:w="40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659"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8</w:t>
                  </w:r>
                  <w:r>
                    <w:rPr>
                      <w:rFonts w:hint="default" w:ascii="Times New Roman" w:hAnsi="Times New Roman" w:cs="Times New Roman"/>
                      <w:sz w:val="21"/>
                      <w:szCs w:val="21"/>
                      <w:lang w:val="en-US" w:eastAsia="zh-CN"/>
                    </w:rPr>
                    <w:t>0</w:t>
                  </w:r>
                </w:p>
              </w:tc>
              <w:tc>
                <w:tcPr>
                  <w:tcW w:w="5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减振</w:t>
                  </w:r>
                </w:p>
                <w:p>
                  <w:pPr>
                    <w:jc w:val="center"/>
                    <w:rPr>
                      <w:rFonts w:hint="default" w:ascii="Times New Roman" w:hAnsi="Times New Roman" w:cs="Times New Roman"/>
                      <w:sz w:val="21"/>
                      <w:szCs w:val="21"/>
                    </w:rPr>
                  </w:pPr>
                  <w:r>
                    <w:rPr>
                      <w:rFonts w:hint="default" w:ascii="Times New Roman" w:hAnsi="Times New Roman" w:cs="Times New Roman"/>
                      <w:sz w:val="21"/>
                      <w:szCs w:val="21"/>
                    </w:rPr>
                    <w:t>隔声</w:t>
                  </w:r>
                </w:p>
              </w:tc>
              <w:tc>
                <w:tcPr>
                  <w:tcW w:w="544"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-79.4</w:t>
                  </w:r>
                </w:p>
              </w:tc>
              <w:tc>
                <w:tcPr>
                  <w:tcW w:w="49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126.4</w:t>
                  </w:r>
                </w:p>
              </w:tc>
              <w:tc>
                <w:tcPr>
                  <w:tcW w:w="49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92.0</w:t>
                  </w:r>
                </w:p>
              </w:tc>
              <w:tc>
                <w:tcPr>
                  <w:tcW w:w="521"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东</w:t>
                  </w:r>
                  <w:r>
                    <w:rPr>
                      <w:rFonts w:hint="default" w:ascii="Times New Roman" w:hAnsi="Times New Roman" w:cs="Times New Roman"/>
                      <w:sz w:val="21"/>
                      <w:szCs w:val="21"/>
                      <w:lang w:val="en-US" w:eastAsia="zh-CN"/>
                    </w:rPr>
                    <w:t>31</w:t>
                  </w:r>
                  <w:r>
                    <w:rPr>
                      <w:rFonts w:hint="default" w:ascii="Times New Roman" w:hAnsi="Times New Roman" w:cs="Times New Roman"/>
                      <w:sz w:val="21"/>
                      <w:szCs w:val="21"/>
                    </w:rPr>
                    <w:t>0</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南</w:t>
                  </w:r>
                  <w:r>
                    <w:rPr>
                      <w:rFonts w:hint="default" w:ascii="Times New Roman" w:hAnsi="Times New Roman" w:cs="Times New Roman"/>
                      <w:sz w:val="21"/>
                      <w:szCs w:val="21"/>
                      <w:lang w:val="en-US" w:eastAsia="zh-CN"/>
                    </w:rPr>
                    <w:t>183</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西</w:t>
                  </w:r>
                  <w:r>
                    <w:rPr>
                      <w:rFonts w:hint="default" w:ascii="Times New Roman" w:hAnsi="Times New Roman" w:cs="Times New Roman"/>
                      <w:sz w:val="21"/>
                      <w:szCs w:val="21"/>
                      <w:lang w:val="en-US" w:eastAsia="zh-CN"/>
                    </w:rPr>
                    <w:t>35</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北</w:t>
                  </w:r>
                  <w:r>
                    <w:rPr>
                      <w:rFonts w:hint="default" w:ascii="Times New Roman" w:hAnsi="Times New Roman" w:cs="Times New Roman"/>
                      <w:sz w:val="21"/>
                      <w:szCs w:val="21"/>
                      <w:lang w:val="en-US" w:eastAsia="zh-CN"/>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trPr>
              <w:tc>
                <w:tcPr>
                  <w:tcW w:w="36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4</w:t>
                  </w:r>
                </w:p>
              </w:tc>
              <w:tc>
                <w:tcPr>
                  <w:tcW w:w="400" w:type="pct"/>
                  <w:vMerge w:val="continue"/>
                  <w:vAlign w:val="center"/>
                </w:tcPr>
                <w:p>
                  <w:pPr>
                    <w:jc w:val="center"/>
                    <w:rPr>
                      <w:rFonts w:hint="default" w:ascii="Times New Roman" w:hAnsi="Times New Roman" w:cs="Times New Roman"/>
                      <w:sz w:val="21"/>
                      <w:szCs w:val="21"/>
                    </w:rPr>
                  </w:pPr>
                </w:p>
              </w:tc>
              <w:tc>
                <w:tcPr>
                  <w:tcW w:w="565"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自动配料吸送装置</w:t>
                  </w:r>
                </w:p>
              </w:tc>
              <w:tc>
                <w:tcPr>
                  <w:tcW w:w="402"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659" w:type="pct"/>
                  <w:vAlign w:val="center"/>
                </w:tcPr>
                <w:p>
                  <w:pPr>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8</w:t>
                  </w:r>
                  <w:r>
                    <w:rPr>
                      <w:rFonts w:hint="default" w:ascii="Times New Roman" w:hAnsi="Times New Roman" w:cs="Times New Roman"/>
                      <w:sz w:val="21"/>
                      <w:szCs w:val="21"/>
                      <w:lang w:val="en-US" w:eastAsia="zh-CN"/>
                    </w:rPr>
                    <w:t>5</w:t>
                  </w:r>
                </w:p>
              </w:tc>
              <w:tc>
                <w:tcPr>
                  <w:tcW w:w="5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减振</w:t>
                  </w:r>
                </w:p>
                <w:p>
                  <w:pPr>
                    <w:jc w:val="center"/>
                    <w:rPr>
                      <w:rFonts w:hint="default" w:ascii="Times New Roman" w:hAnsi="Times New Roman" w:cs="Times New Roman"/>
                      <w:sz w:val="21"/>
                      <w:szCs w:val="21"/>
                    </w:rPr>
                  </w:pPr>
                  <w:r>
                    <w:rPr>
                      <w:rFonts w:hint="default" w:ascii="Times New Roman" w:hAnsi="Times New Roman" w:cs="Times New Roman"/>
                      <w:sz w:val="21"/>
                      <w:szCs w:val="21"/>
                    </w:rPr>
                    <w:t>隔声</w:t>
                  </w:r>
                </w:p>
              </w:tc>
              <w:tc>
                <w:tcPr>
                  <w:tcW w:w="544"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-49.5</w:t>
                  </w:r>
                </w:p>
              </w:tc>
              <w:tc>
                <w:tcPr>
                  <w:tcW w:w="492"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104.4</w:t>
                  </w:r>
                </w:p>
              </w:tc>
              <w:tc>
                <w:tcPr>
                  <w:tcW w:w="497"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92.2</w:t>
                  </w:r>
                </w:p>
              </w:tc>
              <w:tc>
                <w:tcPr>
                  <w:tcW w:w="521"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东</w:t>
                  </w:r>
                  <w:r>
                    <w:rPr>
                      <w:rFonts w:hint="default" w:ascii="Times New Roman" w:hAnsi="Times New Roman" w:cs="Times New Roman"/>
                      <w:sz w:val="21"/>
                      <w:szCs w:val="21"/>
                      <w:lang w:val="en-US" w:eastAsia="zh-CN"/>
                    </w:rPr>
                    <w:t>289</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南</w:t>
                  </w:r>
                  <w:r>
                    <w:rPr>
                      <w:rFonts w:hint="default" w:ascii="Times New Roman" w:hAnsi="Times New Roman" w:cs="Times New Roman"/>
                      <w:sz w:val="21"/>
                      <w:szCs w:val="21"/>
                      <w:lang w:val="en-US" w:eastAsia="zh-CN"/>
                    </w:rPr>
                    <w:t>156</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西</w:t>
                  </w:r>
                  <w:r>
                    <w:rPr>
                      <w:rFonts w:hint="default" w:ascii="Times New Roman" w:hAnsi="Times New Roman" w:cs="Times New Roman"/>
                      <w:sz w:val="21"/>
                      <w:szCs w:val="21"/>
                      <w:lang w:val="en-US" w:eastAsia="zh-CN"/>
                    </w:rPr>
                    <w:t>65</w:t>
                  </w:r>
                </w:p>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北</w:t>
                  </w:r>
                  <w:r>
                    <w:rPr>
                      <w:rFonts w:hint="default" w:ascii="Times New Roman" w:hAnsi="Times New Roman" w:cs="Times New Roman"/>
                      <w:sz w:val="21"/>
                      <w:szCs w:val="21"/>
                      <w:lang w:val="en-US" w:eastAsia="zh-CN"/>
                    </w:rPr>
                    <w:t>147</w:t>
                  </w:r>
                </w:p>
              </w:tc>
            </w:tr>
          </w:tbl>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表中坐标以厂界中心（112.385803,26.973094）为坐标原点，正东向为X轴正方向，正北向为Y轴正方向</w:t>
            </w:r>
            <w:r>
              <w:rPr>
                <w:rFonts w:hint="default" w:ascii="Times New Roman" w:hAnsi="Times New Roman" w:cs="Times New Roman"/>
                <w:sz w:val="24"/>
                <w:szCs w:val="24"/>
                <w:lang w:eastAsia="zh-CN"/>
              </w:rPr>
              <w:t>。</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（2）基础数据</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项目噪声环境影响预测基础数据见表4-</w:t>
            </w:r>
            <w:r>
              <w:rPr>
                <w:rFonts w:hint="default" w:ascii="Times New Roman" w:hAnsi="Times New Roman" w:cs="Times New Roman"/>
                <w:sz w:val="24"/>
                <w:szCs w:val="24"/>
                <w:lang w:val="en-US" w:eastAsia="zh-CN"/>
              </w:rPr>
              <w:t>17</w:t>
            </w:r>
            <w:r>
              <w:rPr>
                <w:rFonts w:hint="default" w:ascii="Times New Roman" w:hAnsi="Times New Roman" w:cs="Times New Roman"/>
                <w:sz w:val="24"/>
                <w:szCs w:val="24"/>
              </w:rPr>
              <w:t>。</w:t>
            </w:r>
          </w:p>
          <w:p>
            <w:pPr>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17</w:t>
            </w:r>
            <w:r>
              <w:rPr>
                <w:rFonts w:hint="default" w:ascii="Times New Roman" w:hAnsi="Times New Roman" w:cs="Times New Roman"/>
                <w:b/>
                <w:bCs/>
                <w:sz w:val="21"/>
                <w:szCs w:val="21"/>
              </w:rPr>
              <w:t xml:space="preserve">  项目噪声环境影响预测基础数据表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347"/>
              <w:gridCol w:w="2353"/>
              <w:gridCol w:w="2345"/>
              <w:gridCol w:w="23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5" w:hRule="atLeast"/>
              </w:trPr>
              <w:tc>
                <w:tcPr>
                  <w:tcW w:w="1250" w:type="pct"/>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1253" w:type="pct"/>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名称</w:t>
                  </w:r>
                </w:p>
              </w:tc>
              <w:tc>
                <w:tcPr>
                  <w:tcW w:w="1249" w:type="pct"/>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单位</w:t>
                  </w:r>
                </w:p>
              </w:tc>
              <w:tc>
                <w:tcPr>
                  <w:tcW w:w="1248" w:type="pct"/>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数据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253" w:type="pct"/>
                  <w:vAlign w:val="center"/>
                </w:tcPr>
                <w:p>
                  <w:pPr>
                    <w:pStyle w:val="2"/>
                    <w:ind w:firstLine="210"/>
                    <w:jc w:val="center"/>
                    <w:rPr>
                      <w:rFonts w:hint="default" w:ascii="Times New Roman" w:hAnsi="Times New Roman" w:cs="Times New Roman"/>
                      <w:sz w:val="21"/>
                      <w:szCs w:val="21"/>
                    </w:rPr>
                  </w:pPr>
                  <w:r>
                    <w:rPr>
                      <w:rFonts w:hint="default" w:ascii="Times New Roman" w:hAnsi="Times New Roman" w:cs="Times New Roman"/>
                      <w:sz w:val="21"/>
                      <w:szCs w:val="21"/>
                    </w:rPr>
                    <w:t>年平均风速</w:t>
                  </w:r>
                </w:p>
              </w:tc>
              <w:tc>
                <w:tcPr>
                  <w:tcW w:w="1249" w:type="pct"/>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m/s</w:t>
                  </w:r>
                </w:p>
              </w:tc>
              <w:tc>
                <w:tcPr>
                  <w:tcW w:w="1248" w:type="pct"/>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w:t>
                  </w:r>
                </w:p>
              </w:tc>
              <w:tc>
                <w:tcPr>
                  <w:tcW w:w="12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主导风向</w:t>
                  </w:r>
                </w:p>
              </w:tc>
              <w:tc>
                <w:tcPr>
                  <w:tcW w:w="124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124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北</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3</w:t>
                  </w:r>
                </w:p>
              </w:tc>
              <w:tc>
                <w:tcPr>
                  <w:tcW w:w="12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年平均气温</w:t>
                  </w:r>
                </w:p>
              </w:tc>
              <w:tc>
                <w:tcPr>
                  <w:tcW w:w="124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124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w:t>
                  </w:r>
                  <w:r>
                    <w:rPr>
                      <w:rFonts w:hint="default" w:ascii="Times New Roman" w:hAnsi="Times New Roman" w:cs="Times New Roman"/>
                      <w:sz w:val="21"/>
                      <w:szCs w:val="21"/>
                      <w:lang w:val="en-US" w:eastAsia="zh-CN"/>
                    </w:rPr>
                    <w:t>8.5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4</w:t>
                  </w:r>
                </w:p>
              </w:tc>
              <w:tc>
                <w:tcPr>
                  <w:tcW w:w="12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年平均相对湿度</w:t>
                  </w:r>
                </w:p>
              </w:tc>
              <w:tc>
                <w:tcPr>
                  <w:tcW w:w="124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1248"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76.5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250"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5</w:t>
                  </w:r>
                </w:p>
              </w:tc>
              <w:tc>
                <w:tcPr>
                  <w:tcW w:w="1253"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大气压强</w:t>
                  </w:r>
                </w:p>
              </w:tc>
              <w:tc>
                <w:tcPr>
                  <w:tcW w:w="1249"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atm</w:t>
                  </w:r>
                </w:p>
              </w:tc>
              <w:tc>
                <w:tcPr>
                  <w:tcW w:w="1248" w:type="pct"/>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w:t>
                  </w:r>
                </w:p>
              </w:tc>
            </w:tr>
          </w:tbl>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声源和预测点间的地形、高差、障碍物、树林、灌木等的分布情况以及地面覆盖情况（如草地、水面、水泥地面、土质地面等）根据现场踏勘、项目总平图等，并结合卫星图片地理信息数据确定，数据精度为10m。</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3、预测结果</w:t>
            </w:r>
          </w:p>
          <w:p>
            <w:pPr>
              <w:spacing w:line="360" w:lineRule="auto"/>
              <w:ind w:firstLine="480" w:firstLineChars="200"/>
              <w:rPr>
                <w:rFonts w:hint="default" w:ascii="Times New Roman" w:hAnsi="Times New Roman" w:cs="Times New Roman"/>
                <w:sz w:val="24"/>
                <w:szCs w:val="24"/>
              </w:rPr>
            </w:pPr>
            <w:r>
              <w:rPr>
                <w:rFonts w:hint="eastAsia" w:cs="Times New Roman"/>
                <w:sz w:val="24"/>
                <w:szCs w:val="24"/>
                <w:lang w:val="en-US" w:eastAsia="zh-CN"/>
              </w:rPr>
              <w:t>项目夜间不生产，</w:t>
            </w:r>
            <w:r>
              <w:rPr>
                <w:rFonts w:hint="default" w:ascii="Times New Roman" w:hAnsi="Times New Roman" w:cs="Times New Roman"/>
                <w:sz w:val="24"/>
                <w:szCs w:val="24"/>
              </w:rPr>
              <w:t>根据噪声预测公式，预测点的昼间噪声的预测结果见表4-</w:t>
            </w:r>
            <w:r>
              <w:rPr>
                <w:rFonts w:hint="default" w:ascii="Times New Roman" w:hAnsi="Times New Roman" w:cs="Times New Roman"/>
                <w:sz w:val="24"/>
                <w:szCs w:val="24"/>
                <w:lang w:val="en-US" w:eastAsia="zh-CN"/>
              </w:rPr>
              <w:t>18</w:t>
            </w:r>
            <w:r>
              <w:rPr>
                <w:rFonts w:hint="default" w:ascii="Times New Roman" w:hAnsi="Times New Roman" w:cs="Times New Roman"/>
                <w:sz w:val="24"/>
                <w:szCs w:val="24"/>
              </w:rPr>
              <w:t>。</w:t>
            </w:r>
          </w:p>
          <w:p>
            <w:pPr>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18</w:t>
            </w:r>
            <w:r>
              <w:rPr>
                <w:rFonts w:hint="default" w:ascii="Times New Roman" w:hAnsi="Times New Roman" w:cs="Times New Roman"/>
                <w:b/>
                <w:bCs/>
                <w:sz w:val="21"/>
                <w:szCs w:val="21"/>
              </w:rPr>
              <w:t xml:space="preserve">  项目厂界噪声预测结果  单位：dB（A）</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04"/>
              <w:gridCol w:w="873"/>
              <w:gridCol w:w="1017"/>
              <w:gridCol w:w="865"/>
              <w:gridCol w:w="941"/>
              <w:gridCol w:w="941"/>
              <w:gridCol w:w="939"/>
              <w:gridCol w:w="939"/>
              <w:gridCol w:w="940"/>
              <w:gridCol w:w="92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5" w:hRule="atLeast"/>
              </w:trPr>
              <w:tc>
                <w:tcPr>
                  <w:tcW w:w="534"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预测</w:t>
                  </w:r>
                </w:p>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方位</w:t>
                  </w:r>
                </w:p>
              </w:tc>
              <w:tc>
                <w:tcPr>
                  <w:tcW w:w="1467" w:type="pct"/>
                  <w:gridSpan w:val="3"/>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预测点</w:t>
                  </w:r>
                </w:p>
              </w:tc>
              <w:tc>
                <w:tcPr>
                  <w:tcW w:w="501"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时段</w:t>
                  </w:r>
                </w:p>
              </w:tc>
              <w:tc>
                <w:tcPr>
                  <w:tcW w:w="501"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贡献值</w:t>
                  </w:r>
                </w:p>
              </w:tc>
              <w:tc>
                <w:tcPr>
                  <w:tcW w:w="500"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背景值</w:t>
                  </w:r>
                </w:p>
              </w:tc>
              <w:tc>
                <w:tcPr>
                  <w:tcW w:w="500"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预测值</w:t>
                  </w:r>
                </w:p>
              </w:tc>
              <w:tc>
                <w:tcPr>
                  <w:tcW w:w="500"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标准值</w:t>
                  </w:r>
                </w:p>
              </w:tc>
              <w:tc>
                <w:tcPr>
                  <w:tcW w:w="494" w:type="pct"/>
                  <w:vMerge w:val="restart"/>
                  <w:noWrap w:val="0"/>
                  <w:vAlign w:val="center"/>
                </w:tcPr>
                <w:p>
                  <w:pPr>
                    <w:overflowPunct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达标情况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vMerge w:val="continue"/>
                  <w:noWrap w:val="0"/>
                  <w:vAlign w:val="center"/>
                </w:tcPr>
                <w:p>
                  <w:pPr>
                    <w:overflowPunct w:val="0"/>
                    <w:snapToGrid w:val="0"/>
                    <w:jc w:val="center"/>
                    <w:rPr>
                      <w:rFonts w:hint="default" w:ascii="Times New Roman" w:hAnsi="Times New Roman" w:cs="Times New Roman"/>
                      <w:sz w:val="21"/>
                      <w:szCs w:val="21"/>
                    </w:rPr>
                  </w:pPr>
                </w:p>
              </w:tc>
              <w:tc>
                <w:tcPr>
                  <w:tcW w:w="464" w:type="pct"/>
                  <w:noWrap w:val="0"/>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X</w:t>
                  </w:r>
                </w:p>
              </w:tc>
              <w:tc>
                <w:tcPr>
                  <w:tcW w:w="541" w:type="pct"/>
                  <w:noWrap w:val="0"/>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Y</w:t>
                  </w:r>
                </w:p>
              </w:tc>
              <w:tc>
                <w:tcPr>
                  <w:tcW w:w="460" w:type="pct"/>
                  <w:noWrap w:val="0"/>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Z</w:t>
                  </w:r>
                </w:p>
              </w:tc>
              <w:tc>
                <w:tcPr>
                  <w:tcW w:w="501" w:type="pct"/>
                  <w:vMerge w:val="continue"/>
                  <w:noWrap w:val="0"/>
                  <w:vAlign w:val="center"/>
                </w:tcPr>
                <w:p>
                  <w:pPr>
                    <w:jc w:val="center"/>
                    <w:rPr>
                      <w:rFonts w:hint="default" w:ascii="Times New Roman" w:hAnsi="Times New Roman" w:cs="Times New Roman"/>
                      <w:sz w:val="21"/>
                      <w:szCs w:val="21"/>
                    </w:rPr>
                  </w:pPr>
                </w:p>
              </w:tc>
              <w:tc>
                <w:tcPr>
                  <w:tcW w:w="501" w:type="pct"/>
                  <w:vMerge w:val="continue"/>
                  <w:noWrap w:val="0"/>
                  <w:vAlign w:val="center"/>
                </w:tcPr>
                <w:p>
                  <w:pPr>
                    <w:jc w:val="center"/>
                    <w:rPr>
                      <w:rFonts w:hint="default" w:ascii="Times New Roman" w:hAnsi="Times New Roman" w:cs="Times New Roman"/>
                      <w:sz w:val="21"/>
                      <w:szCs w:val="21"/>
                    </w:rPr>
                  </w:pPr>
                </w:p>
              </w:tc>
              <w:tc>
                <w:tcPr>
                  <w:tcW w:w="500" w:type="pct"/>
                  <w:vMerge w:val="continue"/>
                  <w:noWrap w:val="0"/>
                  <w:vAlign w:val="center"/>
                </w:tcPr>
                <w:p>
                  <w:pPr>
                    <w:jc w:val="center"/>
                    <w:rPr>
                      <w:rFonts w:hint="default" w:ascii="Times New Roman" w:hAnsi="Times New Roman" w:cs="Times New Roman"/>
                      <w:sz w:val="21"/>
                      <w:szCs w:val="21"/>
                    </w:rPr>
                  </w:pPr>
                </w:p>
              </w:tc>
              <w:tc>
                <w:tcPr>
                  <w:tcW w:w="500" w:type="pct"/>
                  <w:vMerge w:val="continue"/>
                  <w:noWrap w:val="0"/>
                  <w:vAlign w:val="center"/>
                </w:tcPr>
                <w:p>
                  <w:pPr>
                    <w:jc w:val="center"/>
                    <w:rPr>
                      <w:rFonts w:hint="default" w:ascii="Times New Roman" w:hAnsi="Times New Roman" w:cs="Times New Roman"/>
                      <w:sz w:val="21"/>
                      <w:szCs w:val="21"/>
                    </w:rPr>
                  </w:pPr>
                </w:p>
              </w:tc>
              <w:tc>
                <w:tcPr>
                  <w:tcW w:w="500" w:type="pct"/>
                  <w:vMerge w:val="continue"/>
                  <w:noWrap w:val="0"/>
                  <w:vAlign w:val="center"/>
                </w:tcPr>
                <w:p>
                  <w:pPr>
                    <w:jc w:val="center"/>
                    <w:rPr>
                      <w:rFonts w:hint="default" w:ascii="Times New Roman" w:hAnsi="Times New Roman" w:cs="Times New Roman"/>
                      <w:sz w:val="21"/>
                      <w:szCs w:val="21"/>
                    </w:rPr>
                  </w:pPr>
                </w:p>
              </w:tc>
              <w:tc>
                <w:tcPr>
                  <w:tcW w:w="494" w:type="pct"/>
                  <w:vMerge w:val="continue"/>
                  <w:noWrap w:val="0"/>
                  <w:vAlign w:val="center"/>
                </w:tcPr>
                <w:p>
                  <w:pPr>
                    <w:jc w:val="center"/>
                    <w:rPr>
                      <w:rFonts w:hint="default" w:ascii="Times New Roman" w:hAnsi="Times New Roman"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东厂界</w:t>
                  </w:r>
                </w:p>
              </w:tc>
              <w:tc>
                <w:tcPr>
                  <w:tcW w:w="464"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134.4</w:t>
                  </w:r>
                </w:p>
              </w:tc>
              <w:tc>
                <w:tcPr>
                  <w:tcW w:w="54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-129.2</w:t>
                  </w:r>
                </w:p>
              </w:tc>
              <w:tc>
                <w:tcPr>
                  <w:tcW w:w="4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w:t>
                  </w:r>
                </w:p>
              </w:tc>
              <w:tc>
                <w:tcPr>
                  <w:tcW w:w="501"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昼间</w:t>
                  </w:r>
                </w:p>
              </w:tc>
              <w:tc>
                <w:tcPr>
                  <w:tcW w:w="50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11.3</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58</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58.0</w:t>
                  </w:r>
                </w:p>
              </w:tc>
              <w:tc>
                <w:tcPr>
                  <w:tcW w:w="500"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65</w:t>
                  </w:r>
                </w:p>
              </w:tc>
              <w:tc>
                <w:tcPr>
                  <w:tcW w:w="49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南厂界</w:t>
                  </w:r>
                </w:p>
              </w:tc>
              <w:tc>
                <w:tcPr>
                  <w:tcW w:w="464"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-5.8</w:t>
                  </w:r>
                </w:p>
              </w:tc>
              <w:tc>
                <w:tcPr>
                  <w:tcW w:w="54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-42.8</w:t>
                  </w:r>
                </w:p>
              </w:tc>
              <w:tc>
                <w:tcPr>
                  <w:tcW w:w="4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w:t>
                  </w:r>
                </w:p>
              </w:tc>
              <w:tc>
                <w:tcPr>
                  <w:tcW w:w="501"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昼间</w:t>
                  </w:r>
                </w:p>
              </w:tc>
              <w:tc>
                <w:tcPr>
                  <w:tcW w:w="50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29.4</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r>
                    <w:rPr>
                      <w:rFonts w:hint="default" w:ascii="Times New Roman" w:hAnsi="Times New Roman" w:cs="Times New Roman"/>
                      <w:sz w:val="21"/>
                      <w:szCs w:val="21"/>
                      <w:lang w:val="en-US" w:eastAsia="zh-CN"/>
                    </w:rPr>
                    <w:t>.0</w:t>
                  </w:r>
                </w:p>
              </w:tc>
              <w:tc>
                <w:tcPr>
                  <w:tcW w:w="500"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65</w:t>
                  </w:r>
                </w:p>
              </w:tc>
              <w:tc>
                <w:tcPr>
                  <w:tcW w:w="49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西厂界</w:t>
                  </w:r>
                </w:p>
              </w:tc>
              <w:tc>
                <w:tcPr>
                  <w:tcW w:w="464"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-123.2</w:t>
                  </w:r>
                </w:p>
              </w:tc>
              <w:tc>
                <w:tcPr>
                  <w:tcW w:w="54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111.4</w:t>
                  </w:r>
                </w:p>
              </w:tc>
              <w:tc>
                <w:tcPr>
                  <w:tcW w:w="4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w:t>
                  </w:r>
                </w:p>
              </w:tc>
              <w:tc>
                <w:tcPr>
                  <w:tcW w:w="501"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昼间</w:t>
                  </w:r>
                </w:p>
              </w:tc>
              <w:tc>
                <w:tcPr>
                  <w:tcW w:w="50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42.2</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r>
                    <w:rPr>
                      <w:rFonts w:hint="default" w:ascii="Times New Roman" w:hAnsi="Times New Roman" w:cs="Times New Roman"/>
                      <w:sz w:val="21"/>
                      <w:szCs w:val="21"/>
                      <w:lang w:val="en-US" w:eastAsia="zh-CN"/>
                    </w:rPr>
                    <w:t>.2</w:t>
                  </w:r>
                </w:p>
              </w:tc>
              <w:tc>
                <w:tcPr>
                  <w:tcW w:w="500"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65</w:t>
                  </w:r>
                </w:p>
              </w:tc>
              <w:tc>
                <w:tcPr>
                  <w:tcW w:w="49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北厂界</w:t>
                  </w:r>
                </w:p>
              </w:tc>
              <w:tc>
                <w:tcPr>
                  <w:tcW w:w="464"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71.4</w:t>
                  </w:r>
                </w:p>
              </w:tc>
              <w:tc>
                <w:tcPr>
                  <w:tcW w:w="54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29</w:t>
                  </w:r>
                </w:p>
              </w:tc>
              <w:tc>
                <w:tcPr>
                  <w:tcW w:w="46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1.2</w:t>
                  </w:r>
                </w:p>
              </w:tc>
              <w:tc>
                <w:tcPr>
                  <w:tcW w:w="501"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昼间</w:t>
                  </w:r>
                </w:p>
              </w:tc>
              <w:tc>
                <w:tcPr>
                  <w:tcW w:w="50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30.3</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7</w:t>
                  </w:r>
                  <w:r>
                    <w:rPr>
                      <w:rFonts w:hint="default" w:ascii="Times New Roman" w:hAnsi="Times New Roman" w:cs="Times New Roman"/>
                      <w:sz w:val="21"/>
                      <w:szCs w:val="21"/>
                      <w:lang w:val="en-US" w:eastAsia="zh-CN"/>
                    </w:rPr>
                    <w:t>.0</w:t>
                  </w:r>
                </w:p>
              </w:tc>
              <w:tc>
                <w:tcPr>
                  <w:tcW w:w="500"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65</w:t>
                  </w:r>
                </w:p>
              </w:tc>
              <w:tc>
                <w:tcPr>
                  <w:tcW w:w="49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34"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西南侧锦富新村</w:t>
                  </w:r>
                </w:p>
              </w:tc>
              <w:tc>
                <w:tcPr>
                  <w:tcW w:w="46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-141.5</w:t>
                  </w:r>
                </w:p>
              </w:tc>
              <w:tc>
                <w:tcPr>
                  <w:tcW w:w="541"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14.1</w:t>
                  </w:r>
                </w:p>
              </w:tc>
              <w:tc>
                <w:tcPr>
                  <w:tcW w:w="460"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1.2</w:t>
                  </w:r>
                </w:p>
              </w:tc>
              <w:tc>
                <w:tcPr>
                  <w:tcW w:w="501" w:type="pct"/>
                  <w:noWrap w:val="0"/>
                  <w:vAlign w:val="center"/>
                </w:tcPr>
                <w:p>
                  <w:pPr>
                    <w:overflowPunct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昼间</w:t>
                  </w:r>
                </w:p>
              </w:tc>
              <w:tc>
                <w:tcPr>
                  <w:tcW w:w="501"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33.8</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3</w:t>
                  </w:r>
                </w:p>
              </w:tc>
              <w:tc>
                <w:tcPr>
                  <w:tcW w:w="500" w:type="pct"/>
                  <w:noWrap w:val="0"/>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w:t>
                  </w:r>
                  <w:r>
                    <w:rPr>
                      <w:rFonts w:hint="eastAsia" w:cs="Times New Roman"/>
                      <w:sz w:val="21"/>
                      <w:szCs w:val="21"/>
                      <w:lang w:val="en-US" w:eastAsia="zh-CN"/>
                    </w:rPr>
                    <w:t>3</w:t>
                  </w:r>
                  <w:r>
                    <w:rPr>
                      <w:rFonts w:hint="default" w:ascii="Times New Roman" w:hAnsi="Times New Roman" w:cs="Times New Roman"/>
                      <w:sz w:val="21"/>
                      <w:szCs w:val="21"/>
                      <w:lang w:val="en-US" w:eastAsia="zh-CN"/>
                    </w:rPr>
                    <w:t>.1</w:t>
                  </w:r>
                </w:p>
              </w:tc>
              <w:tc>
                <w:tcPr>
                  <w:tcW w:w="500" w:type="pct"/>
                  <w:noWrap w:val="0"/>
                  <w:vAlign w:val="center"/>
                </w:tcPr>
                <w:p>
                  <w:pPr>
                    <w:jc w:val="center"/>
                    <w:rPr>
                      <w:rFonts w:hint="eastAsia" w:ascii="Times New Roman" w:hAnsi="Times New Roman" w:eastAsia="宋体" w:cs="Times New Roman"/>
                      <w:sz w:val="21"/>
                      <w:szCs w:val="21"/>
                      <w:lang w:val="en-US" w:eastAsia="zh-CN"/>
                    </w:rPr>
                  </w:pPr>
                  <w:r>
                    <w:rPr>
                      <w:rFonts w:hint="default" w:ascii="Times New Roman" w:hAnsi="Times New Roman" w:cs="Times New Roman"/>
                      <w:sz w:val="21"/>
                      <w:szCs w:val="21"/>
                    </w:rPr>
                    <w:t>6</w:t>
                  </w:r>
                  <w:r>
                    <w:rPr>
                      <w:rFonts w:hint="eastAsia" w:cs="Times New Roman"/>
                      <w:sz w:val="21"/>
                      <w:szCs w:val="21"/>
                      <w:lang w:val="en-US" w:eastAsia="zh-CN"/>
                    </w:rPr>
                    <w:t>0</w:t>
                  </w:r>
                </w:p>
              </w:tc>
              <w:tc>
                <w:tcPr>
                  <w:tcW w:w="494" w:type="pct"/>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达标</w:t>
                  </w:r>
                </w:p>
              </w:tc>
            </w:tr>
          </w:tbl>
          <w:p>
            <w:pPr>
              <w:adjustRightInd w:val="0"/>
              <w:snapToGrid w:val="0"/>
              <w:spacing w:line="360" w:lineRule="auto"/>
              <w:jc w:val="center"/>
              <w:rPr>
                <w:rFonts w:hint="default" w:ascii="Times New Roman" w:hAnsi="Times New Roman" w:cs="Times New Roman"/>
                <w:sz w:val="24"/>
                <w:szCs w:val="24"/>
              </w:rPr>
            </w:pPr>
            <w:r>
              <w:rPr>
                <w:rFonts w:hint="default" w:ascii="Times New Roman" w:hAnsi="Times New Roman" w:cs="Times New Roman"/>
                <w:sz w:val="24"/>
                <w:szCs w:val="24"/>
                <w:lang w:eastAsia="zh-CN"/>
              </w:rPr>
              <w:drawing>
                <wp:inline distT="0" distB="0" distL="114300" distR="114300">
                  <wp:extent cx="4577080" cy="3411855"/>
                  <wp:effectExtent l="0" t="0" r="7620" b="4445"/>
                  <wp:docPr id="6" name="图片 6" descr="1694488867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94488867374"/>
                          <pic:cNvPicPr>
                            <a:picLocks noChangeAspect="1"/>
                          </pic:cNvPicPr>
                        </pic:nvPicPr>
                        <pic:blipFill>
                          <a:blip r:embed="rId22"/>
                          <a:stretch>
                            <a:fillRect/>
                          </a:stretch>
                        </pic:blipFill>
                        <pic:spPr>
                          <a:xfrm>
                            <a:off x="0" y="0"/>
                            <a:ext cx="4577080" cy="341185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Lines="5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图4-</w:t>
            </w:r>
            <w:r>
              <w:rPr>
                <w:rFonts w:hint="default" w:ascii="Times New Roman" w:hAnsi="Times New Roman" w:cs="Times New Roman"/>
                <w:b/>
                <w:bCs/>
                <w:sz w:val="21"/>
                <w:szCs w:val="21"/>
                <w:lang w:val="en-US" w:eastAsia="zh-CN"/>
              </w:rPr>
              <w:t>2</w:t>
            </w:r>
            <w:r>
              <w:rPr>
                <w:rFonts w:hint="default" w:ascii="Times New Roman" w:hAnsi="Times New Roman" w:cs="Times New Roman"/>
                <w:b/>
                <w:bCs/>
                <w:sz w:val="21"/>
                <w:szCs w:val="21"/>
              </w:rPr>
              <w:t xml:space="preserve">  厂界噪声预测等值线图</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4、噪声环境影响预测评价</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项目新增噪声源在采取有效的控制措施下，与背景值叠加后各测点昼间噪声值均能满足《声环境质量标准》（GB3096-2008）中3类标准要求，敏感点昼间噪声预测值满足《声环境质量标准》（GB3096-2008）中</w:t>
            </w:r>
            <w:r>
              <w:rPr>
                <w:rFonts w:hint="eastAsia" w:cs="Times New Roman"/>
                <w:sz w:val="24"/>
                <w:szCs w:val="24"/>
                <w:lang w:val="en-US" w:eastAsia="zh-CN"/>
              </w:rPr>
              <w:t>2</w:t>
            </w:r>
            <w:r>
              <w:rPr>
                <w:rFonts w:hint="default" w:ascii="Times New Roman" w:hAnsi="Times New Roman" w:cs="Times New Roman"/>
                <w:sz w:val="24"/>
                <w:szCs w:val="24"/>
              </w:rPr>
              <w:t>类标准限值，可见</w:t>
            </w:r>
            <w:r>
              <w:rPr>
                <w:rFonts w:hint="default" w:ascii="Times New Roman" w:hAnsi="Times New Roman" w:cs="Times New Roman"/>
                <w:sz w:val="24"/>
                <w:szCs w:val="24"/>
                <w:lang w:val="en-US" w:eastAsia="zh-CN"/>
              </w:rPr>
              <w:t>技改</w:t>
            </w:r>
            <w:r>
              <w:rPr>
                <w:rFonts w:hint="default" w:ascii="Times New Roman" w:hAnsi="Times New Roman" w:cs="Times New Roman"/>
                <w:sz w:val="24"/>
                <w:szCs w:val="24"/>
              </w:rPr>
              <w:t>项目的噪声对厂界声环境的影响较小。</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为保证厂界噪声值长期稳定达标，建设单位仍应严格执行本评价中提出的噪声治理措施，首先应选择低噪型设备、合理布局，将高噪声设备置于室内并尽可能远离厂界，其次需要采取适当的隔声降噪措施。</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5、噪声监测计划</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 xml:space="preserve">根据《排污许可证申请与核发技术规范 </w:t>
            </w:r>
            <w:r>
              <w:rPr>
                <w:rFonts w:hint="default" w:ascii="Times New Roman" w:hAnsi="Times New Roman" w:cs="Times New Roman"/>
                <w:sz w:val="24"/>
                <w:szCs w:val="24"/>
                <w:lang w:val="en-US" w:eastAsia="zh-CN"/>
              </w:rPr>
              <w:t>工业噪声</w:t>
            </w:r>
            <w:r>
              <w:rPr>
                <w:rFonts w:hint="default" w:ascii="Times New Roman" w:hAnsi="Times New Roman" w:cs="Times New Roman"/>
                <w:sz w:val="24"/>
                <w:szCs w:val="24"/>
              </w:rPr>
              <w:t>》（HJ</w:t>
            </w:r>
            <w:r>
              <w:rPr>
                <w:rFonts w:hint="default" w:ascii="Times New Roman" w:hAnsi="Times New Roman" w:cs="Times New Roman"/>
                <w:sz w:val="24"/>
                <w:szCs w:val="24"/>
                <w:lang w:val="en-US" w:eastAsia="zh-CN"/>
              </w:rPr>
              <w:t>1301</w:t>
            </w:r>
            <w:r>
              <w:rPr>
                <w:rFonts w:hint="default" w:ascii="Times New Roman" w:hAnsi="Times New Roman" w:cs="Times New Roman"/>
                <w:sz w:val="24"/>
                <w:szCs w:val="24"/>
              </w:rPr>
              <w:t>-20</w:t>
            </w:r>
            <w:r>
              <w:rPr>
                <w:rFonts w:hint="default" w:ascii="Times New Roman" w:hAnsi="Times New Roman" w:cs="Times New Roman"/>
                <w:sz w:val="24"/>
                <w:szCs w:val="24"/>
                <w:lang w:val="en-US" w:eastAsia="zh-CN"/>
              </w:rPr>
              <w:t>23</w:t>
            </w:r>
            <w:r>
              <w:rPr>
                <w:rFonts w:hint="default" w:ascii="Times New Roman" w:hAnsi="Times New Roman" w:cs="Times New Roman"/>
                <w:sz w:val="24"/>
                <w:szCs w:val="24"/>
              </w:rPr>
              <w:t>），厂界环境噪声每季度至少开展一次监测，本项目运营期噪声环境监测计划如下表所示：</w:t>
            </w:r>
          </w:p>
          <w:p>
            <w:pPr>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表4-1</w:t>
            </w:r>
            <w:r>
              <w:rPr>
                <w:rFonts w:hint="default" w:ascii="Times New Roman" w:hAnsi="Times New Roman" w:cs="Times New Roman"/>
                <w:b/>
                <w:bCs/>
                <w:sz w:val="21"/>
                <w:szCs w:val="21"/>
                <w:lang w:val="en-US" w:eastAsia="zh-CN"/>
              </w:rPr>
              <w:t>9</w:t>
            </w:r>
            <w:r>
              <w:rPr>
                <w:rFonts w:hint="default" w:ascii="Times New Roman" w:hAnsi="Times New Roman" w:cs="Times New Roman"/>
                <w:b/>
                <w:bCs/>
                <w:sz w:val="21"/>
                <w:szCs w:val="21"/>
              </w:rPr>
              <w:t xml:space="preserve">  运营期噪声监测计划表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50"/>
              <w:gridCol w:w="1988"/>
              <w:gridCol w:w="1491"/>
              <w:gridCol w:w="1326"/>
              <w:gridCol w:w="373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397" w:hRule="atLeast"/>
              </w:trPr>
              <w:tc>
                <w:tcPr>
                  <w:tcW w:w="453" w:type="pct"/>
                  <w:shd w:val="clear" w:color="auto" w:fill="auto"/>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编号</w:t>
                  </w:r>
                </w:p>
              </w:tc>
              <w:tc>
                <w:tcPr>
                  <w:tcW w:w="1059" w:type="pct"/>
                  <w:shd w:val="clear" w:color="auto" w:fill="auto"/>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监测点位</w:t>
                  </w:r>
                </w:p>
              </w:tc>
              <w:tc>
                <w:tcPr>
                  <w:tcW w:w="794" w:type="pct"/>
                  <w:shd w:val="clear" w:color="auto" w:fill="auto"/>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监测指标</w:t>
                  </w:r>
                </w:p>
              </w:tc>
              <w:tc>
                <w:tcPr>
                  <w:tcW w:w="706" w:type="pct"/>
                  <w:shd w:val="clear" w:color="auto" w:fill="auto"/>
                  <w:vAlign w:val="center"/>
                </w:tcPr>
                <w:p>
                  <w:pPr>
                    <w:jc w:val="center"/>
                    <w:rPr>
                      <w:rFonts w:hint="default" w:ascii="Times New Roman" w:hAnsi="Times New Roman" w:cs="Times New Roman"/>
                      <w:b/>
                      <w:bCs/>
                      <w:sz w:val="21"/>
                      <w:szCs w:val="21"/>
                    </w:rPr>
                  </w:pPr>
                  <w:r>
                    <w:rPr>
                      <w:rFonts w:hint="default" w:ascii="Times New Roman" w:hAnsi="Times New Roman" w:cs="Times New Roman"/>
                      <w:b/>
                      <w:bCs/>
                      <w:sz w:val="21"/>
                      <w:szCs w:val="21"/>
                    </w:rPr>
                    <w:t>监测频次</w:t>
                  </w:r>
                </w:p>
              </w:tc>
              <w:tc>
                <w:tcPr>
                  <w:tcW w:w="1988" w:type="pct"/>
                  <w:shd w:val="clear" w:color="auto" w:fill="auto"/>
                  <w:vAlign w:val="center"/>
                </w:tcPr>
                <w:p>
                  <w:pPr>
                    <w:pStyle w:val="24"/>
                    <w:spacing w:after="0"/>
                    <w:ind w:left="0" w:leftChars="0" w:firstLine="422"/>
                    <w:jc w:val="center"/>
                    <w:rPr>
                      <w:rFonts w:hint="default" w:ascii="Times New Roman" w:hAnsi="Times New Roman" w:cs="Times New Roman"/>
                      <w:b/>
                      <w:bCs/>
                      <w:sz w:val="21"/>
                      <w:szCs w:val="21"/>
                    </w:rPr>
                  </w:pPr>
                  <w:r>
                    <w:rPr>
                      <w:rFonts w:hint="default" w:ascii="Times New Roman" w:hAnsi="Times New Roman" w:cs="Times New Roman"/>
                      <w:b/>
                      <w:bCs/>
                      <w:sz w:val="21"/>
                      <w:szCs w:val="21"/>
                    </w:rPr>
                    <w:t>执行标准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453" w:type="pct"/>
                  <w:shd w:val="clear" w:color="auto" w:fill="auto"/>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059" w:type="pct"/>
                  <w:shd w:val="clear" w:color="auto" w:fill="auto"/>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东、南、西北厂界外1m</w:t>
                  </w:r>
                </w:p>
              </w:tc>
              <w:tc>
                <w:tcPr>
                  <w:tcW w:w="794" w:type="pct"/>
                  <w:shd w:val="clear" w:color="auto" w:fill="auto"/>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连续等效A声级</w:t>
                  </w:r>
                </w:p>
              </w:tc>
              <w:tc>
                <w:tcPr>
                  <w:tcW w:w="706" w:type="pct"/>
                  <w:shd w:val="clear" w:color="auto" w:fill="auto"/>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1次/</w:t>
                  </w:r>
                  <w:r>
                    <w:rPr>
                      <w:rFonts w:hint="default" w:ascii="Times New Roman" w:hAnsi="Times New Roman" w:cs="Times New Roman"/>
                      <w:sz w:val="21"/>
                      <w:szCs w:val="21"/>
                      <w:lang w:val="en-US" w:eastAsia="zh-CN"/>
                    </w:rPr>
                    <w:t>季度</w:t>
                  </w:r>
                </w:p>
              </w:tc>
              <w:tc>
                <w:tcPr>
                  <w:tcW w:w="1988" w:type="pct"/>
                  <w:shd w:val="clear" w:color="auto" w:fill="auto"/>
                  <w:vAlign w:val="center"/>
                </w:tcPr>
                <w:p>
                  <w:pPr>
                    <w:pStyle w:val="24"/>
                    <w:spacing w:after="0"/>
                    <w:ind w:left="0" w:leftChars="0"/>
                    <w:jc w:val="center"/>
                    <w:rPr>
                      <w:rFonts w:hint="default" w:ascii="Times New Roman" w:hAnsi="Times New Roman" w:cs="Times New Roman"/>
                      <w:sz w:val="21"/>
                      <w:szCs w:val="21"/>
                    </w:rPr>
                  </w:pPr>
                  <w:r>
                    <w:rPr>
                      <w:rFonts w:hint="default" w:ascii="Times New Roman" w:hAnsi="Times New Roman" w:cs="Times New Roman"/>
                      <w:sz w:val="21"/>
                      <w:szCs w:val="21"/>
                    </w:rPr>
                    <w:t>《工业企业厂界环境噪声排放标准》（GB3096-2008）3类标准</w:t>
                  </w:r>
                </w:p>
              </w:tc>
            </w:tr>
          </w:tbl>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四、固体废物</w:t>
            </w:r>
          </w:p>
          <w:p>
            <w:pPr>
              <w:spacing w:line="360" w:lineRule="auto"/>
              <w:ind w:firstLine="480" w:firstLineChars="200"/>
              <w:rPr>
                <w:rFonts w:hint="default" w:ascii="Times New Roman" w:hAnsi="Times New Roman" w:cs="Times New Roman"/>
                <w:sz w:val="24"/>
                <w:szCs w:val="24"/>
              </w:rPr>
            </w:pPr>
            <w:r>
              <w:rPr>
                <w:rFonts w:hint="eastAsia" w:cs="Times New Roman"/>
                <w:sz w:val="24"/>
                <w:szCs w:val="24"/>
                <w:lang w:val="en-US" w:eastAsia="zh-CN"/>
              </w:rPr>
              <w:t>改建完成后</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项目产生的固体废物主要为</w:t>
            </w:r>
            <w:r>
              <w:rPr>
                <w:rFonts w:hint="default" w:ascii="Times New Roman" w:hAnsi="Times New Roman" w:cs="Times New Roman"/>
                <w:sz w:val="24"/>
                <w:szCs w:val="24"/>
                <w:lang w:eastAsia="zh-CN"/>
              </w:rPr>
              <w:t>边角料和金属废屑、除尘器（机加工、抛丸、焊接）收集尘、除尘器（多元合金共渗）收集尘、压滤机压滤泥饼、</w:t>
            </w:r>
            <w:r>
              <w:rPr>
                <w:rFonts w:hint="default" w:ascii="Times New Roman" w:hAnsi="Times New Roman" w:cs="Times New Roman"/>
                <w:sz w:val="24"/>
                <w:szCs w:val="24"/>
              </w:rPr>
              <w:t>废乳化液</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废润滑油</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废液压油</w:t>
            </w:r>
            <w:r>
              <w:rPr>
                <w:rFonts w:hint="default" w:ascii="Times New Roman" w:hAnsi="Times New Roman" w:cs="Times New Roman"/>
                <w:sz w:val="24"/>
                <w:szCs w:val="24"/>
                <w:lang w:eastAsia="zh-CN"/>
              </w:rPr>
              <w:t>、</w:t>
            </w:r>
            <w:r>
              <w:rPr>
                <w:rFonts w:hint="default" w:ascii="Times New Roman" w:hAnsi="Times New Roman" w:cs="Times New Roman"/>
                <w:sz w:val="24"/>
                <w:szCs w:val="24"/>
              </w:rPr>
              <w:t>废反渗透膜</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废</w:t>
            </w:r>
            <w:r>
              <w:rPr>
                <w:rFonts w:hint="default" w:ascii="Times New Roman" w:hAnsi="Times New Roman" w:cs="Times New Roman"/>
                <w:sz w:val="24"/>
                <w:szCs w:val="24"/>
              </w:rPr>
              <w:t>过滤棉</w:t>
            </w:r>
            <w:r>
              <w:rPr>
                <w:rFonts w:hint="default" w:ascii="Times New Roman" w:hAnsi="Times New Roman" w:cs="Times New Roman"/>
                <w:sz w:val="24"/>
                <w:szCs w:val="24"/>
                <w:lang w:eastAsia="zh-CN"/>
              </w:rPr>
              <w:t>、</w:t>
            </w:r>
            <w:r>
              <w:rPr>
                <w:rFonts w:hint="default" w:ascii="Times New Roman" w:hAnsi="Times New Roman" w:cs="Times New Roman"/>
                <w:sz w:val="24"/>
                <w:szCs w:val="24"/>
              </w:rPr>
              <w:t>废活性炭</w:t>
            </w:r>
            <w:r>
              <w:rPr>
                <w:rFonts w:hint="default" w:ascii="Times New Roman" w:hAnsi="Times New Roman" w:cs="Times New Roman"/>
                <w:sz w:val="24"/>
                <w:szCs w:val="24"/>
                <w:lang w:eastAsia="zh-CN"/>
              </w:rPr>
              <w:t>、</w:t>
            </w:r>
            <w:r>
              <w:rPr>
                <w:rFonts w:hint="default" w:ascii="Times New Roman" w:hAnsi="Times New Roman" w:cs="Times New Roman"/>
                <w:sz w:val="24"/>
                <w:szCs w:val="24"/>
              </w:rPr>
              <w:t>废UV灯管</w:t>
            </w:r>
            <w:r>
              <w:rPr>
                <w:rFonts w:hint="default" w:ascii="Times New Roman" w:hAnsi="Times New Roman" w:cs="Times New Roman"/>
                <w:sz w:val="24"/>
                <w:szCs w:val="24"/>
                <w:lang w:eastAsia="zh-CN"/>
              </w:rPr>
              <w:t>、</w:t>
            </w:r>
            <w:r>
              <w:rPr>
                <w:rFonts w:hint="eastAsia" w:cs="Times New Roman"/>
                <w:sz w:val="24"/>
                <w:szCs w:val="24"/>
                <w:lang w:val="en-US" w:eastAsia="zh-CN"/>
              </w:rPr>
              <w:t>废</w:t>
            </w:r>
            <w:r>
              <w:rPr>
                <w:rFonts w:hint="default" w:ascii="Times New Roman" w:hAnsi="Times New Roman" w:cs="Times New Roman"/>
                <w:sz w:val="24"/>
                <w:szCs w:val="24"/>
                <w:lang w:eastAsia="zh-CN"/>
              </w:rPr>
              <w:t>包装桶、废含油手套及抹布</w:t>
            </w:r>
            <w:r>
              <w:rPr>
                <w:rFonts w:hint="default" w:ascii="Times New Roman" w:hAnsi="Times New Roman" w:cs="Times New Roman"/>
                <w:sz w:val="24"/>
                <w:szCs w:val="24"/>
                <w:lang w:val="en-US" w:eastAsia="zh-CN"/>
              </w:rPr>
              <w:t>和</w:t>
            </w:r>
            <w:r>
              <w:rPr>
                <w:rFonts w:hint="default" w:ascii="Times New Roman" w:hAnsi="Times New Roman" w:cs="Times New Roman"/>
                <w:sz w:val="24"/>
                <w:szCs w:val="24"/>
              </w:rPr>
              <w:t>生活垃圾。</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1、一般固体废物</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（1）</w:t>
            </w:r>
            <w:r>
              <w:rPr>
                <w:rFonts w:hint="default" w:ascii="Times New Roman" w:hAnsi="Times New Roman" w:cs="Times New Roman"/>
                <w:sz w:val="24"/>
                <w:szCs w:val="24"/>
                <w:lang w:eastAsia="zh-CN"/>
              </w:rPr>
              <w:t>边角料和金属废屑</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项目机械加工生产过程中会产生一定量原料边角料和金属废屑，根据同行业经验数据，边角料和金属废屑产生量约占原材料用量的2%，项目钢用量为</w:t>
            </w:r>
            <w:r>
              <w:rPr>
                <w:rFonts w:hint="default" w:ascii="Times New Roman" w:hAnsi="Times New Roman" w:cs="Times New Roman"/>
                <w:sz w:val="24"/>
                <w:szCs w:val="24"/>
                <w:lang w:val="en-US" w:eastAsia="zh-CN"/>
              </w:rPr>
              <w:t>8228.4</w:t>
            </w:r>
            <w:r>
              <w:rPr>
                <w:rFonts w:hint="default" w:ascii="Times New Roman" w:hAnsi="Times New Roman" w:cs="Times New Roman"/>
                <w:sz w:val="24"/>
                <w:szCs w:val="24"/>
              </w:rPr>
              <w:t>t/a，则边角料和金属废屑产生量</w:t>
            </w:r>
            <w:r>
              <w:rPr>
                <w:rFonts w:hint="default" w:ascii="Times New Roman" w:hAnsi="Times New Roman" w:cs="Times New Roman"/>
                <w:sz w:val="24"/>
                <w:szCs w:val="24"/>
                <w:lang w:val="en-US" w:eastAsia="zh-CN"/>
              </w:rPr>
              <w:t>约</w:t>
            </w:r>
            <w:r>
              <w:rPr>
                <w:rFonts w:hint="default" w:ascii="Times New Roman" w:hAnsi="Times New Roman" w:cs="Times New Roman"/>
                <w:sz w:val="24"/>
                <w:szCs w:val="24"/>
              </w:rPr>
              <w:t>为</w:t>
            </w:r>
            <w:r>
              <w:rPr>
                <w:rFonts w:hint="default" w:ascii="Times New Roman" w:hAnsi="Times New Roman" w:cs="Times New Roman"/>
                <w:sz w:val="24"/>
                <w:szCs w:val="24"/>
                <w:lang w:val="en-US" w:eastAsia="zh-CN"/>
              </w:rPr>
              <w:t>164.57</w:t>
            </w:r>
            <w:r>
              <w:rPr>
                <w:rFonts w:hint="default" w:ascii="Times New Roman" w:hAnsi="Times New Roman" w:cs="Times New Roman"/>
                <w:sz w:val="24"/>
                <w:szCs w:val="24"/>
              </w:rPr>
              <w:t>t/a。边角料和金属废屑属于一般固废，收集后暂存一般固废暂存间，定期统一交物资回收公司回收利用。</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（2）</w:t>
            </w:r>
            <w:r>
              <w:rPr>
                <w:rFonts w:hint="default" w:ascii="Times New Roman" w:hAnsi="Times New Roman" w:cs="Times New Roman"/>
                <w:sz w:val="24"/>
                <w:szCs w:val="24"/>
                <w:lang w:eastAsia="zh-CN"/>
              </w:rPr>
              <w:t>除尘器（机加工、抛丸、焊接）收集尘</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项目机加工、抛丸、焊接过程产生的粉尘经除尘器收集处理，机加工除尘器收集</w:t>
            </w:r>
            <w:r>
              <w:rPr>
                <w:rFonts w:hint="default" w:ascii="Times New Roman" w:hAnsi="Times New Roman" w:cs="Times New Roman"/>
                <w:sz w:val="24"/>
                <w:szCs w:val="24"/>
                <w:lang w:eastAsia="zh-CN"/>
              </w:rPr>
              <w:t>尘</w:t>
            </w:r>
            <w:r>
              <w:rPr>
                <w:rFonts w:hint="default" w:ascii="Times New Roman" w:hAnsi="Times New Roman" w:cs="Times New Roman"/>
                <w:sz w:val="24"/>
                <w:szCs w:val="24"/>
              </w:rPr>
              <w:t>量</w:t>
            </w:r>
            <w:r>
              <w:rPr>
                <w:rFonts w:hint="default" w:ascii="Times New Roman" w:hAnsi="Times New Roman" w:cs="Times New Roman"/>
                <w:sz w:val="24"/>
                <w:szCs w:val="24"/>
                <w:lang w:val="en-US" w:eastAsia="zh-CN"/>
              </w:rPr>
              <w:t>约</w:t>
            </w:r>
            <w:r>
              <w:rPr>
                <w:rFonts w:hint="default" w:ascii="Times New Roman" w:hAnsi="Times New Roman" w:cs="Times New Roman"/>
                <w:sz w:val="24"/>
                <w:szCs w:val="24"/>
              </w:rPr>
              <w:t>为</w:t>
            </w:r>
            <w:r>
              <w:rPr>
                <w:rFonts w:hint="default" w:ascii="Times New Roman" w:hAnsi="Times New Roman" w:cs="Times New Roman"/>
                <w:sz w:val="24"/>
                <w:szCs w:val="24"/>
                <w:lang w:val="en-US" w:eastAsia="zh-CN"/>
              </w:rPr>
              <w:t>4.6</w:t>
            </w:r>
            <w:r>
              <w:rPr>
                <w:rFonts w:hint="default" w:ascii="Times New Roman" w:hAnsi="Times New Roman" w:cs="Times New Roman"/>
                <w:sz w:val="24"/>
                <w:szCs w:val="24"/>
              </w:rPr>
              <w:t>t/a；抛丸除尘器收集</w:t>
            </w:r>
            <w:r>
              <w:rPr>
                <w:rFonts w:hint="default" w:ascii="Times New Roman" w:hAnsi="Times New Roman" w:cs="Times New Roman"/>
                <w:sz w:val="24"/>
                <w:szCs w:val="24"/>
                <w:lang w:eastAsia="zh-CN"/>
              </w:rPr>
              <w:t>尘</w:t>
            </w:r>
            <w:r>
              <w:rPr>
                <w:rFonts w:hint="default" w:ascii="Times New Roman" w:hAnsi="Times New Roman" w:cs="Times New Roman"/>
                <w:sz w:val="24"/>
                <w:szCs w:val="24"/>
              </w:rPr>
              <w:t>量为</w:t>
            </w:r>
            <w:r>
              <w:rPr>
                <w:rFonts w:hint="default" w:ascii="Times New Roman" w:hAnsi="Times New Roman" w:cs="Times New Roman"/>
                <w:sz w:val="24"/>
                <w:szCs w:val="24"/>
                <w:lang w:val="en-US" w:eastAsia="zh-CN"/>
              </w:rPr>
              <w:t>13.114</w:t>
            </w:r>
            <w:r>
              <w:rPr>
                <w:rFonts w:hint="default" w:ascii="Times New Roman" w:hAnsi="Times New Roman" w:cs="Times New Roman"/>
                <w:sz w:val="24"/>
                <w:szCs w:val="24"/>
              </w:rPr>
              <w:t>t/a；焊接移动式焊烟净化器收集</w:t>
            </w:r>
            <w:r>
              <w:rPr>
                <w:rFonts w:hint="default" w:ascii="Times New Roman" w:hAnsi="Times New Roman" w:cs="Times New Roman"/>
                <w:sz w:val="24"/>
                <w:szCs w:val="24"/>
                <w:lang w:eastAsia="zh-CN"/>
              </w:rPr>
              <w:t>尘</w:t>
            </w:r>
            <w:r>
              <w:rPr>
                <w:rFonts w:hint="default" w:ascii="Times New Roman" w:hAnsi="Times New Roman" w:cs="Times New Roman"/>
                <w:sz w:val="24"/>
                <w:szCs w:val="24"/>
                <w:lang w:val="en-US" w:eastAsia="zh-CN"/>
              </w:rPr>
              <w:t>量</w:t>
            </w:r>
            <w:r>
              <w:rPr>
                <w:rFonts w:hint="default" w:ascii="Times New Roman" w:hAnsi="Times New Roman" w:cs="Times New Roman"/>
                <w:sz w:val="24"/>
                <w:szCs w:val="24"/>
              </w:rPr>
              <w:t>为0.0</w:t>
            </w:r>
            <w:r>
              <w:rPr>
                <w:rFonts w:hint="default" w:ascii="Times New Roman" w:hAnsi="Times New Roman" w:cs="Times New Roman"/>
                <w:sz w:val="24"/>
                <w:szCs w:val="24"/>
                <w:lang w:val="en-US" w:eastAsia="zh-CN"/>
              </w:rPr>
              <w:t>34</w:t>
            </w:r>
            <w:r>
              <w:rPr>
                <w:rFonts w:hint="default" w:ascii="Times New Roman" w:hAnsi="Times New Roman" w:cs="Times New Roman"/>
                <w:sz w:val="24"/>
                <w:szCs w:val="24"/>
              </w:rPr>
              <w:t>t/a；则除尘器（</w:t>
            </w:r>
            <w:r>
              <w:rPr>
                <w:rFonts w:hint="default" w:ascii="Times New Roman" w:hAnsi="Times New Roman" w:cs="Times New Roman"/>
                <w:sz w:val="24"/>
                <w:szCs w:val="24"/>
                <w:lang w:eastAsia="zh-CN"/>
              </w:rPr>
              <w:t>机加工、抛丸、焊接</w:t>
            </w:r>
            <w:r>
              <w:rPr>
                <w:rFonts w:hint="default" w:ascii="Times New Roman" w:hAnsi="Times New Roman" w:cs="Times New Roman"/>
                <w:sz w:val="24"/>
                <w:szCs w:val="24"/>
              </w:rPr>
              <w:t>）收集</w:t>
            </w:r>
            <w:r>
              <w:rPr>
                <w:rFonts w:hint="default" w:ascii="Times New Roman" w:hAnsi="Times New Roman" w:cs="Times New Roman"/>
                <w:sz w:val="24"/>
                <w:szCs w:val="24"/>
                <w:lang w:eastAsia="zh-CN"/>
              </w:rPr>
              <w:t>尘</w:t>
            </w:r>
            <w:r>
              <w:rPr>
                <w:rFonts w:hint="default" w:ascii="Times New Roman" w:hAnsi="Times New Roman" w:cs="Times New Roman"/>
                <w:sz w:val="24"/>
                <w:szCs w:val="24"/>
              </w:rPr>
              <w:t>总量约为</w:t>
            </w:r>
            <w:r>
              <w:rPr>
                <w:rFonts w:hint="default" w:ascii="Times New Roman" w:hAnsi="Times New Roman" w:cs="Times New Roman"/>
                <w:sz w:val="24"/>
                <w:szCs w:val="24"/>
                <w:lang w:val="en-US" w:eastAsia="zh-CN"/>
              </w:rPr>
              <w:t>17.74</w:t>
            </w:r>
            <w:r>
              <w:rPr>
                <w:rFonts w:hint="default" w:ascii="Times New Roman" w:hAnsi="Times New Roman" w:cs="Times New Roman"/>
                <w:sz w:val="24"/>
                <w:szCs w:val="24"/>
              </w:rPr>
              <w:t>t/a。除尘器（</w:t>
            </w:r>
            <w:r>
              <w:rPr>
                <w:rFonts w:hint="default" w:ascii="Times New Roman" w:hAnsi="Times New Roman" w:cs="Times New Roman"/>
                <w:sz w:val="24"/>
                <w:szCs w:val="24"/>
                <w:lang w:eastAsia="zh-CN"/>
              </w:rPr>
              <w:t>机加工、抛丸、焊接</w:t>
            </w:r>
            <w:r>
              <w:rPr>
                <w:rFonts w:hint="default" w:ascii="Times New Roman" w:hAnsi="Times New Roman" w:cs="Times New Roman"/>
                <w:sz w:val="24"/>
                <w:szCs w:val="24"/>
              </w:rPr>
              <w:t>、打磨）收集</w:t>
            </w:r>
            <w:r>
              <w:rPr>
                <w:rFonts w:hint="default" w:ascii="Times New Roman" w:hAnsi="Times New Roman" w:cs="Times New Roman"/>
                <w:sz w:val="24"/>
                <w:szCs w:val="24"/>
                <w:lang w:eastAsia="zh-CN"/>
              </w:rPr>
              <w:t>尘</w:t>
            </w:r>
            <w:r>
              <w:rPr>
                <w:rFonts w:hint="default" w:ascii="Times New Roman" w:hAnsi="Times New Roman" w:cs="Times New Roman"/>
                <w:sz w:val="24"/>
                <w:szCs w:val="24"/>
              </w:rPr>
              <w:t>属于一般固废，收集后暂存一般固废暂存间，统一交物资回收公司回收利用。</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（3）</w:t>
            </w:r>
            <w:r>
              <w:rPr>
                <w:rFonts w:hint="default" w:ascii="Times New Roman" w:hAnsi="Times New Roman" w:cs="Times New Roman"/>
                <w:sz w:val="24"/>
                <w:szCs w:val="24"/>
                <w:lang w:eastAsia="zh-CN"/>
              </w:rPr>
              <w:t>除尘器（多元合金共渗）收集尘</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项目多元合金共渗</w:t>
            </w:r>
            <w:r>
              <w:rPr>
                <w:rFonts w:hint="default" w:ascii="Times New Roman" w:hAnsi="Times New Roman" w:cs="Times New Roman"/>
                <w:sz w:val="24"/>
                <w:szCs w:val="24"/>
                <w:lang w:val="en-US" w:eastAsia="zh-CN"/>
              </w:rPr>
              <w:t>炉料分离</w:t>
            </w:r>
            <w:r>
              <w:rPr>
                <w:rFonts w:hint="default" w:ascii="Times New Roman" w:hAnsi="Times New Roman" w:cs="Times New Roman"/>
                <w:sz w:val="24"/>
                <w:szCs w:val="24"/>
              </w:rPr>
              <w:t>过程产生的粉尘经布袋除尘器收集处理，根据工程分析内容，</w:t>
            </w:r>
            <w:r>
              <w:rPr>
                <w:rFonts w:hint="default" w:ascii="Times New Roman" w:hAnsi="Times New Roman" w:cs="Times New Roman"/>
                <w:sz w:val="24"/>
                <w:szCs w:val="24"/>
                <w:lang w:val="en-US" w:eastAsia="zh-CN"/>
              </w:rPr>
              <w:t>炉料分离</w:t>
            </w:r>
            <w:r>
              <w:rPr>
                <w:rFonts w:hint="default" w:ascii="Times New Roman" w:hAnsi="Times New Roman" w:cs="Times New Roman"/>
                <w:sz w:val="24"/>
                <w:szCs w:val="24"/>
              </w:rPr>
              <w:t>除尘器收集</w:t>
            </w:r>
            <w:r>
              <w:rPr>
                <w:rFonts w:hint="default" w:ascii="Times New Roman" w:hAnsi="Times New Roman" w:cs="Times New Roman"/>
                <w:sz w:val="24"/>
                <w:szCs w:val="24"/>
                <w:lang w:val="en-US" w:eastAsia="zh-CN"/>
              </w:rPr>
              <w:t>尘</w:t>
            </w:r>
            <w:r>
              <w:rPr>
                <w:rFonts w:hint="default" w:ascii="Times New Roman" w:hAnsi="Times New Roman" w:cs="Times New Roman"/>
                <w:sz w:val="24"/>
                <w:szCs w:val="24"/>
              </w:rPr>
              <w:t>量为</w:t>
            </w:r>
            <w:r>
              <w:rPr>
                <w:rFonts w:hint="default" w:ascii="Times New Roman" w:hAnsi="Times New Roman" w:cs="Times New Roman"/>
                <w:sz w:val="24"/>
                <w:szCs w:val="24"/>
                <w:lang w:val="en-US" w:eastAsia="zh-CN"/>
              </w:rPr>
              <w:t>3.038</w:t>
            </w:r>
            <w:r>
              <w:rPr>
                <w:rFonts w:hint="default" w:ascii="Times New Roman" w:hAnsi="Times New Roman" w:cs="Times New Roman"/>
                <w:sz w:val="24"/>
                <w:szCs w:val="24"/>
              </w:rPr>
              <w:t>t/a，多元合金共渗除尘器收集尘为锌粉、铝粉及石英砂粉尘，作为渗剂回用于渗锌工段。</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（4）</w:t>
            </w:r>
            <w:r>
              <w:rPr>
                <w:rFonts w:hint="default" w:ascii="Times New Roman" w:hAnsi="Times New Roman" w:cs="Times New Roman"/>
                <w:sz w:val="24"/>
                <w:szCs w:val="24"/>
                <w:lang w:eastAsia="zh-CN"/>
              </w:rPr>
              <w:t>压滤机压滤泥饼</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项目多元合金共渗的工件表面会残留锌粉和石英砂，需要放入全自动悬链钝化封闭线喷淋室中进行清洗，经清洗后，清洗废水进入沉淀池，随后进入压滤机进行压滤产生泥饼，此部分沉渣多为多元合金共渗的工件表面残留的锌粉和石英砂，可作为渗剂回用于渗锌工段。根据类比同类企业经验数据，沾染在工件表面的锌粉、石英砂等约为多元合金共渗原料的0.1%，多元合金共渗原料总量为</w:t>
            </w:r>
            <w:r>
              <w:rPr>
                <w:rFonts w:hint="default" w:ascii="Times New Roman" w:hAnsi="Times New Roman" w:cs="Times New Roman"/>
                <w:sz w:val="24"/>
                <w:szCs w:val="24"/>
                <w:lang w:val="en-US" w:eastAsia="zh-CN"/>
              </w:rPr>
              <w:t>42</w:t>
            </w:r>
            <w:r>
              <w:rPr>
                <w:rFonts w:hint="default" w:ascii="Times New Roman" w:hAnsi="Times New Roman" w:cs="Times New Roman"/>
                <w:sz w:val="24"/>
                <w:szCs w:val="24"/>
              </w:rPr>
              <w:t>t/a，则工件表面锌粉、石英砂等总量约为0.0</w:t>
            </w:r>
            <w:r>
              <w:rPr>
                <w:rFonts w:hint="default" w:ascii="Times New Roman" w:hAnsi="Times New Roman" w:cs="Times New Roman"/>
                <w:sz w:val="24"/>
                <w:szCs w:val="24"/>
                <w:lang w:val="en-US" w:eastAsia="zh-CN"/>
              </w:rPr>
              <w:t>42</w:t>
            </w:r>
            <w:r>
              <w:rPr>
                <w:rFonts w:hint="default" w:ascii="Times New Roman" w:hAnsi="Times New Roman" w:cs="Times New Roman"/>
                <w:sz w:val="24"/>
                <w:szCs w:val="24"/>
              </w:rPr>
              <w:t>t/a，</w:t>
            </w:r>
            <w:r>
              <w:rPr>
                <w:rFonts w:hint="default" w:ascii="Times New Roman" w:hAnsi="Times New Roman" w:cs="Times New Roman"/>
                <w:sz w:val="24"/>
                <w:szCs w:val="24"/>
                <w:lang w:eastAsia="zh-CN"/>
              </w:rPr>
              <w:t>压滤机压滤泥饼</w:t>
            </w:r>
            <w:r>
              <w:rPr>
                <w:rFonts w:hint="default" w:ascii="Times New Roman" w:hAnsi="Times New Roman" w:cs="Times New Roman"/>
                <w:sz w:val="24"/>
                <w:szCs w:val="24"/>
              </w:rPr>
              <w:t>产生量约为（含水率40%）0.0</w:t>
            </w:r>
            <w:r>
              <w:rPr>
                <w:rFonts w:hint="default" w:ascii="Times New Roman" w:hAnsi="Times New Roman" w:cs="Times New Roman"/>
                <w:sz w:val="24"/>
                <w:szCs w:val="24"/>
                <w:lang w:val="en-US" w:eastAsia="zh-CN"/>
              </w:rPr>
              <w:t>7</w:t>
            </w:r>
            <w:r>
              <w:rPr>
                <w:rFonts w:hint="default" w:ascii="Times New Roman" w:hAnsi="Times New Roman" w:cs="Times New Roman"/>
                <w:sz w:val="24"/>
                <w:szCs w:val="24"/>
              </w:rPr>
              <w:t>t/a</w:t>
            </w:r>
            <w:r>
              <w:rPr>
                <w:rFonts w:hint="default" w:ascii="Times New Roman" w:hAnsi="Times New Roman" w:cs="Times New Roman"/>
                <w:sz w:val="24"/>
                <w:szCs w:val="24"/>
                <w:lang w:eastAsia="zh-CN"/>
              </w:rPr>
              <w:t>。</w:t>
            </w:r>
          </w:p>
          <w:p>
            <w:pPr>
              <w:pStyle w:val="2"/>
              <w:spacing w:line="360" w:lineRule="auto"/>
              <w:ind w:firstLine="480" w:firstLineChars="200"/>
              <w:jc w:val="both"/>
              <w:rPr>
                <w:rFonts w:hint="default" w:ascii="Times New Roman" w:hAnsi="Times New Roman" w:cs="Times New Roman"/>
                <w:sz w:val="24"/>
                <w:szCs w:val="24"/>
                <w:lang w:val="zh-CN" w:eastAsia="zh-CN"/>
              </w:rPr>
            </w:pPr>
            <w:r>
              <w:rPr>
                <w:rFonts w:hint="default" w:ascii="Times New Roman" w:hAnsi="Times New Roman" w:cs="Times New Roman"/>
                <w:sz w:val="24"/>
                <w:szCs w:val="24"/>
                <w:lang w:val="zh-CN" w:eastAsia="zh-CN"/>
              </w:rPr>
              <w:t>（</w:t>
            </w:r>
            <w:r>
              <w:rPr>
                <w:rFonts w:hint="default" w:ascii="Times New Roman" w:hAnsi="Times New Roman" w:cs="Times New Roman"/>
                <w:sz w:val="24"/>
                <w:szCs w:val="24"/>
                <w:lang w:val="en-US" w:eastAsia="zh-CN"/>
              </w:rPr>
              <w:t>5</w:t>
            </w:r>
            <w:r>
              <w:rPr>
                <w:rFonts w:hint="default" w:ascii="Times New Roman" w:hAnsi="Times New Roman" w:cs="Times New Roman"/>
                <w:sz w:val="24"/>
                <w:szCs w:val="24"/>
                <w:lang w:val="zh-CN" w:eastAsia="zh-CN"/>
              </w:rPr>
              <w:t>）废反渗透膜</w:t>
            </w:r>
          </w:p>
          <w:p>
            <w:pPr>
              <w:pStyle w:val="2"/>
              <w:spacing w:line="360" w:lineRule="auto"/>
              <w:ind w:firstLine="480" w:firstLineChars="200"/>
              <w:jc w:val="both"/>
              <w:rPr>
                <w:rFonts w:hint="default" w:ascii="Times New Roman" w:hAnsi="Times New Roman" w:cs="Times New Roman"/>
                <w:sz w:val="24"/>
                <w:szCs w:val="24"/>
                <w:lang w:val="zh-CN" w:eastAsia="zh-CN"/>
              </w:rPr>
            </w:pPr>
            <w:r>
              <w:rPr>
                <w:rFonts w:hint="default" w:ascii="Times New Roman" w:hAnsi="Times New Roman" w:cs="Times New Roman"/>
                <w:sz w:val="24"/>
                <w:szCs w:val="24"/>
                <w:lang w:val="zh-CN" w:eastAsia="zh-CN"/>
              </w:rPr>
              <w:t>项目生产过程中清洗用水为纯水，通过本项目纯水系统制备，采取工艺为反渗透膜处理工艺，根据厂家提供资料，反渗透膜的更换频率约为3年更换一次，更换下来的废反渗透膜（约0.0</w:t>
            </w:r>
            <w:r>
              <w:rPr>
                <w:rFonts w:hint="default" w:ascii="Times New Roman" w:hAnsi="Times New Roman" w:cs="Times New Roman"/>
                <w:sz w:val="24"/>
                <w:szCs w:val="24"/>
                <w:lang w:val="en-US" w:eastAsia="zh-CN"/>
              </w:rPr>
              <w:t>3</w:t>
            </w:r>
            <w:r>
              <w:rPr>
                <w:rFonts w:hint="default" w:ascii="Times New Roman" w:hAnsi="Times New Roman" w:cs="Times New Roman"/>
                <w:sz w:val="24"/>
                <w:szCs w:val="24"/>
                <w:lang w:val="zh-CN" w:eastAsia="zh-CN"/>
              </w:rPr>
              <w:t>t/a）</w:t>
            </w:r>
            <w:r>
              <w:rPr>
                <w:rFonts w:hint="default" w:ascii="Times New Roman" w:hAnsi="Times New Roman" w:cs="Times New Roman"/>
                <w:sz w:val="24"/>
                <w:szCs w:val="24"/>
                <w:lang w:val="en-US" w:eastAsia="zh-CN"/>
              </w:rPr>
              <w:t>由厂家回收处理。</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2、危险废物</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6</w:t>
            </w:r>
            <w:r>
              <w:rPr>
                <w:rFonts w:hint="default" w:ascii="Times New Roman" w:hAnsi="Times New Roman" w:cs="Times New Roman"/>
                <w:sz w:val="24"/>
                <w:szCs w:val="24"/>
              </w:rPr>
              <w:t>）废乳化液</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val="zh-CN"/>
              </w:rPr>
              <w:t>乳化液主要作用为机械加工其冷却作用，机械设备均自带乳化液回收循环系统，因此，本项目废乳化液产生量占总量的10%左右（即</w:t>
            </w:r>
            <w:r>
              <w:rPr>
                <w:rFonts w:hint="default" w:ascii="Times New Roman" w:hAnsi="Times New Roman" w:cs="Times New Roman"/>
                <w:sz w:val="24"/>
                <w:szCs w:val="24"/>
                <w:lang w:val="en-US" w:eastAsia="zh-CN"/>
              </w:rPr>
              <w:t>0.3</w:t>
            </w:r>
            <w:r>
              <w:rPr>
                <w:rFonts w:hint="default" w:ascii="Times New Roman" w:hAnsi="Times New Roman" w:cs="Times New Roman"/>
                <w:sz w:val="24"/>
                <w:szCs w:val="24"/>
                <w:lang w:val="zh-CN"/>
              </w:rPr>
              <w:t>t/a）。</w:t>
            </w:r>
            <w:r>
              <w:rPr>
                <w:rFonts w:hint="default" w:ascii="Times New Roman" w:hAnsi="Times New Roman" w:cs="Times New Roman"/>
                <w:sz w:val="24"/>
                <w:szCs w:val="24"/>
              </w:rPr>
              <w:t>根据</w:t>
            </w:r>
            <w:r>
              <w:rPr>
                <w:rFonts w:hint="default" w:ascii="Times New Roman" w:hAnsi="Times New Roman" w:cs="Times New Roman"/>
                <w:sz w:val="24"/>
                <w:szCs w:val="24"/>
                <w:lang w:eastAsia="zh-CN"/>
              </w:rPr>
              <w:t>《国家危险废物名录》（2021年版）</w:t>
            </w:r>
            <w:r>
              <w:rPr>
                <w:rFonts w:hint="default" w:ascii="Times New Roman" w:hAnsi="Times New Roman" w:cs="Times New Roman"/>
                <w:sz w:val="24"/>
                <w:szCs w:val="24"/>
              </w:rPr>
              <w:t>，</w:t>
            </w:r>
            <w:r>
              <w:rPr>
                <w:rFonts w:hint="default" w:ascii="Times New Roman" w:hAnsi="Times New Roman" w:cs="Times New Roman"/>
                <w:sz w:val="24"/>
                <w:szCs w:val="24"/>
                <w:lang w:val="zh-CN"/>
              </w:rPr>
              <w:t>废乳化液属于危险废物，危废代码为</w:t>
            </w:r>
            <w:r>
              <w:rPr>
                <w:rFonts w:hint="eastAsia" w:asciiTheme="minorEastAsia" w:hAnsiTheme="minorEastAsia" w:eastAsiaTheme="minorEastAsia" w:cstheme="minorEastAsia"/>
                <w:sz w:val="24"/>
                <w:szCs w:val="24"/>
                <w:lang w:val="zh-CN"/>
              </w:rPr>
              <w:t>“</w:t>
            </w:r>
            <w:r>
              <w:rPr>
                <w:rFonts w:hint="default" w:ascii="Times New Roman" w:hAnsi="Times New Roman" w:cs="Times New Roman"/>
                <w:sz w:val="24"/>
                <w:szCs w:val="24"/>
                <w:lang w:val="zh-CN"/>
              </w:rPr>
              <w:t>HW09 油/水、烃/水混合物或乳化液 900-006-09</w:t>
            </w:r>
            <w:r>
              <w:rPr>
                <w:rFonts w:hint="eastAsia" w:asciiTheme="minorEastAsia" w:hAnsiTheme="minorEastAsia" w:eastAsiaTheme="minorEastAsia" w:cstheme="minorEastAsia"/>
                <w:sz w:val="24"/>
                <w:szCs w:val="24"/>
                <w:lang w:val="zh-CN"/>
              </w:rPr>
              <w:t>”</w:t>
            </w:r>
            <w:r>
              <w:rPr>
                <w:rFonts w:hint="default" w:ascii="Times New Roman" w:hAnsi="Times New Roman" w:cs="Times New Roman"/>
                <w:sz w:val="24"/>
                <w:szCs w:val="24"/>
                <w:lang w:val="zh-CN"/>
              </w:rPr>
              <w:t>，专用容器贮存于危废暂存间，定期委托有资质单位处置。</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7</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废润滑油</w:t>
            </w:r>
          </w:p>
          <w:p>
            <w:pPr>
              <w:spacing w:line="360" w:lineRule="auto"/>
              <w:ind w:firstLine="480" w:firstLineChars="200"/>
              <w:rPr>
                <w:rFonts w:hint="default" w:ascii="Times New Roman" w:hAnsi="Times New Roman" w:cs="Times New Roman"/>
                <w:sz w:val="24"/>
                <w:szCs w:val="24"/>
                <w:lang w:val="zh-CN"/>
              </w:rPr>
            </w:pPr>
            <w:r>
              <w:rPr>
                <w:rFonts w:hint="default" w:ascii="Times New Roman" w:hAnsi="Times New Roman" w:cs="Times New Roman"/>
                <w:sz w:val="24"/>
                <w:szCs w:val="24"/>
                <w:lang w:val="zh-CN"/>
              </w:rPr>
              <w:t>项目厂区生产设备维修和维护过程中会产生少量的废润滑油，产生量为0.01t/a。</w:t>
            </w:r>
            <w:r>
              <w:rPr>
                <w:rFonts w:hint="default" w:ascii="Times New Roman" w:hAnsi="Times New Roman" w:cs="Times New Roman"/>
                <w:sz w:val="24"/>
                <w:szCs w:val="24"/>
              </w:rPr>
              <w:t>根据</w:t>
            </w:r>
            <w:r>
              <w:rPr>
                <w:rFonts w:hint="default" w:ascii="Times New Roman" w:hAnsi="Times New Roman" w:cs="Times New Roman"/>
                <w:sz w:val="24"/>
                <w:szCs w:val="24"/>
                <w:lang w:eastAsia="zh-CN"/>
              </w:rPr>
              <w:t>《国家危险废物名录》（2021年版）</w:t>
            </w:r>
            <w:r>
              <w:rPr>
                <w:rFonts w:hint="default" w:ascii="Times New Roman" w:hAnsi="Times New Roman" w:cs="Times New Roman"/>
                <w:sz w:val="24"/>
                <w:szCs w:val="24"/>
              </w:rPr>
              <w:t>，废润滑油</w:t>
            </w:r>
            <w:r>
              <w:rPr>
                <w:rFonts w:hint="default" w:ascii="Times New Roman" w:hAnsi="Times New Roman" w:cs="Times New Roman"/>
                <w:sz w:val="24"/>
                <w:szCs w:val="24"/>
                <w:lang w:val="zh-CN"/>
              </w:rPr>
              <w:t>属于危险废物，危废代码为</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ajorEastAsia"/>
                <w:sz w:val="24"/>
                <w:szCs w:val="24"/>
                <w:lang w:val="zh-CN"/>
              </w:rPr>
              <w:t>HW08废矿物油与含矿物油废物 900-217-08</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sz w:val="24"/>
                <w:szCs w:val="24"/>
                <w:lang w:val="zh-CN"/>
              </w:rPr>
              <w:t>，专用容器贮存于危废暂存间，定期委托有资质单位处置。</w:t>
            </w:r>
          </w:p>
          <w:p>
            <w:pPr>
              <w:pStyle w:val="2"/>
              <w:spacing w:line="360" w:lineRule="auto"/>
              <w:ind w:firstLine="480" w:firstLineChars="200"/>
              <w:jc w:val="both"/>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8</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废液压油</w:t>
            </w:r>
          </w:p>
          <w:p>
            <w:pPr>
              <w:pStyle w:val="2"/>
              <w:spacing w:line="360" w:lineRule="auto"/>
              <w:ind w:firstLine="480" w:firstLineChars="200"/>
              <w:jc w:val="both"/>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液压油就是利用液体压力能的液压系统使用的液压介质，在液压系统中起着能量传递、抗磨、系统润滑、防腐、防锈、冷却等作用。本项目在维护设备时会消耗一定量液压油，根据建设单位提供资料得知，项目液压油每2年更换一次，本项目废液压油液产生量占总量的</w:t>
            </w:r>
            <w:r>
              <w:rPr>
                <w:rFonts w:hint="default" w:ascii="Times New Roman" w:hAnsi="Times New Roman" w:cs="Times New Roman"/>
                <w:sz w:val="24"/>
                <w:szCs w:val="24"/>
                <w:lang w:val="en-US" w:eastAsia="zh-CN"/>
              </w:rPr>
              <w:t>25</w:t>
            </w:r>
            <w:r>
              <w:rPr>
                <w:rFonts w:hint="default" w:ascii="Times New Roman" w:hAnsi="Times New Roman" w:cs="Times New Roman"/>
                <w:sz w:val="24"/>
                <w:szCs w:val="24"/>
                <w:lang w:eastAsia="zh-CN"/>
              </w:rPr>
              <w:t>%左右（即0.</w:t>
            </w:r>
            <w:r>
              <w:rPr>
                <w:rFonts w:hint="default" w:ascii="Times New Roman" w:hAnsi="Times New Roman" w:cs="Times New Roman"/>
                <w:sz w:val="24"/>
                <w:szCs w:val="24"/>
                <w:lang w:val="en-US" w:eastAsia="zh-CN"/>
              </w:rPr>
              <w:t>0</w:t>
            </w:r>
            <w:r>
              <w:rPr>
                <w:rFonts w:hint="default" w:ascii="Times New Roman" w:hAnsi="Times New Roman" w:cs="Times New Roman"/>
                <w:sz w:val="24"/>
                <w:szCs w:val="24"/>
                <w:lang w:eastAsia="zh-CN"/>
              </w:rPr>
              <w:t>3t/a）。</w:t>
            </w:r>
            <w:r>
              <w:rPr>
                <w:rFonts w:hint="default" w:ascii="Times New Roman" w:hAnsi="Times New Roman" w:cs="Times New Roman"/>
                <w:sz w:val="24"/>
                <w:szCs w:val="24"/>
              </w:rPr>
              <w:t>根据</w:t>
            </w:r>
            <w:r>
              <w:rPr>
                <w:rFonts w:hint="default" w:ascii="Times New Roman" w:hAnsi="Times New Roman" w:cs="Times New Roman"/>
                <w:sz w:val="24"/>
                <w:szCs w:val="24"/>
                <w:lang w:eastAsia="zh-CN"/>
              </w:rPr>
              <w:t>《国家危险废物名录》（2021年版），废液压油</w:t>
            </w:r>
            <w:r>
              <w:rPr>
                <w:rFonts w:hint="default" w:ascii="Times New Roman" w:hAnsi="Times New Roman" w:cs="Times New Roman"/>
                <w:sz w:val="24"/>
                <w:szCs w:val="24"/>
                <w:lang w:val="en-US" w:eastAsia="zh-CN"/>
              </w:rPr>
              <w:t>属于</w:t>
            </w:r>
            <w:r>
              <w:rPr>
                <w:rFonts w:hint="default" w:ascii="Times New Roman" w:hAnsi="Times New Roman" w:cs="Times New Roman"/>
                <w:sz w:val="24"/>
                <w:szCs w:val="24"/>
                <w:lang w:eastAsia="zh-CN"/>
              </w:rPr>
              <w:t>危险固废，</w:t>
            </w:r>
            <w:r>
              <w:rPr>
                <w:rFonts w:hint="default" w:ascii="Times New Roman" w:hAnsi="Times New Roman" w:cs="Times New Roman"/>
                <w:sz w:val="24"/>
                <w:szCs w:val="24"/>
                <w:lang w:val="zh-CN"/>
              </w:rPr>
              <w:t>危废代码为</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eastAsiaTheme="majorEastAsia"/>
                <w:sz w:val="24"/>
                <w:szCs w:val="24"/>
                <w:lang w:val="zh-CN"/>
              </w:rPr>
              <w:t>HW08废矿物油与含矿物油废物 900-217-0</w:t>
            </w:r>
            <w:r>
              <w:rPr>
                <w:rFonts w:hint="eastAsia" w:ascii="Times New Roman" w:cs="Times New Roman" w:eastAsiaTheme="majorEastAsia"/>
                <w:sz w:val="24"/>
                <w:szCs w:val="24"/>
                <w:lang w:val="en-US" w:eastAsia="zh-CN"/>
              </w:rPr>
              <w:t>9</w:t>
            </w:r>
            <w:r>
              <w:rPr>
                <w:rFonts w:hint="eastAsia" w:asciiTheme="majorEastAsia" w:hAnsiTheme="majorEastAsia" w:eastAsiaTheme="majorEastAsia" w:cstheme="majorEastAsia"/>
                <w:sz w:val="24"/>
                <w:szCs w:val="24"/>
                <w:lang w:val="zh-CN"/>
              </w:rPr>
              <w:t>”</w:t>
            </w:r>
            <w:r>
              <w:rPr>
                <w:rFonts w:hint="default" w:ascii="Times New Roman" w:hAnsi="Times New Roman" w:cs="Times New Roman"/>
                <w:sz w:val="24"/>
                <w:szCs w:val="24"/>
                <w:lang w:eastAsia="zh-CN"/>
              </w:rPr>
              <w:t>，专用容器储存于危险固废暂存间，定期交由有资质单位进行处理。</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9</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废</w:t>
            </w:r>
            <w:r>
              <w:rPr>
                <w:rFonts w:hint="default" w:ascii="Times New Roman" w:hAnsi="Times New Roman" w:cs="Times New Roman"/>
                <w:sz w:val="24"/>
                <w:szCs w:val="24"/>
              </w:rPr>
              <w:t>过滤棉</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项目有机废气处理中干式过滤采用二级过滤，材料为玻璃纤维棉，一级玻璃纤维棉一季度更换一次，二级玻璃纤维棉半年更换一次，废过滤棉产生量约为0.1</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t/a。根据</w:t>
            </w:r>
            <w:r>
              <w:rPr>
                <w:rFonts w:hint="default" w:ascii="Times New Roman" w:hAnsi="Times New Roman" w:cs="Times New Roman"/>
                <w:sz w:val="24"/>
                <w:szCs w:val="24"/>
                <w:lang w:eastAsia="zh-CN"/>
              </w:rPr>
              <w:t>《国家危险废物名录》（2021年版）</w:t>
            </w:r>
            <w:r>
              <w:rPr>
                <w:rFonts w:hint="default" w:ascii="Times New Roman" w:hAnsi="Times New Roman" w:cs="Times New Roman"/>
                <w:sz w:val="24"/>
                <w:szCs w:val="24"/>
              </w:rPr>
              <w:t>，过滤棉属于危险废物，危废代码为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w:t>
            </w:r>
            <w:r>
              <w:rPr>
                <w:rFonts w:hint="default" w:ascii="Times New Roman" w:hAnsi="Times New Roman" w:cs="Times New Roman"/>
                <w:sz w:val="24"/>
                <w:szCs w:val="24"/>
                <w:lang w:val="zh-CN"/>
              </w:rPr>
              <w:t>收集后贮存于危废暂存间，定期委托有资质单位处置</w:t>
            </w:r>
            <w:r>
              <w:rPr>
                <w:rFonts w:hint="default" w:ascii="Times New Roman" w:hAnsi="Times New Roman" w:cs="Times New Roman"/>
                <w:sz w:val="24"/>
                <w:szCs w:val="24"/>
              </w:rPr>
              <w:t>。</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10</w:t>
            </w:r>
            <w:r>
              <w:rPr>
                <w:rFonts w:hint="default" w:ascii="Times New Roman" w:hAnsi="Times New Roman" w:cs="Times New Roman"/>
                <w:sz w:val="24"/>
                <w:szCs w:val="24"/>
              </w:rPr>
              <w:t>）废活性炭</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根据《简明通风设计手册》，活性炭有效吸附量：qe=0.24kg/kg活性炭，项目烘干工序收集的有机废气为0.</w:t>
            </w:r>
            <w:r>
              <w:rPr>
                <w:rFonts w:hint="default" w:ascii="Times New Roman" w:hAnsi="Times New Roman" w:cs="Times New Roman"/>
                <w:sz w:val="24"/>
                <w:szCs w:val="24"/>
                <w:lang w:val="en-US" w:eastAsia="zh-CN"/>
              </w:rPr>
              <w:t>73</w:t>
            </w:r>
            <w:r>
              <w:rPr>
                <w:rFonts w:hint="default" w:ascii="Times New Roman" w:hAnsi="Times New Roman" w:cs="Times New Roman"/>
                <w:sz w:val="24"/>
                <w:szCs w:val="24"/>
              </w:rPr>
              <w:t>4t/a，废气经UV光解后再经活性炭吸附装置吸附，活性炭吸附约60%，为</w:t>
            </w:r>
            <w:r>
              <w:rPr>
                <w:rFonts w:hint="default" w:ascii="Times New Roman" w:hAnsi="Times New Roman" w:cs="Times New Roman"/>
                <w:sz w:val="24"/>
                <w:szCs w:val="24"/>
                <w:lang w:val="en-US" w:eastAsia="zh-CN"/>
              </w:rPr>
              <w:t>0.44</w:t>
            </w:r>
            <w:r>
              <w:rPr>
                <w:rFonts w:hint="default" w:ascii="Times New Roman" w:hAnsi="Times New Roman" w:cs="Times New Roman"/>
                <w:sz w:val="24"/>
                <w:szCs w:val="24"/>
              </w:rPr>
              <w:t>t/a，则活性炭使用量为1.</w:t>
            </w:r>
            <w:r>
              <w:rPr>
                <w:rFonts w:hint="default" w:ascii="Times New Roman" w:hAnsi="Times New Roman" w:cs="Times New Roman"/>
                <w:sz w:val="24"/>
                <w:szCs w:val="24"/>
                <w:lang w:val="en-US" w:eastAsia="zh-CN"/>
              </w:rPr>
              <w:t>835</w:t>
            </w:r>
            <w:r>
              <w:rPr>
                <w:rFonts w:hint="default" w:ascii="Times New Roman" w:hAnsi="Times New Roman" w:cs="Times New Roman"/>
                <w:sz w:val="24"/>
                <w:szCs w:val="24"/>
              </w:rPr>
              <w:t>t；喷漆工序收集的有机废气为0.</w:t>
            </w:r>
            <w:r>
              <w:rPr>
                <w:rFonts w:hint="default" w:ascii="Times New Roman" w:hAnsi="Times New Roman" w:cs="Times New Roman"/>
                <w:sz w:val="24"/>
                <w:szCs w:val="24"/>
                <w:lang w:val="en-US" w:eastAsia="zh-CN"/>
              </w:rPr>
              <w:t>28</w:t>
            </w:r>
            <w:r>
              <w:rPr>
                <w:rFonts w:hint="default" w:ascii="Times New Roman" w:hAnsi="Times New Roman" w:cs="Times New Roman"/>
                <w:sz w:val="24"/>
                <w:szCs w:val="24"/>
              </w:rPr>
              <w:t>t/a，活性炭吸附后再经催化燃烧装置吸附，活性炭吸附约40%，为0.</w:t>
            </w:r>
            <w:r>
              <w:rPr>
                <w:rFonts w:hint="default" w:ascii="Times New Roman" w:hAnsi="Times New Roman" w:cs="Times New Roman"/>
                <w:sz w:val="24"/>
                <w:szCs w:val="24"/>
                <w:lang w:val="en-US" w:eastAsia="zh-CN"/>
              </w:rPr>
              <w:t>112</w:t>
            </w:r>
            <w:r>
              <w:rPr>
                <w:rFonts w:hint="default" w:ascii="Times New Roman" w:hAnsi="Times New Roman" w:cs="Times New Roman"/>
                <w:sz w:val="24"/>
                <w:szCs w:val="24"/>
              </w:rPr>
              <w:t>t/a，则活性炭使用量约为0.</w:t>
            </w:r>
            <w:r>
              <w:rPr>
                <w:rFonts w:hint="default" w:ascii="Times New Roman" w:hAnsi="Times New Roman" w:cs="Times New Roman"/>
                <w:sz w:val="24"/>
                <w:szCs w:val="24"/>
                <w:lang w:val="en-US" w:eastAsia="zh-CN"/>
              </w:rPr>
              <w:t>467</w:t>
            </w:r>
            <w:r>
              <w:rPr>
                <w:rFonts w:hint="default" w:ascii="Times New Roman" w:hAnsi="Times New Roman" w:cs="Times New Roman"/>
                <w:sz w:val="24"/>
                <w:szCs w:val="24"/>
              </w:rPr>
              <w:t>t/a；综上，项目活性炭使用量为</w:t>
            </w:r>
            <w:r>
              <w:rPr>
                <w:rFonts w:hint="default" w:ascii="Times New Roman" w:hAnsi="Times New Roman" w:cs="Times New Roman"/>
                <w:sz w:val="24"/>
                <w:szCs w:val="24"/>
                <w:lang w:val="en-US" w:eastAsia="zh-CN"/>
              </w:rPr>
              <w:t>2.302</w:t>
            </w:r>
            <w:r>
              <w:rPr>
                <w:rFonts w:hint="default" w:ascii="Times New Roman" w:hAnsi="Times New Roman" w:cs="Times New Roman"/>
                <w:sz w:val="24"/>
                <w:szCs w:val="24"/>
              </w:rPr>
              <w:t>t/a，废活性炭产生量约为2.</w:t>
            </w:r>
            <w:r>
              <w:rPr>
                <w:rFonts w:hint="default" w:ascii="Times New Roman" w:hAnsi="Times New Roman" w:cs="Times New Roman"/>
                <w:sz w:val="24"/>
                <w:szCs w:val="24"/>
                <w:lang w:val="en-US" w:eastAsia="zh-CN"/>
              </w:rPr>
              <w:t>854</w:t>
            </w:r>
            <w:r>
              <w:rPr>
                <w:rFonts w:hint="default" w:ascii="Times New Roman" w:hAnsi="Times New Roman" w:cs="Times New Roman"/>
                <w:sz w:val="24"/>
                <w:szCs w:val="24"/>
              </w:rPr>
              <w:t>t/a。根据</w:t>
            </w:r>
            <w:r>
              <w:rPr>
                <w:rFonts w:hint="default" w:ascii="Times New Roman" w:hAnsi="Times New Roman" w:cs="Times New Roman"/>
                <w:sz w:val="24"/>
                <w:szCs w:val="24"/>
                <w:lang w:eastAsia="zh-CN"/>
              </w:rPr>
              <w:t>《国家危险废物名录》（2021年版）</w:t>
            </w:r>
            <w:r>
              <w:rPr>
                <w:rFonts w:hint="default" w:ascii="Times New Roman" w:hAnsi="Times New Roman" w:cs="Times New Roman"/>
                <w:sz w:val="24"/>
                <w:szCs w:val="24"/>
              </w:rPr>
              <w:t>，废活性炭属于危险废物，危废代码为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w:t>
            </w:r>
            <w:r>
              <w:rPr>
                <w:rFonts w:hint="default" w:ascii="Times New Roman" w:hAnsi="Times New Roman" w:cs="Times New Roman"/>
                <w:sz w:val="24"/>
                <w:szCs w:val="24"/>
                <w:lang w:val="zh-CN"/>
              </w:rPr>
              <w:t>收集后贮存于危废暂存间，定期委托有资质单位处置</w:t>
            </w:r>
            <w:r>
              <w:rPr>
                <w:rFonts w:hint="default" w:ascii="Times New Roman" w:hAnsi="Times New Roman" w:cs="Times New Roman"/>
                <w:sz w:val="24"/>
                <w:szCs w:val="24"/>
              </w:rPr>
              <w:t>。</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11</w:t>
            </w:r>
            <w:r>
              <w:rPr>
                <w:rFonts w:hint="default" w:ascii="Times New Roman" w:hAnsi="Times New Roman" w:cs="Times New Roman"/>
                <w:sz w:val="24"/>
                <w:szCs w:val="24"/>
              </w:rPr>
              <w:t>）废UV灯管</w:t>
            </w:r>
          </w:p>
          <w:p>
            <w:pPr>
              <w:pStyle w:val="2"/>
              <w:spacing w:line="360" w:lineRule="auto"/>
              <w:ind w:firstLine="480" w:firstLineChars="200"/>
              <w:jc w:val="both"/>
              <w:rPr>
                <w:rFonts w:hint="default" w:ascii="Times New Roman" w:hAnsi="Times New Roman" w:cs="Times New Roman"/>
                <w:sz w:val="24"/>
                <w:szCs w:val="24"/>
                <w:lang w:val="zh-CN"/>
              </w:rPr>
            </w:pPr>
            <w:r>
              <w:rPr>
                <w:rFonts w:hint="default" w:ascii="Times New Roman" w:hAnsi="Times New Roman" w:cs="Times New Roman"/>
                <w:sz w:val="24"/>
                <w:szCs w:val="24"/>
              </w:rPr>
              <w:t>项目UV光解使用过程中会产生废弃的紫外灯管，属于</w:t>
            </w:r>
            <w:r>
              <w:rPr>
                <w:rFonts w:hint="default" w:ascii="Times New Roman" w:hAnsi="Times New Roman" w:cs="Times New Roman"/>
                <w:sz w:val="24"/>
                <w:szCs w:val="24"/>
                <w:lang w:eastAsia="zh-CN"/>
              </w:rPr>
              <w:t>《国家危险废物名录》（2021年版）</w:t>
            </w:r>
            <w:r>
              <w:rPr>
                <w:rFonts w:hint="default" w:ascii="Times New Roman" w:hAnsi="Times New Roman" w:cs="Times New Roman"/>
                <w:sz w:val="24"/>
                <w:szCs w:val="24"/>
              </w:rPr>
              <w:t>中</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HW29 含汞废物 900-023-29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，一年需更换的灯管约为10支（约0.005t/a），</w:t>
            </w:r>
            <w:r>
              <w:rPr>
                <w:rFonts w:hint="default" w:ascii="Times New Roman" w:hAnsi="Times New Roman" w:cs="Times New Roman"/>
                <w:sz w:val="24"/>
                <w:szCs w:val="24"/>
                <w:lang w:val="zh-CN"/>
              </w:rPr>
              <w:t>收集后贮存于危废暂存间，定期委托有资质单位处置。</w:t>
            </w:r>
          </w:p>
          <w:p>
            <w:pPr>
              <w:pStyle w:val="2"/>
              <w:spacing w:line="360" w:lineRule="auto"/>
              <w:ind w:firstLine="480" w:firstLineChars="200"/>
              <w:jc w:val="both"/>
              <w:rPr>
                <w:rFonts w:hint="default" w:ascii="Times New Roman" w:hAnsi="Times New Roman" w:cs="Times New Roman"/>
                <w:sz w:val="24"/>
                <w:szCs w:val="24"/>
                <w:lang w:eastAsia="zh-CN"/>
              </w:rPr>
            </w:pPr>
            <w:r>
              <w:rPr>
                <w:rFonts w:hint="default" w:ascii="Times New Roman" w:hAnsi="Times New Roman" w:cs="Times New Roman"/>
                <w:sz w:val="24"/>
                <w:szCs w:val="24"/>
              </w:rPr>
              <w:t>（1</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w:t>
            </w:r>
            <w:r>
              <w:rPr>
                <w:rFonts w:hint="default" w:ascii="Times New Roman" w:hAnsi="Times New Roman" w:cs="Times New Roman"/>
                <w:sz w:val="24"/>
                <w:szCs w:val="24"/>
                <w:lang w:eastAsia="zh-CN"/>
              </w:rPr>
              <w:t>废包装桶</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本项目生产过程产生</w:t>
            </w:r>
            <w:r>
              <w:rPr>
                <w:rFonts w:hint="eastAsia" w:ascii="Times New Roman" w:cs="Times New Roman"/>
                <w:sz w:val="24"/>
                <w:szCs w:val="24"/>
                <w:lang w:val="en-US" w:eastAsia="zh-CN"/>
              </w:rPr>
              <w:t>水性漆、钝化液、</w:t>
            </w:r>
            <w:r>
              <w:rPr>
                <w:rFonts w:hint="default" w:ascii="Times New Roman" w:hAnsi="Times New Roman" w:cs="Times New Roman"/>
                <w:sz w:val="24"/>
                <w:szCs w:val="24"/>
              </w:rPr>
              <w:t>油</w:t>
            </w:r>
            <w:r>
              <w:rPr>
                <w:rFonts w:hint="eastAsia" w:ascii="Times New Roman" w:cs="Times New Roman"/>
                <w:sz w:val="24"/>
                <w:szCs w:val="24"/>
                <w:lang w:val="en-US" w:eastAsia="zh-CN"/>
              </w:rPr>
              <w:t>性</w:t>
            </w:r>
            <w:r>
              <w:rPr>
                <w:rFonts w:hint="default" w:ascii="Times New Roman" w:hAnsi="Times New Roman" w:cs="Times New Roman"/>
                <w:sz w:val="24"/>
                <w:szCs w:val="24"/>
              </w:rPr>
              <w:t>漆、固化剂和稀释剂</w:t>
            </w:r>
            <w:r>
              <w:rPr>
                <w:rFonts w:hint="eastAsia" w:ascii="Times New Roman" w:cs="Times New Roman"/>
                <w:sz w:val="24"/>
                <w:szCs w:val="24"/>
                <w:lang w:val="en-US" w:eastAsia="zh-CN"/>
              </w:rPr>
              <w:t>等</w:t>
            </w:r>
            <w:r>
              <w:rPr>
                <w:rFonts w:hint="default" w:ascii="Times New Roman" w:hAnsi="Times New Roman" w:cs="Times New Roman"/>
                <w:sz w:val="24"/>
                <w:szCs w:val="24"/>
                <w:lang w:eastAsia="zh-CN"/>
              </w:rPr>
              <w:t>废包装桶</w:t>
            </w:r>
            <w:r>
              <w:rPr>
                <w:rFonts w:hint="default" w:ascii="Times New Roman" w:hAnsi="Times New Roman" w:cs="Times New Roman"/>
                <w:sz w:val="24"/>
                <w:szCs w:val="24"/>
              </w:rPr>
              <w:t>，年产生量为0.3t/a。</w:t>
            </w:r>
            <w:r>
              <w:rPr>
                <w:rFonts w:hint="default" w:ascii="Times New Roman" w:hAnsi="Times New Roman" w:cs="Times New Roman"/>
                <w:sz w:val="24"/>
                <w:szCs w:val="24"/>
                <w:lang w:eastAsia="zh-CN"/>
              </w:rPr>
              <w:t>废包装桶</w:t>
            </w:r>
            <w:r>
              <w:rPr>
                <w:rFonts w:hint="default" w:ascii="Times New Roman" w:hAnsi="Times New Roman" w:cs="Times New Roman"/>
                <w:sz w:val="24"/>
                <w:szCs w:val="24"/>
              </w:rPr>
              <w:t>属于危险废物，危废代码为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w:t>
            </w:r>
            <w:r>
              <w:rPr>
                <w:rFonts w:hint="default" w:ascii="Times New Roman" w:hAnsi="Times New Roman" w:cs="Times New Roman"/>
                <w:sz w:val="24"/>
                <w:szCs w:val="24"/>
                <w:lang w:val="zh-CN"/>
              </w:rPr>
              <w:t>收集后贮存于危废暂存间，定期委托有资质单位处置</w:t>
            </w:r>
            <w:r>
              <w:rPr>
                <w:rFonts w:hint="default" w:ascii="Times New Roman" w:hAnsi="Times New Roman" w:cs="Times New Roman"/>
                <w:sz w:val="24"/>
                <w:szCs w:val="24"/>
              </w:rPr>
              <w:t>。</w:t>
            </w:r>
          </w:p>
          <w:p>
            <w:pPr>
              <w:widowControl/>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13</w:t>
            </w:r>
            <w:r>
              <w:rPr>
                <w:rFonts w:hint="default" w:ascii="Times New Roman" w:hAnsi="Times New Roman" w:cs="Times New Roman"/>
                <w:sz w:val="24"/>
                <w:szCs w:val="24"/>
              </w:rPr>
              <w:t>）废含油抹布及手套</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项目设备维修等产生的废含油抹布及手套约0.05t/a。废含油废抹布及手套属危险废物，危废代码为</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HW49 其他废物900-041-49</w:t>
            </w:r>
            <w:r>
              <w:rPr>
                <w:rFonts w:hint="eastAsia" w:asciiTheme="majorEastAsia" w:hAnsiTheme="majorEastAsia" w:eastAsiaTheme="majorEastAsia" w:cstheme="majorEastAsia"/>
                <w:sz w:val="24"/>
                <w:szCs w:val="24"/>
              </w:rPr>
              <w:t>”</w:t>
            </w:r>
            <w:r>
              <w:rPr>
                <w:rFonts w:hint="default" w:ascii="Times New Roman" w:hAnsi="Times New Roman" w:cs="Times New Roman"/>
                <w:sz w:val="24"/>
                <w:szCs w:val="24"/>
              </w:rPr>
              <w:t>。含有或沾染毒性、感染性危险废物的废弃包装物、容器、过滤吸附介质”，经收集后暂存于危废暂存间内交由有资质的单位处置。</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3、员工生活垃圾</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项目不新增劳动定员</w:t>
            </w:r>
            <w:r>
              <w:rPr>
                <w:rFonts w:hint="default" w:ascii="Times New Roman" w:hAnsi="Times New Roman" w:cs="Times New Roman"/>
                <w:sz w:val="24"/>
                <w:szCs w:val="24"/>
                <w:lang w:eastAsia="zh-CN"/>
              </w:rPr>
              <w:t>，</w:t>
            </w:r>
            <w:r>
              <w:rPr>
                <w:rFonts w:hint="default" w:ascii="Times New Roman" w:hAnsi="Times New Roman" w:cs="Times New Roman"/>
                <w:sz w:val="24"/>
                <w:szCs w:val="24"/>
              </w:rPr>
              <w:t>生活垃圾产生量</w:t>
            </w:r>
            <w:r>
              <w:rPr>
                <w:rFonts w:hint="default" w:ascii="Times New Roman" w:hAnsi="Times New Roman" w:cs="Times New Roman"/>
                <w:sz w:val="24"/>
                <w:szCs w:val="24"/>
                <w:lang w:val="en-US" w:eastAsia="zh-CN"/>
              </w:rPr>
              <w:t>仍</w:t>
            </w:r>
            <w:r>
              <w:rPr>
                <w:rFonts w:hint="default" w:ascii="Times New Roman" w:hAnsi="Times New Roman" w:cs="Times New Roman"/>
                <w:sz w:val="24"/>
                <w:szCs w:val="24"/>
              </w:rPr>
              <w:t>为</w:t>
            </w:r>
            <w:r>
              <w:rPr>
                <w:rFonts w:hint="default" w:ascii="Times New Roman" w:hAnsi="Times New Roman" w:cs="Times New Roman"/>
                <w:sz w:val="24"/>
                <w:szCs w:val="24"/>
                <w:lang w:val="en-US" w:eastAsia="zh-CN"/>
              </w:rPr>
              <w:t>18</w:t>
            </w:r>
            <w:r>
              <w:rPr>
                <w:rFonts w:hint="default" w:ascii="Times New Roman" w:hAnsi="Times New Roman" w:cs="Times New Roman"/>
                <w:sz w:val="24"/>
                <w:szCs w:val="24"/>
              </w:rPr>
              <w:t>t/a</w:t>
            </w:r>
            <w:r>
              <w:rPr>
                <w:rFonts w:hint="default" w:ascii="Times New Roman" w:hAnsi="Times New Roman" w:cs="Times New Roman"/>
                <w:sz w:val="24"/>
                <w:szCs w:val="24"/>
                <w:lang w:eastAsia="zh-CN"/>
              </w:rPr>
              <w:t>，</w:t>
            </w:r>
            <w:r>
              <w:rPr>
                <w:rFonts w:hint="default" w:ascii="Times New Roman" w:hAnsi="Times New Roman" w:cs="Times New Roman"/>
                <w:sz w:val="24"/>
                <w:szCs w:val="24"/>
              </w:rPr>
              <w:t>收集后交由当地环卫部门统一清运，做到日产日清。</w:t>
            </w:r>
          </w:p>
          <w:p>
            <w:pPr>
              <w:autoSpaceDE w:val="0"/>
              <w:autoSpaceDN w:val="0"/>
              <w:adjustRightIn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4、固体废物汇总</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项目固体废物产排情况一览表见表4-</w:t>
            </w:r>
            <w:r>
              <w:rPr>
                <w:rFonts w:hint="default" w:ascii="Times New Roman" w:hAnsi="Times New Roman" w:cs="Times New Roman"/>
                <w:sz w:val="24"/>
                <w:szCs w:val="24"/>
                <w:lang w:val="en-US" w:eastAsia="zh-CN"/>
              </w:rPr>
              <w:t>20</w:t>
            </w:r>
            <w:r>
              <w:rPr>
                <w:rFonts w:hint="default" w:ascii="Times New Roman" w:hAnsi="Times New Roman" w:cs="Times New Roman"/>
                <w:sz w:val="24"/>
                <w:szCs w:val="24"/>
              </w:rPr>
              <w:t>。</w:t>
            </w:r>
          </w:p>
          <w:p>
            <w:pPr>
              <w:spacing w:beforeLines="5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20</w:t>
            </w:r>
            <w:r>
              <w:rPr>
                <w:rFonts w:hint="default" w:ascii="Times New Roman" w:hAnsi="Times New Roman" w:cs="Times New Roman"/>
                <w:b/>
                <w:bCs/>
                <w:sz w:val="21"/>
                <w:szCs w:val="21"/>
              </w:rPr>
              <w:t xml:space="preserve">  项目固体废物产生排放情况</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30"/>
              <w:gridCol w:w="756"/>
              <w:gridCol w:w="1340"/>
              <w:gridCol w:w="1301"/>
              <w:gridCol w:w="793"/>
              <w:gridCol w:w="735"/>
              <w:gridCol w:w="793"/>
              <w:gridCol w:w="678"/>
              <w:gridCol w:w="1069"/>
              <w:gridCol w:w="79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固体废物名称</w:t>
                  </w:r>
                </w:p>
              </w:tc>
              <w:tc>
                <w:tcPr>
                  <w:tcW w:w="40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属性</w:t>
                  </w: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编码</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有毒有害物质名称</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物理性质</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环境危险特性</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年产生量t/a</w:t>
                  </w:r>
                </w:p>
              </w:tc>
              <w:tc>
                <w:tcPr>
                  <w:tcW w:w="36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贮存方式</w:t>
                  </w: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利用处置方式和去向</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利用处理量t/a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边角料和金属废屑</w:t>
                  </w:r>
                </w:p>
              </w:tc>
              <w:tc>
                <w:tcPr>
                  <w:tcW w:w="402"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一般固废</w:t>
                  </w: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1</w:t>
                  </w:r>
                  <w:r>
                    <w:rPr>
                      <w:rFonts w:hint="default" w:ascii="Times New Roman" w:hAnsi="Times New Roman" w:cs="Times New Roman"/>
                      <w:sz w:val="21"/>
                      <w:szCs w:val="21"/>
                      <w:lang w:val="en-US" w:eastAsia="zh-CN"/>
                    </w:rPr>
                    <w:t>64.57</w:t>
                  </w:r>
                </w:p>
              </w:tc>
              <w:tc>
                <w:tcPr>
                  <w:tcW w:w="361"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一般固废暂存间</w:t>
                  </w: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交物资回收公司回收利用</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1</w:t>
                  </w:r>
                  <w:r>
                    <w:rPr>
                      <w:rFonts w:hint="default" w:ascii="Times New Roman" w:hAnsi="Times New Roman" w:cs="Times New Roman"/>
                      <w:sz w:val="21"/>
                      <w:szCs w:val="21"/>
                      <w:lang w:val="en-US" w:eastAsia="zh-CN"/>
                    </w:rPr>
                    <w:t>64.57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除尘器（机加工、抛丸、焊接）收集尘</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17.74</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交物资回收公司回收利用</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17.74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除尘器（多元合金共渗）收集尘</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3.038</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作为渗剂回用于渗锌工段</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3.038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zh-CN"/>
                    </w:rPr>
                    <w:t>压滤机压滤泥饼</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0.07</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作为渗剂回用于渗锌工段</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zh-CN"/>
                    </w:rPr>
                  </w:pPr>
                  <w:r>
                    <w:rPr>
                      <w:rFonts w:hint="default" w:ascii="Times New Roman" w:hAnsi="Times New Roman" w:cs="Times New Roman"/>
                      <w:sz w:val="21"/>
                      <w:szCs w:val="21"/>
                      <w:lang w:val="zh-CN" w:eastAsia="zh-CN"/>
                    </w:rPr>
                    <w:t>废反渗透膜</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由厂家回收处理</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废乳化液</w:t>
                  </w:r>
                </w:p>
              </w:tc>
              <w:tc>
                <w:tcPr>
                  <w:tcW w:w="402"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危险废物</w:t>
                  </w: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HW09</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900-006-09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废乳化液</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液</w:t>
                  </w:r>
                  <w:r>
                    <w:rPr>
                      <w:rFonts w:hint="default" w:ascii="Times New Roman" w:hAnsi="Times New Roman" w:cs="Times New Roman"/>
                      <w:sz w:val="21"/>
                      <w:szCs w:val="21"/>
                    </w:rPr>
                    <w:t>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0.</w:t>
                  </w:r>
                  <w:r>
                    <w:rPr>
                      <w:rFonts w:hint="default" w:ascii="Times New Roman" w:hAnsi="Times New Roman" w:cs="Times New Roman"/>
                      <w:sz w:val="21"/>
                      <w:szCs w:val="21"/>
                      <w:lang w:val="en-US" w:eastAsia="zh-CN"/>
                    </w:rPr>
                    <w:t>3</w:t>
                  </w:r>
                </w:p>
              </w:tc>
              <w:tc>
                <w:tcPr>
                  <w:tcW w:w="361"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危废暂存间</w:t>
                  </w:r>
                </w:p>
              </w:tc>
              <w:tc>
                <w:tcPr>
                  <w:tcW w:w="569" w:type="pct"/>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交由有资质单位代为处置</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0.</w:t>
                  </w:r>
                  <w:r>
                    <w:rPr>
                      <w:rFonts w:hint="default" w:ascii="Times New Roman" w:hAnsi="Times New Roman" w:cs="Times New Roman"/>
                      <w:sz w:val="21"/>
                      <w:szCs w:val="21"/>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w:t>
                  </w:r>
                  <w:r>
                    <w:rPr>
                      <w:rFonts w:hint="default" w:ascii="Times New Roman" w:hAnsi="Times New Roman" w:cs="Times New Roman"/>
                      <w:sz w:val="21"/>
                      <w:szCs w:val="21"/>
                      <w:lang w:val="en-US" w:eastAsia="zh-CN"/>
                    </w:rPr>
                    <w:t>润滑</w:t>
                  </w:r>
                  <w:r>
                    <w:rPr>
                      <w:rFonts w:hint="default" w:ascii="Times New Roman" w:hAnsi="Times New Roman" w:cs="Times New Roman"/>
                      <w:sz w:val="21"/>
                      <w:szCs w:val="21"/>
                    </w:rPr>
                    <w:t>油</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HW08</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zh-CN"/>
                    </w:rPr>
                    <w:t>900-217-08</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w:t>
                  </w:r>
                  <w:r>
                    <w:rPr>
                      <w:rFonts w:hint="default" w:ascii="Times New Roman" w:hAnsi="Times New Roman" w:cs="Times New Roman"/>
                      <w:sz w:val="21"/>
                      <w:szCs w:val="21"/>
                      <w:lang w:val="en-US" w:eastAsia="zh-CN"/>
                    </w:rPr>
                    <w:t>润滑</w:t>
                  </w:r>
                  <w:r>
                    <w:rPr>
                      <w:rFonts w:hint="default" w:ascii="Times New Roman" w:hAnsi="Times New Roman" w:cs="Times New Roman"/>
                      <w:sz w:val="21"/>
                      <w:szCs w:val="21"/>
                    </w:rPr>
                    <w:t>油</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液</w:t>
                  </w:r>
                  <w:r>
                    <w:rPr>
                      <w:rFonts w:hint="default" w:ascii="Times New Roman" w:hAnsi="Times New Roman" w:cs="Times New Roman"/>
                      <w:sz w:val="21"/>
                      <w:szCs w:val="21"/>
                    </w:rPr>
                    <w:t>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T</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I</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废液压油</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HW08</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zh-CN"/>
                    </w:rPr>
                    <w:t>900-217-0</w:t>
                  </w:r>
                  <w:r>
                    <w:rPr>
                      <w:rFonts w:hint="default" w:ascii="Times New Roman" w:hAnsi="Times New Roman" w:cs="Times New Roman"/>
                      <w:sz w:val="21"/>
                      <w:szCs w:val="21"/>
                      <w:lang w:val="en-US" w:eastAsia="zh-CN"/>
                    </w:rPr>
                    <w:t>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废液压油</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液</w:t>
                  </w:r>
                  <w:r>
                    <w:rPr>
                      <w:rFonts w:hint="default" w:ascii="Times New Roman" w:hAnsi="Times New Roman" w:cs="Times New Roman"/>
                      <w:sz w:val="21"/>
                      <w:szCs w:val="21"/>
                    </w:rPr>
                    <w:t>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T</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I</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废</w:t>
                  </w:r>
                  <w:r>
                    <w:rPr>
                      <w:rFonts w:hint="default" w:ascii="Times New Roman" w:hAnsi="Times New Roman" w:cs="Times New Roman"/>
                      <w:sz w:val="21"/>
                      <w:szCs w:val="21"/>
                    </w:rPr>
                    <w:t>过滤棉</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HW49</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zh-CN"/>
                    </w:rPr>
                  </w:pPr>
                  <w:r>
                    <w:rPr>
                      <w:rFonts w:hint="default" w:ascii="Times New Roman" w:hAnsi="Times New Roman" w:cs="Times New Roman"/>
                      <w:sz w:val="21"/>
                      <w:szCs w:val="21"/>
                    </w:rPr>
                    <w:t>900-041-49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沾染有机物的</w:t>
                  </w:r>
                  <w:r>
                    <w:rPr>
                      <w:rFonts w:hint="default" w:ascii="Times New Roman" w:hAnsi="Times New Roman" w:cs="Times New Roman"/>
                      <w:sz w:val="21"/>
                      <w:szCs w:val="21"/>
                      <w:lang w:val="en-US" w:eastAsia="zh-CN"/>
                    </w:rPr>
                    <w:t>废</w:t>
                  </w:r>
                  <w:r>
                    <w:rPr>
                      <w:rFonts w:hint="default" w:ascii="Times New Roman" w:hAnsi="Times New Roman" w:cs="Times New Roman"/>
                      <w:sz w:val="21"/>
                      <w:szCs w:val="21"/>
                    </w:rPr>
                    <w:t>过滤棉</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0.12</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废活性炭</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HW49</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900-041-49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沾染有机物的活性炭</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2.302</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2.302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废UV灯管</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HW29</w:t>
                  </w:r>
                </w:p>
                <w:p>
                  <w:pPr>
                    <w:pStyle w:val="19"/>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900-023-29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废UV</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lang w:eastAsia="zh-CN"/>
                    </w:rPr>
                    <w:t>废包装桶</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HW49</w:t>
                  </w:r>
                </w:p>
                <w:p>
                  <w:pPr>
                    <w:pStyle w:val="19"/>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900-041-49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沾染有机物</w:t>
                  </w:r>
                  <w:r>
                    <w:rPr>
                      <w:rFonts w:hint="default" w:ascii="Times New Roman" w:hAnsi="Times New Roman" w:cs="Times New Roman"/>
                      <w:sz w:val="21"/>
                      <w:szCs w:val="21"/>
                      <w:lang w:val="en-US" w:eastAsia="zh-CN"/>
                    </w:rPr>
                    <w:t>的</w:t>
                  </w:r>
                  <w:r>
                    <w:rPr>
                      <w:rFonts w:hint="default" w:ascii="Times New Roman" w:hAnsi="Times New Roman" w:cs="Times New Roman"/>
                      <w:sz w:val="21"/>
                      <w:szCs w:val="21"/>
                      <w:lang w:eastAsia="zh-CN"/>
                    </w:rPr>
                    <w:t>包装桶</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废含油手套及抹布</w:t>
                  </w:r>
                </w:p>
              </w:tc>
              <w:tc>
                <w:tcPr>
                  <w:tcW w:w="402"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HW49</w:t>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900-041-49</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沾染溶剂、废机油等</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0.05</w:t>
                  </w:r>
                </w:p>
              </w:tc>
              <w:tc>
                <w:tcPr>
                  <w:tcW w:w="361"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569" w:type="pct"/>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60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员工办公生活垃圾</w:t>
                  </w:r>
                </w:p>
              </w:tc>
              <w:tc>
                <w:tcPr>
                  <w:tcW w:w="40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生活垃圾</w:t>
                  </w:r>
                </w:p>
              </w:tc>
              <w:tc>
                <w:tcPr>
                  <w:tcW w:w="713"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69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固态</w:t>
                  </w:r>
                </w:p>
              </w:tc>
              <w:tc>
                <w:tcPr>
                  <w:tcW w:w="39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18</w:t>
                  </w:r>
                </w:p>
              </w:tc>
              <w:tc>
                <w:tcPr>
                  <w:tcW w:w="361"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垃圾桶等</w:t>
                  </w:r>
                </w:p>
              </w:tc>
              <w:tc>
                <w:tcPr>
                  <w:tcW w:w="569"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交环卫部门清运处理</w:t>
                  </w:r>
                </w:p>
              </w:tc>
              <w:tc>
                <w:tcPr>
                  <w:tcW w:w="422" w:type="pct"/>
                  <w:shd w:val="clear" w:color="auto" w:fill="auto"/>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18</w:t>
                  </w:r>
                </w:p>
              </w:tc>
            </w:tr>
          </w:tbl>
          <w:p>
            <w:pPr>
              <w:autoSpaceDE w:val="0"/>
              <w:autoSpaceDN w:val="0"/>
              <w:adjustRightIn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5、管理要求</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（1）生活垃圾</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生活垃圾应分类收集，避雨堆放，定期交由环卫部门清运处理，垃圾堆放点定期消毒、灭蝇、灭鼠，以免散发恶臭、孽生蚊蝇，以免影响附近环境。</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（2）一般工业固废</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val="en-US" w:eastAsia="zh-CN"/>
              </w:rPr>
              <w:t>项目</w:t>
            </w:r>
            <w:r>
              <w:rPr>
                <w:rFonts w:hint="default" w:ascii="Times New Roman" w:hAnsi="Times New Roman" w:cs="Times New Roman"/>
                <w:sz w:val="24"/>
                <w:szCs w:val="24"/>
              </w:rPr>
              <w:t>一般工业固废主要包括</w:t>
            </w:r>
            <w:r>
              <w:rPr>
                <w:rFonts w:hint="default" w:ascii="Times New Roman" w:hAnsi="Times New Roman" w:cs="Times New Roman"/>
                <w:sz w:val="24"/>
                <w:szCs w:val="24"/>
                <w:lang w:eastAsia="zh-CN"/>
              </w:rPr>
              <w:t>边角料和金属废屑、除尘器（机加工、抛丸、焊接）收集尘、除尘器（多元合金共渗）收集尘、压滤机压滤泥饼、</w:t>
            </w:r>
            <w:r>
              <w:rPr>
                <w:rFonts w:hint="default" w:ascii="Times New Roman" w:hAnsi="Times New Roman" w:cs="Times New Roman"/>
                <w:sz w:val="24"/>
                <w:szCs w:val="24"/>
              </w:rPr>
              <w:t>废反渗透膜</w:t>
            </w:r>
            <w:r>
              <w:rPr>
                <w:rFonts w:hint="default" w:ascii="Times New Roman" w:hAnsi="Times New Roman" w:cs="Times New Roman"/>
                <w:sz w:val="24"/>
                <w:szCs w:val="24"/>
                <w:lang w:eastAsia="zh-CN"/>
              </w:rPr>
              <w:t>。边角料和金属废屑、除尘器（机加工、抛丸、焊接）收集尘</w:t>
            </w:r>
            <w:r>
              <w:rPr>
                <w:rFonts w:hint="default" w:ascii="Times New Roman" w:hAnsi="Times New Roman" w:cs="Times New Roman"/>
                <w:sz w:val="24"/>
                <w:szCs w:val="24"/>
              </w:rPr>
              <w:t>定期统一交物资回收公司回收利用</w:t>
            </w:r>
            <w:r>
              <w:rPr>
                <w:rFonts w:hint="default" w:ascii="Times New Roman" w:hAnsi="Times New Roman" w:cs="Times New Roman"/>
                <w:sz w:val="24"/>
                <w:szCs w:val="24"/>
                <w:lang w:eastAsia="zh-CN"/>
              </w:rPr>
              <w:t>；除尘器（多元合金共渗）收集尘、压滤机压滤泥饼</w:t>
            </w:r>
            <w:r>
              <w:rPr>
                <w:rFonts w:hint="default" w:ascii="Times New Roman" w:hAnsi="Times New Roman" w:cs="Times New Roman"/>
                <w:sz w:val="24"/>
                <w:szCs w:val="24"/>
              </w:rPr>
              <w:t>作为渗剂回用于渗锌工段</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zh-CN" w:eastAsia="zh-CN"/>
              </w:rPr>
              <w:t>废反渗透膜</w:t>
            </w:r>
            <w:r>
              <w:rPr>
                <w:rFonts w:hint="default" w:ascii="Times New Roman" w:hAnsi="Times New Roman" w:cs="Times New Roman"/>
                <w:sz w:val="24"/>
                <w:szCs w:val="24"/>
                <w:lang w:val="en-US" w:eastAsia="zh-CN"/>
              </w:rPr>
              <w:t>由厂家回收处理。</w:t>
            </w:r>
            <w:r>
              <w:rPr>
                <w:rFonts w:hint="default" w:ascii="Times New Roman" w:hAnsi="Times New Roman" w:cs="Times New Roman"/>
                <w:sz w:val="24"/>
                <w:szCs w:val="24"/>
              </w:rPr>
              <w:t>固体废物临时堆放场应按《一般工业固体废物贮存和填埋污染控制标准》（GB18599-2020）进行规范处理，不可胡乱堆放或随意丢弃。具体为贮存区采取防风防雨措施，各类固废应分类收集，贮存区按照《环境保护图形标志——固体废物贮存（处置）场》（GB15562.2）的要求设置环保图形标志，指定专人进行日常管理</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根据现场调查，建设单位</w:t>
            </w:r>
            <w:r>
              <w:rPr>
                <w:rFonts w:hint="default" w:ascii="Times New Roman" w:hAnsi="Times New Roman" w:cs="Times New Roman"/>
                <w:sz w:val="24"/>
                <w:szCs w:val="24"/>
                <w:lang w:val="en-US" w:eastAsia="zh-CN"/>
              </w:rPr>
              <w:t>已</w:t>
            </w:r>
            <w:r>
              <w:rPr>
                <w:rFonts w:hint="default" w:ascii="Times New Roman" w:hAnsi="Times New Roman" w:cs="Times New Roman"/>
                <w:sz w:val="24"/>
                <w:szCs w:val="24"/>
              </w:rPr>
              <w:t>在车间西北角设置</w:t>
            </w:r>
            <w:r>
              <w:rPr>
                <w:rFonts w:hint="default" w:ascii="Times New Roman" w:hAnsi="Times New Roman" w:cs="Times New Roman"/>
                <w:sz w:val="24"/>
                <w:szCs w:val="24"/>
                <w:lang w:eastAsia="zh-CN"/>
              </w:rPr>
              <w:t>了</w:t>
            </w:r>
            <w:r>
              <w:rPr>
                <w:rFonts w:hint="default" w:ascii="Times New Roman" w:hAnsi="Times New Roman" w:cs="Times New Roman"/>
                <w:sz w:val="24"/>
                <w:szCs w:val="24"/>
              </w:rPr>
              <w:t>一</w:t>
            </w:r>
            <w:r>
              <w:rPr>
                <w:rFonts w:hint="default" w:ascii="Times New Roman" w:hAnsi="Times New Roman" w:cs="Times New Roman"/>
                <w:sz w:val="24"/>
                <w:szCs w:val="24"/>
                <w:lang w:val="en-US" w:eastAsia="zh-CN"/>
              </w:rPr>
              <w:t>个</w:t>
            </w:r>
            <w:r>
              <w:rPr>
                <w:rFonts w:hint="default" w:ascii="Times New Roman" w:hAnsi="Times New Roman" w:cs="Times New Roman"/>
                <w:sz w:val="24"/>
                <w:szCs w:val="24"/>
              </w:rPr>
              <w:t>固废暂存点，建设基本满足《一般工业固体废物贮存和填埋污染控制标准》（GB18599-2020）规范要求，但建设单位仍需加强一般固废暂存间的密闭性，做好防雨及周边导流沟建设，并按照《环境保护图形标志——固体废物贮存（处置）场》（GB15562.2）的要求设置环保图形标志。同时，本次环评要求，加工过程中沾染切削液的金属边角料及金属碎屑应及时在设备自带的收集槽中沥干后，及时转运至固废收集区，不得在加工区堆存。</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（3）危险废物</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危险废物必须集中收集后，交由资质的危险废物处理单位处置，不得混入一般生活垃圾中</w:t>
            </w:r>
            <w:r>
              <w:rPr>
                <w:rFonts w:hint="default" w:ascii="Times New Roman" w:hAnsi="Times New Roman" w:cs="Times New Roman"/>
                <w:sz w:val="24"/>
                <w:szCs w:val="24"/>
                <w:lang w:eastAsia="zh-CN"/>
              </w:rPr>
              <w:t>。</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对生产过程中产生危险废物的收集、运输、贮存、管理以及转运应严格按照《危险废物污染防治技术政策》（环发[2001]199号）、《危险废物转移联单管理办法》（国家环境保护总局令第5号）和《危险废物贮存污染控制标准》（GB18597-2023）实行。</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危险废物的运输和贮存注意事项如下：</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A、贮存</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环评针对危险废物的储存提出项目设置的危险废物临时堆放间需满足以下要求：</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①贮存设施应根据危险废物的形态、物理化学性质、包装形式和污染物迁移途径，采取必要的防风、防晒、防雨、防漏、防渗、防腐以及其他环境污染防治措施，不应露天堆放危险废物。</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②贮存设施应根据危险废物的类别、数量、形态、物理化学性质和污染防治等要求设置必要的贮存分区，避免不相容的危险废物接触、混合。</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③贮存设施或贮存分区内地面、墙面裙脚、堵截泄漏的围堰、接触危险废物的隔板和墙体等应采用坚固的材料建造，表面无裂缝。</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④贮存设施地面与裙脚应采取表面防渗措施，表面防渗材料应与所接触的物料或污染物相容，可采用抗渗混凝土、高密度聚乙烯膜、钠基膨润土防水毯或其他防渗性能等效的材料。贮存的危险废物直接接触地面的，还应进行基础防渗，防渗层为至少1m厚黏层</w:t>
            </w:r>
            <w:r>
              <w:rPr>
                <w:rFonts w:hint="default" w:ascii="Times New Roman" w:hAnsi="Times New Roman" w:cs="Times New Roman"/>
                <w:sz w:val="24"/>
                <w:szCs w:val="24"/>
                <w:lang w:eastAsia="zh-CN"/>
              </w:rPr>
              <w:t>（</w:t>
            </w:r>
            <w:r>
              <w:rPr>
                <w:rFonts w:hint="default" w:ascii="Times New Roman" w:hAnsi="Times New Roman" w:cs="Times New Roman"/>
                <w:sz w:val="24"/>
                <w:szCs w:val="24"/>
              </w:rPr>
              <w:t>渗透系数不大于10</w:t>
            </w:r>
            <w:r>
              <w:rPr>
                <w:rFonts w:hint="default" w:ascii="Times New Roman" w:hAnsi="Times New Roman" w:cs="Times New Roman"/>
                <w:sz w:val="24"/>
                <w:szCs w:val="24"/>
                <w:vertAlign w:val="superscript"/>
                <w:lang w:val="en-US" w:eastAsia="zh-CN"/>
              </w:rPr>
              <w:t>-7</w:t>
            </w:r>
            <w:r>
              <w:rPr>
                <w:rFonts w:hint="default" w:ascii="Times New Roman" w:hAnsi="Times New Roman" w:cs="Times New Roman"/>
                <w:sz w:val="24"/>
                <w:szCs w:val="24"/>
              </w:rPr>
              <w:t>cm</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s</w:t>
            </w:r>
            <w:r>
              <w:rPr>
                <w:rFonts w:hint="default" w:ascii="Times New Roman" w:hAnsi="Times New Roman" w:cs="Times New Roman"/>
                <w:sz w:val="24"/>
                <w:szCs w:val="24"/>
                <w:lang w:eastAsia="zh-CN"/>
              </w:rPr>
              <w:t>）</w:t>
            </w:r>
            <w:r>
              <w:rPr>
                <w:rFonts w:hint="default" w:ascii="Times New Roman" w:hAnsi="Times New Roman" w:cs="Times New Roman"/>
                <w:sz w:val="24"/>
                <w:szCs w:val="24"/>
              </w:rPr>
              <w:t>，或至少2mm厚高密度聚乙烯膜等人工防渗材料</w:t>
            </w:r>
            <w:r>
              <w:rPr>
                <w:rFonts w:hint="default" w:ascii="Times New Roman" w:hAnsi="Times New Roman" w:cs="Times New Roman"/>
                <w:sz w:val="24"/>
                <w:szCs w:val="24"/>
                <w:lang w:eastAsia="zh-CN"/>
              </w:rPr>
              <w:t>（</w:t>
            </w:r>
            <w:r>
              <w:rPr>
                <w:rFonts w:hint="default" w:ascii="Times New Roman" w:hAnsi="Times New Roman" w:cs="Times New Roman"/>
                <w:sz w:val="24"/>
                <w:szCs w:val="24"/>
              </w:rPr>
              <w:t>渗透系数不大于10</w:t>
            </w:r>
            <w:r>
              <w:rPr>
                <w:rFonts w:hint="default" w:ascii="Times New Roman" w:hAnsi="Times New Roman" w:cs="Times New Roman"/>
                <w:sz w:val="24"/>
                <w:szCs w:val="24"/>
                <w:vertAlign w:val="superscript"/>
                <w:lang w:val="en-US" w:eastAsia="zh-CN"/>
              </w:rPr>
              <w:t>-10</w:t>
            </w:r>
            <w:r>
              <w:rPr>
                <w:rFonts w:hint="default" w:ascii="Times New Roman" w:hAnsi="Times New Roman" w:cs="Times New Roman"/>
                <w:sz w:val="24"/>
                <w:szCs w:val="24"/>
              </w:rPr>
              <w:t>cm</w:t>
            </w:r>
            <w:r>
              <w:rPr>
                <w:rFonts w:hint="default" w:ascii="Times New Roman" w:hAnsi="Times New Roman" w:cs="Times New Roman"/>
                <w:sz w:val="24"/>
                <w:szCs w:val="24"/>
                <w:lang w:val="en-US" w:eastAsia="zh-CN"/>
              </w:rPr>
              <w:t>/</w:t>
            </w:r>
            <w:r>
              <w:rPr>
                <w:rFonts w:hint="default" w:ascii="Times New Roman" w:hAnsi="Times New Roman" w:cs="Times New Roman"/>
                <w:sz w:val="24"/>
                <w:szCs w:val="24"/>
              </w:rPr>
              <w:t>s</w:t>
            </w:r>
            <w:r>
              <w:rPr>
                <w:rFonts w:hint="default" w:ascii="Times New Roman" w:hAnsi="Times New Roman" w:cs="Times New Roman"/>
                <w:sz w:val="24"/>
                <w:szCs w:val="24"/>
                <w:lang w:eastAsia="zh-CN"/>
              </w:rPr>
              <w:t>）</w:t>
            </w:r>
            <w:r>
              <w:rPr>
                <w:rFonts w:hint="default" w:ascii="Times New Roman" w:hAnsi="Times New Roman" w:cs="Times New Roman"/>
                <w:sz w:val="24"/>
                <w:szCs w:val="24"/>
              </w:rPr>
              <w:t>，或其他防渗性能等效的材料。</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⑤同一贮存设施宜采用相同的防渗、防腐工艺</w:t>
            </w:r>
            <w:r>
              <w:rPr>
                <w:rFonts w:hint="default" w:ascii="Times New Roman" w:hAnsi="Times New Roman" w:cs="Times New Roman"/>
                <w:sz w:val="24"/>
                <w:szCs w:val="24"/>
                <w:lang w:eastAsia="zh-CN"/>
              </w:rPr>
              <w:t>（</w:t>
            </w:r>
            <w:r>
              <w:rPr>
                <w:rFonts w:hint="default" w:ascii="Times New Roman" w:hAnsi="Times New Roman" w:cs="Times New Roman"/>
                <w:sz w:val="24"/>
                <w:szCs w:val="24"/>
              </w:rPr>
              <w:t>包括防渗、防腐结构或材料</w:t>
            </w:r>
            <w:r>
              <w:rPr>
                <w:rFonts w:hint="default" w:ascii="Times New Roman" w:hAnsi="Times New Roman" w:cs="Times New Roman"/>
                <w:sz w:val="24"/>
                <w:szCs w:val="24"/>
                <w:lang w:eastAsia="zh-CN"/>
              </w:rPr>
              <w:t>）</w:t>
            </w:r>
            <w:r>
              <w:rPr>
                <w:rFonts w:hint="default" w:ascii="Times New Roman" w:hAnsi="Times New Roman" w:cs="Times New Roman"/>
                <w:sz w:val="24"/>
                <w:szCs w:val="24"/>
              </w:rPr>
              <w:t>，防渗、防腐材料应覆盖所有可能与废物及其渗滤液、渗漏液等接触的构筑物表面</w:t>
            </w:r>
            <w:r>
              <w:rPr>
                <w:rFonts w:hint="default" w:ascii="Times New Roman" w:hAnsi="Times New Roman" w:cs="Times New Roman"/>
                <w:sz w:val="24"/>
                <w:szCs w:val="24"/>
                <w:lang w:eastAsia="zh-CN"/>
              </w:rPr>
              <w:t>；</w:t>
            </w:r>
            <w:r>
              <w:rPr>
                <w:rFonts w:hint="default" w:ascii="Times New Roman" w:hAnsi="Times New Roman" w:cs="Times New Roman"/>
                <w:sz w:val="24"/>
                <w:szCs w:val="24"/>
              </w:rPr>
              <w:t>采用不同防渗、防腐工艺应分别建设贮存分区。</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⑥贮存设施应采取技术和管理措施防止无关人员进入。</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⑦在贮存库内或通过贮存分区方式贮存液态危险废物的，应具有液体泄漏堵截设施，堵截设施最小容积不应低于对应贮存区域最大液态废物容器容积或液态废物总储量1/10</w:t>
            </w:r>
            <w:r>
              <w:rPr>
                <w:rFonts w:hint="default" w:ascii="Times New Roman" w:hAnsi="Times New Roman" w:cs="Times New Roman"/>
                <w:sz w:val="24"/>
                <w:szCs w:val="24"/>
                <w:lang w:eastAsia="zh-CN"/>
              </w:rPr>
              <w:t>（</w:t>
            </w:r>
            <w:r>
              <w:rPr>
                <w:rFonts w:hint="default" w:ascii="Times New Roman" w:hAnsi="Times New Roman" w:cs="Times New Roman"/>
                <w:sz w:val="24"/>
                <w:szCs w:val="24"/>
              </w:rPr>
              <w:t>二者取较大者</w:t>
            </w:r>
            <w:r>
              <w:rPr>
                <w:rFonts w:hint="default" w:ascii="Times New Roman" w:hAnsi="Times New Roman" w:cs="Times New Roman"/>
                <w:sz w:val="24"/>
                <w:szCs w:val="24"/>
                <w:lang w:eastAsia="zh-CN"/>
              </w:rPr>
              <w:t>）；</w:t>
            </w:r>
            <w:r>
              <w:rPr>
                <w:rFonts w:hint="default" w:ascii="Times New Roman" w:hAnsi="Times New Roman" w:cs="Times New Roman"/>
                <w:sz w:val="24"/>
                <w:szCs w:val="24"/>
              </w:rPr>
              <w:t>用于存可能产生渗滤液的危险废物的贮存库或贮存分区应设计渗滤液收集设施,收集设施容积应满足渗滤液的收集要求。</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B、运输</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项目产生的危险废物，拟交由有资质单位回收处理，由处理单位派专用车辆定期上门接收，运输至资质单位废物处理场进行处理。</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C、处置</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项目产生的危险废物交由有资质单位根据各危险废物的性质进行无害化处置。</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D、管理要求</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危险废物按照《危险废物贮存污染控制标准》（GB18597-2023）及《危险废物转移联单管理办法》的规定进行：</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①危险废物存入贮存设施前应对危险废物类别和特性与危险废物标签等危险废物识别标志的一致性进行核验，不一致的或类别、特性不明的不应存入。</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②应定期检查危险废物的贮存状况，及时清理贮存设施地面，更换破损泄漏的危险废物贮存容器和包装物，保证堆存危险废物的防雨、防风、防扬尘等设施功能完好。</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③作业设备及车辆等结束作业离开贮存设施时，应对其残留的危险废物进行清理，清理的废物或清洗废水应收集处理。</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④贮存设施运行期间，应按国家有关标准和规定建立危险废物管理台账并保存。</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⑤贮存设施所有者或运营者应建立贮存设施环境管理制度、管理人员岗位职责制度、设施运行操作制度、人员岗位培训制度等。</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⑥贮存设施所有者或运营者应依据国家土壤和地下水污染防治的有关规定，结合贮存设施特点建立土壤和地下水污染隐患排查制度，并定期开展隐患排查:发现隐患应及时采取措施消除隐患，并建立档案。</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⑦贮存设施所有者或运营者应建立贮存设施全部档案，包括设计、施工、验收、运行、监测和环境应急等，应按国家有关档案管理的法律法规进行整理和归档。</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根据现场调查，厂区已设置危废暂存间1个，且基本满足《危险废物贮存污染控制标准》（GB18597-2023）防风、防雨、防晒、防渗等相关要求，危险废物可以依托现有设施和处理方式进行暂存和处理。</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评价要求，建设单位需加强危险废物暂存间的密闭性；按《危险废物识别标志设置技术规范（HJ 1276—2022）》更新危险废物标识牌</w:t>
            </w:r>
            <w:r>
              <w:rPr>
                <w:rFonts w:hint="default" w:ascii="Times New Roman" w:hAnsi="Times New Roman" w:cs="Times New Roman"/>
                <w:sz w:val="24"/>
                <w:szCs w:val="24"/>
                <w:lang w:eastAsia="zh-CN"/>
              </w:rPr>
              <w:t>；</w:t>
            </w:r>
            <w:r>
              <w:rPr>
                <w:rFonts w:hint="default" w:ascii="Times New Roman" w:hAnsi="Times New Roman" w:cs="Times New Roman"/>
                <w:sz w:val="24"/>
                <w:szCs w:val="24"/>
              </w:rPr>
              <w:t>加强台账管理，严格执行危险废物各项管理制度，将危险废物全部分类、规范贮存，并及时交有资质单位处理，履行好危险废物转移联单制度，避免危险废物的二次污染</w:t>
            </w:r>
            <w:r>
              <w:rPr>
                <w:rFonts w:hint="default" w:ascii="Times New Roman" w:hAnsi="Times New Roman" w:cs="Times New Roman"/>
                <w:sz w:val="24"/>
                <w:szCs w:val="24"/>
                <w:lang w:eastAsia="zh-CN"/>
              </w:rPr>
              <w:t>。</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综上所述，本项目所产生的固体废物能够得到较好的处置，对周围环境影响较小。</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五、地下水及土壤环境</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w:t>
            </w:r>
            <w:r>
              <w:rPr>
                <w:rFonts w:hint="default" w:ascii="Times New Roman" w:hAnsi="Times New Roman" w:cs="Times New Roman"/>
                <w:sz w:val="24"/>
                <w:szCs w:val="24"/>
                <w:lang w:val="en-US" w:eastAsia="zh-CN"/>
              </w:rPr>
              <w:t>位于</w:t>
            </w:r>
            <w:r>
              <w:rPr>
                <w:rFonts w:hint="default" w:ascii="Times New Roman" w:hAnsi="Times New Roman" w:cs="Times New Roman"/>
                <w:sz w:val="24"/>
                <w:szCs w:val="24"/>
              </w:rPr>
              <w:t>衡阳县西渡镇清江北路5号（衡阳市新德力交通材料有限公司现有厂区内），厂区已铺设好污水收集管道，厂房、路面现均已做好底部硬化、防漏、防渗措施，厂区内生活污水经管道收集后进入化粪池处理，正常情况下不会发生污水下渗，可有效防止污水下渗到土壤和地下水。项目产生的废气经过收集后排放，排放量不大，且不属于重金属等有毒有害物质，对土壤和地下水影响不大。项目原料均堆存于室内且已做好防风挡雨、防渗措施，厂房内按规范要求设置</w:t>
            </w:r>
            <w:r>
              <w:rPr>
                <w:rFonts w:hint="default" w:ascii="Times New Roman" w:hAnsi="Times New Roman" w:cs="Times New Roman"/>
                <w:sz w:val="24"/>
                <w:szCs w:val="24"/>
                <w:lang w:eastAsia="zh-CN"/>
              </w:rPr>
              <w:t>了</w:t>
            </w:r>
            <w:r>
              <w:rPr>
                <w:rFonts w:hint="default" w:ascii="Times New Roman" w:hAnsi="Times New Roman" w:cs="Times New Roman"/>
                <w:sz w:val="24"/>
                <w:szCs w:val="24"/>
              </w:rPr>
              <w:t>危险废物暂存间，因此可有效防止物料及危险废物泄露并下渗到土壤和地下水。</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六、环境风险</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根据《建设项目环境风险评价技术导则》（HJ 169-2018），环境风险评价应以突发性事故导致的危险物质环境急性损害防控为目标，对建设项目的环境风险进行分析、预测和评估，提出环境风险预防、控制、减缓措施，明确环境风险监控及应急建议要求，为建设项目环境风险防控提供科学依据。</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1、评价依据</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（1）风险调查</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通过对项目生产过程中原辅材料、产品进行分析、对比，同时参考《建设项目环境风险评价技术导则》（HJ 169－2018）附录B进行对比，本项目涉及的风险物质包括天然气、水性漆、油性漆（包含固化剂、稀释剂）、危险</w:t>
            </w:r>
            <w:r>
              <w:rPr>
                <w:rFonts w:hint="default" w:ascii="Times New Roman" w:hAnsi="Times New Roman" w:cs="Times New Roman"/>
                <w:sz w:val="24"/>
                <w:szCs w:val="24"/>
                <w:lang w:val="en-US" w:eastAsia="zh-CN"/>
              </w:rPr>
              <w:t>废物</w:t>
            </w:r>
            <w:r>
              <w:rPr>
                <w:rFonts w:hint="default" w:ascii="Times New Roman" w:hAnsi="Times New Roman" w:cs="Times New Roman"/>
                <w:sz w:val="24"/>
                <w:szCs w:val="24"/>
              </w:rPr>
              <w:t>（废过滤棉、废活性炭；废UV灯管、废包装桶、废含油手套及抹布）。</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（2）风险潜势初判</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根据《建设项目环境风险评价技术导则》（HJ 169－2018）附录C，计算所涉及的每种危险物质在厂界内的最大存在总量与其在附录B 中对应临界量的比值Q。</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当只涉及一种危险物质时，计算该物质的总量与其临界量比值，即为Q；</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当存在多种危险物质时，则按式（1）计算物质总量与其临界量比值（Q）：</w:t>
            </w:r>
          </w:p>
          <w:p>
            <w:pPr>
              <w:autoSpaceDE w:val="0"/>
              <w:autoSpaceDN w:val="0"/>
              <w:adjustRightInd w:val="0"/>
              <w:spacing w:line="360" w:lineRule="auto"/>
              <w:ind w:firstLine="480" w:firstLineChars="200"/>
              <w:jc w:val="cente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0" distR="0">
                  <wp:extent cx="1733550" cy="485775"/>
                  <wp:effectExtent l="19050" t="0" r="0" b="0"/>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noChangeArrowheads="1"/>
                          </pic:cNvPicPr>
                        </pic:nvPicPr>
                        <pic:blipFill>
                          <a:blip r:embed="rId23" cstate="print"/>
                          <a:srcRect/>
                          <a:stretch>
                            <a:fillRect/>
                          </a:stretch>
                        </pic:blipFill>
                        <pic:spPr>
                          <a:xfrm>
                            <a:off x="0" y="0"/>
                            <a:ext cx="1733550" cy="485775"/>
                          </a:xfrm>
                          <a:prstGeom prst="rect">
                            <a:avLst/>
                          </a:prstGeom>
                          <a:noFill/>
                          <a:ln w="9525">
                            <a:noFill/>
                            <a:miter lim="800000"/>
                            <a:headEnd/>
                            <a:tailEnd/>
                          </a:ln>
                        </pic:spPr>
                      </pic:pic>
                    </a:graphicData>
                  </a:graphic>
                </wp:inline>
              </w:drawing>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式中：q1，q2，q3……qn——每种危险物质的最大存在量，t；</w:t>
            </w:r>
          </w:p>
          <w:p>
            <w:pPr>
              <w:autoSpaceDE w:val="0"/>
              <w:autoSpaceDN w:val="0"/>
              <w:adjustRightInd w:val="0"/>
              <w:spacing w:line="360" w:lineRule="auto"/>
              <w:ind w:firstLine="1200" w:firstLineChars="500"/>
              <w:rPr>
                <w:rFonts w:hint="default" w:ascii="Times New Roman" w:hAnsi="Times New Roman" w:cs="Times New Roman"/>
                <w:sz w:val="24"/>
                <w:szCs w:val="24"/>
              </w:rPr>
            </w:pPr>
            <w:r>
              <w:rPr>
                <w:rFonts w:hint="default" w:ascii="Times New Roman" w:hAnsi="Times New Roman" w:cs="Times New Roman"/>
                <w:sz w:val="24"/>
                <w:szCs w:val="24"/>
              </w:rPr>
              <w:t>Q1，Q2，Q3……Qn——每种危险物质的临界量，t；</w:t>
            </w:r>
          </w:p>
          <w:p>
            <w:pPr>
              <w:autoSpaceDE w:val="0"/>
              <w:autoSpaceDN w:val="0"/>
              <w:adjustRightInd w:val="0"/>
              <w:spacing w:line="360" w:lineRule="auto"/>
              <w:ind w:firstLine="1200" w:firstLineChars="500"/>
              <w:rPr>
                <w:rFonts w:hint="default" w:ascii="Times New Roman" w:hAnsi="Times New Roman" w:cs="Times New Roman"/>
                <w:sz w:val="24"/>
                <w:szCs w:val="24"/>
              </w:rPr>
            </w:pPr>
            <w:r>
              <w:rPr>
                <w:rFonts w:hint="default" w:ascii="Times New Roman" w:hAnsi="Times New Roman" w:cs="Times New Roman"/>
                <w:sz w:val="24"/>
                <w:szCs w:val="24"/>
              </w:rPr>
              <w:t>当Q＜1时，该项目环境风险潜势为Ⅰ。</w:t>
            </w:r>
          </w:p>
          <w:p>
            <w:pPr>
              <w:autoSpaceDE w:val="0"/>
              <w:autoSpaceDN w:val="0"/>
              <w:adjustRightInd w:val="0"/>
              <w:spacing w:line="360" w:lineRule="auto"/>
              <w:ind w:firstLine="1200" w:firstLineChars="500"/>
              <w:rPr>
                <w:rFonts w:hint="default" w:ascii="Times New Roman" w:hAnsi="Times New Roman" w:cs="Times New Roman"/>
                <w:sz w:val="24"/>
                <w:szCs w:val="24"/>
              </w:rPr>
            </w:pPr>
            <w:r>
              <w:rPr>
                <w:rFonts w:hint="default" w:ascii="Times New Roman" w:hAnsi="Times New Roman" w:cs="Times New Roman"/>
                <w:sz w:val="24"/>
                <w:szCs w:val="24"/>
              </w:rPr>
              <w:t>当Q≥1时，将Q值划分为：（1）1≤Q＜10；（2）10≤Q＜100；（3）Q≥100。</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本项目危险物质数量与临界量比值（Q）计算结果</w:t>
            </w:r>
            <w:r>
              <w:rPr>
                <w:rFonts w:hint="default" w:ascii="Times New Roman" w:hAnsi="Times New Roman" w:cs="Times New Roman"/>
                <w:sz w:val="24"/>
                <w:szCs w:val="24"/>
                <w:lang w:val="en-GB"/>
              </w:rPr>
              <w:t>见表</w:t>
            </w:r>
            <w:r>
              <w:rPr>
                <w:rFonts w:hint="default" w:ascii="Times New Roman" w:hAnsi="Times New Roman" w:cs="Times New Roman"/>
                <w:sz w:val="24"/>
                <w:szCs w:val="24"/>
                <w:lang w:val="en-US" w:eastAsia="zh-CN"/>
              </w:rPr>
              <w:t>4-21</w:t>
            </w:r>
            <w:r>
              <w:rPr>
                <w:rFonts w:hint="default" w:ascii="Times New Roman" w:hAnsi="Times New Roman" w:cs="Times New Roman"/>
                <w:sz w:val="24"/>
                <w:szCs w:val="24"/>
              </w:rPr>
              <w:t>。</w:t>
            </w:r>
          </w:p>
          <w:p>
            <w:pPr>
              <w:pStyle w:val="7"/>
              <w:spacing w:beforeLines="50"/>
              <w:rPr>
                <w:rFonts w:hint="default" w:ascii="Times New Roman" w:hAnsi="Times New Roman" w:cs="Times New Roman"/>
                <w:sz w:val="21"/>
                <w:szCs w:val="21"/>
              </w:rPr>
            </w:pPr>
            <w:r>
              <w:rPr>
                <w:rFonts w:hint="default" w:ascii="Times New Roman" w:hAnsi="Times New Roman" w:cs="Times New Roman"/>
                <w:sz w:val="21"/>
                <w:szCs w:val="21"/>
              </w:rPr>
              <w:t>表</w:t>
            </w:r>
            <w:r>
              <w:rPr>
                <w:rFonts w:hint="default" w:ascii="Times New Roman" w:hAnsi="Times New Roman" w:cs="Times New Roman"/>
                <w:sz w:val="21"/>
                <w:szCs w:val="21"/>
                <w:lang w:val="en-US" w:eastAsia="zh-CN"/>
              </w:rPr>
              <w:t xml:space="preserve">4-21  </w:t>
            </w:r>
            <w:r>
              <w:rPr>
                <w:rFonts w:hint="default" w:ascii="Times New Roman" w:hAnsi="Times New Roman" w:cs="Times New Roman"/>
                <w:sz w:val="21"/>
                <w:szCs w:val="21"/>
              </w:rPr>
              <w:t>重大污染源辨识一览表</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153"/>
              <w:gridCol w:w="1714"/>
              <w:gridCol w:w="1416"/>
              <w:gridCol w:w="1418"/>
              <w:gridCol w:w="268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7" w:type="pct"/>
                  <w:vAlign w:val="center"/>
                </w:tcPr>
                <w:p>
                  <w:pPr>
                    <w:pStyle w:val="23"/>
                    <w:spacing w:after="0"/>
                    <w:ind w:firstLine="0" w:firstLineChars="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名称</w:t>
                  </w:r>
                </w:p>
              </w:tc>
              <w:tc>
                <w:tcPr>
                  <w:tcW w:w="913" w:type="pct"/>
                  <w:vAlign w:val="center"/>
                </w:tcPr>
                <w:p>
                  <w:pPr>
                    <w:pStyle w:val="23"/>
                    <w:spacing w:after="0"/>
                    <w:ind w:firstLine="0" w:firstLineChars="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最大贮存量t</w:t>
                  </w:r>
                </w:p>
              </w:tc>
              <w:tc>
                <w:tcPr>
                  <w:tcW w:w="754" w:type="pct"/>
                  <w:vAlign w:val="center"/>
                </w:tcPr>
                <w:p>
                  <w:pPr>
                    <w:pStyle w:val="23"/>
                    <w:spacing w:after="0"/>
                    <w:ind w:firstLine="0" w:firstLineChars="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临界量t</w:t>
                  </w:r>
                </w:p>
              </w:tc>
              <w:tc>
                <w:tcPr>
                  <w:tcW w:w="755" w:type="pct"/>
                  <w:vAlign w:val="center"/>
                </w:tcPr>
                <w:p>
                  <w:pPr>
                    <w:pStyle w:val="23"/>
                    <w:spacing w:after="0"/>
                    <w:ind w:firstLine="0" w:firstLineChars="0"/>
                    <w:jc w:val="center"/>
                    <w:rPr>
                      <w:rFonts w:hint="default" w:ascii="Times New Roman" w:hAnsi="Times New Roman" w:cs="Times New Roman"/>
                      <w:b/>
                      <w:bCs/>
                      <w:sz w:val="21"/>
                      <w:szCs w:val="21"/>
                    </w:rPr>
                  </w:pPr>
                  <w:r>
                    <w:rPr>
                      <w:rFonts w:hint="default" w:ascii="Times New Roman" w:hAnsi="Times New Roman" w:cs="Times New Roman"/>
                      <w:b/>
                      <w:bCs/>
                      <w:sz w:val="21"/>
                      <w:szCs w:val="21"/>
                    </w:rPr>
                    <w:t>q/Q</w:t>
                  </w:r>
                </w:p>
              </w:tc>
              <w:tc>
                <w:tcPr>
                  <w:tcW w:w="1431" w:type="pct"/>
                  <w:vAlign w:val="center"/>
                </w:tcPr>
                <w:p>
                  <w:pPr>
                    <w:pStyle w:val="23"/>
                    <w:spacing w:after="0"/>
                    <w:ind w:firstLine="0" w:firstLineChars="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7"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天然气</w:t>
                  </w:r>
                </w:p>
              </w:tc>
              <w:tc>
                <w:tcPr>
                  <w:tcW w:w="913"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0.0</w:t>
                  </w:r>
                  <w:r>
                    <w:rPr>
                      <w:rFonts w:hint="default" w:ascii="Times New Roman" w:hAnsi="Times New Roman" w:cs="Times New Roman"/>
                      <w:sz w:val="21"/>
                      <w:szCs w:val="21"/>
                      <w:lang w:val="en-US" w:eastAsia="zh-CN"/>
                    </w:rPr>
                    <w:t>72</w:t>
                  </w:r>
                </w:p>
              </w:tc>
              <w:tc>
                <w:tcPr>
                  <w:tcW w:w="754"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20</w:t>
                  </w:r>
                </w:p>
              </w:tc>
              <w:tc>
                <w:tcPr>
                  <w:tcW w:w="755"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0.00</w:t>
                  </w:r>
                  <w:r>
                    <w:rPr>
                      <w:rFonts w:hint="default" w:ascii="Times New Roman" w:hAnsi="Times New Roman" w:cs="Times New Roman"/>
                      <w:sz w:val="21"/>
                      <w:szCs w:val="21"/>
                      <w:lang w:val="en-US" w:eastAsia="zh-CN"/>
                    </w:rPr>
                    <w:t>36</w:t>
                  </w:r>
                </w:p>
              </w:tc>
              <w:tc>
                <w:tcPr>
                  <w:tcW w:w="1431"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甲烷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7"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水性漆</w:t>
                  </w:r>
                </w:p>
              </w:tc>
              <w:tc>
                <w:tcPr>
                  <w:tcW w:w="913"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w:t>
                  </w:r>
                </w:p>
              </w:tc>
              <w:tc>
                <w:tcPr>
                  <w:tcW w:w="754"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50</w:t>
                  </w:r>
                </w:p>
              </w:tc>
              <w:tc>
                <w:tcPr>
                  <w:tcW w:w="755"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0.0</w:t>
                  </w:r>
                  <w:r>
                    <w:rPr>
                      <w:rFonts w:hint="default" w:ascii="Times New Roman" w:hAnsi="Times New Roman" w:cs="Times New Roman"/>
                      <w:sz w:val="21"/>
                      <w:szCs w:val="21"/>
                      <w:lang w:val="en-US" w:eastAsia="zh-CN"/>
                    </w:rPr>
                    <w:t>4</w:t>
                  </w:r>
                </w:p>
              </w:tc>
              <w:tc>
                <w:tcPr>
                  <w:tcW w:w="1431"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参照HJ169-2018表B.2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7"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油性漆</w:t>
                  </w:r>
                </w:p>
              </w:tc>
              <w:tc>
                <w:tcPr>
                  <w:tcW w:w="913"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0.5</w:t>
                  </w:r>
                </w:p>
              </w:tc>
              <w:tc>
                <w:tcPr>
                  <w:tcW w:w="754"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50</w:t>
                  </w:r>
                </w:p>
              </w:tc>
              <w:tc>
                <w:tcPr>
                  <w:tcW w:w="755"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0.01</w:t>
                  </w:r>
                </w:p>
              </w:tc>
              <w:tc>
                <w:tcPr>
                  <w:tcW w:w="1431"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参照HJ169-2018表B.2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7"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危险固废</w:t>
                  </w:r>
                </w:p>
              </w:tc>
              <w:tc>
                <w:tcPr>
                  <w:tcW w:w="913"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w:t>
                  </w:r>
                </w:p>
              </w:tc>
              <w:tc>
                <w:tcPr>
                  <w:tcW w:w="754"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50</w:t>
                  </w:r>
                </w:p>
              </w:tc>
              <w:tc>
                <w:tcPr>
                  <w:tcW w:w="755" w:type="pct"/>
                  <w:vAlign w:val="center"/>
                </w:tcPr>
                <w:p>
                  <w:pPr>
                    <w:pStyle w:val="23"/>
                    <w:spacing w:after="0"/>
                    <w:ind w:firstLine="0" w:firstLineChars="0"/>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0.0</w:t>
                  </w:r>
                  <w:r>
                    <w:rPr>
                      <w:rFonts w:hint="default" w:ascii="Times New Roman" w:hAnsi="Times New Roman" w:cs="Times New Roman"/>
                      <w:sz w:val="21"/>
                      <w:szCs w:val="21"/>
                      <w:lang w:val="en-US" w:eastAsia="zh-CN"/>
                    </w:rPr>
                    <w:t>3</w:t>
                  </w:r>
                </w:p>
              </w:tc>
              <w:tc>
                <w:tcPr>
                  <w:tcW w:w="1431" w:type="pct"/>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参照 HJ169-2018表B.2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14" w:type="pct"/>
                  <w:gridSpan w:val="3"/>
                  <w:vAlign w:val="center"/>
                </w:tcPr>
                <w:p>
                  <w:pPr>
                    <w:pStyle w:val="23"/>
                    <w:spacing w:after="0"/>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总计</w:t>
                  </w:r>
                </w:p>
              </w:tc>
              <w:tc>
                <w:tcPr>
                  <w:tcW w:w="755" w:type="pct"/>
                  <w:vAlign w:val="center"/>
                </w:tcPr>
                <w:p>
                  <w:pPr>
                    <w:pStyle w:val="23"/>
                    <w:spacing w:after="0"/>
                    <w:ind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0.08</w:t>
                  </w:r>
                  <w:r>
                    <w:rPr>
                      <w:rFonts w:hint="default" w:ascii="Times New Roman" w:hAnsi="Times New Roman" w:cs="Times New Roman"/>
                      <w:sz w:val="21"/>
                      <w:szCs w:val="21"/>
                      <w:lang w:val="en-US" w:eastAsia="zh-CN"/>
                    </w:rPr>
                    <w:t>36</w:t>
                  </w:r>
                </w:p>
              </w:tc>
              <w:tc>
                <w:tcPr>
                  <w:tcW w:w="1431" w:type="pct"/>
                  <w:vAlign w:val="center"/>
                </w:tcPr>
                <w:p>
                  <w:pPr>
                    <w:pStyle w:val="23"/>
                    <w:spacing w:after="0"/>
                    <w:ind w:firstLine="0" w:firstLineChars="0"/>
                    <w:jc w:val="center"/>
                    <w:rPr>
                      <w:rFonts w:hint="default" w:ascii="Times New Roman" w:hAnsi="Times New Roman" w:cs="Times New Roman"/>
                      <w:sz w:val="21"/>
                      <w:szCs w:val="21"/>
                    </w:rPr>
                  </w:pPr>
                </w:p>
              </w:tc>
            </w:tr>
          </w:tbl>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注：项目天然气管道中以每小时耗气量计算，约为</w:t>
            </w:r>
            <w:r>
              <w:rPr>
                <w:rFonts w:hint="default" w:ascii="Times New Roman" w:hAnsi="Times New Roman" w:cs="Times New Roman"/>
                <w:sz w:val="24"/>
                <w:szCs w:val="24"/>
                <w:lang w:val="en-US" w:eastAsia="zh-CN"/>
              </w:rPr>
              <w:t>100</w:t>
            </w:r>
            <w:r>
              <w:rPr>
                <w:rFonts w:hint="default" w:ascii="Times New Roman" w:hAnsi="Times New Roman" w:cs="Times New Roman"/>
                <w:sz w:val="24"/>
                <w:szCs w:val="24"/>
              </w:rPr>
              <w:t>m3，常温常压下天然气密度0.7174kg/m3，故天然气管道中天然气最大储存量约为0.0</w:t>
            </w:r>
            <w:r>
              <w:rPr>
                <w:rFonts w:hint="default" w:ascii="Times New Roman" w:hAnsi="Times New Roman" w:cs="Times New Roman"/>
                <w:sz w:val="24"/>
                <w:szCs w:val="24"/>
                <w:lang w:val="en-US" w:eastAsia="zh-CN"/>
              </w:rPr>
              <w:t>72</w:t>
            </w:r>
            <w:r>
              <w:rPr>
                <w:rFonts w:hint="default" w:ascii="Times New Roman" w:hAnsi="Times New Roman" w:cs="Times New Roman"/>
                <w:sz w:val="24"/>
                <w:szCs w:val="24"/>
              </w:rPr>
              <w:t>t。</w:t>
            </w:r>
          </w:p>
          <w:p>
            <w:pPr>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由表可知，本项目环境风险物质最大存在数量与临界量比值为0.0804（Q＜1），故该项目环境风险潜势为Ⅰ</w:t>
            </w:r>
            <w:r>
              <w:rPr>
                <w:rFonts w:hint="default" w:ascii="Times New Roman" w:hAnsi="Times New Roman" w:cs="Times New Roman"/>
                <w:sz w:val="24"/>
                <w:szCs w:val="24"/>
                <w:lang w:eastAsia="zh-CN"/>
              </w:rPr>
              <w:t>。</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（3）评价工作等级</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根据项目危险物质数量与临界量的比值Q，对比《建设项目环境风险评价技术导则》（HJ/T169-2018）表1，可知项目环境风险评价工作等级为简单分析。</w:t>
            </w:r>
          </w:p>
          <w:p>
            <w:pPr>
              <w:pStyle w:val="7"/>
              <w:spacing w:beforeLines="50"/>
              <w:rPr>
                <w:rFonts w:hint="default" w:ascii="Times New Roman" w:hAnsi="Times New Roman" w:cs="Times New Roman"/>
                <w:sz w:val="21"/>
                <w:szCs w:val="21"/>
              </w:rPr>
            </w:pPr>
            <w:r>
              <w:rPr>
                <w:rFonts w:hint="default" w:ascii="Times New Roman" w:hAnsi="Times New Roman" w:cs="Times New Roman"/>
                <w:sz w:val="21"/>
                <w:szCs w:val="21"/>
              </w:rPr>
              <w:t>表4-</w:t>
            </w:r>
            <w:r>
              <w:rPr>
                <w:rFonts w:hint="default" w:ascii="Times New Roman" w:hAnsi="Times New Roman" w:cs="Times New Roman"/>
                <w:sz w:val="21"/>
                <w:szCs w:val="21"/>
                <w:lang w:val="en-US" w:eastAsia="zh-CN"/>
              </w:rPr>
              <w:t>2</w:t>
            </w:r>
            <w:r>
              <w:rPr>
                <w:rFonts w:hint="default" w:ascii="Times New Roman" w:hAnsi="Times New Roman" w:cs="Times New Roman"/>
                <w:sz w:val="21"/>
                <w:szCs w:val="21"/>
              </w:rPr>
              <w:t>2  评价工作等级划分</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35"/>
              <w:gridCol w:w="1626"/>
              <w:gridCol w:w="1910"/>
              <w:gridCol w:w="1697"/>
              <w:gridCol w:w="21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环境风险潜势</w:t>
                  </w:r>
                </w:p>
              </w:tc>
              <w:tc>
                <w:tcPr>
                  <w:tcW w:w="866"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4 \* ROMAN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IV</w:t>
                  </w:r>
                  <w:r>
                    <w:rPr>
                      <w:rFonts w:hint="default" w:ascii="Times New Roman" w:hAnsi="Times New Roman" w:cs="Times New Roman"/>
                      <w:sz w:val="21"/>
                      <w:szCs w:val="21"/>
                    </w:rPr>
                    <w:fldChar w:fldCharType="end"/>
                  </w:r>
                  <w:r>
                    <w:rPr>
                      <w:rFonts w:hint="default" w:ascii="Times New Roman" w:hAnsi="Times New Roman" w:cs="Times New Roman"/>
                      <w:sz w:val="21"/>
                      <w:szCs w:val="21"/>
                    </w:rPr>
                    <w:t>、</w:t>
                  </w: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4 \* ROMAN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IV</w:t>
                  </w:r>
                  <w:r>
                    <w:rPr>
                      <w:rFonts w:hint="default" w:ascii="Times New Roman" w:hAnsi="Times New Roman" w:cs="Times New Roman"/>
                      <w:sz w:val="21"/>
                      <w:szCs w:val="21"/>
                    </w:rPr>
                    <w:fldChar w:fldCharType="end"/>
                  </w:r>
                  <w:r>
                    <w:rPr>
                      <w:rFonts w:hint="default" w:ascii="Times New Roman" w:hAnsi="Times New Roman" w:cs="Times New Roman"/>
                      <w:sz w:val="21"/>
                      <w:szCs w:val="21"/>
                    </w:rPr>
                    <w:t>+</w:t>
                  </w:r>
                </w:p>
              </w:tc>
              <w:tc>
                <w:tcPr>
                  <w:tcW w:w="1017"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3 \* ROMAN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III</w:t>
                  </w:r>
                  <w:r>
                    <w:rPr>
                      <w:rFonts w:hint="default" w:ascii="Times New Roman" w:hAnsi="Times New Roman" w:cs="Times New Roman"/>
                      <w:sz w:val="21"/>
                      <w:szCs w:val="21"/>
                    </w:rPr>
                    <w:fldChar w:fldCharType="end"/>
                  </w:r>
                </w:p>
              </w:tc>
              <w:tc>
                <w:tcPr>
                  <w:tcW w:w="90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2 \* ROMAN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II</w:t>
                  </w:r>
                  <w:r>
                    <w:rPr>
                      <w:rFonts w:hint="default" w:ascii="Times New Roman" w:hAnsi="Times New Roman" w:cs="Times New Roman"/>
                      <w:sz w:val="21"/>
                      <w:szCs w:val="21"/>
                    </w:rPr>
                    <w:fldChar w:fldCharType="end"/>
                  </w:r>
                </w:p>
              </w:tc>
              <w:tc>
                <w:tcPr>
                  <w:tcW w:w="112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1 \* ROMAN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w:t>
                  </w:r>
                  <w:r>
                    <w:rPr>
                      <w:rFonts w:hint="default" w:ascii="Times New Roman" w:hAnsi="Times New Roman" w:cs="Times New Roman"/>
                      <w:sz w:val="21"/>
                      <w:szCs w:val="21"/>
                    </w:rPr>
                    <w:fldChar w:fldCharType="end"/>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评价工作等级</w:t>
                  </w:r>
                </w:p>
              </w:tc>
              <w:tc>
                <w:tcPr>
                  <w:tcW w:w="866"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一</w:t>
                  </w:r>
                </w:p>
              </w:tc>
              <w:tc>
                <w:tcPr>
                  <w:tcW w:w="1017"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二</w:t>
                  </w:r>
                </w:p>
              </w:tc>
              <w:tc>
                <w:tcPr>
                  <w:tcW w:w="904"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三</w:t>
                  </w:r>
                </w:p>
              </w:tc>
              <w:tc>
                <w:tcPr>
                  <w:tcW w:w="1129" w:type="pct"/>
                  <w:shd w:val="clear" w:color="auto" w:fill="D9D9D9"/>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简单分析a</w:t>
                  </w:r>
                </w:p>
              </w:tc>
            </w:tr>
          </w:tbl>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2、环境敏感目标概况</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项目周围环境敏感点详见表3-3。本评价范围内无风景名胜区、自然保护区、饮用水源保护区、重点文物保护单位等敏感区域。</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3、环境风险识别</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造成风险事故的隐患取决于工艺技术、设备质量和操作管理水平等方面，一般引起风险事故的因素是多方面的，同一事故可能既有操作、管理方面的原因，又有工艺、设备方面的因素，各种因素错综复杂，相互关联，潜移默化地起着作用。依据厂家生产经验，本项目事故关键单元的风险识别见下表。</w:t>
            </w:r>
          </w:p>
          <w:p>
            <w:pPr>
              <w:pStyle w:val="7"/>
              <w:spacing w:beforeLines="50"/>
              <w:rPr>
                <w:rFonts w:hint="default" w:ascii="Times New Roman" w:hAnsi="Times New Roman" w:cs="Times New Roman"/>
                <w:sz w:val="21"/>
                <w:szCs w:val="21"/>
              </w:rPr>
            </w:pPr>
            <w:r>
              <w:rPr>
                <w:rFonts w:hint="default" w:ascii="Times New Roman" w:hAnsi="Times New Roman" w:cs="Times New Roman"/>
                <w:sz w:val="21"/>
                <w:szCs w:val="21"/>
              </w:rPr>
              <w:t>表4-</w:t>
            </w:r>
            <w:r>
              <w:rPr>
                <w:rFonts w:hint="default" w:ascii="Times New Roman" w:hAnsi="Times New Roman" w:cs="Times New Roman"/>
                <w:sz w:val="21"/>
                <w:szCs w:val="21"/>
                <w:lang w:val="en-US" w:eastAsia="zh-CN"/>
              </w:rPr>
              <w:t>2</w:t>
            </w:r>
            <w:r>
              <w:rPr>
                <w:rFonts w:hint="default" w:ascii="Times New Roman" w:hAnsi="Times New Roman" w:cs="Times New Roman"/>
                <w:sz w:val="21"/>
                <w:szCs w:val="21"/>
              </w:rPr>
              <w:t>3  生产及贮存过程中潜在危险因素分析</w:t>
            </w:r>
          </w:p>
          <w:tbl>
            <w:tblPr>
              <w:tblStyle w:val="2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36"/>
              <w:gridCol w:w="2268"/>
              <w:gridCol w:w="4091"/>
              <w:gridCol w:w="219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45"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1208"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事故类型</w:t>
                  </w:r>
                </w:p>
              </w:tc>
              <w:tc>
                <w:tcPr>
                  <w:tcW w:w="2179"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产生原因</w:t>
                  </w:r>
                </w:p>
              </w:tc>
              <w:tc>
                <w:tcPr>
                  <w:tcW w:w="1168"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易发场所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45"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208"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事故排放</w:t>
                  </w:r>
                </w:p>
              </w:tc>
              <w:tc>
                <w:tcPr>
                  <w:tcW w:w="21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由于废气处理设备故障或停电，导致有机废气超标排放</w:t>
                  </w:r>
                </w:p>
              </w:tc>
              <w:tc>
                <w:tcPr>
                  <w:tcW w:w="1168"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废气处理设施</w:t>
                  </w:r>
                  <w:r>
                    <w:rPr>
                      <w:rFonts w:hint="default" w:ascii="Times New Roman" w:hAnsi="Times New Roman" w:cs="Times New Roman"/>
                      <w:sz w:val="21"/>
                      <w:szCs w:val="21"/>
                    </w:rPr>
                    <w:t>失效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45"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2</w:t>
                  </w:r>
                </w:p>
              </w:tc>
              <w:tc>
                <w:tcPr>
                  <w:tcW w:w="1208"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原料泄露、危废外排</w:t>
                  </w:r>
                </w:p>
              </w:tc>
              <w:tc>
                <w:tcPr>
                  <w:tcW w:w="21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由于管理不善等原因造成的原料泄露、危废外排</w:t>
                  </w:r>
                </w:p>
              </w:tc>
              <w:tc>
                <w:tcPr>
                  <w:tcW w:w="1168"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危化品仓库、危废暂存间</w:t>
                  </w:r>
                </w:p>
              </w:tc>
            </w:tr>
          </w:tbl>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4、环境风险事故分析</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（1）贮存设施泄漏事故</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涂料仓库及</w:t>
            </w:r>
            <w:r>
              <w:rPr>
                <w:rFonts w:hint="default" w:ascii="Times New Roman" w:hAnsi="Times New Roman" w:cs="Times New Roman"/>
                <w:sz w:val="24"/>
                <w:szCs w:val="24"/>
              </w:rPr>
              <w:t>危废暂存间内</w:t>
            </w:r>
            <w:r>
              <w:rPr>
                <w:rFonts w:hint="default" w:ascii="Times New Roman" w:hAnsi="Times New Roman" w:cs="Times New Roman"/>
                <w:sz w:val="24"/>
                <w:szCs w:val="24"/>
                <w:lang w:val="en-US" w:eastAsia="zh-CN"/>
              </w:rPr>
              <w:t>因</w:t>
            </w:r>
            <w:r>
              <w:rPr>
                <w:rFonts w:hint="default" w:ascii="Times New Roman" w:hAnsi="Times New Roman" w:cs="Times New Roman"/>
                <w:sz w:val="24"/>
                <w:szCs w:val="24"/>
              </w:rPr>
              <w:t>储存或管理不善致使原料泄露、危废外排。在建设时选用合格的原材料严把施工质量，运营期加强环保设备管理，并定期检查的情况下，此类事故的发生率大约1×10</w:t>
            </w:r>
            <w:r>
              <w:rPr>
                <w:rFonts w:hint="default" w:ascii="Times New Roman" w:hAnsi="Times New Roman" w:cs="Times New Roman"/>
                <w:sz w:val="24"/>
                <w:szCs w:val="24"/>
                <w:vertAlign w:val="superscript"/>
              </w:rPr>
              <w:t>-2</w:t>
            </w:r>
            <w:r>
              <w:rPr>
                <w:rFonts w:hint="default" w:ascii="Times New Roman" w:hAnsi="Times New Roman" w:cs="Times New Roman"/>
                <w:sz w:val="24"/>
                <w:szCs w:val="24"/>
              </w:rPr>
              <w:t>次/年。</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②环保设施废气事故性排放</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废气净化装置事故主要为活性炭吸附装置因风机故障或停电而导致的有机废气VOCs超标排放。在选用合格产品，并加强设备维护的情况下，此类事故的发生几率大约1-2次/年。</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如果该净化装置发生故障或停电停运，废气逸出会对车间生产环境和区域环境空气质量造成一定影响。</w:t>
            </w:r>
          </w:p>
          <w:p>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5、环境风险防范措施及应急要求</w:t>
            </w:r>
          </w:p>
          <w:p>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为防止事故情况的发生，在项目的营运期内，应采取以下防治措施：</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（1）</w:t>
            </w:r>
            <w:r>
              <w:rPr>
                <w:rFonts w:hint="default" w:ascii="Times New Roman" w:hAnsi="Times New Roman" w:cs="Times New Roman"/>
                <w:sz w:val="24"/>
                <w:szCs w:val="24"/>
              </w:rPr>
              <w:t>天然气用气设备的防泄漏措施</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①</w:t>
            </w:r>
            <w:r>
              <w:rPr>
                <w:rFonts w:hint="default" w:ascii="Times New Roman" w:hAnsi="Times New Roman" w:cs="Times New Roman"/>
                <w:sz w:val="24"/>
                <w:szCs w:val="24"/>
              </w:rPr>
              <w:t>用气设备设有观察孔，并设置自动点火装置和熄火保护装置。</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②</w:t>
            </w:r>
            <w:r>
              <w:rPr>
                <w:rFonts w:hint="default" w:ascii="Times New Roman" w:hAnsi="Times New Roman" w:cs="Times New Roman"/>
                <w:sz w:val="24"/>
                <w:szCs w:val="24"/>
              </w:rPr>
              <w:t>烟道和封闭式炉膛，均设置泄爆装置，泄爆装置的泄压口设在安全处。</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③</w:t>
            </w:r>
            <w:r>
              <w:rPr>
                <w:rFonts w:hint="default" w:ascii="Times New Roman" w:hAnsi="Times New Roman" w:cs="Times New Roman"/>
                <w:sz w:val="24"/>
                <w:szCs w:val="24"/>
              </w:rPr>
              <w:t>鼓风机和空气管道设静电接地装置。</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④</w:t>
            </w:r>
            <w:r>
              <w:rPr>
                <w:rFonts w:hint="default" w:ascii="Times New Roman" w:hAnsi="Times New Roman" w:cs="Times New Roman"/>
                <w:sz w:val="24"/>
                <w:szCs w:val="24"/>
              </w:rPr>
              <w:t>用气设备的燃气总阀门与燃烧器阀门之间，设置放散管。</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⑤</w:t>
            </w:r>
            <w:r>
              <w:rPr>
                <w:rFonts w:hint="default" w:ascii="Times New Roman" w:hAnsi="Times New Roman" w:cs="Times New Roman"/>
                <w:sz w:val="24"/>
                <w:szCs w:val="24"/>
              </w:rPr>
              <w:t>燃气管路上设背压式调压器，在燃气与燃烧器之间设阻火器，防止空气回到燃气管路。</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⑥</w:t>
            </w:r>
            <w:r>
              <w:rPr>
                <w:rFonts w:hint="default" w:ascii="Times New Roman" w:hAnsi="Times New Roman" w:cs="Times New Roman"/>
                <w:sz w:val="24"/>
                <w:szCs w:val="24"/>
              </w:rPr>
              <w:t>燃气引入管室外采用埋地暗管接入。</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⑦</w:t>
            </w:r>
            <w:r>
              <w:rPr>
                <w:rFonts w:hint="default" w:ascii="Times New Roman" w:hAnsi="Times New Roman" w:cs="Times New Roman"/>
                <w:sz w:val="24"/>
                <w:szCs w:val="24"/>
              </w:rPr>
              <w:t>低压采用普通管，中压采用加厚管。</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⑧</w:t>
            </w:r>
            <w:r>
              <w:rPr>
                <w:rFonts w:hint="default" w:ascii="Times New Roman" w:hAnsi="Times New Roman" w:cs="Times New Roman"/>
                <w:sz w:val="24"/>
                <w:szCs w:val="24"/>
              </w:rPr>
              <w:t>燃气管道上安装低压和超压报警以及紧急自动切断阀。</w:t>
            </w:r>
          </w:p>
          <w:p>
            <w:pPr>
              <w:pStyle w:val="2"/>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val="en-US" w:eastAsia="zh-CN"/>
              </w:rPr>
              <w:t>⑨</w:t>
            </w:r>
            <w:r>
              <w:rPr>
                <w:rFonts w:hint="default" w:ascii="Times New Roman" w:hAnsi="Times New Roman" w:cs="Times New Roman"/>
                <w:sz w:val="24"/>
                <w:szCs w:val="24"/>
              </w:rPr>
              <w:t>每个燃烧器的燃气接管上，必须单独设置有启闭标记的燃气阀门；每个机械鼓风的燃烧器，在风管上必须设置有启闭标记的阀门。阀门安装高度不超过1.7m，燃气管道阀门与车间用气设备阀门之间设置放散管。</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val="en-US" w:eastAsia="zh-CN"/>
              </w:rPr>
              <w:t>（2）涂料</w:t>
            </w:r>
            <w:r>
              <w:rPr>
                <w:rFonts w:hint="default" w:ascii="Times New Roman" w:hAnsi="Times New Roman" w:cs="Times New Roman"/>
                <w:sz w:val="24"/>
                <w:szCs w:val="24"/>
              </w:rPr>
              <w:t>、危险废物储存过程风险防范措施</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val="en-US" w:eastAsia="zh-CN"/>
              </w:rPr>
              <w:t>涂料</w:t>
            </w:r>
            <w:r>
              <w:rPr>
                <w:rFonts w:hint="default" w:ascii="Times New Roman" w:hAnsi="Times New Roman" w:cs="Times New Roman"/>
                <w:sz w:val="24"/>
                <w:szCs w:val="24"/>
              </w:rPr>
              <w:t>存放在</w:t>
            </w:r>
            <w:r>
              <w:rPr>
                <w:rFonts w:hint="default" w:ascii="Times New Roman" w:hAnsi="Times New Roman" w:cs="Times New Roman"/>
                <w:sz w:val="24"/>
                <w:szCs w:val="24"/>
                <w:lang w:val="en-US" w:eastAsia="zh-CN"/>
              </w:rPr>
              <w:t>危化品仓</w:t>
            </w:r>
            <w:r>
              <w:rPr>
                <w:rFonts w:hint="default" w:ascii="Times New Roman" w:hAnsi="Times New Roman" w:cs="Times New Roman"/>
                <w:sz w:val="24"/>
                <w:szCs w:val="24"/>
              </w:rPr>
              <w:t>库内，危废经收集暂存在危废暂存间，项目</w:t>
            </w:r>
            <w:r>
              <w:rPr>
                <w:rFonts w:hint="default" w:ascii="Times New Roman" w:hAnsi="Times New Roman" w:cs="Times New Roman"/>
                <w:sz w:val="24"/>
                <w:szCs w:val="24"/>
                <w:lang w:val="en-US" w:eastAsia="zh-CN"/>
              </w:rPr>
              <w:t>危化品仓</w:t>
            </w:r>
            <w:r>
              <w:rPr>
                <w:rFonts w:hint="default" w:ascii="Times New Roman" w:hAnsi="Times New Roman" w:cs="Times New Roman"/>
                <w:sz w:val="24"/>
                <w:szCs w:val="24"/>
              </w:rPr>
              <w:t>库和危废暂存间均采用重点防渗，危险废物分类存储，专用容器存放，满足环保相关要求。发现泄露事故应立即采取清理措施。</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（3）废气事故排放防范措施</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①建立废气处理设施运行台账；</w:t>
            </w:r>
          </w:p>
          <w:p>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②定期对废气处理设施进行检查维护，确保布袋除尘器等废气处理设施正常工作；</w:t>
            </w:r>
          </w:p>
          <w:p>
            <w:pPr>
              <w:pStyle w:val="2"/>
              <w:spacing w:line="360" w:lineRule="auto"/>
              <w:ind w:firstLine="480" w:firstLineChars="200"/>
              <w:jc w:val="both"/>
              <w:rPr>
                <w:rFonts w:hint="default" w:ascii="Times New Roman" w:hAnsi="Times New Roman" w:eastAsia="宋体" w:cs="Times New Roman"/>
                <w:sz w:val="24"/>
                <w:szCs w:val="24"/>
                <w:lang w:eastAsia="zh-CN"/>
              </w:rPr>
            </w:pPr>
            <w:r>
              <w:rPr>
                <w:rFonts w:hint="default" w:ascii="Times New Roman" w:hAnsi="Times New Roman" w:cs="Times New Roman"/>
                <w:sz w:val="24"/>
                <w:szCs w:val="24"/>
              </w:rPr>
              <w:t>③定期更换除尘器装置内过滤介质，确保处理效率</w:t>
            </w:r>
            <w:r>
              <w:rPr>
                <w:rFonts w:hint="default" w:ascii="Times New Roman" w:hAnsi="Times New Roman" w:cs="Times New Roman"/>
                <w:sz w:val="24"/>
                <w:szCs w:val="24"/>
                <w:lang w:eastAsia="zh-CN"/>
              </w:rPr>
              <w:t>。</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val="en-US" w:eastAsia="zh-CN"/>
              </w:rPr>
              <w:t>（4）</w:t>
            </w:r>
            <w:r>
              <w:rPr>
                <w:rFonts w:hint="default" w:ascii="Times New Roman" w:hAnsi="Times New Roman" w:cs="Times New Roman"/>
                <w:sz w:val="24"/>
                <w:szCs w:val="24"/>
              </w:rPr>
              <w:t>生产过程风险防范措施</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生产过程事故风险防范是安全生产的重要环节，建设单位应该做到以下防范措施：定期组织员工学习、贯彻各项安全生产政策，并将国家要求和安全技术规范转化为各自岗位的安全操作规程，并悬挂于醒目位置，规范岗位操作，降低事故概率；应防止工作人员直接接触具有危险和有害因素的设备、设施、生产原材料、产品和中间产品等；设备在规定使用期限内，生产设备应满足使用环境要求，特别是满足抗腐蚀、耐磨损、抗疲劳、抗老化的要求，要密切关注事故易发部位，做好运行监督检查和维修保养，防患于未然；提高装置的密封性能，尽可能减少无组织泄漏；组织专门人员每天进行巡回检查，有跑冒滴漏或其他异常现象的应及时检修，必要时停产检修。</w:t>
            </w:r>
          </w:p>
          <w:p>
            <w:pPr>
              <w:pStyle w:val="2"/>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lang w:val="en-US" w:eastAsia="zh-CN"/>
              </w:rPr>
              <w:t>（5）</w:t>
            </w:r>
            <w:r>
              <w:rPr>
                <w:rFonts w:hint="default" w:ascii="Times New Roman" w:hAnsi="Times New Roman" w:cs="Times New Roman"/>
                <w:sz w:val="24"/>
                <w:szCs w:val="24"/>
              </w:rPr>
              <w:t>加强防范措施和日常管理</w:t>
            </w:r>
          </w:p>
          <w:p>
            <w:pPr>
              <w:pStyle w:val="2"/>
              <w:adjustRightInd/>
              <w:spacing w:line="360" w:lineRule="auto"/>
              <w:ind w:firstLine="480" w:firstLineChars="200"/>
              <w:jc w:val="both"/>
              <w:rPr>
                <w:rFonts w:hint="default" w:ascii="Times New Roman" w:hAnsi="Times New Roman" w:cs="Times New Roman"/>
                <w:sz w:val="24"/>
                <w:szCs w:val="24"/>
              </w:rPr>
            </w:pPr>
            <w:r>
              <w:rPr>
                <w:rFonts w:hint="default" w:ascii="Times New Roman" w:hAnsi="Times New Roman" w:cs="Times New Roman"/>
                <w:sz w:val="24"/>
                <w:szCs w:val="24"/>
              </w:rPr>
              <w:t>加强企业的防范意识和管理能有效防范环境风险事故的发生，能迅速、有效的处置可能发生的突发性环境风险事故，其最主要的方法是制定企业环境风险防范管理制度。该制度的制定，应以预防为主、全面覆盖、突出重点为主要原则，将公司内突发环境风险事故的控制和处置行为进行规定，成立相关部门及相关人员负责风险防范事宜。应定期对制度内容进行培训，梳理严谨规范的防范意识和管理。针对厂区环境风险，建设单位应编制突发环境事件应急预案，并报衡阳市生态环境局衡阳县分局备案，且及时修正应急预案并加强演练。</w:t>
            </w:r>
          </w:p>
          <w:p>
            <w:pPr>
              <w:autoSpaceDE w:val="0"/>
              <w:autoSpaceDN w:val="0"/>
              <w:adjustRightInd w:val="0"/>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6、环境风险分析结论</w:t>
            </w:r>
          </w:p>
          <w:p>
            <w:pPr>
              <w:adjustRightInd w:val="0"/>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经分析，项目生产过程中存在的风险物质未构成重大危险源。本项目可能发生的事故主要包括生产运行和储运过程的原材料的泄漏、废气事故排放等。根据其他同类企业的多年运行经验，该类项目泄漏、废气事故排放等事故发生概率很低，只要通过加强公司管理，做好防范措施等，可将其风险控制在可接受范围内。同时，在项目运营过程中认真落实，使发生事故的环境影响控制在最小的范围内。</w:t>
            </w:r>
          </w:p>
          <w:p>
            <w:pPr>
              <w:pStyle w:val="2"/>
              <w:adjustRightInd/>
              <w:spacing w:line="360" w:lineRule="auto"/>
              <w:ind w:firstLine="482" w:firstLineChars="200"/>
              <w:jc w:val="both"/>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七</w:t>
            </w:r>
            <w:r>
              <w:rPr>
                <w:rFonts w:hint="default" w:ascii="Times New Roman" w:hAnsi="Times New Roman" w:cs="Times New Roman"/>
                <w:b/>
                <w:bCs/>
                <w:sz w:val="24"/>
                <w:szCs w:val="24"/>
              </w:rPr>
              <w:t>、</w:t>
            </w:r>
            <w:r>
              <w:rPr>
                <w:rFonts w:hint="eastAsia" w:ascii="Times New Roman" w:cs="Times New Roman"/>
                <w:b/>
                <w:bCs/>
                <w:sz w:val="24"/>
                <w:szCs w:val="24"/>
                <w:lang w:val="en-US" w:eastAsia="zh-CN"/>
              </w:rPr>
              <w:t>改建</w:t>
            </w:r>
            <w:r>
              <w:rPr>
                <w:rFonts w:hint="default" w:ascii="Times New Roman" w:hAnsi="Times New Roman" w:cs="Times New Roman"/>
                <w:b/>
                <w:bCs/>
                <w:sz w:val="24"/>
                <w:szCs w:val="24"/>
              </w:rPr>
              <w:t>前</w:t>
            </w:r>
            <w:r>
              <w:rPr>
                <w:rFonts w:hint="eastAsia" w:asciiTheme="minorEastAsia" w:hAnsiTheme="minorEastAsia" w:eastAsiaTheme="minorEastAsia" w:cstheme="minorEastAsia"/>
                <w:b/>
                <w:bCs/>
                <w:sz w:val="24"/>
                <w:szCs w:val="24"/>
              </w:rPr>
              <w:t>后“三本账”</w:t>
            </w:r>
          </w:p>
          <w:p>
            <w:pPr>
              <w:pStyle w:val="7"/>
              <w:spacing w:beforeLines="50"/>
              <w:rPr>
                <w:rFonts w:hint="default" w:ascii="Times New Roman" w:hAnsi="Times New Roman" w:cs="Times New Roman"/>
                <w:sz w:val="21"/>
                <w:szCs w:val="21"/>
              </w:rPr>
            </w:pPr>
            <w:r>
              <w:rPr>
                <w:rFonts w:hint="default" w:ascii="Times New Roman" w:hAnsi="Times New Roman" w:cs="Times New Roman"/>
                <w:sz w:val="21"/>
                <w:szCs w:val="21"/>
              </w:rPr>
              <w:t>表4-</w:t>
            </w:r>
            <w:r>
              <w:rPr>
                <w:rFonts w:hint="eastAsia" w:ascii="Times New Roman" w:hAnsi="Times New Roman" w:cs="Times New Roman"/>
                <w:sz w:val="21"/>
                <w:szCs w:val="21"/>
                <w:lang w:val="en-US" w:eastAsia="zh-CN"/>
              </w:rPr>
              <w:t>24</w:t>
            </w:r>
            <w:r>
              <w:rPr>
                <w:rFonts w:hint="default" w:ascii="Times New Roman" w:hAnsi="Times New Roman" w:cs="Times New Roman"/>
                <w:sz w:val="21"/>
                <w:szCs w:val="21"/>
              </w:rPr>
              <w:t xml:space="preserve">  污染物“三本账”一览表  单位:t/a</w:t>
            </w:r>
          </w:p>
          <w:tbl>
            <w:tblPr>
              <w:tblStyle w:val="25"/>
              <w:tblW w:w="499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51"/>
              <w:gridCol w:w="707"/>
              <w:gridCol w:w="735"/>
              <w:gridCol w:w="1087"/>
              <w:gridCol w:w="1294"/>
              <w:gridCol w:w="1139"/>
              <w:gridCol w:w="1163"/>
              <w:gridCol w:w="1380"/>
              <w:gridCol w:w="112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类别</w:t>
                  </w:r>
                </w:p>
              </w:tc>
              <w:tc>
                <w:tcPr>
                  <w:tcW w:w="768" w:type="pct"/>
                  <w:gridSpan w:val="2"/>
                  <w:vAlign w:val="center"/>
                </w:tcPr>
                <w:p>
                  <w:pPr>
                    <w:adjustRightInd w:val="0"/>
                    <w:snapToGrid w:val="0"/>
                    <w:jc w:val="center"/>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工序</w:t>
                  </w:r>
                </w:p>
              </w:tc>
              <w:tc>
                <w:tcPr>
                  <w:tcW w:w="579"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w:t>
                  </w:r>
                </w:p>
              </w:tc>
              <w:tc>
                <w:tcPr>
                  <w:tcW w:w="689" w:type="pct"/>
                  <w:vAlign w:val="center"/>
                </w:tcPr>
                <w:p>
                  <w:pPr>
                    <w:adjustRightInd w:val="0"/>
                    <w:snapToGrid w:val="0"/>
                    <w:jc w:val="center"/>
                    <w:rPr>
                      <w:rFonts w:hint="default" w:ascii="Times New Roman" w:hAnsi="Times New Roman" w:cs="Times New Roman"/>
                      <w:b/>
                      <w:bCs/>
                      <w:sz w:val="21"/>
                      <w:szCs w:val="21"/>
                    </w:rPr>
                  </w:pPr>
                  <w:r>
                    <w:rPr>
                      <w:rFonts w:hint="eastAsia" w:cs="Times New Roman"/>
                      <w:b/>
                      <w:bCs/>
                      <w:sz w:val="21"/>
                      <w:szCs w:val="21"/>
                      <w:lang w:val="en-US" w:eastAsia="zh-CN"/>
                    </w:rPr>
                    <w:t>改建</w:t>
                  </w:r>
                  <w:r>
                    <w:rPr>
                      <w:rFonts w:hint="default" w:ascii="Times New Roman" w:hAnsi="Times New Roman" w:cs="Times New Roman"/>
                      <w:b/>
                      <w:bCs/>
                      <w:sz w:val="21"/>
                      <w:szCs w:val="21"/>
                      <w:lang w:val="en-US" w:eastAsia="zh-CN"/>
                    </w:rPr>
                    <w:t>前</w:t>
                  </w:r>
                  <w:r>
                    <w:rPr>
                      <w:rFonts w:hint="default" w:ascii="Times New Roman" w:hAnsi="Times New Roman" w:cs="Times New Roman"/>
                      <w:b/>
                      <w:bCs/>
                      <w:sz w:val="21"/>
                      <w:szCs w:val="21"/>
                    </w:rPr>
                    <w:t>工程排放量</w:t>
                  </w:r>
                </w:p>
              </w:tc>
              <w:tc>
                <w:tcPr>
                  <w:tcW w:w="607" w:type="pct"/>
                  <w:vAlign w:val="center"/>
                </w:tcPr>
                <w:p>
                  <w:pPr>
                    <w:adjustRightInd w:val="0"/>
                    <w:snapToGrid w:val="0"/>
                    <w:jc w:val="center"/>
                    <w:rPr>
                      <w:rFonts w:hint="default" w:ascii="Times New Roman" w:hAnsi="Times New Roman" w:cs="Times New Roman"/>
                      <w:b/>
                      <w:bCs/>
                      <w:sz w:val="21"/>
                      <w:szCs w:val="21"/>
                    </w:rPr>
                  </w:pPr>
                  <w:r>
                    <w:rPr>
                      <w:rFonts w:hint="eastAsia" w:cs="Times New Roman"/>
                      <w:b/>
                      <w:bCs/>
                      <w:sz w:val="21"/>
                      <w:szCs w:val="21"/>
                      <w:lang w:val="en-US" w:eastAsia="zh-CN"/>
                    </w:rPr>
                    <w:t>改建</w:t>
                  </w:r>
                  <w:r>
                    <w:rPr>
                      <w:rFonts w:hint="default" w:ascii="Times New Roman" w:hAnsi="Times New Roman" w:cs="Times New Roman"/>
                      <w:b/>
                      <w:bCs/>
                      <w:sz w:val="21"/>
                      <w:szCs w:val="21"/>
                    </w:rPr>
                    <w:t>项目排放量</w:t>
                  </w:r>
                </w:p>
              </w:tc>
              <w:tc>
                <w:tcPr>
                  <w:tcW w:w="620"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“以新带老”削减量</w:t>
                  </w:r>
                </w:p>
              </w:tc>
              <w:tc>
                <w:tcPr>
                  <w:tcW w:w="735"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总体工程排放量</w:t>
                  </w:r>
                </w:p>
              </w:tc>
              <w:tc>
                <w:tcPr>
                  <w:tcW w:w="598"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增减量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废气</w:t>
                  </w:r>
                </w:p>
              </w:tc>
              <w:tc>
                <w:tcPr>
                  <w:tcW w:w="768" w:type="pct"/>
                  <w:gridSpan w:val="2"/>
                  <w:vAlign w:val="center"/>
                </w:tcPr>
                <w:p>
                  <w:pPr>
                    <w:adjustRightInd w:val="0"/>
                    <w:snapToGrid w:val="0"/>
                    <w:jc w:val="center"/>
                    <w:rPr>
                      <w:rFonts w:hint="default" w:ascii="Times New Roman" w:hAnsi="Times New Roman" w:cs="Times New Roman"/>
                      <w:sz w:val="21"/>
                      <w:szCs w:val="21"/>
                      <w:lang w:eastAsia="zh-CN"/>
                    </w:rPr>
                  </w:pPr>
                  <w:r>
                    <w:rPr>
                      <w:rFonts w:hint="default" w:ascii="Times New Roman" w:hAnsi="Times New Roman" w:cs="Times New Roman"/>
                      <w:sz w:val="21"/>
                      <w:szCs w:val="21"/>
                    </w:rPr>
                    <w:t>切割工序粉尘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无组织</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adjustRightInd/>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打磨工序粉尘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无组织</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0.4</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0.4</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焊接工序粉尘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无组织</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0.034</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adjustRightInd/>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0.034</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抛丸工序粉尘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DA001</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0.022</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抛丸工序粉尘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无组织</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0.022</w:t>
                  </w:r>
                </w:p>
              </w:tc>
              <w:tc>
                <w:tcPr>
                  <w:tcW w:w="620"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0.026</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炉料分离粉尘排气筒（DA002）</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0.031</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0.031</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炉料分离粉尘</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无组织</w:t>
                  </w:r>
                  <w:r>
                    <w:rPr>
                      <w:rFonts w:hint="default" w:ascii="Times New Roman" w:hAnsi="Times New Roman" w:cs="Times New Roman"/>
                      <w:sz w:val="21"/>
                      <w:szCs w:val="21"/>
                      <w:lang w:eastAsia="zh-CN"/>
                    </w:rPr>
                    <w:t>）</w:t>
                  </w:r>
                </w:p>
              </w:tc>
              <w:tc>
                <w:tcPr>
                  <w:tcW w:w="579"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1.714</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1.519</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0.195</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燃气渗锌炉燃烧废气排气筒（DA003）</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598"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燃气渗锌炉燃烧废气排气筒（DA00</w:t>
                  </w:r>
                  <w:r>
                    <w:rPr>
                      <w:rFonts w:hint="default" w:ascii="Times New Roman" w:hAnsi="Times New Roman" w:cs="Times New Roman"/>
                      <w:sz w:val="21"/>
                      <w:szCs w:val="21"/>
                      <w:lang w:val="en-US" w:eastAsia="zh-CN"/>
                    </w:rPr>
                    <w:t>4）</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607"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钝化烘干、浸漆固化有机废气及烘干室燃烧废气排气筒（DA005）</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0.00216</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0.00072</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0.00288</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+0.00072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0.016848</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0.005616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0.022464</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+0.005616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0.005148</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0.001716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0.006864</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+0.001716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0.098</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203</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0.</w:t>
                  </w:r>
                  <w:r>
                    <w:rPr>
                      <w:rFonts w:hint="eastAsia" w:cs="Times New Roman"/>
                      <w:sz w:val="21"/>
                      <w:szCs w:val="21"/>
                      <w:lang w:val="en-US" w:eastAsia="zh-CN"/>
                    </w:rPr>
                    <w:t>301</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r>
                    <w:rPr>
                      <w:rFonts w:hint="eastAsia" w:cs="Times New Roman"/>
                      <w:sz w:val="21"/>
                      <w:szCs w:val="21"/>
                      <w:lang w:val="en-US" w:eastAsia="zh-CN"/>
                    </w:rPr>
                    <w:t>203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768" w:type="pct"/>
                  <w:gridSpan w:val="2"/>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浸漆有机废气（无组织）</w:t>
                  </w:r>
                </w:p>
              </w:tc>
              <w:tc>
                <w:tcPr>
                  <w:tcW w:w="579" w:type="pct"/>
                  <w:vAlign w:val="center"/>
                </w:tcPr>
                <w:p>
                  <w:pPr>
                    <w:pStyle w:val="2"/>
                    <w:jc w:val="center"/>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VOCs</w:t>
                  </w:r>
                </w:p>
              </w:tc>
              <w:tc>
                <w:tcPr>
                  <w:tcW w:w="689" w:type="pct"/>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0.037</w:t>
                  </w:r>
                </w:p>
              </w:tc>
              <w:tc>
                <w:tcPr>
                  <w:tcW w:w="607" w:type="pct"/>
                  <w:shd w:val="clear" w:color="auto" w:fill="FFFFFF" w:themeFill="background1"/>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0.037</w:t>
                  </w:r>
                </w:p>
              </w:tc>
              <w:tc>
                <w:tcPr>
                  <w:tcW w:w="598" w:type="pct"/>
                  <w:shd w:val="clear" w:color="auto" w:fill="FFFFFF" w:themeFill="background1"/>
                  <w:vAlign w:val="center"/>
                </w:tcPr>
                <w:p>
                  <w:pPr>
                    <w:adjustRightInd w:val="0"/>
                    <w:snapToGrid w:val="0"/>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喷漆废气排气筒（DA006）</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p>
              </w:tc>
              <w:tc>
                <w:tcPr>
                  <w:tcW w:w="689"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0.119</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0.119</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689" w:type="pct"/>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0.042</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0.042</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喷漆室漆雾</w:t>
                  </w:r>
                  <w:r>
                    <w:rPr>
                      <w:rFonts w:hint="eastAsia" w:cs="Times New Roman"/>
                      <w:sz w:val="21"/>
                      <w:szCs w:val="21"/>
                      <w:lang w:val="en-US" w:eastAsia="zh-CN"/>
                    </w:rPr>
                    <w:t>（无组织）</w:t>
                  </w:r>
                </w:p>
              </w:tc>
              <w:tc>
                <w:tcPr>
                  <w:tcW w:w="579" w:type="pct"/>
                  <w:vAlign w:val="center"/>
                </w:tcPr>
                <w:p>
                  <w:pPr>
                    <w:pStyle w:val="2"/>
                    <w:jc w:val="center"/>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颗粒物</w:t>
                  </w:r>
                </w:p>
              </w:tc>
              <w:tc>
                <w:tcPr>
                  <w:tcW w:w="689" w:type="pct"/>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0.042</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735" w:type="pct"/>
                  <w:shd w:val="clear" w:color="auto" w:fill="FFFFFF" w:themeFill="background1"/>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0.042</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喷漆室有机废气</w:t>
                  </w:r>
                  <w:r>
                    <w:rPr>
                      <w:rFonts w:hint="eastAsia" w:cs="Times New Roman"/>
                      <w:sz w:val="21"/>
                      <w:szCs w:val="21"/>
                      <w:lang w:val="en-US" w:eastAsia="zh-CN"/>
                    </w:rPr>
                    <w:t>（无组织）</w:t>
                  </w:r>
                </w:p>
              </w:tc>
              <w:tc>
                <w:tcPr>
                  <w:tcW w:w="579" w:type="pct"/>
                  <w:vAlign w:val="center"/>
                </w:tcPr>
                <w:p>
                  <w:pPr>
                    <w:pStyle w:val="2"/>
                    <w:jc w:val="center"/>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VOCs</w:t>
                  </w:r>
                </w:p>
              </w:tc>
              <w:tc>
                <w:tcPr>
                  <w:tcW w:w="689" w:type="pct"/>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0.015</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735" w:type="pct"/>
                  <w:shd w:val="clear" w:color="auto" w:fill="FFFFFF" w:themeFill="background1"/>
                  <w:vAlign w:val="center"/>
                </w:tcPr>
                <w:p>
                  <w:pPr>
                    <w:pStyle w:val="2"/>
                    <w:keepNext w:val="0"/>
                    <w:keepLines w:val="0"/>
                    <w:pageBreakBefore w:val="0"/>
                    <w:widowControl w:val="0"/>
                    <w:kinsoku/>
                    <w:wordWrap/>
                    <w:overflowPunct/>
                    <w:topLinePunct w:val="0"/>
                    <w:autoSpaceDE w:val="0"/>
                    <w:autoSpaceDN w:val="0"/>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bidi="ar-SA"/>
                    </w:rPr>
                  </w:pPr>
                  <w:r>
                    <w:rPr>
                      <w:rFonts w:hint="default" w:ascii="Times New Roman" w:hAnsi="Times New Roman" w:cs="Times New Roman"/>
                      <w:sz w:val="21"/>
                      <w:szCs w:val="21"/>
                      <w:lang w:val="en-US" w:eastAsia="zh-CN"/>
                    </w:rPr>
                    <w:t>0.015</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碳化除油废气排气筒（DA007）</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0.00144</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0.00144</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+0.00144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0.01123</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0.01123</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+0.01123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0.003432</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0.003432</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+0.003432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0.0007</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0.0007</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+0.0007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Align w:val="center"/>
                </w:tcPr>
                <w:p>
                  <w:pPr>
                    <w:adjustRightInd w:val="0"/>
                    <w:snapToGrid w:val="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碳化除油</w:t>
                  </w:r>
                  <w:r>
                    <w:rPr>
                      <w:rFonts w:hint="eastAsia" w:cs="Times New Roman"/>
                      <w:sz w:val="21"/>
                      <w:szCs w:val="21"/>
                      <w:lang w:val="en-US" w:eastAsia="zh-CN"/>
                    </w:rPr>
                    <w:t>有机废气（无组织）</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VOCs</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eastAsia" w:cs="Times New Roman"/>
                      <w:sz w:val="21"/>
                      <w:szCs w:val="21"/>
                      <w:lang w:val="en-US" w:eastAsia="zh-CN"/>
                    </w:rPr>
                    <w:t>0.0002</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eastAsia"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eastAsia" w:cs="Times New Roman"/>
                      <w:sz w:val="21"/>
                      <w:szCs w:val="21"/>
                      <w:lang w:val="en-US" w:eastAsia="zh-CN"/>
                    </w:rPr>
                    <w:t>0.0002</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eastAsia" w:cs="Times New Roman"/>
                      <w:sz w:val="21"/>
                      <w:szCs w:val="21"/>
                      <w:lang w:val="en-US" w:eastAsia="zh-CN"/>
                    </w:rPr>
                    <w:t>+0.0002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8）</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0.00432</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0.033696</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0.010296</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燃气渗锌炉</w:t>
                  </w:r>
                  <w:r>
                    <w:rPr>
                      <w:rFonts w:hint="default" w:ascii="Times New Roman" w:hAnsi="Times New Roman" w:cs="Times New Roman"/>
                      <w:sz w:val="21"/>
                      <w:szCs w:val="21"/>
                      <w:lang w:val="en-US" w:eastAsia="zh-CN"/>
                    </w:rPr>
                    <w:t>燃烧废气排气筒（</w:t>
                  </w:r>
                  <w:r>
                    <w:rPr>
                      <w:rFonts w:hint="default" w:ascii="Times New Roman" w:hAnsi="Times New Roman" w:cs="Times New Roman"/>
                      <w:sz w:val="21"/>
                      <w:szCs w:val="21"/>
                    </w:rPr>
                    <w:t>DA00</w:t>
                  </w:r>
                  <w:r>
                    <w:rPr>
                      <w:rFonts w:hint="default" w:ascii="Times New Roman" w:hAnsi="Times New Roman" w:cs="Times New Roman"/>
                      <w:sz w:val="21"/>
                      <w:szCs w:val="21"/>
                      <w:lang w:val="en-US" w:eastAsia="zh-CN"/>
                    </w:rPr>
                    <w:t>9）</w:t>
                  </w: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SO</w:t>
                  </w:r>
                  <w:r>
                    <w:rPr>
                      <w:rFonts w:hint="default" w:ascii="Times New Roman" w:hAnsi="Times New Roman" w:cs="Times New Roman"/>
                      <w:sz w:val="21"/>
                      <w:szCs w:val="21"/>
                      <w:vertAlign w:val="subscript"/>
                    </w:rPr>
                    <w:t>2</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0.00432</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氮氧化物</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0.033696</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+0.033696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768" w:type="pct"/>
                  <w:gridSpan w:val="2"/>
                  <w:vMerge w:val="continue"/>
                  <w:vAlign w:val="center"/>
                </w:tcPr>
                <w:p>
                  <w:pPr>
                    <w:adjustRightInd w:val="0"/>
                    <w:snapToGrid w:val="0"/>
                    <w:jc w:val="center"/>
                    <w:rPr>
                      <w:rFonts w:hint="default" w:ascii="Times New Roman" w:hAnsi="Times New Roman" w:cs="Times New Roman"/>
                      <w:sz w:val="21"/>
                      <w:szCs w:val="21"/>
                    </w:rPr>
                  </w:pPr>
                </w:p>
              </w:tc>
              <w:tc>
                <w:tcPr>
                  <w:tcW w:w="579" w:type="pct"/>
                  <w:vAlign w:val="center"/>
                </w:tcPr>
                <w:p>
                  <w:pPr>
                    <w:pStyle w:val="2"/>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rPr>
                    <w:t>烟尘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07"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0.010296</w:t>
                  </w:r>
                </w:p>
              </w:tc>
              <w:tc>
                <w:tcPr>
                  <w:tcW w:w="598" w:type="pct"/>
                  <w:shd w:val="clear" w:color="auto" w:fill="FFFFFF" w:themeFill="background1"/>
                  <w:vAlign w:val="center"/>
                </w:tcPr>
                <w:p>
                  <w:pPr>
                    <w:keepNext w:val="0"/>
                    <w:keepLines w:val="0"/>
                    <w:widowControl/>
                    <w:suppressLineNumbers w:val="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+0.010296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restar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废水</w:t>
                  </w:r>
                </w:p>
              </w:tc>
              <w:tc>
                <w:tcPr>
                  <w:tcW w:w="1348" w:type="pct"/>
                  <w:gridSpan w:val="3"/>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废水量</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6720</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6720</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1348" w:type="pct"/>
                  <w:gridSpan w:val="3"/>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COD</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0.336</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0.336</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1348" w:type="pct"/>
                  <w:gridSpan w:val="3"/>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BOD</w:t>
                  </w:r>
                  <w:r>
                    <w:rPr>
                      <w:rFonts w:hint="default" w:ascii="Times New Roman" w:hAnsi="Times New Roman" w:cs="Times New Roman"/>
                      <w:sz w:val="21"/>
                      <w:szCs w:val="21"/>
                      <w:vertAlign w:val="subscript"/>
                    </w:rPr>
                    <w:t>5</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0.067</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0.067</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1348" w:type="pct"/>
                  <w:gridSpan w:val="3"/>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0.034</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0.034</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lang w:val="en-US" w:eastAsia="zh-CN"/>
                    </w:rPr>
                  </w:pPr>
                </w:p>
              </w:tc>
              <w:tc>
                <w:tcPr>
                  <w:tcW w:w="1348" w:type="pct"/>
                  <w:gridSpan w:val="3"/>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SS</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0.067</w:t>
                  </w:r>
                </w:p>
              </w:tc>
              <w:tc>
                <w:tcPr>
                  <w:tcW w:w="607"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0.067</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类别</w:t>
                  </w:r>
                </w:p>
              </w:tc>
              <w:tc>
                <w:tcPr>
                  <w:tcW w:w="1348" w:type="pct"/>
                  <w:gridSpan w:val="3"/>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污染物</w:t>
                  </w:r>
                </w:p>
              </w:tc>
              <w:tc>
                <w:tcPr>
                  <w:tcW w:w="689"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lang w:val="en-US" w:eastAsia="zh-CN"/>
                    </w:rPr>
                    <w:t>技改前</w:t>
                  </w:r>
                  <w:r>
                    <w:rPr>
                      <w:rFonts w:hint="default" w:ascii="Times New Roman" w:hAnsi="Times New Roman" w:cs="Times New Roman"/>
                      <w:b/>
                      <w:bCs/>
                      <w:sz w:val="21"/>
                      <w:szCs w:val="21"/>
                    </w:rPr>
                    <w:t>工程产生量</w:t>
                  </w:r>
                </w:p>
              </w:tc>
              <w:tc>
                <w:tcPr>
                  <w:tcW w:w="607" w:type="pct"/>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lang w:val="en-US" w:eastAsia="zh-CN"/>
                    </w:rPr>
                    <w:t>技改</w:t>
                  </w:r>
                  <w:r>
                    <w:rPr>
                      <w:rFonts w:hint="default" w:ascii="Times New Roman" w:hAnsi="Times New Roman" w:cs="Times New Roman"/>
                      <w:b/>
                      <w:bCs/>
                      <w:sz w:val="21"/>
                      <w:szCs w:val="21"/>
                    </w:rPr>
                    <w:t>项目产生量</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处理措施</w:t>
                  </w:r>
                </w:p>
              </w:tc>
              <w:tc>
                <w:tcPr>
                  <w:tcW w:w="735" w:type="pct"/>
                  <w:shd w:val="clear" w:color="auto" w:fill="FFFFFF" w:themeFill="background1"/>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总体工程产生量</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增减量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固体废物</w:t>
                  </w:r>
                </w:p>
              </w:tc>
              <w:tc>
                <w:tcPr>
                  <w:tcW w:w="376"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一般固体废物</w:t>
                  </w:r>
                </w:p>
              </w:tc>
              <w:tc>
                <w:tcPr>
                  <w:tcW w:w="971" w:type="pct"/>
                  <w:gridSpan w:val="2"/>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边角料和金属废屑</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164.57</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交物资回收公司回收利用</w:t>
                  </w:r>
                </w:p>
              </w:tc>
              <w:tc>
                <w:tcPr>
                  <w:tcW w:w="735" w:type="pct"/>
                  <w:shd w:val="clear" w:color="auto" w:fill="FFFFFF" w:themeFill="background1"/>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1</w:t>
                  </w:r>
                  <w:r>
                    <w:rPr>
                      <w:rFonts w:hint="default" w:ascii="Times New Roman" w:hAnsi="Times New Roman" w:cs="Times New Roman"/>
                      <w:sz w:val="21"/>
                      <w:szCs w:val="21"/>
                      <w:lang w:val="en-US" w:eastAsia="zh-CN"/>
                    </w:rPr>
                    <w:t>64.57</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除尘器（机加工、抛丸、焊接）收集尘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17.74</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交物资回收公司回收利用</w:t>
                  </w:r>
                </w:p>
              </w:tc>
              <w:tc>
                <w:tcPr>
                  <w:tcW w:w="735" w:type="pct"/>
                  <w:shd w:val="clear" w:color="auto" w:fill="FFFFFF" w:themeFill="background1"/>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17.74</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除尘器（多元合金共渗）收集尘</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1.519</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1.519</w:t>
                  </w:r>
                </w:p>
              </w:tc>
              <w:tc>
                <w:tcPr>
                  <w:tcW w:w="620" w:type="pct"/>
                  <w:shd w:val="clear" w:color="auto" w:fill="FFFFFF" w:themeFill="background1"/>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作为渗剂回用于渗锌工段</w:t>
                  </w:r>
                </w:p>
              </w:tc>
              <w:tc>
                <w:tcPr>
                  <w:tcW w:w="735" w:type="pct"/>
                  <w:shd w:val="clear" w:color="auto" w:fill="FFFFFF" w:themeFill="background1"/>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3.038</w:t>
                  </w:r>
                </w:p>
              </w:tc>
              <w:tc>
                <w:tcPr>
                  <w:tcW w:w="598" w:type="pct"/>
                  <w:shd w:val="clear" w:color="auto" w:fill="FFFFFF" w:themeFill="background1"/>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+1.519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zh-CN"/>
                    </w:rPr>
                    <w:t>压滤机压滤泥饼</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0.035</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0.035</w:t>
                  </w:r>
                </w:p>
              </w:tc>
              <w:tc>
                <w:tcPr>
                  <w:tcW w:w="620"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作为渗剂回用于渗锌工段</w:t>
                  </w: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0.07</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zh-CN" w:eastAsia="zh-CN"/>
                    </w:rPr>
                  </w:pPr>
                  <w:r>
                    <w:rPr>
                      <w:rFonts w:hint="default" w:ascii="Times New Roman" w:hAnsi="Times New Roman" w:cs="Times New Roman"/>
                      <w:sz w:val="21"/>
                      <w:szCs w:val="21"/>
                      <w:lang w:val="zh-CN" w:eastAsia="zh-CN"/>
                    </w:rPr>
                    <w:t>废反渗透膜</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由厂家回收处理</w:t>
                  </w: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restar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危险废物</w:t>
                  </w: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废乳化液</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restar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交由有资质单位代为处置</w:t>
                  </w: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0.</w:t>
                  </w:r>
                  <w:r>
                    <w:rPr>
                      <w:rFonts w:hint="default" w:ascii="Times New Roman" w:hAnsi="Times New Roman" w:cs="Times New Roman"/>
                      <w:sz w:val="21"/>
                      <w:szCs w:val="21"/>
                      <w:lang w:val="en-US" w:eastAsia="zh-CN"/>
                    </w:rPr>
                    <w:t>3</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废</w:t>
                  </w:r>
                  <w:r>
                    <w:rPr>
                      <w:rFonts w:hint="default" w:ascii="Times New Roman" w:hAnsi="Times New Roman" w:cs="Times New Roman"/>
                      <w:sz w:val="21"/>
                      <w:szCs w:val="21"/>
                      <w:lang w:val="en-US" w:eastAsia="zh-CN"/>
                    </w:rPr>
                    <w:t>润滑</w:t>
                  </w:r>
                  <w:r>
                    <w:rPr>
                      <w:rFonts w:hint="default" w:ascii="Times New Roman" w:hAnsi="Times New Roman" w:cs="Times New Roman"/>
                      <w:sz w:val="21"/>
                      <w:szCs w:val="21"/>
                    </w:rPr>
                    <w:t>油</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0.01</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废液压油</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0.03</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w:t>
                  </w:r>
                  <w:r>
                    <w:rPr>
                      <w:rFonts w:hint="default" w:ascii="Times New Roman" w:hAnsi="Times New Roman" w:cs="Times New Roman"/>
                      <w:sz w:val="21"/>
                      <w:szCs w:val="21"/>
                    </w:rPr>
                    <w:t>过滤棉</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0.12</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0.12</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废活性炭</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1.298</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1.004</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2.302</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+1.004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废UV灯管</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eastAsia="zh-CN"/>
                    </w:rPr>
                    <w:t>废包装桶</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0.25</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0.05</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0.3</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Merge w:val="continue"/>
                  <w:vAlign w:val="center"/>
                </w:tcPr>
                <w:p>
                  <w:pPr>
                    <w:adjustRightInd w:val="0"/>
                    <w:snapToGrid w:val="0"/>
                    <w:jc w:val="center"/>
                    <w:rPr>
                      <w:rFonts w:hint="default" w:ascii="Times New Roman" w:hAnsi="Times New Roman" w:cs="Times New Roman"/>
                      <w:sz w:val="21"/>
                      <w:szCs w:val="21"/>
                    </w:rPr>
                  </w:pP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废含油手套及抹布</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0.05</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Merge w:val="continue"/>
                  <w:vAlign w:val="center"/>
                </w:tcPr>
                <w:p>
                  <w:pPr>
                    <w:adjustRightInd w:val="0"/>
                    <w:snapToGrid w:val="0"/>
                    <w:jc w:val="center"/>
                    <w:rPr>
                      <w:rFonts w:hint="default" w:ascii="Times New Roman" w:hAnsi="Times New Roman" w:cs="Times New Roman"/>
                      <w:sz w:val="21"/>
                      <w:szCs w:val="21"/>
                    </w:rPr>
                  </w:pP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0.05</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00" w:type="pct"/>
                  <w:vMerge w:val="continue"/>
                  <w:vAlign w:val="center"/>
                </w:tcPr>
                <w:p>
                  <w:pPr>
                    <w:adjustRightInd w:val="0"/>
                    <w:snapToGrid w:val="0"/>
                    <w:jc w:val="center"/>
                    <w:rPr>
                      <w:rFonts w:hint="default" w:ascii="Times New Roman" w:hAnsi="Times New Roman" w:cs="Times New Roman"/>
                      <w:sz w:val="21"/>
                      <w:szCs w:val="21"/>
                    </w:rPr>
                  </w:pPr>
                </w:p>
              </w:tc>
              <w:tc>
                <w:tcPr>
                  <w:tcW w:w="376"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生活垃圾</w:t>
                  </w:r>
                </w:p>
              </w:tc>
              <w:tc>
                <w:tcPr>
                  <w:tcW w:w="971" w:type="pct"/>
                  <w:gridSpan w:val="2"/>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rPr>
                    <w:t>员工办公生活垃圾</w:t>
                  </w:r>
                </w:p>
              </w:tc>
              <w:tc>
                <w:tcPr>
                  <w:tcW w:w="689"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18</w:t>
                  </w:r>
                </w:p>
              </w:tc>
              <w:tc>
                <w:tcPr>
                  <w:tcW w:w="607"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c>
                <w:tcPr>
                  <w:tcW w:w="620" w:type="pct"/>
                  <w:vAlign w:val="center"/>
                </w:tcPr>
                <w:p>
                  <w:pPr>
                    <w:adjustRightInd w:val="0"/>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交环卫部门清运处理</w:t>
                  </w:r>
                </w:p>
              </w:tc>
              <w:tc>
                <w:tcPr>
                  <w:tcW w:w="735" w:type="pct"/>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18</w:t>
                  </w:r>
                </w:p>
              </w:tc>
              <w:tc>
                <w:tcPr>
                  <w:tcW w:w="598" w:type="pct"/>
                  <w:vAlign w:val="center"/>
                </w:tcPr>
                <w:p>
                  <w:pPr>
                    <w:adjustRightInd w:val="0"/>
                    <w:snapToGrid w:val="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w:t>
                  </w:r>
                </w:p>
              </w:tc>
            </w:tr>
          </w:tbl>
          <w:p>
            <w:pPr>
              <w:adjustRightInd w:val="0"/>
              <w:snapToGrid w:val="0"/>
              <w:spacing w:line="360" w:lineRule="auto"/>
              <w:ind w:firstLine="480" w:firstLineChars="200"/>
              <w:rPr>
                <w:rFonts w:hint="default" w:ascii="Times New Roman" w:hAnsi="Times New Roman" w:cs="Times New Roman"/>
                <w:sz w:val="24"/>
                <w:szCs w:val="24"/>
              </w:rPr>
            </w:pPr>
          </w:p>
          <w:p>
            <w:pPr>
              <w:adjustRightInd w:val="0"/>
              <w:snapToGrid w:val="0"/>
              <w:spacing w:line="360" w:lineRule="auto"/>
              <w:ind w:firstLine="480" w:firstLineChars="200"/>
              <w:rPr>
                <w:rFonts w:hint="default" w:ascii="Times New Roman" w:hAnsi="Times New Roman" w:cs="Times New Roman"/>
                <w:sz w:val="24"/>
                <w:szCs w:val="24"/>
              </w:rPr>
            </w:pPr>
          </w:p>
          <w:p>
            <w:pPr>
              <w:adjustRightInd w:val="0"/>
              <w:snapToGrid w:val="0"/>
              <w:spacing w:line="360" w:lineRule="auto"/>
              <w:ind w:firstLine="480" w:firstLineChars="200"/>
              <w:rPr>
                <w:rFonts w:hint="default" w:ascii="Times New Roman" w:hAnsi="Times New Roman" w:cs="Times New Roman"/>
                <w:sz w:val="24"/>
                <w:szCs w:val="24"/>
              </w:rPr>
            </w:pPr>
          </w:p>
          <w:p>
            <w:pPr>
              <w:adjustRightInd w:val="0"/>
              <w:snapToGrid w:val="0"/>
              <w:spacing w:line="360" w:lineRule="auto"/>
              <w:ind w:firstLine="480" w:firstLineChars="200"/>
              <w:rPr>
                <w:rFonts w:hint="default" w:ascii="Times New Roman" w:hAnsi="Times New Roman" w:cs="Times New Roman"/>
                <w:sz w:val="24"/>
                <w:szCs w:val="24"/>
              </w:rPr>
            </w:pPr>
          </w:p>
          <w:p>
            <w:pPr>
              <w:adjustRightInd w:val="0"/>
              <w:snapToGrid w:val="0"/>
              <w:spacing w:line="360" w:lineRule="auto"/>
              <w:ind w:firstLine="480" w:firstLineChars="200"/>
              <w:rPr>
                <w:rFonts w:hint="default" w:ascii="Times New Roman" w:hAnsi="Times New Roman" w:cs="Times New Roman"/>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p>
            <w:pPr>
              <w:pStyle w:val="2"/>
              <w:rPr>
                <w:rFonts w:hint="default" w:ascii="Times New Roman" w:hAnsi="Times New Roman" w:cs="Times New Roman"/>
                <w:kern w:val="0"/>
                <w:sz w:val="24"/>
                <w:szCs w:val="24"/>
              </w:rPr>
            </w:pPr>
          </w:p>
        </w:tc>
      </w:tr>
    </w:tbl>
    <w:p>
      <w:pPr>
        <w:spacing w:beforeLines="50"/>
        <w:jc w:val="center"/>
        <w:rPr>
          <w:b/>
        </w:rPr>
        <w:sectPr>
          <w:pgSz w:w="11907" w:h="16840"/>
          <w:pgMar w:top="1701" w:right="1531" w:bottom="2126" w:left="1531" w:header="851" w:footer="851" w:gutter="0"/>
          <w:pgBorders>
            <w:top w:val="none" w:sz="0" w:space="0"/>
            <w:left w:val="none" w:sz="0" w:space="0"/>
            <w:bottom w:val="none" w:sz="0" w:space="0"/>
            <w:right w:val="none" w:sz="0" w:space="0"/>
          </w:pgBorders>
          <w:cols w:space="720" w:num="1"/>
          <w:docGrid w:linePitch="312" w:charSpace="0"/>
        </w:sectPr>
      </w:pPr>
    </w:p>
    <w:p>
      <w:pPr>
        <w:pStyle w:val="21"/>
        <w:jc w:val="center"/>
        <w:outlineLvl w:val="0"/>
        <w:rPr>
          <w:rFonts w:ascii="黑体" w:hAnsi="黑体" w:eastAsia="黑体"/>
          <w:snapToGrid w:val="0"/>
          <w:sz w:val="30"/>
          <w:szCs w:val="30"/>
        </w:rPr>
      </w:pPr>
      <w:bookmarkStart w:id="13" w:name="_Toc111712330"/>
      <w:r>
        <w:rPr>
          <w:rFonts w:hint="eastAsia" w:ascii="黑体" w:hAnsi="黑体" w:eastAsia="黑体"/>
          <w:snapToGrid w:val="0"/>
          <w:sz w:val="30"/>
          <w:szCs w:val="30"/>
        </w:rPr>
        <w:t>五、</w:t>
      </w:r>
      <w:bookmarkStart w:id="14" w:name="_Hlk54167917"/>
      <w:r>
        <w:rPr>
          <w:rFonts w:hint="eastAsia" w:ascii="黑体" w:hAnsi="黑体" w:eastAsia="黑体"/>
          <w:snapToGrid w:val="0"/>
          <w:sz w:val="30"/>
          <w:szCs w:val="30"/>
        </w:rPr>
        <w:t>环境保护措施监督检查清单</w:t>
      </w:r>
      <w:bookmarkEnd w:id="13"/>
      <w:bookmarkEnd w:id="14"/>
    </w:p>
    <w:tbl>
      <w:tblPr>
        <w:tblStyle w:val="25"/>
        <w:tblW w:w="10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532"/>
        <w:gridCol w:w="1843"/>
        <w:gridCol w:w="1335"/>
        <w:gridCol w:w="2190"/>
        <w:gridCol w:w="330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tcBorders>
              <w:tl2br w:val="single" w:color="auto" w:sz="12" w:space="0"/>
            </w:tcBorders>
            <w:vAlign w:val="center"/>
          </w:tcPr>
          <w:p>
            <w:pPr>
              <w:adjustRightInd w:val="0"/>
              <w:snapToGrid w:val="0"/>
              <w:ind w:firstLine="422" w:firstLineChars="200"/>
              <w:rPr>
                <w:b/>
                <w:szCs w:val="21"/>
              </w:rPr>
            </w:pPr>
            <w:r>
              <w:rPr>
                <w:b/>
                <w:szCs w:val="21"/>
              </w:rPr>
              <w:t>内容</w:t>
            </w:r>
          </w:p>
          <w:p>
            <w:pPr>
              <w:adjustRightInd w:val="0"/>
              <w:snapToGrid w:val="0"/>
              <w:jc w:val="center"/>
              <w:rPr>
                <w:b/>
                <w:szCs w:val="21"/>
              </w:rPr>
            </w:pPr>
            <w:r>
              <w:rPr>
                <w:b/>
                <w:szCs w:val="21"/>
              </w:rPr>
              <w:t>要素</w:t>
            </w:r>
          </w:p>
        </w:tc>
        <w:tc>
          <w:tcPr>
            <w:tcW w:w="1843" w:type="dxa"/>
            <w:vAlign w:val="center"/>
          </w:tcPr>
          <w:p>
            <w:pPr>
              <w:adjustRightInd w:val="0"/>
              <w:snapToGrid w:val="0"/>
              <w:jc w:val="center"/>
              <w:rPr>
                <w:b/>
                <w:szCs w:val="21"/>
              </w:rPr>
            </w:pPr>
            <w:r>
              <w:rPr>
                <w:b/>
                <w:szCs w:val="21"/>
              </w:rPr>
              <w:t>排放口（编号、名称）/污染源</w:t>
            </w:r>
          </w:p>
        </w:tc>
        <w:tc>
          <w:tcPr>
            <w:tcW w:w="1335" w:type="dxa"/>
            <w:vAlign w:val="center"/>
          </w:tcPr>
          <w:p>
            <w:pPr>
              <w:adjustRightInd w:val="0"/>
              <w:snapToGrid w:val="0"/>
              <w:jc w:val="center"/>
              <w:rPr>
                <w:b/>
                <w:szCs w:val="21"/>
              </w:rPr>
            </w:pPr>
            <w:r>
              <w:rPr>
                <w:b/>
                <w:szCs w:val="21"/>
              </w:rPr>
              <w:t>污染物项目</w:t>
            </w:r>
          </w:p>
        </w:tc>
        <w:tc>
          <w:tcPr>
            <w:tcW w:w="2190" w:type="dxa"/>
            <w:vAlign w:val="center"/>
          </w:tcPr>
          <w:p>
            <w:pPr>
              <w:adjustRightInd w:val="0"/>
              <w:snapToGrid w:val="0"/>
              <w:jc w:val="center"/>
              <w:rPr>
                <w:b/>
                <w:szCs w:val="21"/>
              </w:rPr>
            </w:pPr>
            <w:r>
              <w:rPr>
                <w:b/>
                <w:szCs w:val="21"/>
              </w:rPr>
              <w:t>环境保护措施</w:t>
            </w:r>
          </w:p>
        </w:tc>
        <w:tc>
          <w:tcPr>
            <w:tcW w:w="3306" w:type="dxa"/>
            <w:vAlign w:val="center"/>
          </w:tcPr>
          <w:p>
            <w:pPr>
              <w:adjustRightInd w:val="0"/>
              <w:snapToGrid w:val="0"/>
              <w:jc w:val="center"/>
              <w:rPr>
                <w:b/>
                <w:szCs w:val="21"/>
              </w:rPr>
            </w:pPr>
            <w:r>
              <w:rPr>
                <w:b/>
                <w:szCs w:val="21"/>
              </w:rPr>
              <w:t>执行标准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restart"/>
            <w:vAlign w:val="center"/>
          </w:tcPr>
          <w:p>
            <w:pPr>
              <w:adjustRightInd w:val="0"/>
              <w:snapToGrid w:val="0"/>
              <w:jc w:val="center"/>
              <w:rPr>
                <w:b/>
                <w:szCs w:val="21"/>
              </w:rPr>
            </w:pPr>
            <w:r>
              <w:rPr>
                <w:b/>
                <w:szCs w:val="21"/>
              </w:rPr>
              <w:t>大气环境</w:t>
            </w: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ascii="Times New Roman" w:hAnsi="Times New Roman" w:eastAsia="宋体" w:cs="Times New Roman"/>
                <w:kern w:val="2"/>
                <w:sz w:val="21"/>
                <w:szCs w:val="24"/>
                <w:lang w:val="en-US" w:eastAsia="zh-CN" w:bidi="ar-SA"/>
              </w:rPr>
            </w:pPr>
            <w:r>
              <w:rPr>
                <w:rFonts w:hint="eastAsia"/>
              </w:rPr>
              <w:t>炉料分离粉尘</w:t>
            </w:r>
            <w:r>
              <w:rPr>
                <w:rFonts w:hint="eastAsia"/>
                <w:lang w:val="en-US" w:eastAsia="zh-CN"/>
              </w:rPr>
              <w:t>排气筒（DA002）</w:t>
            </w:r>
          </w:p>
        </w:tc>
        <w:tc>
          <w:tcPr>
            <w:tcW w:w="1335" w:type="dxa"/>
            <w:vAlign w:val="center"/>
          </w:tcPr>
          <w:p>
            <w:pPr>
              <w:adjustRightInd w:val="0"/>
              <w:snapToGrid w:val="0"/>
              <w:jc w:val="center"/>
              <w:rPr>
                <w:rFonts w:hint="default" w:eastAsia="宋体"/>
                <w:bCs/>
                <w:spacing w:val="-10"/>
                <w:szCs w:val="21"/>
                <w:lang w:val="en-US" w:eastAsia="zh-CN"/>
              </w:rPr>
            </w:pPr>
            <w:r>
              <w:rPr>
                <w:rFonts w:hint="eastAsia"/>
                <w:bCs/>
                <w:spacing w:val="-10"/>
                <w:szCs w:val="21"/>
                <w:lang w:val="en-US" w:eastAsia="zh-CN"/>
              </w:rPr>
              <w:t>颗粒物</w:t>
            </w:r>
          </w:p>
        </w:tc>
        <w:tc>
          <w:tcPr>
            <w:tcW w:w="2190" w:type="dxa"/>
            <w:vAlign w:val="center"/>
          </w:tcPr>
          <w:p>
            <w:pPr>
              <w:autoSpaceDE w:val="0"/>
              <w:autoSpaceDN w:val="0"/>
              <w:adjustRightInd w:val="0"/>
              <w:jc w:val="center"/>
              <w:rPr>
                <w:szCs w:val="21"/>
              </w:rPr>
            </w:pPr>
            <w:r>
              <w:rPr>
                <w:rFonts w:hint="eastAsia" w:cs="Times New Roman"/>
                <w:sz w:val="21"/>
                <w:szCs w:val="21"/>
                <w:lang w:val="en-US" w:eastAsia="zh-CN"/>
              </w:rPr>
              <w:t>设备自带</w:t>
            </w:r>
            <w:r>
              <w:rPr>
                <w:rFonts w:ascii="Times New Roman" w:cs="Times New Roman"/>
                <w:sz w:val="21"/>
                <w:szCs w:val="21"/>
              </w:rPr>
              <w:t>滤筒式除尘器</w:t>
            </w:r>
          </w:p>
        </w:tc>
        <w:tc>
          <w:tcPr>
            <w:tcW w:w="3306" w:type="dxa"/>
            <w:vAlign w:val="center"/>
          </w:tcPr>
          <w:p>
            <w:pPr>
              <w:autoSpaceDE w:val="0"/>
              <w:autoSpaceDN w:val="0"/>
              <w:adjustRightInd w:val="0"/>
              <w:jc w:val="center"/>
              <w:rPr>
                <w:szCs w:val="21"/>
              </w:rPr>
            </w:pPr>
            <w:r>
              <w:rPr>
                <w:rFonts w:hint="default"/>
              </w:rPr>
              <w:t>《大气污染物综合排放标准》（GB16297-1996）表</w:t>
            </w:r>
            <w:r>
              <w:rPr>
                <w:rFonts w:hint="eastAsia"/>
                <w:lang w:val="en-US" w:eastAsia="zh-CN"/>
              </w:rPr>
              <w:t>2</w:t>
            </w:r>
            <w:r>
              <w:rPr>
                <w:rFonts w:hint="default"/>
              </w:rPr>
              <w:t>中二级标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rPr>
              <w:t>燃气渗锌炉</w:t>
            </w:r>
            <w:r>
              <w:rPr>
                <w:rFonts w:hint="eastAsia"/>
                <w:lang w:val="en-US" w:eastAsia="zh-CN"/>
              </w:rPr>
              <w:t>燃烧废气排气筒（DA003）</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adjustRightInd w:val="0"/>
              <w:snapToGrid w:val="0"/>
              <w:jc w:val="center"/>
              <w:rPr>
                <w:bCs/>
                <w:spacing w:val="-10"/>
                <w:szCs w:val="21"/>
              </w:rPr>
            </w:pPr>
            <w:r>
              <w:rPr>
                <w:rFonts w:hint="default"/>
              </w:rPr>
              <w:t>烟尘</w:t>
            </w:r>
          </w:p>
        </w:tc>
        <w:tc>
          <w:tcPr>
            <w:tcW w:w="2190" w:type="dxa"/>
            <w:vAlign w:val="center"/>
          </w:tcPr>
          <w:p>
            <w:pPr>
              <w:autoSpaceDE w:val="0"/>
              <w:autoSpaceDN w:val="0"/>
              <w:adjustRightInd w:val="0"/>
              <w:jc w:val="center"/>
              <w:rPr>
                <w:rFonts w:hint="eastAsia" w:eastAsia="宋体"/>
                <w:szCs w:val="21"/>
                <w:lang w:val="en-US" w:eastAsia="zh-CN"/>
              </w:rPr>
            </w:pPr>
            <w:r>
              <w:rPr>
                <w:rFonts w:hint="eastAsia"/>
                <w:szCs w:val="21"/>
                <w:lang w:val="en-US" w:eastAsia="zh-CN"/>
              </w:rPr>
              <w:t>直排</w:t>
            </w:r>
          </w:p>
        </w:tc>
        <w:tc>
          <w:tcPr>
            <w:tcW w:w="3306" w:type="dxa"/>
            <w:vMerge w:val="restart"/>
            <w:vAlign w:val="center"/>
          </w:tcPr>
          <w:p>
            <w:pPr>
              <w:autoSpaceDE w:val="0"/>
              <w:autoSpaceDN w:val="0"/>
              <w:adjustRightInd w:val="0"/>
              <w:jc w:val="center"/>
              <w:rPr>
                <w:rFonts w:hint="eastAsia"/>
                <w:szCs w:val="21"/>
              </w:rPr>
            </w:pPr>
            <w:r>
              <w:rPr>
                <w:rFonts w:hint="eastAsia"/>
              </w:rPr>
              <w:t>《工业炉窑大气污染物排放标准》（GB9078-1996）表2及《湖南省工业炉窑大气环境污染综合治理实施方案》附件1标准限值较严者要求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rPr>
              <w:t>燃气渗锌炉</w:t>
            </w:r>
            <w:r>
              <w:rPr>
                <w:rFonts w:hint="eastAsia"/>
                <w:lang w:val="en-US" w:eastAsia="zh-CN"/>
              </w:rPr>
              <w:t>燃烧废气排气筒（DA004）</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adjustRightInd w:val="0"/>
              <w:snapToGrid w:val="0"/>
              <w:jc w:val="center"/>
              <w:rPr>
                <w:bCs/>
                <w:spacing w:val="-10"/>
                <w:szCs w:val="21"/>
              </w:rPr>
            </w:pPr>
            <w:r>
              <w:rPr>
                <w:rFonts w:hint="default"/>
              </w:rPr>
              <w:t>烟尘</w:t>
            </w:r>
          </w:p>
        </w:tc>
        <w:tc>
          <w:tcPr>
            <w:tcW w:w="2190" w:type="dxa"/>
            <w:vAlign w:val="center"/>
          </w:tcPr>
          <w:p>
            <w:pPr>
              <w:autoSpaceDE w:val="0"/>
              <w:autoSpaceDN w:val="0"/>
              <w:adjustRightInd w:val="0"/>
              <w:jc w:val="center"/>
              <w:rPr>
                <w:szCs w:val="21"/>
              </w:rPr>
            </w:pPr>
            <w:r>
              <w:rPr>
                <w:rFonts w:hint="eastAsia"/>
                <w:szCs w:val="21"/>
                <w:lang w:val="en-US" w:eastAsia="zh-CN"/>
              </w:rPr>
              <w:t>直排</w:t>
            </w:r>
          </w:p>
        </w:tc>
        <w:tc>
          <w:tcPr>
            <w:tcW w:w="3306" w:type="dxa"/>
            <w:vMerge w:val="continue"/>
            <w:vAlign w:val="center"/>
          </w:tcPr>
          <w:p>
            <w:pPr>
              <w:autoSpaceDE w:val="0"/>
              <w:autoSpaceDN w:val="0"/>
              <w:adjustRightInd w:val="0"/>
              <w:jc w:val="center"/>
              <w:rPr>
                <w:rFonts w:hint="eastAsia"/>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lang w:val="en-US" w:eastAsia="zh-CN"/>
              </w:rPr>
              <w:t>钝化烘干、浸漆固化有机废气及烘干室燃烧废气排气筒（DA005）</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烟尘</w:t>
            </w:r>
          </w:p>
          <w:p>
            <w:pPr>
              <w:adjustRightInd w:val="0"/>
              <w:snapToGrid w:val="0"/>
              <w:jc w:val="center"/>
              <w:rPr>
                <w:bCs/>
                <w:spacing w:val="-10"/>
                <w:szCs w:val="21"/>
              </w:rPr>
            </w:pPr>
            <w:r>
              <w:rPr>
                <w:rFonts w:hint="default"/>
              </w:rPr>
              <w:t>VOCs</w:t>
            </w:r>
          </w:p>
        </w:tc>
        <w:tc>
          <w:tcPr>
            <w:tcW w:w="2190" w:type="dxa"/>
            <w:vAlign w:val="center"/>
          </w:tcPr>
          <w:p>
            <w:pPr>
              <w:autoSpaceDE w:val="0"/>
              <w:autoSpaceDN w:val="0"/>
              <w:adjustRightInd w:val="0"/>
              <w:jc w:val="center"/>
              <w:rPr>
                <w:szCs w:val="21"/>
              </w:rPr>
            </w:pPr>
            <w:r>
              <w:rPr>
                <w:rFonts w:ascii="Times New Roman" w:cs="Times New Roman"/>
                <w:sz w:val="21"/>
                <w:szCs w:val="21"/>
              </w:rPr>
              <w:t>UV光解+活性炭吸附装置</w:t>
            </w:r>
          </w:p>
        </w:tc>
        <w:tc>
          <w:tcPr>
            <w:tcW w:w="3306" w:type="dxa"/>
            <w:vAlign w:val="center"/>
          </w:tcPr>
          <w:p>
            <w:pPr>
              <w:autoSpaceDE w:val="0"/>
              <w:autoSpaceDN w:val="0"/>
              <w:adjustRightInd w:val="0"/>
              <w:jc w:val="center"/>
              <w:rPr>
                <w:rFonts w:hint="eastAsia"/>
                <w:szCs w:val="21"/>
              </w:rPr>
            </w:pPr>
            <w:r>
              <w:rPr>
                <w:rFonts w:hint="eastAsia"/>
              </w:rPr>
              <w:t>《工业炉窑大气污染物排放标准》（GB9078-1996）表2及《湖南省工业炉窑大气环境污染综合治理实施方案》附件1标准限值较严者要求</w:t>
            </w:r>
            <w:r>
              <w:rPr>
                <w:rFonts w:hint="eastAsia"/>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lang w:val="en-US" w:eastAsia="zh-CN"/>
              </w:rPr>
              <w:t>喷漆废气排气筒（DA006）</w:t>
            </w:r>
          </w:p>
        </w:tc>
        <w:tc>
          <w:tcPr>
            <w:tcW w:w="1335" w:type="dxa"/>
            <w:vAlign w:val="center"/>
          </w:tcPr>
          <w:p>
            <w:pPr>
              <w:adjustRightInd w:val="0"/>
              <w:snapToGrid w:val="0"/>
              <w:jc w:val="center"/>
              <w:rPr>
                <w:rFonts w:hint="eastAsia"/>
                <w:lang w:val="en-US" w:eastAsia="zh-CN"/>
              </w:rPr>
            </w:pPr>
            <w:r>
              <w:rPr>
                <w:rFonts w:hint="eastAsia"/>
                <w:lang w:val="en-US" w:eastAsia="zh-CN"/>
              </w:rPr>
              <w:t>颗粒物</w:t>
            </w:r>
          </w:p>
          <w:p>
            <w:pPr>
              <w:adjustRightInd w:val="0"/>
              <w:snapToGrid w:val="0"/>
              <w:jc w:val="center"/>
              <w:rPr>
                <w:bCs/>
                <w:spacing w:val="-10"/>
                <w:szCs w:val="21"/>
              </w:rPr>
            </w:pPr>
            <w:r>
              <w:rPr>
                <w:rFonts w:hint="default"/>
              </w:rPr>
              <w:t>VOCs</w:t>
            </w:r>
          </w:p>
        </w:tc>
        <w:tc>
          <w:tcPr>
            <w:tcW w:w="2190" w:type="dxa"/>
            <w:vAlign w:val="center"/>
          </w:tcPr>
          <w:p>
            <w:pPr>
              <w:autoSpaceDE w:val="0"/>
              <w:autoSpaceDN w:val="0"/>
              <w:adjustRightInd w:val="0"/>
              <w:jc w:val="center"/>
              <w:rPr>
                <w:szCs w:val="21"/>
              </w:rPr>
            </w:pPr>
            <w:r>
              <w:rPr>
                <w:rFonts w:hint="eastAsia" w:ascii="Times New Roman" w:cs="Times New Roman"/>
                <w:sz w:val="21"/>
                <w:szCs w:val="21"/>
              </w:rPr>
              <w:t>负压+</w:t>
            </w:r>
            <w:r>
              <w:rPr>
                <w:rFonts w:hint="eastAsia" w:ascii="Times New Roman" w:cs="Times New Roman"/>
                <w:sz w:val="21"/>
                <w:szCs w:val="21"/>
                <w:lang w:eastAsia="zh-CN"/>
              </w:rPr>
              <w:t>干式过滤+活性炭吸附+催化燃烧脱附（RCO）</w:t>
            </w:r>
          </w:p>
        </w:tc>
        <w:tc>
          <w:tcPr>
            <w:tcW w:w="3306" w:type="dxa"/>
            <w:vAlign w:val="center"/>
          </w:tcPr>
          <w:p>
            <w:pPr>
              <w:autoSpaceDE w:val="0"/>
              <w:autoSpaceDN w:val="0"/>
              <w:adjustRightInd w:val="0"/>
              <w:jc w:val="center"/>
              <w:rPr>
                <w:rFonts w:hint="eastAsia"/>
                <w:szCs w:val="21"/>
              </w:rPr>
            </w:pPr>
            <w:r>
              <w:rPr>
                <w:rFonts w:hint="default"/>
              </w:rPr>
              <w:t>《大气污染物综合排放标准》（GB16297-1996）表</w:t>
            </w:r>
            <w:r>
              <w:rPr>
                <w:rFonts w:hint="eastAsia"/>
                <w:lang w:val="en-US" w:eastAsia="zh-CN"/>
              </w:rPr>
              <w:t>2</w:t>
            </w:r>
            <w:r>
              <w:rPr>
                <w:rFonts w:hint="default"/>
              </w:rPr>
              <w:t>中二级标准</w:t>
            </w:r>
            <w:r>
              <w:rPr>
                <w:rFonts w:hint="eastAsia"/>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lang w:val="en-US" w:eastAsia="zh-CN"/>
              </w:rPr>
              <w:t>碳化除油废气排气筒（DA007）</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烟尘</w:t>
            </w:r>
          </w:p>
          <w:p>
            <w:pPr>
              <w:adjustRightInd w:val="0"/>
              <w:snapToGrid w:val="0"/>
              <w:jc w:val="center"/>
              <w:rPr>
                <w:bCs/>
                <w:spacing w:val="-10"/>
                <w:szCs w:val="21"/>
              </w:rPr>
            </w:pPr>
            <w:r>
              <w:rPr>
                <w:rFonts w:hint="default"/>
              </w:rPr>
              <w:t>VOCs</w:t>
            </w:r>
          </w:p>
        </w:tc>
        <w:tc>
          <w:tcPr>
            <w:tcW w:w="2190" w:type="dxa"/>
            <w:vAlign w:val="center"/>
          </w:tcPr>
          <w:p>
            <w:pPr>
              <w:autoSpaceDE w:val="0"/>
              <w:autoSpaceDN w:val="0"/>
              <w:adjustRightInd w:val="0"/>
              <w:jc w:val="center"/>
              <w:rPr>
                <w:szCs w:val="21"/>
              </w:rPr>
            </w:pPr>
            <w:r>
              <w:rPr>
                <w:rFonts w:hint="eastAsia" w:ascii="Times New Roman" w:cs="Times New Roman"/>
                <w:sz w:val="21"/>
                <w:szCs w:val="21"/>
                <w:lang w:eastAsia="zh-CN"/>
              </w:rPr>
              <w:t>光解式复合油烟净化器</w:t>
            </w:r>
          </w:p>
        </w:tc>
        <w:tc>
          <w:tcPr>
            <w:tcW w:w="3306" w:type="dxa"/>
            <w:vAlign w:val="center"/>
          </w:tcPr>
          <w:p>
            <w:pPr>
              <w:autoSpaceDE w:val="0"/>
              <w:autoSpaceDN w:val="0"/>
              <w:adjustRightInd w:val="0"/>
              <w:jc w:val="center"/>
              <w:rPr>
                <w:rFonts w:hint="eastAsia"/>
                <w:szCs w:val="21"/>
              </w:rPr>
            </w:pPr>
            <w:r>
              <w:rPr>
                <w:rFonts w:hint="eastAsia"/>
              </w:rPr>
              <w:t>《工业炉窑大气污染物排放标准》（GB9078-1996）表2及《湖南省工业炉窑大气环境污染综合治理实施方案》附件1标准限值较严者要求</w:t>
            </w:r>
            <w:r>
              <w:rPr>
                <w:rFonts w:hint="eastAsia"/>
                <w:lang w:eastAsia="zh-CN"/>
              </w:rPr>
              <w:t>；《表面涂装（汽车制造及维修）挥发性有机物、镍排放标准》（DB43/1356-2017）表1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rPr>
              <w:t>燃气渗锌炉</w:t>
            </w:r>
            <w:r>
              <w:rPr>
                <w:rFonts w:hint="eastAsia"/>
                <w:lang w:val="en-US" w:eastAsia="zh-CN"/>
              </w:rPr>
              <w:t>燃烧废气排气筒（DA008）</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adjustRightInd w:val="0"/>
              <w:snapToGrid w:val="0"/>
              <w:jc w:val="center"/>
              <w:rPr>
                <w:bCs/>
                <w:spacing w:val="-10"/>
                <w:szCs w:val="21"/>
              </w:rPr>
            </w:pPr>
            <w:r>
              <w:rPr>
                <w:rFonts w:hint="default"/>
              </w:rPr>
              <w:t>烟尘</w:t>
            </w:r>
          </w:p>
        </w:tc>
        <w:tc>
          <w:tcPr>
            <w:tcW w:w="2190" w:type="dxa"/>
            <w:vAlign w:val="center"/>
          </w:tcPr>
          <w:p>
            <w:pPr>
              <w:autoSpaceDE w:val="0"/>
              <w:autoSpaceDN w:val="0"/>
              <w:adjustRightInd w:val="0"/>
              <w:jc w:val="center"/>
              <w:rPr>
                <w:szCs w:val="21"/>
              </w:rPr>
            </w:pPr>
            <w:r>
              <w:rPr>
                <w:rFonts w:hint="eastAsia"/>
                <w:szCs w:val="21"/>
                <w:lang w:val="en-US" w:eastAsia="zh-CN"/>
              </w:rPr>
              <w:t>直排</w:t>
            </w:r>
          </w:p>
        </w:tc>
        <w:tc>
          <w:tcPr>
            <w:tcW w:w="3306" w:type="dxa"/>
            <w:vMerge w:val="restart"/>
            <w:vAlign w:val="center"/>
          </w:tcPr>
          <w:p>
            <w:pPr>
              <w:autoSpaceDE w:val="0"/>
              <w:autoSpaceDN w:val="0"/>
              <w:adjustRightInd w:val="0"/>
              <w:jc w:val="center"/>
              <w:rPr>
                <w:szCs w:val="21"/>
              </w:rPr>
            </w:pPr>
            <w:r>
              <w:rPr>
                <w:rFonts w:hint="eastAsia"/>
              </w:rPr>
              <w:t>《工业炉窑大气污染物排放标准》（GB9078-1996）表2及《湖南省工业炉窑大气环境污染综合治理实施方案》附件1标准限值较严者要求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hAnsi="Times New Roman" w:eastAsia="宋体" w:cs="Times New Roman"/>
                <w:kern w:val="2"/>
                <w:sz w:val="21"/>
                <w:szCs w:val="24"/>
                <w:lang w:val="en-US" w:eastAsia="zh-CN" w:bidi="ar-SA"/>
              </w:rPr>
            </w:pPr>
            <w:r>
              <w:rPr>
                <w:rFonts w:hint="eastAsia"/>
              </w:rPr>
              <w:t>燃气渗锌炉</w:t>
            </w:r>
            <w:r>
              <w:rPr>
                <w:rFonts w:hint="eastAsia"/>
                <w:lang w:val="en-US" w:eastAsia="zh-CN"/>
              </w:rPr>
              <w:t>燃烧废气排气筒（DA009）</w:t>
            </w:r>
          </w:p>
        </w:tc>
        <w:tc>
          <w:tcPr>
            <w:tcW w:w="1335"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rPr>
            </w:pPr>
            <w:r>
              <w:rPr>
                <w:rFonts w:hint="default"/>
              </w:rPr>
              <w:t>SO</w:t>
            </w:r>
            <w:r>
              <w:rPr>
                <w:rFonts w:hint="default"/>
                <w:vertAlign w:val="subscript"/>
              </w:rPr>
              <w:t>2</w:t>
            </w:r>
          </w:p>
          <w:p>
            <w:pPr>
              <w:pStyle w:val="19"/>
              <w:keepNext w:val="0"/>
              <w:keepLines w:val="0"/>
              <w:pageBreakBefore w:val="0"/>
              <w:widowControl w:val="0"/>
              <w:kinsoku/>
              <w:wordWrap/>
              <w:overflowPunct/>
              <w:topLinePunct w:val="0"/>
              <w:autoSpaceDE/>
              <w:autoSpaceDN/>
              <w:bidi w:val="0"/>
              <w:ind w:left="0" w:leftChars="0" w:firstLine="0" w:firstLineChars="0"/>
              <w:jc w:val="center"/>
              <w:textAlignment w:val="auto"/>
              <w:rPr>
                <w:rFonts w:hint="default"/>
              </w:rPr>
            </w:pPr>
            <w:r>
              <w:rPr>
                <w:rFonts w:hint="default"/>
              </w:rPr>
              <w:t>氮氧化物</w:t>
            </w:r>
          </w:p>
          <w:p>
            <w:pPr>
              <w:adjustRightInd w:val="0"/>
              <w:snapToGrid w:val="0"/>
              <w:jc w:val="center"/>
              <w:rPr>
                <w:bCs/>
                <w:spacing w:val="-10"/>
                <w:szCs w:val="21"/>
              </w:rPr>
            </w:pPr>
            <w:r>
              <w:rPr>
                <w:rFonts w:hint="default"/>
              </w:rPr>
              <w:t>烟尘</w:t>
            </w:r>
          </w:p>
        </w:tc>
        <w:tc>
          <w:tcPr>
            <w:tcW w:w="2190" w:type="dxa"/>
            <w:vAlign w:val="center"/>
          </w:tcPr>
          <w:p>
            <w:pPr>
              <w:autoSpaceDE w:val="0"/>
              <w:autoSpaceDN w:val="0"/>
              <w:adjustRightInd w:val="0"/>
              <w:jc w:val="center"/>
              <w:rPr>
                <w:szCs w:val="21"/>
              </w:rPr>
            </w:pPr>
            <w:r>
              <w:rPr>
                <w:rFonts w:hint="eastAsia"/>
                <w:szCs w:val="21"/>
                <w:lang w:val="en-US" w:eastAsia="zh-CN"/>
              </w:rPr>
              <w:t>直排</w:t>
            </w:r>
          </w:p>
        </w:tc>
        <w:tc>
          <w:tcPr>
            <w:tcW w:w="3306" w:type="dxa"/>
            <w:vMerge w:val="continue"/>
            <w:vAlign w:val="center"/>
          </w:tcPr>
          <w:p>
            <w:pPr>
              <w:autoSpaceDE w:val="0"/>
              <w:autoSpaceDN w:val="0"/>
              <w:adjustRightIn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rPr>
            </w:pPr>
            <w:r>
              <w:rPr>
                <w:rFonts w:ascii="Times New Roman" w:cs="Times New Roman"/>
                <w:sz w:val="21"/>
                <w:szCs w:val="21"/>
              </w:rPr>
              <w:t>切割烟尘</w:t>
            </w:r>
          </w:p>
        </w:tc>
        <w:tc>
          <w:tcPr>
            <w:tcW w:w="1335" w:type="dxa"/>
            <w:vAlign w:val="center"/>
          </w:tcPr>
          <w:p>
            <w:pPr>
              <w:adjustRightInd w:val="0"/>
              <w:snapToGrid w:val="0"/>
              <w:jc w:val="center"/>
              <w:rPr>
                <w:bCs/>
                <w:spacing w:val="-10"/>
                <w:szCs w:val="21"/>
              </w:rPr>
            </w:pPr>
            <w:r>
              <w:rPr>
                <w:rFonts w:hint="eastAsia"/>
                <w:bCs/>
                <w:spacing w:val="-10"/>
                <w:szCs w:val="21"/>
                <w:lang w:val="en-US" w:eastAsia="zh-CN"/>
              </w:rPr>
              <w:t>颗粒物</w:t>
            </w:r>
          </w:p>
        </w:tc>
        <w:tc>
          <w:tcPr>
            <w:tcW w:w="2190" w:type="dxa"/>
            <w:vAlign w:val="center"/>
          </w:tcPr>
          <w:p>
            <w:pPr>
              <w:autoSpaceDE w:val="0"/>
              <w:autoSpaceDN w:val="0"/>
              <w:adjustRightInd w:val="0"/>
              <w:jc w:val="center"/>
              <w:rPr>
                <w:rFonts w:hint="eastAsia"/>
                <w:szCs w:val="21"/>
                <w:lang w:val="en-US" w:eastAsia="zh-CN"/>
              </w:rPr>
            </w:pPr>
            <w:r>
              <w:rPr>
                <w:rFonts w:ascii="Times New Roman" w:cs="Times New Roman"/>
                <w:sz w:val="21"/>
                <w:szCs w:val="21"/>
              </w:rPr>
              <w:t>滤筒式除尘器处理后车间内无组织排放</w:t>
            </w:r>
          </w:p>
        </w:tc>
        <w:tc>
          <w:tcPr>
            <w:tcW w:w="3306" w:type="dxa"/>
            <w:vMerge w:val="restart"/>
            <w:vAlign w:val="center"/>
          </w:tcPr>
          <w:p>
            <w:pPr>
              <w:autoSpaceDE w:val="0"/>
              <w:autoSpaceDN w:val="0"/>
              <w:adjustRightInd w:val="0"/>
              <w:jc w:val="center"/>
              <w:rPr>
                <w:szCs w:val="21"/>
              </w:rPr>
            </w:pPr>
            <w:r>
              <w:rPr>
                <w:rFonts w:hint="eastAsia"/>
                <w:szCs w:val="21"/>
              </w:rPr>
              <w:t>《大气污染物综合排放标准》（GB16297-1996）表2中无组织监控浓度限值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rPr>
            </w:pPr>
            <w:r>
              <w:rPr>
                <w:rFonts w:hint="eastAsia" w:ascii="Times New Roman" w:cs="Times New Roman"/>
                <w:sz w:val="21"/>
                <w:szCs w:val="21"/>
              </w:rPr>
              <w:t>焊接烟尘</w:t>
            </w:r>
          </w:p>
        </w:tc>
        <w:tc>
          <w:tcPr>
            <w:tcW w:w="1335" w:type="dxa"/>
            <w:vAlign w:val="center"/>
          </w:tcPr>
          <w:p>
            <w:pPr>
              <w:adjustRightInd w:val="0"/>
              <w:snapToGrid w:val="0"/>
              <w:jc w:val="center"/>
              <w:rPr>
                <w:bCs/>
                <w:spacing w:val="-10"/>
                <w:szCs w:val="21"/>
              </w:rPr>
            </w:pPr>
            <w:r>
              <w:rPr>
                <w:rFonts w:hint="eastAsia"/>
                <w:bCs/>
                <w:spacing w:val="-10"/>
                <w:szCs w:val="21"/>
                <w:lang w:val="en-US" w:eastAsia="zh-CN"/>
              </w:rPr>
              <w:t>颗粒物</w:t>
            </w:r>
          </w:p>
        </w:tc>
        <w:tc>
          <w:tcPr>
            <w:tcW w:w="2190" w:type="dxa"/>
            <w:vAlign w:val="center"/>
          </w:tcPr>
          <w:p>
            <w:pPr>
              <w:autoSpaceDE w:val="0"/>
              <w:autoSpaceDN w:val="0"/>
              <w:adjustRightInd w:val="0"/>
              <w:jc w:val="center"/>
              <w:rPr>
                <w:rFonts w:hint="eastAsia"/>
                <w:szCs w:val="21"/>
                <w:lang w:val="en-US" w:eastAsia="zh-CN"/>
              </w:rPr>
            </w:pPr>
            <w:r>
              <w:rPr>
                <w:rFonts w:hint="eastAsia" w:ascii="Times New Roman" w:cs="Times New Roman"/>
                <w:sz w:val="21"/>
                <w:szCs w:val="21"/>
              </w:rPr>
              <w:t>移动式焊接烟尘净化器处理后无组织排放</w:t>
            </w:r>
          </w:p>
        </w:tc>
        <w:tc>
          <w:tcPr>
            <w:tcW w:w="3306" w:type="dxa"/>
            <w:vMerge w:val="continue"/>
            <w:vAlign w:val="center"/>
          </w:tcPr>
          <w:p>
            <w:pPr>
              <w:autoSpaceDE w:val="0"/>
              <w:autoSpaceDN w:val="0"/>
              <w:adjustRightIn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rPr>
            </w:pPr>
            <w:r>
              <w:rPr>
                <w:rFonts w:hint="eastAsia"/>
              </w:rPr>
              <w:t>打磨工序粉尘</w:t>
            </w:r>
          </w:p>
        </w:tc>
        <w:tc>
          <w:tcPr>
            <w:tcW w:w="1335" w:type="dxa"/>
            <w:vAlign w:val="center"/>
          </w:tcPr>
          <w:p>
            <w:pPr>
              <w:adjustRightInd w:val="0"/>
              <w:snapToGrid w:val="0"/>
              <w:jc w:val="center"/>
              <w:rPr>
                <w:bCs/>
                <w:spacing w:val="-10"/>
                <w:szCs w:val="21"/>
              </w:rPr>
            </w:pPr>
            <w:r>
              <w:rPr>
                <w:rFonts w:hint="eastAsia"/>
                <w:bCs/>
                <w:spacing w:val="-10"/>
                <w:szCs w:val="21"/>
                <w:lang w:val="en-US" w:eastAsia="zh-CN"/>
              </w:rPr>
              <w:t>颗粒物</w:t>
            </w:r>
          </w:p>
        </w:tc>
        <w:tc>
          <w:tcPr>
            <w:tcW w:w="2190" w:type="dxa"/>
            <w:vAlign w:val="center"/>
          </w:tcPr>
          <w:p>
            <w:pPr>
              <w:autoSpaceDE w:val="0"/>
              <w:autoSpaceDN w:val="0"/>
              <w:adjustRightInd w:val="0"/>
              <w:jc w:val="center"/>
              <w:rPr>
                <w:rFonts w:hint="default"/>
                <w:szCs w:val="21"/>
                <w:lang w:val="en-US" w:eastAsia="zh-CN"/>
              </w:rPr>
            </w:pPr>
            <w:r>
              <w:rPr>
                <w:rFonts w:hint="eastAsia"/>
                <w:szCs w:val="21"/>
                <w:lang w:val="en-US" w:eastAsia="zh-CN"/>
              </w:rPr>
              <w:t>重力沉降，车间阻隔</w:t>
            </w:r>
          </w:p>
        </w:tc>
        <w:tc>
          <w:tcPr>
            <w:tcW w:w="3306" w:type="dxa"/>
            <w:vMerge w:val="continue"/>
            <w:vAlign w:val="center"/>
          </w:tcPr>
          <w:p>
            <w:pPr>
              <w:autoSpaceDE w:val="0"/>
              <w:autoSpaceDN w:val="0"/>
              <w:adjustRightIn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Merge w:val="continue"/>
            <w:vAlign w:val="center"/>
          </w:tcPr>
          <w:p>
            <w:pPr>
              <w:adjustRightInd w:val="0"/>
              <w:snapToGrid w:val="0"/>
              <w:jc w:val="center"/>
              <w:rPr>
                <w:b/>
                <w:szCs w:val="21"/>
              </w:rPr>
            </w:pPr>
          </w:p>
        </w:tc>
        <w:tc>
          <w:tcPr>
            <w:tcW w:w="1843"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eastAsia="宋体"/>
                <w:lang w:val="en-US" w:eastAsia="zh-CN"/>
              </w:rPr>
            </w:pPr>
            <w:r>
              <w:rPr>
                <w:rFonts w:ascii="Times New Roman" w:cs="Times New Roman"/>
                <w:sz w:val="21"/>
                <w:szCs w:val="21"/>
              </w:rPr>
              <w:t>抛丸</w:t>
            </w:r>
            <w:r>
              <w:rPr>
                <w:rFonts w:hint="eastAsia" w:cs="Times New Roman"/>
                <w:sz w:val="21"/>
                <w:szCs w:val="21"/>
                <w:lang w:val="en-US" w:eastAsia="zh-CN"/>
              </w:rPr>
              <w:t>粉尘</w:t>
            </w:r>
          </w:p>
        </w:tc>
        <w:tc>
          <w:tcPr>
            <w:tcW w:w="1335" w:type="dxa"/>
            <w:vAlign w:val="center"/>
          </w:tcPr>
          <w:p>
            <w:pPr>
              <w:adjustRightInd w:val="0"/>
              <w:snapToGrid w:val="0"/>
              <w:jc w:val="center"/>
              <w:rPr>
                <w:bCs/>
                <w:spacing w:val="-10"/>
                <w:szCs w:val="21"/>
              </w:rPr>
            </w:pPr>
            <w:r>
              <w:rPr>
                <w:rFonts w:hint="eastAsia"/>
                <w:bCs/>
                <w:spacing w:val="-10"/>
                <w:szCs w:val="21"/>
                <w:lang w:val="en-US" w:eastAsia="zh-CN"/>
              </w:rPr>
              <w:t>颗粒物</w:t>
            </w:r>
          </w:p>
        </w:tc>
        <w:tc>
          <w:tcPr>
            <w:tcW w:w="2190" w:type="dxa"/>
            <w:vAlign w:val="center"/>
          </w:tcPr>
          <w:p>
            <w:pPr>
              <w:autoSpaceDE w:val="0"/>
              <w:autoSpaceDN w:val="0"/>
              <w:adjustRightInd w:val="0"/>
              <w:jc w:val="center"/>
              <w:rPr>
                <w:rFonts w:hint="eastAsia"/>
                <w:szCs w:val="21"/>
                <w:lang w:val="en-US" w:eastAsia="zh-CN"/>
              </w:rPr>
            </w:pPr>
            <w:r>
              <w:rPr>
                <w:sz w:val="21"/>
                <w:szCs w:val="21"/>
              </w:rPr>
              <w:t>经抛丸机自带滤筒式除尘器</w:t>
            </w:r>
            <w:r>
              <w:rPr>
                <w:rFonts w:hint="eastAsia"/>
                <w:sz w:val="21"/>
                <w:szCs w:val="21"/>
              </w:rPr>
              <w:t>处理后车间内无组织排放</w:t>
            </w:r>
          </w:p>
        </w:tc>
        <w:tc>
          <w:tcPr>
            <w:tcW w:w="3306" w:type="dxa"/>
            <w:vMerge w:val="continue"/>
            <w:vAlign w:val="center"/>
          </w:tcPr>
          <w:p>
            <w:pPr>
              <w:autoSpaceDE w:val="0"/>
              <w:autoSpaceDN w:val="0"/>
              <w:adjustRightInd w:val="0"/>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地表水环境</w:t>
            </w:r>
          </w:p>
        </w:tc>
        <w:tc>
          <w:tcPr>
            <w:tcW w:w="1843" w:type="dxa"/>
            <w:vAlign w:val="center"/>
          </w:tcPr>
          <w:p>
            <w:pPr>
              <w:adjustRightInd w:val="0"/>
              <w:snapToGrid w:val="0"/>
              <w:jc w:val="center"/>
              <w:rPr>
                <w:szCs w:val="21"/>
              </w:rPr>
            </w:pPr>
            <w:r>
              <w:rPr>
                <w:rFonts w:hint="eastAsia"/>
                <w:szCs w:val="21"/>
                <w:lang w:val="en-US" w:eastAsia="zh-CN"/>
              </w:rPr>
              <w:t>综合废水</w:t>
            </w:r>
          </w:p>
        </w:tc>
        <w:tc>
          <w:tcPr>
            <w:tcW w:w="1335" w:type="dxa"/>
            <w:vAlign w:val="center"/>
          </w:tcPr>
          <w:p>
            <w:pPr>
              <w:adjustRightInd w:val="0"/>
              <w:snapToGrid w:val="0"/>
              <w:jc w:val="center"/>
              <w:rPr>
                <w:szCs w:val="21"/>
              </w:rPr>
            </w:pPr>
            <w:r>
              <w:rPr>
                <w:szCs w:val="21"/>
              </w:rPr>
              <w:t>COD</w:t>
            </w:r>
          </w:p>
          <w:p>
            <w:pPr>
              <w:adjustRightInd w:val="0"/>
              <w:snapToGrid w:val="0"/>
              <w:jc w:val="center"/>
              <w:rPr>
                <w:szCs w:val="21"/>
              </w:rPr>
            </w:pPr>
            <w:r>
              <w:rPr>
                <w:szCs w:val="21"/>
              </w:rPr>
              <w:t>BOD</w:t>
            </w:r>
            <w:r>
              <w:rPr>
                <w:szCs w:val="21"/>
                <w:vertAlign w:val="subscript"/>
              </w:rPr>
              <w:t>5</w:t>
            </w:r>
          </w:p>
          <w:p>
            <w:pPr>
              <w:adjustRightInd w:val="0"/>
              <w:snapToGrid w:val="0"/>
              <w:jc w:val="center"/>
              <w:rPr>
                <w:szCs w:val="21"/>
              </w:rPr>
            </w:pPr>
            <w:r>
              <w:rPr>
                <w:szCs w:val="21"/>
              </w:rPr>
              <w:t>SS</w:t>
            </w:r>
          </w:p>
          <w:p>
            <w:pPr>
              <w:adjustRightInd w:val="0"/>
              <w:snapToGrid w:val="0"/>
              <w:jc w:val="center"/>
              <w:rPr>
                <w:szCs w:val="21"/>
              </w:rPr>
            </w:pPr>
            <w:r>
              <w:rPr>
                <w:szCs w:val="21"/>
              </w:rPr>
              <w:t>氨氮</w:t>
            </w:r>
          </w:p>
        </w:tc>
        <w:tc>
          <w:tcPr>
            <w:tcW w:w="2190" w:type="dxa"/>
            <w:vAlign w:val="center"/>
          </w:tcPr>
          <w:p>
            <w:pPr>
              <w:adjustRightInd w:val="0"/>
              <w:snapToGrid w:val="0"/>
              <w:jc w:val="center"/>
              <w:rPr>
                <w:rFonts w:hint="eastAsia" w:eastAsia="宋体"/>
                <w:szCs w:val="21"/>
                <w:lang w:eastAsia="zh-CN"/>
              </w:rPr>
            </w:pPr>
            <w:r>
              <w:rPr>
                <w:rFonts w:hint="default"/>
              </w:rPr>
              <w:t>中和隔油</w:t>
            </w:r>
            <w:r>
              <w:rPr>
                <w:rFonts w:hint="default"/>
                <w:lang w:val="en-US" w:eastAsia="zh-CN"/>
              </w:rPr>
              <w:t>+</w:t>
            </w:r>
            <w:r>
              <w:rPr>
                <w:rFonts w:hint="default"/>
              </w:rPr>
              <w:t>沉淀处理</w:t>
            </w:r>
            <w:r>
              <w:rPr>
                <w:rFonts w:hint="eastAsia"/>
                <w:lang w:eastAsia="zh-CN"/>
              </w:rPr>
              <w:t>、</w:t>
            </w:r>
            <w:r>
              <w:rPr>
                <w:rFonts w:hint="default"/>
                <w:lang w:val="en-US" w:eastAsia="zh-CN"/>
              </w:rPr>
              <w:t>隔油池+化粪池预处理</w:t>
            </w:r>
          </w:p>
        </w:tc>
        <w:tc>
          <w:tcPr>
            <w:tcW w:w="3306" w:type="dxa"/>
            <w:vAlign w:val="center"/>
          </w:tcPr>
          <w:p>
            <w:pPr>
              <w:adjustRightInd w:val="0"/>
              <w:snapToGrid w:val="0"/>
              <w:jc w:val="center"/>
              <w:rPr>
                <w:szCs w:val="21"/>
              </w:rPr>
            </w:pPr>
            <w:r>
              <w:rPr>
                <w:rFonts w:hint="eastAsia"/>
                <w:szCs w:val="21"/>
              </w:rPr>
              <w:t>《污水综合排放标准》（GB8978-1996）三级标准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声环境</w:t>
            </w:r>
          </w:p>
        </w:tc>
        <w:tc>
          <w:tcPr>
            <w:tcW w:w="1843" w:type="dxa"/>
            <w:vAlign w:val="center"/>
          </w:tcPr>
          <w:p>
            <w:pPr>
              <w:adjustRightInd w:val="0"/>
              <w:snapToGrid w:val="0"/>
              <w:jc w:val="center"/>
              <w:rPr>
                <w:szCs w:val="21"/>
              </w:rPr>
            </w:pPr>
            <w:r>
              <w:rPr>
                <w:szCs w:val="21"/>
              </w:rPr>
              <w:t>噪声</w:t>
            </w:r>
          </w:p>
        </w:tc>
        <w:tc>
          <w:tcPr>
            <w:tcW w:w="3525" w:type="dxa"/>
            <w:gridSpan w:val="2"/>
            <w:vAlign w:val="center"/>
          </w:tcPr>
          <w:p>
            <w:pPr>
              <w:pStyle w:val="2"/>
              <w:jc w:val="center"/>
              <w:rPr>
                <w:rFonts w:ascii="Times New Roman" w:cs="Times New Roman"/>
                <w:sz w:val="21"/>
                <w:szCs w:val="21"/>
              </w:rPr>
            </w:pPr>
            <w:r>
              <w:rPr>
                <w:rFonts w:ascii="Times New Roman" w:cs="Times New Roman"/>
                <w:sz w:val="21"/>
                <w:szCs w:val="21"/>
              </w:rPr>
              <w:t>选用低噪声设备、基础减振，建筑隔声</w:t>
            </w:r>
          </w:p>
        </w:tc>
        <w:tc>
          <w:tcPr>
            <w:tcW w:w="3306" w:type="dxa"/>
            <w:vAlign w:val="center"/>
          </w:tcPr>
          <w:p>
            <w:pPr>
              <w:adjustRightInd w:val="0"/>
              <w:snapToGrid w:val="0"/>
              <w:jc w:val="center"/>
              <w:rPr>
                <w:szCs w:val="21"/>
              </w:rPr>
            </w:pPr>
            <w:r>
              <w:rPr>
                <w:szCs w:val="21"/>
              </w:rPr>
              <w:t>《工业企业厂界环境噪声排放标准》（GB12348-2008）</w:t>
            </w:r>
            <w:r>
              <w:rPr>
                <w:rFonts w:hint="eastAsia"/>
                <w:szCs w:val="21"/>
              </w:rPr>
              <w:t>3</w:t>
            </w:r>
            <w:r>
              <w:rPr>
                <w:szCs w:val="21"/>
              </w:rPr>
              <w:t>类</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电磁辐射</w:t>
            </w:r>
          </w:p>
        </w:tc>
        <w:tc>
          <w:tcPr>
            <w:tcW w:w="1843" w:type="dxa"/>
            <w:vAlign w:val="center"/>
          </w:tcPr>
          <w:p>
            <w:pPr>
              <w:adjustRightInd w:val="0"/>
              <w:snapToGrid w:val="0"/>
              <w:jc w:val="center"/>
              <w:rPr>
                <w:szCs w:val="21"/>
              </w:rPr>
            </w:pPr>
            <w:r>
              <w:rPr>
                <w:szCs w:val="21"/>
              </w:rPr>
              <w:t>无</w:t>
            </w:r>
          </w:p>
        </w:tc>
        <w:tc>
          <w:tcPr>
            <w:tcW w:w="1335" w:type="dxa"/>
            <w:vAlign w:val="center"/>
          </w:tcPr>
          <w:p>
            <w:pPr>
              <w:adjustRightInd w:val="0"/>
              <w:snapToGrid w:val="0"/>
              <w:jc w:val="center"/>
              <w:rPr>
                <w:szCs w:val="21"/>
              </w:rPr>
            </w:pPr>
            <w:r>
              <w:rPr>
                <w:szCs w:val="21"/>
              </w:rPr>
              <w:t>无</w:t>
            </w:r>
          </w:p>
        </w:tc>
        <w:tc>
          <w:tcPr>
            <w:tcW w:w="2190" w:type="dxa"/>
            <w:vAlign w:val="center"/>
          </w:tcPr>
          <w:p>
            <w:pPr>
              <w:adjustRightInd w:val="0"/>
              <w:snapToGrid w:val="0"/>
              <w:jc w:val="center"/>
              <w:rPr>
                <w:szCs w:val="21"/>
              </w:rPr>
            </w:pPr>
            <w:r>
              <w:rPr>
                <w:szCs w:val="21"/>
              </w:rPr>
              <w:t>无</w:t>
            </w:r>
          </w:p>
        </w:tc>
        <w:tc>
          <w:tcPr>
            <w:tcW w:w="3306" w:type="dxa"/>
            <w:vAlign w:val="center"/>
          </w:tcPr>
          <w:p>
            <w:pPr>
              <w:adjustRightInd w:val="0"/>
              <w:snapToGrid w:val="0"/>
              <w:jc w:val="center"/>
              <w:rPr>
                <w:szCs w:val="21"/>
              </w:rPr>
            </w:pPr>
            <w:r>
              <w:rPr>
                <w:szCs w:val="21"/>
              </w:rPr>
              <w:t>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固体废物</w:t>
            </w:r>
          </w:p>
        </w:tc>
        <w:tc>
          <w:tcPr>
            <w:tcW w:w="8674" w:type="dxa"/>
            <w:gridSpan w:val="4"/>
            <w:vAlign w:val="center"/>
          </w:tcPr>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①边角料</w:t>
            </w:r>
            <w:r>
              <w:rPr>
                <w:rFonts w:hint="eastAsia" w:ascii="Times New Roman" w:cs="Times New Roman"/>
                <w:color w:val="auto"/>
                <w:kern w:val="2"/>
                <w:sz w:val="21"/>
                <w:szCs w:val="21"/>
                <w:lang w:val="en-US" w:eastAsia="zh-CN"/>
              </w:rPr>
              <w:t>和</w:t>
            </w:r>
            <w:r>
              <w:rPr>
                <w:rFonts w:hint="eastAsia" w:ascii="Times New Roman" w:cs="Times New Roman"/>
                <w:color w:val="auto"/>
                <w:kern w:val="2"/>
                <w:sz w:val="21"/>
                <w:szCs w:val="21"/>
              </w:rPr>
              <w:t>废金属屑：交由厂商回收利用；</w:t>
            </w:r>
          </w:p>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②</w:t>
            </w:r>
            <w:r>
              <w:rPr>
                <w:rFonts w:hint="eastAsia" w:ascii="Times New Roman" w:cs="Times New Roman"/>
                <w:color w:val="auto"/>
                <w:kern w:val="2"/>
                <w:sz w:val="21"/>
                <w:szCs w:val="21"/>
                <w:lang w:eastAsia="zh-CN"/>
              </w:rPr>
              <w:t>除尘器（机加工、抛丸、焊接）收集尘</w:t>
            </w:r>
            <w:r>
              <w:rPr>
                <w:rFonts w:hint="eastAsia" w:ascii="Times New Roman" w:cs="Times New Roman"/>
                <w:color w:val="auto"/>
                <w:kern w:val="2"/>
                <w:sz w:val="21"/>
                <w:szCs w:val="21"/>
              </w:rPr>
              <w:t>：交物资回收公司回收利用；</w:t>
            </w:r>
          </w:p>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③</w:t>
            </w:r>
            <w:r>
              <w:rPr>
                <w:rFonts w:hint="eastAsia" w:ascii="Times New Roman" w:cs="Times New Roman"/>
                <w:color w:val="auto"/>
                <w:kern w:val="2"/>
                <w:sz w:val="21"/>
                <w:szCs w:val="21"/>
                <w:lang w:eastAsia="zh-CN"/>
              </w:rPr>
              <w:t>除尘器（多元合金共渗）收集尘</w:t>
            </w:r>
            <w:r>
              <w:rPr>
                <w:rFonts w:hint="eastAsia" w:ascii="Times New Roman" w:cs="Times New Roman"/>
                <w:color w:val="auto"/>
                <w:kern w:val="2"/>
                <w:sz w:val="21"/>
                <w:szCs w:val="21"/>
              </w:rPr>
              <w:t>：作为渗剂回用于渗锌工段；</w:t>
            </w:r>
          </w:p>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④废反渗透膜：由厂家回收处理；</w:t>
            </w:r>
          </w:p>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⑤</w:t>
            </w:r>
            <w:r>
              <w:rPr>
                <w:rFonts w:hint="eastAsia" w:ascii="Times New Roman" w:cs="Times New Roman"/>
                <w:color w:val="auto"/>
                <w:kern w:val="2"/>
                <w:sz w:val="21"/>
                <w:szCs w:val="21"/>
                <w:lang w:eastAsia="zh-CN"/>
              </w:rPr>
              <w:t>压滤机压滤泥饼</w:t>
            </w:r>
            <w:r>
              <w:rPr>
                <w:rFonts w:hint="eastAsia" w:ascii="Times New Roman" w:cs="Times New Roman"/>
                <w:color w:val="auto"/>
                <w:kern w:val="2"/>
                <w:sz w:val="21"/>
                <w:szCs w:val="21"/>
              </w:rPr>
              <w:t>：作为渗剂回用于渗锌工段；</w:t>
            </w:r>
          </w:p>
          <w:p>
            <w:pPr>
              <w:pStyle w:val="2"/>
              <w:jc w:val="left"/>
              <w:rPr>
                <w:rFonts w:ascii="Times New Roman" w:cs="Times New Roman"/>
                <w:color w:val="auto"/>
                <w:kern w:val="2"/>
                <w:sz w:val="21"/>
                <w:szCs w:val="21"/>
              </w:rPr>
            </w:pPr>
            <w:r>
              <w:rPr>
                <w:rFonts w:hint="eastAsia" w:ascii="Times New Roman" w:cs="Times New Roman"/>
                <w:color w:val="auto"/>
                <w:kern w:val="2"/>
                <w:sz w:val="21"/>
                <w:szCs w:val="21"/>
              </w:rPr>
              <w:t>⑥废乳化液、废润滑油、废液压油、</w:t>
            </w:r>
            <w:r>
              <w:rPr>
                <w:rFonts w:hint="eastAsia" w:ascii="Times New Roman" w:cs="Times New Roman"/>
                <w:color w:val="auto"/>
                <w:kern w:val="2"/>
                <w:sz w:val="21"/>
                <w:szCs w:val="21"/>
                <w:lang w:val="en-US" w:eastAsia="zh-CN"/>
              </w:rPr>
              <w:t>废</w:t>
            </w:r>
            <w:r>
              <w:rPr>
                <w:rFonts w:hint="eastAsia" w:ascii="Times New Roman" w:cs="Times New Roman"/>
                <w:color w:val="auto"/>
                <w:kern w:val="2"/>
                <w:sz w:val="21"/>
                <w:szCs w:val="21"/>
              </w:rPr>
              <w:t>过滤棉、废活性炭、废UV灯管、废包装桶、废含油手套及抹布：危废车间暂存后，交相关危废资质单位代为处置；</w:t>
            </w:r>
          </w:p>
          <w:p>
            <w:pPr>
              <w:pStyle w:val="2"/>
              <w:jc w:val="left"/>
              <w:rPr>
                <w:rFonts w:ascii="Times New Roman" w:cs="Times New Roman"/>
                <w:sz w:val="21"/>
                <w:szCs w:val="21"/>
              </w:rPr>
            </w:pPr>
            <w:r>
              <w:rPr>
                <w:rFonts w:hint="eastAsia" w:ascii="Times New Roman" w:cs="Times New Roman"/>
                <w:color w:val="auto"/>
                <w:kern w:val="2"/>
                <w:sz w:val="21"/>
                <w:szCs w:val="21"/>
              </w:rPr>
              <w:t>⑦生活垃圾：垃圾桶收集后委托环卫部门清运处</w:t>
            </w:r>
            <w:r>
              <w:rPr>
                <w:rFonts w:hint="eastAsia" w:ascii="Times New Roman" w:cs="Times New Roman"/>
                <w:color w:val="auto"/>
                <w:kern w:val="2"/>
                <w:sz w:val="21"/>
                <w:szCs w:val="21"/>
                <w:lang w:val="en-US" w:eastAsia="zh-CN"/>
              </w:rPr>
              <w:t>理</w:t>
            </w:r>
            <w:r>
              <w:rPr>
                <w:rFonts w:ascii="Times New Roman" w:cs="Times New Roman"/>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土壤及地下水污染防治措施</w:t>
            </w:r>
          </w:p>
        </w:tc>
        <w:tc>
          <w:tcPr>
            <w:tcW w:w="8674" w:type="dxa"/>
            <w:gridSpan w:val="4"/>
            <w:vAlign w:val="center"/>
          </w:tcPr>
          <w:p>
            <w:pPr>
              <w:pStyle w:val="2"/>
              <w:rPr>
                <w:rFonts w:ascii="Times New Roman" w:cs="Times New Roman"/>
                <w:sz w:val="21"/>
                <w:szCs w:val="21"/>
              </w:rPr>
            </w:pPr>
            <w:r>
              <w:rPr>
                <w:rFonts w:hint="eastAsia" w:ascii="Times New Roman" w:cs="Times New Roman"/>
                <w:sz w:val="21"/>
                <w:szCs w:val="21"/>
              </w:rPr>
              <w:t>项目</w:t>
            </w:r>
            <w:r>
              <w:rPr>
                <w:rFonts w:hint="eastAsia" w:ascii="Times New Roman" w:cs="Times New Roman"/>
                <w:sz w:val="21"/>
                <w:szCs w:val="21"/>
                <w:lang w:val="en-US" w:eastAsia="zh-CN"/>
              </w:rPr>
              <w:t>位于</w:t>
            </w:r>
            <w:r>
              <w:rPr>
                <w:rFonts w:hint="eastAsia" w:ascii="Times New Roman" w:cs="Times New Roman"/>
                <w:sz w:val="21"/>
                <w:szCs w:val="21"/>
              </w:rPr>
              <w:t>衡阳县西渡镇清江北路5号（衡阳市新德力交通材料有限公司现有厂区内），厂区已铺设好污水收集管道，厂房、路面现均已做好底部硬化、防漏、防渗措施，厂区内生活污水经管道收集后进入化粪池处理，正常情况下不会发生污水下渗，可有效防止污水下渗到土壤和地下水。项目产生的废气经过收集后排放，排放量不大，且不属于重金属等有毒有害物质，对土壤和地下水影响不大。项目原料均堆存于室内且已做好防风挡雨、防渗措施，厂房内按规范要求设置</w:t>
            </w:r>
            <w:r>
              <w:rPr>
                <w:rFonts w:hint="eastAsia" w:ascii="Times New Roman" w:cs="Times New Roman"/>
                <w:sz w:val="21"/>
                <w:szCs w:val="21"/>
                <w:lang w:val="en-US" w:eastAsia="zh-CN"/>
              </w:rPr>
              <w:t>了</w:t>
            </w:r>
            <w:r>
              <w:rPr>
                <w:rFonts w:hint="eastAsia" w:ascii="Times New Roman" w:cs="Times New Roman"/>
                <w:sz w:val="21"/>
                <w:szCs w:val="21"/>
              </w:rPr>
              <w:t>危险废物暂存间</w:t>
            </w:r>
            <w:r>
              <w:rPr>
                <w:rFonts w:hint="eastAsia" w:ascii="Times New Roman" w:cs="Times New Roman"/>
                <w:sz w:val="21"/>
                <w:szCs w:val="21"/>
                <w:lang w:val="en-US" w:eastAsia="zh-CN"/>
              </w:rPr>
              <w:t>和危化品仓库</w:t>
            </w:r>
            <w:r>
              <w:rPr>
                <w:rFonts w:hint="eastAsia" w:ascii="Times New Roman" w:cs="Times New Roman"/>
                <w:sz w:val="21"/>
                <w:szCs w:val="21"/>
              </w:rPr>
              <w:t>，因此可有效防止物料及危险废物泄露并下渗到土壤和地下水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zCs w:val="21"/>
              </w:rPr>
            </w:pPr>
            <w:r>
              <w:rPr>
                <w:b/>
                <w:szCs w:val="21"/>
              </w:rPr>
              <w:t>生态保护措施</w:t>
            </w:r>
          </w:p>
        </w:tc>
        <w:tc>
          <w:tcPr>
            <w:tcW w:w="8674" w:type="dxa"/>
            <w:gridSpan w:val="4"/>
            <w:vAlign w:val="center"/>
          </w:tcPr>
          <w:p>
            <w:pPr>
              <w:adjustRightInd w:val="0"/>
              <w:snapToGrid w:val="0"/>
              <w:jc w:val="center"/>
              <w:rPr>
                <w:szCs w:val="21"/>
              </w:rPr>
            </w:pPr>
            <w:r>
              <w:rPr>
                <w:szCs w:val="21"/>
              </w:rPr>
              <w:t>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pacing w:val="-8"/>
                <w:szCs w:val="21"/>
              </w:rPr>
            </w:pPr>
            <w:r>
              <w:rPr>
                <w:b/>
                <w:spacing w:val="-8"/>
                <w:szCs w:val="21"/>
              </w:rPr>
              <w:t>环境风险</w:t>
            </w:r>
          </w:p>
          <w:p>
            <w:pPr>
              <w:adjustRightInd w:val="0"/>
              <w:snapToGrid w:val="0"/>
              <w:jc w:val="center"/>
              <w:rPr>
                <w:b/>
                <w:spacing w:val="-8"/>
                <w:szCs w:val="21"/>
              </w:rPr>
            </w:pPr>
            <w:r>
              <w:rPr>
                <w:b/>
                <w:spacing w:val="-8"/>
                <w:szCs w:val="21"/>
              </w:rPr>
              <w:t>防范措施</w:t>
            </w:r>
          </w:p>
        </w:tc>
        <w:tc>
          <w:tcPr>
            <w:tcW w:w="8674" w:type="dxa"/>
            <w:gridSpan w:val="4"/>
            <w:vAlign w:val="center"/>
          </w:tcPr>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1</w:t>
            </w:r>
            <w:r>
              <w:rPr>
                <w:rFonts w:hint="default" w:ascii="Times New Roman" w:hAnsi="Times New Roman" w:cs="Times New Roman"/>
                <w:sz w:val="21"/>
                <w:szCs w:val="21"/>
                <w:lang w:val="en-US" w:eastAsia="zh-CN"/>
              </w:rPr>
              <w:t>）涂料</w:t>
            </w:r>
            <w:r>
              <w:rPr>
                <w:rFonts w:hint="default" w:ascii="Times New Roman" w:hAnsi="Times New Roman" w:cs="Times New Roman"/>
                <w:sz w:val="21"/>
                <w:szCs w:val="21"/>
              </w:rPr>
              <w:t>、危险废物储存过程风险防范措施</w:t>
            </w:r>
          </w:p>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涂料</w:t>
            </w:r>
            <w:r>
              <w:rPr>
                <w:rFonts w:hint="default" w:ascii="Times New Roman" w:hAnsi="Times New Roman" w:cs="Times New Roman"/>
                <w:sz w:val="21"/>
                <w:szCs w:val="21"/>
              </w:rPr>
              <w:t>存放在</w:t>
            </w:r>
            <w:r>
              <w:rPr>
                <w:rFonts w:hint="default" w:ascii="Times New Roman" w:hAnsi="Times New Roman" w:cs="Times New Roman"/>
                <w:sz w:val="21"/>
                <w:szCs w:val="21"/>
                <w:lang w:val="en-US" w:eastAsia="zh-CN"/>
              </w:rPr>
              <w:t>危化品仓</w:t>
            </w:r>
            <w:r>
              <w:rPr>
                <w:rFonts w:hint="default" w:ascii="Times New Roman" w:hAnsi="Times New Roman" w:cs="Times New Roman"/>
                <w:sz w:val="21"/>
                <w:szCs w:val="21"/>
              </w:rPr>
              <w:t>库内，危废经收集暂存在危废暂存间，项目</w:t>
            </w:r>
            <w:r>
              <w:rPr>
                <w:rFonts w:hint="default" w:ascii="Times New Roman" w:hAnsi="Times New Roman" w:cs="Times New Roman"/>
                <w:sz w:val="21"/>
                <w:szCs w:val="21"/>
                <w:lang w:val="en-US" w:eastAsia="zh-CN"/>
              </w:rPr>
              <w:t>危化品仓</w:t>
            </w:r>
            <w:r>
              <w:rPr>
                <w:rFonts w:hint="default" w:ascii="Times New Roman" w:hAnsi="Times New Roman" w:cs="Times New Roman"/>
                <w:sz w:val="21"/>
                <w:szCs w:val="21"/>
              </w:rPr>
              <w:t>库和危废暂存间均采用重点防渗，危险废物分类存储，专用容器存放，满足环保相关要求。发现泄露事故应立即采取清理措施。</w:t>
            </w:r>
          </w:p>
          <w:p>
            <w:pPr>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rPr>
              <w:t>（</w:t>
            </w:r>
            <w:r>
              <w:rPr>
                <w:rFonts w:hint="eastAsia" w:ascii="Times New Roman" w:hAnsi="Times New Roman" w:cs="Times New Roman"/>
                <w:sz w:val="21"/>
                <w:szCs w:val="21"/>
                <w:lang w:val="en-US" w:eastAsia="zh-CN"/>
              </w:rPr>
              <w:t>2</w:t>
            </w:r>
            <w:r>
              <w:rPr>
                <w:rFonts w:hint="default" w:ascii="Times New Roman" w:hAnsi="Times New Roman" w:cs="Times New Roman"/>
                <w:sz w:val="21"/>
                <w:szCs w:val="21"/>
              </w:rPr>
              <w:t>）废气事故排放防范措施</w:t>
            </w:r>
          </w:p>
          <w:p>
            <w:pPr>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rPr>
              <w:t>①建立废气处理设施运行台账；</w:t>
            </w:r>
          </w:p>
          <w:p>
            <w:pPr>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rPr>
              <w:t>②定期对废气处理设施进行检查维护，确保布袋除尘器等废气处理设施正常工作；</w:t>
            </w:r>
          </w:p>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③定期更换除尘器装置内过滤介质，确保处理效率</w:t>
            </w:r>
            <w:r>
              <w:rPr>
                <w:rFonts w:hint="default" w:ascii="Times New Roman" w:hAnsi="Times New Roman" w:cs="Times New Roman"/>
                <w:sz w:val="21"/>
                <w:szCs w:val="21"/>
                <w:lang w:eastAsia="zh-CN"/>
              </w:rPr>
              <w:t>。</w:t>
            </w:r>
          </w:p>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3</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rPr>
              <w:t>生产过程风险防范措施</w:t>
            </w:r>
          </w:p>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hint="default" w:ascii="Times New Roman" w:hAnsi="Times New Roman" w:cs="Times New Roman"/>
                <w:sz w:val="21"/>
                <w:szCs w:val="21"/>
              </w:rPr>
            </w:pPr>
            <w:r>
              <w:rPr>
                <w:rFonts w:hint="default" w:ascii="Times New Roman" w:hAnsi="Times New Roman" w:cs="Times New Roman"/>
                <w:sz w:val="21"/>
                <w:szCs w:val="21"/>
              </w:rPr>
              <w:t>生产过程事故风险防范是安全生产的重要环节，建设单位应该做到以下防范措施：定期组织员工学习、贯彻各项安全生产政策，并将国家要求和安全技术规范转化为各自岗位的安全操作规程，并悬挂于醒目位置，规范岗位操作，降低事故概率；应防止工作人员直接接触具有危险和有害因素的设备、设施、生产原材料、产品和中间产品等；设备在规定使用期限内，生产设备应满足使用环境要求，特别是满足抗腐蚀、耐磨损、抗疲劳、抗老化的要求，要密切关注事故易发部位，做好运行监督检查和维修保养，防患于未然；提高装置的密封性能，尽可能减少无组织泄漏；组织专门人员每天进行巡回检查，有跑冒滴漏或其他异常现象的应及时检修，必要时停产检修。</w:t>
            </w:r>
          </w:p>
          <w:p>
            <w:pPr>
              <w:pStyle w:val="2"/>
              <w:keepNext w:val="0"/>
              <w:keepLines w:val="0"/>
              <w:pageBreakBefore w:val="0"/>
              <w:widowControl w:val="0"/>
              <w:kinsoku/>
              <w:wordWrap/>
              <w:overflowPunct/>
              <w:topLinePunct w:val="0"/>
              <w:bidi w:val="0"/>
              <w:snapToGrid/>
              <w:spacing w:line="240" w:lineRule="auto"/>
              <w:ind w:firstLine="0" w:firstLineChars="0"/>
              <w:jc w:val="left"/>
              <w:textAlignment w:val="auto"/>
              <w:rPr>
                <w:rFonts w:ascii="Times New Roman" w:cs="Times New Roman"/>
                <w:sz w:val="21"/>
                <w:szCs w:val="21"/>
              </w:rPr>
            </w:pP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rPr>
              <w:t>加强防范措施和日常管理。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32" w:type="dxa"/>
            <w:vAlign w:val="center"/>
          </w:tcPr>
          <w:p>
            <w:pPr>
              <w:adjustRightInd w:val="0"/>
              <w:snapToGrid w:val="0"/>
              <w:jc w:val="center"/>
              <w:rPr>
                <w:b/>
                <w:spacing w:val="-8"/>
                <w:szCs w:val="21"/>
              </w:rPr>
            </w:pPr>
            <w:r>
              <w:rPr>
                <w:b/>
                <w:spacing w:val="-8"/>
                <w:szCs w:val="21"/>
              </w:rPr>
              <w:t>其他环境</w:t>
            </w:r>
          </w:p>
          <w:p>
            <w:pPr>
              <w:adjustRightInd w:val="0"/>
              <w:snapToGrid w:val="0"/>
              <w:jc w:val="center"/>
              <w:rPr>
                <w:b/>
                <w:spacing w:val="-8"/>
                <w:szCs w:val="21"/>
              </w:rPr>
            </w:pPr>
            <w:r>
              <w:rPr>
                <w:b/>
                <w:spacing w:val="-8"/>
                <w:szCs w:val="21"/>
              </w:rPr>
              <w:t>管理要求</w:t>
            </w:r>
          </w:p>
        </w:tc>
        <w:tc>
          <w:tcPr>
            <w:tcW w:w="8674" w:type="dxa"/>
            <w:gridSpan w:val="4"/>
            <w:vAlign w:val="center"/>
          </w:tcPr>
          <w:p>
            <w:pPr>
              <w:pStyle w:val="2"/>
              <w:rPr>
                <w:rFonts w:ascii="Times New Roman" w:cs="Times New Roman"/>
                <w:sz w:val="21"/>
                <w:szCs w:val="21"/>
              </w:rPr>
            </w:pPr>
            <w:r>
              <w:rPr>
                <w:rFonts w:ascii="Times New Roman" w:cs="Times New Roman"/>
                <w:sz w:val="21"/>
                <w:szCs w:val="21"/>
              </w:rPr>
              <w:t>（</w:t>
            </w:r>
            <w:r>
              <w:rPr>
                <w:rFonts w:hint="eastAsia" w:ascii="Times New Roman" w:cs="Times New Roman"/>
                <w:sz w:val="21"/>
                <w:szCs w:val="21"/>
              </w:rPr>
              <w:t>1</w:t>
            </w:r>
            <w:r>
              <w:rPr>
                <w:rFonts w:ascii="Times New Roman" w:cs="Times New Roman"/>
                <w:sz w:val="21"/>
                <w:szCs w:val="21"/>
              </w:rPr>
              <w:t>）项目</w:t>
            </w:r>
            <w:r>
              <w:rPr>
                <w:rFonts w:hint="eastAsia" w:ascii="Times New Roman" w:cs="Times New Roman"/>
                <w:sz w:val="21"/>
                <w:szCs w:val="21"/>
                <w:lang w:val="en-US" w:eastAsia="zh-CN"/>
              </w:rPr>
              <w:t>技改完成排污</w:t>
            </w:r>
            <w:r>
              <w:rPr>
                <w:rFonts w:ascii="Times New Roman" w:cs="Times New Roman"/>
                <w:sz w:val="21"/>
                <w:szCs w:val="21"/>
              </w:rPr>
              <w:t>前，应</w:t>
            </w:r>
            <w:r>
              <w:rPr>
                <w:rFonts w:hint="eastAsia" w:ascii="Times New Roman" w:cs="Times New Roman"/>
                <w:sz w:val="21"/>
                <w:szCs w:val="21"/>
                <w:lang w:val="en-US" w:eastAsia="zh-CN"/>
              </w:rPr>
              <w:t>并更</w:t>
            </w:r>
            <w:r>
              <w:rPr>
                <w:rFonts w:ascii="Times New Roman" w:cs="Times New Roman"/>
                <w:sz w:val="21"/>
                <w:szCs w:val="21"/>
              </w:rPr>
              <w:t>排污许可证。</w:t>
            </w:r>
          </w:p>
          <w:p>
            <w:pPr>
              <w:pStyle w:val="2"/>
              <w:rPr>
                <w:rFonts w:ascii="Times New Roman" w:cs="Times New Roman"/>
                <w:sz w:val="21"/>
                <w:szCs w:val="21"/>
              </w:rPr>
            </w:pPr>
            <w:r>
              <w:rPr>
                <w:rFonts w:ascii="Times New Roman" w:cs="Times New Roman"/>
                <w:sz w:val="21"/>
                <w:szCs w:val="21"/>
              </w:rPr>
              <w:t>（</w:t>
            </w:r>
            <w:r>
              <w:rPr>
                <w:rFonts w:hint="eastAsia" w:ascii="Times New Roman" w:cs="Times New Roman"/>
                <w:sz w:val="21"/>
                <w:szCs w:val="21"/>
              </w:rPr>
              <w:t>2</w:t>
            </w:r>
            <w:r>
              <w:rPr>
                <w:rFonts w:ascii="Times New Roman" w:cs="Times New Roman"/>
                <w:sz w:val="21"/>
                <w:szCs w:val="21"/>
              </w:rPr>
              <w:t>）项目</w:t>
            </w:r>
            <w:r>
              <w:rPr>
                <w:rFonts w:hint="eastAsia" w:ascii="Times New Roman" w:cs="Times New Roman"/>
                <w:sz w:val="21"/>
                <w:szCs w:val="21"/>
                <w:lang w:val="en-US" w:eastAsia="zh-CN"/>
              </w:rPr>
              <w:t>改建完成后</w:t>
            </w:r>
            <w:r>
              <w:rPr>
                <w:rFonts w:ascii="Times New Roman" w:cs="Times New Roman"/>
                <w:sz w:val="21"/>
                <w:szCs w:val="21"/>
              </w:rPr>
              <w:t>，</w:t>
            </w:r>
            <w:r>
              <w:rPr>
                <w:rFonts w:hint="eastAsia" w:ascii="Times New Roman" w:cs="Times New Roman"/>
                <w:sz w:val="21"/>
                <w:szCs w:val="21"/>
                <w:lang w:val="en-US" w:eastAsia="zh-CN"/>
              </w:rPr>
              <w:t>应</w:t>
            </w:r>
            <w:r>
              <w:rPr>
                <w:rFonts w:ascii="Times New Roman" w:cs="Times New Roman"/>
                <w:sz w:val="21"/>
                <w:szCs w:val="21"/>
              </w:rPr>
              <w:t>及时进行自主环保竣工验收。</w:t>
            </w:r>
          </w:p>
          <w:p>
            <w:pPr>
              <w:pStyle w:val="2"/>
              <w:rPr>
                <w:rFonts w:ascii="Times New Roman" w:cs="Times New Roman"/>
                <w:sz w:val="21"/>
                <w:szCs w:val="21"/>
              </w:rPr>
            </w:pPr>
          </w:p>
          <w:p>
            <w:pPr>
              <w:pStyle w:val="2"/>
              <w:rPr>
                <w:rFonts w:ascii="Times New Roman" w:cs="Times New Roman"/>
                <w:sz w:val="21"/>
                <w:szCs w:val="21"/>
              </w:rPr>
            </w:pPr>
          </w:p>
        </w:tc>
      </w:tr>
    </w:tbl>
    <w:p>
      <w:pPr>
        <w:pStyle w:val="21"/>
        <w:jc w:val="center"/>
        <w:outlineLvl w:val="0"/>
        <w:rPr>
          <w:rFonts w:ascii="黑体" w:hAnsi="黑体" w:eastAsia="黑体"/>
          <w:snapToGrid w:val="0"/>
          <w:sz w:val="30"/>
          <w:szCs w:val="30"/>
        </w:rPr>
      </w:pPr>
      <w:r>
        <w:rPr>
          <w:snapToGrid w:val="0"/>
        </w:rPr>
        <w:br w:type="page"/>
      </w:r>
      <w:bookmarkStart w:id="15" w:name="_Toc111712331"/>
      <w:r>
        <w:rPr>
          <w:rFonts w:hint="eastAsia" w:ascii="黑体" w:hAnsi="黑体" w:eastAsia="黑体"/>
          <w:snapToGrid w:val="0"/>
          <w:sz w:val="30"/>
          <w:szCs w:val="30"/>
        </w:rPr>
        <w:t>六、结论</w:t>
      </w:r>
      <w:bookmarkEnd w:id="15"/>
    </w:p>
    <w:tbl>
      <w:tblPr>
        <w:tblStyle w:val="25"/>
        <w:tblW w:w="10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20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991" w:hRule="atLeast"/>
          <w:jc w:val="center"/>
        </w:trPr>
        <w:tc>
          <w:tcPr>
            <w:tcW w:w="8865" w:type="dxa"/>
            <w:vAlign w:val="center"/>
          </w:tcPr>
          <w:p>
            <w:pPr>
              <w:autoSpaceDE w:val="0"/>
              <w:autoSpaceDN w:val="0"/>
              <w:adjustRightInd w:val="0"/>
              <w:spacing w:line="360" w:lineRule="auto"/>
              <w:ind w:firstLine="480" w:firstLineChars="200"/>
              <w:rPr>
                <w:kern w:val="0"/>
                <w:sz w:val="24"/>
              </w:rPr>
            </w:pPr>
            <w:r>
              <w:rPr>
                <w:kern w:val="0"/>
                <w:sz w:val="24"/>
              </w:rPr>
              <w:t>本项目建设符合国家产业政策和区域环境功能区划，用地性质符合区域土地利用规划，项目选址合理。项目建设符</w:t>
            </w:r>
            <w:r>
              <w:rPr>
                <w:rFonts w:ascii="宋体" w:hAnsi="宋体"/>
                <w:kern w:val="0"/>
                <w:sz w:val="24"/>
              </w:rPr>
              <w:t>合“三线一单”</w:t>
            </w:r>
            <w:r>
              <w:rPr>
                <w:kern w:val="0"/>
                <w:sz w:val="24"/>
              </w:rPr>
              <w:t>要求，项目不属于《产业结构调整指导目录（</w:t>
            </w:r>
            <w:r>
              <w:rPr>
                <w:rFonts w:eastAsia="TimesNewRomanPSMT"/>
                <w:kern w:val="0"/>
                <w:sz w:val="24"/>
              </w:rPr>
              <w:t>2019</w:t>
            </w:r>
            <w:r>
              <w:rPr>
                <w:kern w:val="0"/>
                <w:sz w:val="24"/>
              </w:rPr>
              <w:t>年本）》淘汰类和限制类项目，不属于《市场准入负面清单》（</w:t>
            </w:r>
            <w:r>
              <w:rPr>
                <w:rFonts w:eastAsia="TimesNewRomanPSMT"/>
                <w:kern w:val="0"/>
                <w:sz w:val="24"/>
              </w:rPr>
              <w:t>2020</w:t>
            </w:r>
            <w:r>
              <w:rPr>
                <w:kern w:val="0"/>
                <w:sz w:val="24"/>
              </w:rPr>
              <w:t>年版）的负面清单禁止准入类项目。建设单位应严格落实报告中要求采取的污染防治措施，保证废气、废水、噪声达标排放，妥善处理各类固体废物。建设单位切实落实好本环境影响报告表中的环保措施，则本项目的建设不会对周围的环境产生明显的影响。</w:t>
            </w:r>
          </w:p>
          <w:p>
            <w:pPr>
              <w:autoSpaceDE w:val="0"/>
              <w:autoSpaceDN w:val="0"/>
              <w:adjustRightInd w:val="0"/>
              <w:spacing w:line="360" w:lineRule="auto"/>
              <w:ind w:firstLine="480" w:firstLineChars="200"/>
              <w:rPr>
                <w:rFonts w:ascii="宋体" w:cs="宋体"/>
                <w:sz w:val="24"/>
              </w:rPr>
            </w:pPr>
            <w:r>
              <w:rPr>
                <w:kern w:val="0"/>
                <w:sz w:val="24"/>
              </w:rPr>
              <w:t>从环境保护的角度分析，本项目建设可行。</w:t>
            </w:r>
          </w:p>
        </w:tc>
      </w:tr>
    </w:tbl>
    <w:p>
      <w:pPr>
        <w:rPr>
          <w:rFonts w:ascii="宋体"/>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pStyle w:val="21"/>
        <w:spacing w:before="0" w:beforeAutospacing="0" w:after="0" w:afterAutospacing="0"/>
        <w:outlineLvl w:val="0"/>
        <w:rPr>
          <w:rFonts w:ascii="黑体" w:hAnsi="黑体" w:eastAsia="黑体"/>
          <w:snapToGrid w:val="0"/>
          <w:sz w:val="30"/>
          <w:szCs w:val="30"/>
        </w:rPr>
      </w:pPr>
      <w:bookmarkStart w:id="16" w:name="_Toc111712332"/>
      <w:r>
        <w:rPr>
          <w:rFonts w:hint="eastAsia" w:ascii="黑体" w:hAnsi="黑体" w:eastAsia="黑体"/>
          <w:snapToGrid w:val="0"/>
          <w:sz w:val="32"/>
          <w:szCs w:val="32"/>
        </w:rPr>
        <w:t>附表</w:t>
      </w:r>
      <w:bookmarkEnd w:id="16"/>
    </w:p>
    <w:p>
      <w:pPr>
        <w:pStyle w:val="21"/>
        <w:spacing w:before="0" w:beforeAutospacing="0" w:after="0" w:afterAutospacing="0"/>
        <w:jc w:val="center"/>
        <w:outlineLvl w:val="0"/>
        <w:rPr>
          <w:rFonts w:ascii="黑体" w:hAnsi="黑体" w:eastAsia="黑体"/>
          <w:snapToGrid w:val="0"/>
          <w:sz w:val="30"/>
          <w:szCs w:val="30"/>
        </w:rPr>
      </w:pPr>
      <w:bookmarkStart w:id="17" w:name="_Toc111712333"/>
      <w:r>
        <w:rPr>
          <w:rFonts w:hint="eastAsia" w:ascii="黑体" w:hAnsi="黑体" w:eastAsia="黑体"/>
          <w:snapToGrid w:val="0"/>
          <w:sz w:val="30"/>
          <w:szCs w:val="30"/>
        </w:rPr>
        <w:t>建设项目污染物排放量汇总表</w:t>
      </w:r>
      <w:bookmarkEnd w:id="17"/>
    </w:p>
    <w:tbl>
      <w:tblPr>
        <w:tblStyle w:val="25"/>
        <w:tblW w:w="1378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304"/>
        <w:gridCol w:w="1739"/>
        <w:gridCol w:w="1663"/>
        <w:gridCol w:w="1276"/>
        <w:gridCol w:w="1701"/>
        <w:gridCol w:w="1559"/>
        <w:gridCol w:w="1418"/>
        <w:gridCol w:w="1701"/>
        <w:gridCol w:w="142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项目</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分类</w:t>
            </w:r>
          </w:p>
        </w:tc>
        <w:tc>
          <w:tcPr>
            <w:tcW w:w="1739"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污染物名称</w:t>
            </w:r>
          </w:p>
        </w:tc>
        <w:tc>
          <w:tcPr>
            <w:tcW w:w="1663"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现有工程</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排放量（固体废物产生量）</w:t>
            </w:r>
            <w:r>
              <w:rPr>
                <w:rFonts w:ascii="Times New Roman"/>
                <w:b/>
                <w:snapToGrid w:val="0"/>
                <w:color w:val="000000"/>
                <w:spacing w:val="-6"/>
                <w:kern w:val="21"/>
                <w:szCs w:val="21"/>
              </w:rPr>
              <w:fldChar w:fldCharType="begin"/>
            </w:r>
            <w:r>
              <w:rPr>
                <w:rFonts w:ascii="Times New Roman"/>
                <w:b/>
                <w:snapToGrid w:val="0"/>
                <w:color w:val="000000"/>
                <w:spacing w:val="-6"/>
                <w:kern w:val="21"/>
                <w:szCs w:val="21"/>
              </w:rPr>
              <w:instrText xml:space="preserve"> = 1 \* GB3 \* MERGEFORMAT </w:instrText>
            </w:r>
            <w:r>
              <w:rPr>
                <w:rFonts w:ascii="Times New Roman"/>
                <w:b/>
                <w:snapToGrid w:val="0"/>
                <w:color w:val="000000"/>
                <w:spacing w:val="-6"/>
                <w:kern w:val="21"/>
                <w:szCs w:val="21"/>
              </w:rPr>
              <w:fldChar w:fldCharType="separate"/>
            </w:r>
            <w:r>
              <w:rPr>
                <w:rFonts w:ascii="Times New Roman" w:hAnsi="宋体"/>
                <w:b/>
                <w:kern w:val="2"/>
                <w:szCs w:val="21"/>
              </w:rPr>
              <w:t>①</w:t>
            </w:r>
            <w:r>
              <w:rPr>
                <w:rFonts w:ascii="Times New Roman"/>
                <w:b/>
                <w:snapToGrid w:val="0"/>
                <w:color w:val="000000"/>
                <w:spacing w:val="-6"/>
                <w:kern w:val="21"/>
                <w:szCs w:val="21"/>
              </w:rPr>
              <w:fldChar w:fldCharType="end"/>
            </w:r>
          </w:p>
        </w:tc>
        <w:tc>
          <w:tcPr>
            <w:tcW w:w="1276"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现有工程</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许可排放量</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fldChar w:fldCharType="begin"/>
            </w:r>
            <w:r>
              <w:rPr>
                <w:rFonts w:ascii="Times New Roman"/>
                <w:b/>
                <w:snapToGrid w:val="0"/>
                <w:color w:val="000000"/>
                <w:spacing w:val="-6"/>
                <w:kern w:val="21"/>
                <w:szCs w:val="21"/>
              </w:rPr>
              <w:instrText xml:space="preserve"> = 2 \* GB3 \* MERGEFORMAT </w:instrText>
            </w:r>
            <w:r>
              <w:rPr>
                <w:rFonts w:ascii="Times New Roman"/>
                <w:b/>
                <w:snapToGrid w:val="0"/>
                <w:color w:val="000000"/>
                <w:spacing w:val="-6"/>
                <w:kern w:val="21"/>
                <w:szCs w:val="21"/>
              </w:rPr>
              <w:fldChar w:fldCharType="separate"/>
            </w:r>
            <w:r>
              <w:rPr>
                <w:rFonts w:ascii="Times New Roman" w:hAnsi="宋体"/>
                <w:b/>
                <w:snapToGrid w:val="0"/>
                <w:color w:val="000000"/>
                <w:spacing w:val="-6"/>
                <w:kern w:val="21"/>
                <w:szCs w:val="21"/>
              </w:rPr>
              <w:t>②</w:t>
            </w:r>
            <w:r>
              <w:rPr>
                <w:rFonts w:ascii="Times New Roman"/>
                <w:b/>
                <w:snapToGrid w:val="0"/>
                <w:color w:val="000000"/>
                <w:spacing w:val="-6"/>
                <w:kern w:val="21"/>
                <w:szCs w:val="21"/>
              </w:rPr>
              <w:fldChar w:fldCharType="end"/>
            </w:r>
          </w:p>
        </w:tc>
        <w:tc>
          <w:tcPr>
            <w:tcW w:w="1701"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在建工程</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排放量（固体废物产生量）</w:t>
            </w:r>
            <w:r>
              <w:rPr>
                <w:rFonts w:ascii="Times New Roman"/>
                <w:b/>
                <w:snapToGrid w:val="0"/>
                <w:color w:val="000000"/>
                <w:spacing w:val="-6"/>
                <w:kern w:val="21"/>
                <w:szCs w:val="21"/>
              </w:rPr>
              <w:fldChar w:fldCharType="begin"/>
            </w:r>
            <w:r>
              <w:rPr>
                <w:rFonts w:ascii="Times New Roman"/>
                <w:b/>
                <w:snapToGrid w:val="0"/>
                <w:color w:val="000000"/>
                <w:spacing w:val="-6"/>
                <w:kern w:val="21"/>
                <w:szCs w:val="21"/>
              </w:rPr>
              <w:instrText xml:space="preserve"> = 3 \* GB3 \* MERGEFORMAT </w:instrText>
            </w:r>
            <w:r>
              <w:rPr>
                <w:rFonts w:ascii="Times New Roman"/>
                <w:b/>
                <w:snapToGrid w:val="0"/>
                <w:color w:val="000000"/>
                <w:spacing w:val="-6"/>
                <w:kern w:val="21"/>
                <w:szCs w:val="21"/>
              </w:rPr>
              <w:fldChar w:fldCharType="separate"/>
            </w:r>
            <w:r>
              <w:rPr>
                <w:rFonts w:ascii="Times New Roman" w:hAnsi="宋体"/>
                <w:b/>
                <w:kern w:val="2"/>
                <w:szCs w:val="21"/>
              </w:rPr>
              <w:t>③</w:t>
            </w:r>
            <w:r>
              <w:rPr>
                <w:rFonts w:ascii="Times New Roman"/>
                <w:b/>
                <w:snapToGrid w:val="0"/>
                <w:color w:val="000000"/>
                <w:spacing w:val="-6"/>
                <w:kern w:val="21"/>
                <w:szCs w:val="21"/>
              </w:rPr>
              <w:fldChar w:fldCharType="end"/>
            </w:r>
          </w:p>
        </w:tc>
        <w:tc>
          <w:tcPr>
            <w:tcW w:w="1559"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本项目</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排放量（固体废物产生量）</w:t>
            </w:r>
            <w:r>
              <w:rPr>
                <w:rFonts w:ascii="Times New Roman"/>
                <w:b/>
                <w:snapToGrid w:val="0"/>
                <w:color w:val="000000"/>
                <w:spacing w:val="-6"/>
                <w:kern w:val="21"/>
                <w:szCs w:val="21"/>
              </w:rPr>
              <w:fldChar w:fldCharType="begin"/>
            </w:r>
            <w:r>
              <w:rPr>
                <w:rFonts w:ascii="Times New Roman"/>
                <w:b/>
                <w:snapToGrid w:val="0"/>
                <w:color w:val="000000"/>
                <w:spacing w:val="-6"/>
                <w:kern w:val="21"/>
                <w:szCs w:val="21"/>
              </w:rPr>
              <w:instrText xml:space="preserve"> = 4 \* GB3 \* MERGEFORMAT </w:instrText>
            </w:r>
            <w:r>
              <w:rPr>
                <w:rFonts w:ascii="Times New Roman"/>
                <w:b/>
                <w:snapToGrid w:val="0"/>
                <w:color w:val="000000"/>
                <w:spacing w:val="-6"/>
                <w:kern w:val="21"/>
                <w:szCs w:val="21"/>
              </w:rPr>
              <w:fldChar w:fldCharType="separate"/>
            </w:r>
            <w:r>
              <w:rPr>
                <w:rFonts w:ascii="Times New Roman" w:hAnsi="宋体"/>
                <w:b/>
                <w:kern w:val="2"/>
                <w:szCs w:val="21"/>
              </w:rPr>
              <w:t>④</w:t>
            </w:r>
            <w:r>
              <w:rPr>
                <w:rFonts w:ascii="Times New Roman"/>
                <w:b/>
                <w:snapToGrid w:val="0"/>
                <w:color w:val="000000"/>
                <w:spacing w:val="-6"/>
                <w:kern w:val="21"/>
                <w:szCs w:val="21"/>
              </w:rPr>
              <w:fldChar w:fldCharType="end"/>
            </w:r>
          </w:p>
        </w:tc>
        <w:tc>
          <w:tcPr>
            <w:tcW w:w="1418"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16"/>
                <w:kern w:val="21"/>
                <w:szCs w:val="21"/>
              </w:rPr>
            </w:pPr>
            <w:r>
              <w:rPr>
                <w:rFonts w:ascii="Times New Roman"/>
                <w:b/>
                <w:snapToGrid w:val="0"/>
                <w:color w:val="000000"/>
                <w:spacing w:val="-16"/>
                <w:kern w:val="21"/>
                <w:szCs w:val="21"/>
              </w:rPr>
              <w:t>以新带老削减量</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16"/>
                <w:kern w:val="21"/>
                <w:szCs w:val="21"/>
              </w:rPr>
            </w:pPr>
            <w:r>
              <w:rPr>
                <w:rFonts w:ascii="Times New Roman"/>
                <w:b/>
                <w:snapToGrid w:val="0"/>
                <w:color w:val="000000"/>
                <w:spacing w:val="-16"/>
                <w:kern w:val="21"/>
                <w:szCs w:val="21"/>
              </w:rPr>
              <w:t>（新建项目不填）</w:t>
            </w:r>
            <w:r>
              <w:rPr>
                <w:rFonts w:ascii="Times New Roman"/>
                <w:b/>
                <w:snapToGrid w:val="0"/>
                <w:color w:val="000000"/>
                <w:spacing w:val="-16"/>
                <w:kern w:val="21"/>
                <w:szCs w:val="21"/>
              </w:rPr>
              <w:fldChar w:fldCharType="begin"/>
            </w:r>
            <w:r>
              <w:rPr>
                <w:rFonts w:ascii="Times New Roman"/>
                <w:b/>
                <w:snapToGrid w:val="0"/>
                <w:color w:val="000000"/>
                <w:spacing w:val="-16"/>
                <w:kern w:val="21"/>
                <w:szCs w:val="21"/>
              </w:rPr>
              <w:instrText xml:space="preserve"> = 5 \* GB3 \* MERGEFORMAT </w:instrText>
            </w:r>
            <w:r>
              <w:rPr>
                <w:rFonts w:ascii="Times New Roman"/>
                <w:b/>
                <w:snapToGrid w:val="0"/>
                <w:color w:val="000000"/>
                <w:spacing w:val="-16"/>
                <w:kern w:val="21"/>
                <w:szCs w:val="21"/>
              </w:rPr>
              <w:fldChar w:fldCharType="separate"/>
            </w:r>
            <w:r>
              <w:rPr>
                <w:rFonts w:ascii="Times New Roman" w:hAnsi="宋体"/>
                <w:b/>
                <w:kern w:val="2"/>
                <w:szCs w:val="21"/>
              </w:rPr>
              <w:t>⑤</w:t>
            </w:r>
            <w:r>
              <w:rPr>
                <w:rFonts w:ascii="Times New Roman"/>
                <w:b/>
                <w:snapToGrid w:val="0"/>
                <w:color w:val="000000"/>
                <w:spacing w:val="-16"/>
                <w:kern w:val="21"/>
                <w:szCs w:val="21"/>
              </w:rPr>
              <w:fldChar w:fldCharType="end"/>
            </w:r>
          </w:p>
        </w:tc>
        <w:tc>
          <w:tcPr>
            <w:tcW w:w="1701"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16"/>
                <w:kern w:val="21"/>
                <w:szCs w:val="21"/>
              </w:rPr>
            </w:pPr>
            <w:r>
              <w:rPr>
                <w:rFonts w:ascii="Times New Roman"/>
                <w:b/>
                <w:snapToGrid w:val="0"/>
                <w:color w:val="000000"/>
                <w:spacing w:val="-16"/>
                <w:kern w:val="21"/>
                <w:szCs w:val="21"/>
              </w:rPr>
              <w:t>本项目建成后</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16"/>
                <w:kern w:val="21"/>
                <w:szCs w:val="21"/>
              </w:rPr>
            </w:pPr>
            <w:r>
              <w:rPr>
                <w:rFonts w:ascii="Times New Roman"/>
                <w:b/>
                <w:snapToGrid w:val="0"/>
                <w:color w:val="000000"/>
                <w:spacing w:val="-16"/>
                <w:kern w:val="21"/>
                <w:szCs w:val="21"/>
              </w:rPr>
              <w:t>全厂排放量（固体废物产生量）</w:t>
            </w:r>
            <w:r>
              <w:rPr>
                <w:rFonts w:ascii="Times New Roman"/>
                <w:b/>
                <w:snapToGrid w:val="0"/>
                <w:color w:val="000000"/>
                <w:spacing w:val="-16"/>
                <w:kern w:val="21"/>
                <w:szCs w:val="21"/>
              </w:rPr>
              <w:fldChar w:fldCharType="begin"/>
            </w:r>
            <w:r>
              <w:rPr>
                <w:rFonts w:ascii="Times New Roman"/>
                <w:b/>
                <w:snapToGrid w:val="0"/>
                <w:color w:val="000000"/>
                <w:spacing w:val="-16"/>
                <w:kern w:val="21"/>
                <w:szCs w:val="21"/>
              </w:rPr>
              <w:instrText xml:space="preserve"> = 6 \* GB3 \* MERGEFORMAT </w:instrText>
            </w:r>
            <w:r>
              <w:rPr>
                <w:rFonts w:ascii="Times New Roman"/>
                <w:b/>
                <w:snapToGrid w:val="0"/>
                <w:color w:val="000000"/>
                <w:spacing w:val="-16"/>
                <w:kern w:val="21"/>
                <w:szCs w:val="21"/>
              </w:rPr>
              <w:fldChar w:fldCharType="separate"/>
            </w:r>
            <w:r>
              <w:rPr>
                <w:rFonts w:ascii="Times New Roman" w:hAnsi="宋体"/>
                <w:b/>
                <w:kern w:val="2"/>
                <w:szCs w:val="21"/>
              </w:rPr>
              <w:t>⑥</w:t>
            </w:r>
            <w:r>
              <w:rPr>
                <w:rFonts w:ascii="Times New Roman"/>
                <w:b/>
                <w:snapToGrid w:val="0"/>
                <w:color w:val="000000"/>
                <w:spacing w:val="-16"/>
                <w:kern w:val="21"/>
                <w:szCs w:val="21"/>
              </w:rPr>
              <w:fldChar w:fldCharType="end"/>
            </w:r>
          </w:p>
        </w:tc>
        <w:tc>
          <w:tcPr>
            <w:tcW w:w="1427" w:type="dxa"/>
            <w:tcMar>
              <w:left w:w="28" w:type="dxa"/>
              <w:right w:w="28" w:type="dxa"/>
            </w:tcMar>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t>变化量</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spacing w:val="-6"/>
                <w:kern w:val="21"/>
                <w:szCs w:val="21"/>
              </w:rPr>
            </w:pPr>
            <w:r>
              <w:rPr>
                <w:rFonts w:ascii="Times New Roman"/>
                <w:b/>
                <w:snapToGrid w:val="0"/>
                <w:color w:val="000000"/>
                <w:spacing w:val="-6"/>
                <w:kern w:val="21"/>
                <w:szCs w:val="21"/>
              </w:rPr>
              <w:fldChar w:fldCharType="begin"/>
            </w:r>
            <w:r>
              <w:rPr>
                <w:rFonts w:ascii="Times New Roman"/>
                <w:b/>
                <w:snapToGrid w:val="0"/>
                <w:color w:val="000000"/>
                <w:spacing w:val="-6"/>
                <w:kern w:val="21"/>
                <w:szCs w:val="21"/>
              </w:rPr>
              <w:instrText xml:space="preserve"> = 7 \* GB3 \* MERGEFORMAT </w:instrText>
            </w:r>
            <w:r>
              <w:rPr>
                <w:rFonts w:ascii="Times New Roman"/>
                <w:b/>
                <w:snapToGrid w:val="0"/>
                <w:color w:val="000000"/>
                <w:spacing w:val="-6"/>
                <w:kern w:val="21"/>
                <w:szCs w:val="21"/>
              </w:rPr>
              <w:fldChar w:fldCharType="separate"/>
            </w:r>
            <w:r>
              <w:rPr>
                <w:rFonts w:ascii="Times New Roman" w:hAnsi="宋体"/>
                <w:b/>
                <w:kern w:val="2"/>
                <w:szCs w:val="21"/>
              </w:rPr>
              <w:t>⑦</w:t>
            </w:r>
            <w:r>
              <w:rPr>
                <w:rFonts w:ascii="Times New Roman"/>
                <w:b/>
                <w:snapToGrid w:val="0"/>
                <w:color w:val="000000"/>
                <w:spacing w:val="-6"/>
                <w:kern w:val="21"/>
                <w:szCs w:val="21"/>
              </w:rPr>
              <w:fldChar w:fldCharType="end"/>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restart"/>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r>
              <w:rPr>
                <w:rFonts w:ascii="Times New Roman"/>
                <w:b/>
                <w:snapToGrid w:val="0"/>
                <w:color w:val="000000"/>
                <w:kern w:val="21"/>
                <w:szCs w:val="21"/>
              </w:rPr>
              <w:t>废气</w:t>
            </w: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szCs w:val="21"/>
              </w:rPr>
            </w:pPr>
            <w:r>
              <w:rPr>
                <w:szCs w:val="21"/>
              </w:rPr>
              <w:t>颗粒物（无组织）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2.494</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2.494</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0.022</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1.519</w:t>
            </w:r>
          </w:p>
        </w:tc>
        <w:tc>
          <w:tcPr>
            <w:tcW w:w="1701"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0.997</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-1.497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szCs w:val="21"/>
              </w:rPr>
            </w:pPr>
            <w:r>
              <w:rPr>
                <w:szCs w:val="21"/>
              </w:rPr>
              <w:t>颗粒物（有组织）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.198</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.198</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0.025</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color w:val="000000"/>
                <w:szCs w:val="21"/>
              </w:rPr>
              <w:t>0</w:t>
            </w:r>
            <w:r>
              <w:rPr>
                <w:rFonts w:hint="eastAsia"/>
                <w:color w:val="000000"/>
                <w:szCs w:val="21"/>
                <w:lang w:val="en-US" w:eastAsia="zh-CN"/>
              </w:rPr>
              <w:t>.022</w:t>
            </w:r>
          </w:p>
        </w:tc>
        <w:tc>
          <w:tcPr>
            <w:tcW w:w="1701"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color w:val="000000"/>
                <w:szCs w:val="21"/>
                <w:lang w:val="en-US"/>
              </w:rPr>
            </w:pPr>
            <w:r>
              <w:rPr>
                <w:rFonts w:hint="eastAsia"/>
                <w:color w:val="000000"/>
                <w:szCs w:val="21"/>
                <w:lang w:val="en-US" w:eastAsia="zh-CN"/>
              </w:rPr>
              <w:t>0.201</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+0.003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szCs w:val="21"/>
              </w:rPr>
            </w:pPr>
            <w:r>
              <w:rPr>
                <w:rFonts w:hint="default"/>
              </w:rPr>
              <w:t>SO</w:t>
            </w:r>
            <w:r>
              <w:rPr>
                <w:rFonts w:hint="default"/>
                <w:vertAlign w:val="subscript"/>
              </w:rPr>
              <w:t>2</w:t>
            </w:r>
            <w:r>
              <w:rPr>
                <w:szCs w:val="21"/>
              </w:rPr>
              <w:t>（有组织）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0.011</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0.011</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0.011</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eastAsia" w:eastAsia="宋体"/>
                <w:color w:val="000000"/>
                <w:szCs w:val="21"/>
                <w:lang w:val="en-US" w:eastAsia="zh-CN"/>
              </w:rPr>
            </w:pPr>
            <w:r>
              <w:rPr>
                <w:rFonts w:hint="eastAsia"/>
                <w:color w:val="000000"/>
                <w:szCs w:val="21"/>
                <w:lang w:val="en-US" w:eastAsia="zh-CN"/>
              </w:rPr>
              <w:t>0</w:t>
            </w:r>
          </w:p>
        </w:tc>
        <w:tc>
          <w:tcPr>
            <w:tcW w:w="1701"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0.022</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+0.011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default" w:eastAsia="宋体"/>
                <w:szCs w:val="21"/>
                <w:lang w:val="en-US" w:eastAsia="zh-CN"/>
              </w:rPr>
            </w:pPr>
            <w:r>
              <w:rPr>
                <w:rFonts w:hint="eastAsia"/>
                <w:szCs w:val="21"/>
                <w:lang w:val="en-US" w:eastAsia="zh-CN"/>
              </w:rPr>
              <w:t>NO</w:t>
            </w:r>
            <w:r>
              <w:rPr>
                <w:rFonts w:hint="eastAsia"/>
                <w:szCs w:val="21"/>
                <w:vertAlign w:val="subscript"/>
                <w:lang w:val="en-US" w:eastAsia="zh-CN"/>
              </w:rPr>
              <w:t>X</w:t>
            </w:r>
            <w:r>
              <w:rPr>
                <w:szCs w:val="21"/>
              </w:rPr>
              <w:t>（有组织）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0.084</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0.084</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0.084</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eastAsia" w:eastAsia="宋体"/>
                <w:color w:val="000000"/>
                <w:szCs w:val="21"/>
                <w:lang w:val="en-US" w:eastAsia="zh-CN"/>
              </w:rPr>
            </w:pPr>
            <w:r>
              <w:rPr>
                <w:rFonts w:hint="eastAsia"/>
                <w:color w:val="000000"/>
                <w:szCs w:val="21"/>
                <w:lang w:val="en-US" w:eastAsia="zh-CN"/>
              </w:rPr>
              <w:t>0</w:t>
            </w:r>
          </w:p>
        </w:tc>
        <w:tc>
          <w:tcPr>
            <w:tcW w:w="1701"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0.168</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+0.084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kern w:val="2"/>
                <w:sz w:val="21"/>
                <w:szCs w:val="21"/>
                <w:lang w:val="en-US" w:eastAsia="zh-CN" w:bidi="ar-SA"/>
              </w:rPr>
            </w:pPr>
            <w:r>
              <w:rPr>
                <w:rFonts w:hint="eastAsia"/>
                <w:szCs w:val="21"/>
                <w:lang w:val="en-US" w:eastAsia="zh-CN"/>
              </w:rPr>
              <w:t>VOCs</w:t>
            </w:r>
            <w:r>
              <w:rPr>
                <w:szCs w:val="21"/>
              </w:rPr>
              <w:t>（有组织）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0.141</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0.141</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w:t>
            </w:r>
          </w:p>
        </w:tc>
        <w:tc>
          <w:tcPr>
            <w:tcW w:w="155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0.203</w:t>
            </w:r>
          </w:p>
        </w:tc>
        <w:tc>
          <w:tcPr>
            <w:tcW w:w="1418" w:type="dxa"/>
            <w:vAlign w:val="center"/>
          </w:tcPr>
          <w:p>
            <w:pPr>
              <w:keepNext w:val="0"/>
              <w:keepLines w:val="0"/>
              <w:pageBreakBefore w:val="0"/>
              <w:widowControl w:val="0"/>
              <w:kinsoku/>
              <w:wordWrap/>
              <w:overflowPunct/>
              <w:topLinePunct w:val="0"/>
              <w:autoSpaceDE/>
              <w:autoSpaceDN/>
              <w:bidi w:val="0"/>
              <w:ind w:firstLine="0" w:firstLineChars="0"/>
              <w:jc w:val="center"/>
              <w:textAlignment w:val="auto"/>
              <w:rPr>
                <w:rFonts w:hint="eastAsia" w:ascii="Times New Roman" w:hAnsi="Times New Roman" w:eastAsia="宋体" w:cs="Times New Roman"/>
                <w:color w:val="000000"/>
                <w:kern w:val="2"/>
                <w:sz w:val="21"/>
                <w:szCs w:val="21"/>
                <w:lang w:val="en-US" w:eastAsia="zh-CN" w:bidi="ar-SA"/>
              </w:rPr>
            </w:pPr>
            <w:r>
              <w:rPr>
                <w:rFonts w:hint="eastAsia"/>
                <w:color w:val="000000"/>
                <w:szCs w:val="21"/>
                <w:lang w:val="en-US" w:eastAsia="zh-CN"/>
              </w:rPr>
              <w:t>0</w:t>
            </w:r>
          </w:p>
        </w:tc>
        <w:tc>
          <w:tcPr>
            <w:tcW w:w="1701" w:type="dxa"/>
            <w:vAlign w:val="center"/>
          </w:tcPr>
          <w:p>
            <w:pPr>
              <w:keepNext w:val="0"/>
              <w:keepLines w:val="0"/>
              <w:pageBreakBefore w:val="0"/>
              <w:widowControl w:val="0"/>
              <w:kinsoku/>
              <w:wordWrap/>
              <w:overflowPunct/>
              <w:topLinePunct w:val="0"/>
              <w:autoSpaceDE/>
              <w:autoSpaceDN/>
              <w:bidi w:val="0"/>
              <w:ind w:firstLine="0" w:firstLineChars="0"/>
              <w:jc w:val="center"/>
              <w:textAlignment w:val="auto"/>
              <w:rPr>
                <w:rFonts w:hint="eastAsia" w:ascii="Times New Roman" w:hAnsi="Times New Roman" w:eastAsia="宋体" w:cs="Times New Roman"/>
                <w:color w:val="000000"/>
                <w:kern w:val="2"/>
                <w:sz w:val="21"/>
                <w:szCs w:val="21"/>
                <w:lang w:val="en-US" w:eastAsia="zh-CN" w:bidi="ar-SA"/>
              </w:rPr>
            </w:pPr>
            <w:r>
              <w:rPr>
                <w:rFonts w:hint="eastAsia"/>
                <w:color w:val="000000"/>
                <w:szCs w:val="21"/>
                <w:lang w:val="en-US" w:eastAsia="zh-CN"/>
              </w:rPr>
              <w:t>0.344</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eastAsia"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+0.203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default" w:eastAsia="宋体"/>
                <w:szCs w:val="21"/>
                <w:lang w:val="en-US" w:eastAsia="zh-CN"/>
              </w:rPr>
            </w:pPr>
            <w:r>
              <w:rPr>
                <w:rFonts w:hint="eastAsia"/>
                <w:szCs w:val="21"/>
                <w:lang w:val="en-US" w:eastAsia="zh-CN"/>
              </w:rPr>
              <w:t>VOCs</w:t>
            </w:r>
            <w:r>
              <w:rPr>
                <w:szCs w:val="21"/>
              </w:rPr>
              <w:t>（</w:t>
            </w:r>
            <w:r>
              <w:rPr>
                <w:rFonts w:hint="eastAsia"/>
                <w:szCs w:val="21"/>
                <w:lang w:val="en-US" w:eastAsia="zh-CN"/>
              </w:rPr>
              <w:t>无</w:t>
            </w:r>
            <w:r>
              <w:rPr>
                <w:szCs w:val="21"/>
              </w:rPr>
              <w:t>组织）</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0.052</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cs="Times New Roman"/>
                <w:snapToGrid w:val="0"/>
                <w:color w:val="000000"/>
                <w:kern w:val="21"/>
                <w:sz w:val="21"/>
                <w:szCs w:val="21"/>
                <w:lang w:val="en-US" w:eastAsia="zh-CN" w:bidi="ar-SA"/>
              </w:rPr>
              <w:t>0.052</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0.0002</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w:t>
            </w:r>
          </w:p>
        </w:tc>
        <w:tc>
          <w:tcPr>
            <w:tcW w:w="1701"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default" w:eastAsia="宋体"/>
                <w:color w:val="000000"/>
                <w:szCs w:val="21"/>
                <w:lang w:val="en-US" w:eastAsia="zh-CN"/>
              </w:rPr>
            </w:pPr>
            <w:r>
              <w:rPr>
                <w:rFonts w:hint="eastAsia"/>
                <w:color w:val="000000"/>
                <w:szCs w:val="21"/>
                <w:lang w:val="en-US" w:eastAsia="zh-CN"/>
              </w:rPr>
              <w:t>0.0522</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cs="Times New Roman"/>
                <w:snapToGrid w:val="0"/>
                <w:color w:val="000000"/>
                <w:kern w:val="21"/>
                <w:sz w:val="21"/>
                <w:szCs w:val="21"/>
                <w:lang w:val="en-US" w:eastAsia="zh-CN" w:bidi="ar-SA"/>
              </w:rPr>
              <w:t>+0.0002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restart"/>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r>
              <w:rPr>
                <w:rFonts w:ascii="Times New Roman"/>
                <w:b/>
                <w:snapToGrid w:val="0"/>
                <w:color w:val="000000"/>
                <w:kern w:val="21"/>
                <w:szCs w:val="21"/>
              </w:rPr>
              <w:t>废水</w:t>
            </w:r>
          </w:p>
        </w:tc>
        <w:tc>
          <w:tcPr>
            <w:tcW w:w="173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bCs/>
                <w:spacing w:val="-10"/>
                <w:szCs w:val="21"/>
              </w:rPr>
            </w:pPr>
            <w:r>
              <w:rPr>
                <w:bCs/>
                <w:spacing w:val="-10"/>
                <w:szCs w:val="21"/>
              </w:rPr>
              <w:t>排放量m</w:t>
            </w:r>
            <w:r>
              <w:rPr>
                <w:bCs/>
                <w:spacing w:val="-10"/>
                <w:szCs w:val="21"/>
                <w:vertAlign w:val="superscript"/>
              </w:rPr>
              <w:t>3</w:t>
            </w:r>
            <w:r>
              <w:rPr>
                <w:bCs/>
                <w:spacing w:val="-10"/>
                <w:szCs w:val="21"/>
              </w:rPr>
              <w:t>/a</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6720</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ascii="Times New Roman"/>
                <w:snapToGrid w:val="0"/>
                <w:color w:val="000000"/>
                <w:kern w:val="21"/>
                <w:szCs w:val="21"/>
              </w:rPr>
            </w:pPr>
            <w:r>
              <w:rPr>
                <w:rFonts w:hint="eastAsia" w:ascii="Times New Roman"/>
                <w:snapToGrid w:val="0"/>
                <w:color w:val="000000"/>
                <w:kern w:val="21"/>
                <w:szCs w:val="21"/>
                <w:lang w:val="en-US" w:eastAsia="zh-CN"/>
              </w:rPr>
              <w:t>6720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ind w:firstLine="0"/>
              <w:jc w:val="center"/>
              <w:textAlignment w:val="auto"/>
              <w:rPr>
                <w:rFonts w:hint="eastAsia" w:eastAsia="宋体"/>
                <w:color w:val="000000"/>
                <w:szCs w:val="21"/>
                <w:lang w:val="en-US" w:eastAsia="zh-CN"/>
              </w:rPr>
            </w:pPr>
            <w:r>
              <w:rPr>
                <w:rFonts w:hint="eastAsia"/>
                <w:color w:val="000000"/>
                <w:szCs w:val="21"/>
                <w:lang w:val="en-US" w:eastAsia="zh-CN"/>
              </w:rPr>
              <w:t>0</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hint="eastAsia" w:ascii="Times New Roman"/>
                <w:snapToGrid w:val="0"/>
                <w:color w:val="000000"/>
                <w:kern w:val="21"/>
                <w:szCs w:val="21"/>
                <w:lang w:val="en-US" w:eastAsia="zh-CN"/>
              </w:rPr>
              <w:t>6720</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COD</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.336</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ascii="Times New Roman"/>
                <w:snapToGrid w:val="0"/>
                <w:color w:val="000000"/>
                <w:kern w:val="21"/>
                <w:szCs w:val="21"/>
              </w:rPr>
            </w:pPr>
            <w:r>
              <w:rPr>
                <w:rFonts w:ascii="Times New Roman"/>
                <w:snapToGrid w:val="0"/>
                <w:color w:val="000000"/>
                <w:kern w:val="21"/>
                <w:szCs w:val="21"/>
              </w:rPr>
              <w:t>0</w:t>
            </w:r>
            <w:r>
              <w:rPr>
                <w:rFonts w:hint="eastAsia" w:ascii="Times New Roman"/>
                <w:snapToGrid w:val="0"/>
                <w:color w:val="000000"/>
                <w:kern w:val="21"/>
                <w:szCs w:val="21"/>
                <w:lang w:val="en-US" w:eastAsia="zh-CN"/>
              </w:rPr>
              <w:t>.336</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eastAsia="宋体"/>
                <w:szCs w:val="21"/>
                <w:lang w:val="en-US" w:eastAsia="zh-CN"/>
              </w:rPr>
            </w:pPr>
            <w:r>
              <w:rPr>
                <w:rFonts w:hint="eastAsia"/>
                <w:szCs w:val="21"/>
                <w:lang w:val="en-US" w:eastAsia="zh-CN"/>
              </w:rPr>
              <w:t>0</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ascii="Times New Roman"/>
                <w:snapToGrid w:val="0"/>
                <w:color w:val="000000"/>
                <w:kern w:val="21"/>
                <w:szCs w:val="21"/>
              </w:rPr>
              <w:t>0</w:t>
            </w:r>
            <w:r>
              <w:rPr>
                <w:rFonts w:hint="eastAsia" w:ascii="Times New Roman"/>
                <w:snapToGrid w:val="0"/>
                <w:color w:val="000000"/>
                <w:kern w:val="21"/>
                <w:szCs w:val="21"/>
                <w:lang w:val="en-US" w:eastAsia="zh-CN"/>
              </w:rPr>
              <w:t>.336</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BOD</w:t>
            </w:r>
            <w:r>
              <w:rPr>
                <w:rFonts w:ascii="Times New Roman"/>
                <w:snapToGrid w:val="0"/>
                <w:color w:val="000000"/>
                <w:kern w:val="21"/>
                <w:szCs w:val="21"/>
                <w:vertAlign w:val="subscript"/>
              </w:rPr>
              <w:t>5</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ascii="Times New Roman"/>
                <w:snapToGrid w:val="0"/>
                <w:color w:val="000000"/>
                <w:kern w:val="21"/>
                <w:szCs w:val="21"/>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eastAsia="宋体"/>
                <w:szCs w:val="21"/>
                <w:lang w:val="en-US" w:eastAsia="zh-CN"/>
              </w:rPr>
            </w:pPr>
            <w:r>
              <w:rPr>
                <w:rFonts w:hint="eastAsia"/>
                <w:szCs w:val="21"/>
                <w:lang w:val="en-US" w:eastAsia="zh-CN"/>
              </w:rPr>
              <w:t>0</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NH</w:t>
            </w:r>
            <w:r>
              <w:rPr>
                <w:rFonts w:ascii="Times New Roman"/>
                <w:snapToGrid w:val="0"/>
                <w:color w:val="000000"/>
                <w:kern w:val="21"/>
                <w:szCs w:val="21"/>
                <w:vertAlign w:val="subscript"/>
              </w:rPr>
              <w:t>3</w:t>
            </w:r>
            <w:r>
              <w:rPr>
                <w:rFonts w:ascii="Times New Roman"/>
                <w:snapToGrid w:val="0"/>
                <w:color w:val="000000"/>
                <w:kern w:val="21"/>
                <w:szCs w:val="21"/>
              </w:rPr>
              <w:t>-N</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.034</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ascii="Times New Roman"/>
                <w:snapToGrid w:val="0"/>
                <w:color w:val="000000"/>
                <w:kern w:val="21"/>
                <w:szCs w:val="21"/>
              </w:rPr>
            </w:pPr>
            <w:r>
              <w:rPr>
                <w:rFonts w:ascii="Times New Roman"/>
                <w:snapToGrid w:val="0"/>
                <w:color w:val="000000"/>
                <w:kern w:val="21"/>
                <w:szCs w:val="21"/>
              </w:rPr>
              <w:t>0</w:t>
            </w:r>
            <w:r>
              <w:rPr>
                <w:rFonts w:hint="eastAsia" w:ascii="Times New Roman"/>
                <w:snapToGrid w:val="0"/>
                <w:color w:val="000000"/>
                <w:kern w:val="21"/>
                <w:szCs w:val="21"/>
                <w:lang w:val="en-US" w:eastAsia="zh-CN"/>
              </w:rPr>
              <w:t>.034</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eastAsia="宋体"/>
                <w:szCs w:val="21"/>
                <w:lang w:val="en-US" w:eastAsia="zh-CN"/>
              </w:rPr>
            </w:pPr>
            <w:r>
              <w:rPr>
                <w:rFonts w:hint="eastAsia"/>
                <w:szCs w:val="21"/>
                <w:lang w:val="en-US" w:eastAsia="zh-CN"/>
              </w:rPr>
              <w:t>0</w:t>
            </w:r>
          </w:p>
        </w:tc>
        <w:tc>
          <w:tcPr>
            <w:tcW w:w="1418"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ascii="Times New Roman"/>
                <w:snapToGrid w:val="0"/>
                <w:color w:val="000000"/>
                <w:kern w:val="21"/>
                <w:szCs w:val="21"/>
              </w:rPr>
              <w:t>0</w:t>
            </w:r>
            <w:r>
              <w:rPr>
                <w:rFonts w:hint="eastAsia" w:ascii="Times New Roman"/>
                <w:snapToGrid w:val="0"/>
                <w:color w:val="000000"/>
                <w:kern w:val="21"/>
                <w:szCs w:val="21"/>
                <w:lang w:val="en-US" w:eastAsia="zh-CN"/>
              </w:rPr>
              <w:t>.034</w:t>
            </w:r>
          </w:p>
        </w:tc>
        <w:tc>
          <w:tcPr>
            <w:tcW w:w="1427" w:type="dxa"/>
            <w:vAlign w:val="center"/>
          </w:tcPr>
          <w:p>
            <w:pPr>
              <w:keepNext w:val="0"/>
              <w:keepLines w:val="0"/>
              <w:pageBreakBefore w:val="0"/>
              <w:widowControl w:val="0"/>
              <w:kinsoku/>
              <w:wordWrap/>
              <w:overflowPunct/>
              <w:topLinePunct w:val="0"/>
              <w:autoSpaceDE/>
              <w:autoSpaceDN/>
              <w:bidi w:val="0"/>
              <w:ind w:firstLine="0"/>
              <w:jc w:val="center"/>
              <w:textAlignment w:val="auto"/>
              <w:rPr>
                <w:color w:val="000000"/>
                <w:szCs w:val="21"/>
              </w:rPr>
            </w:pPr>
            <w:r>
              <w:rPr>
                <w:color w:val="000000"/>
                <w:szCs w:val="21"/>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SS</w:t>
            </w:r>
          </w:p>
        </w:tc>
        <w:tc>
          <w:tcPr>
            <w:tcW w:w="1663"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276"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ascii="Times New Roman"/>
                <w:snapToGrid w:val="0"/>
                <w:color w:val="000000"/>
                <w:kern w:val="21"/>
                <w:szCs w:val="21"/>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ascii="Times New Roman"/>
                <w:snapToGrid w:val="0"/>
                <w:color w:val="000000"/>
                <w:kern w:val="21"/>
                <w:szCs w:val="21"/>
              </w:rPr>
              <w:t>0</w:t>
            </w:r>
          </w:p>
        </w:tc>
        <w:tc>
          <w:tcPr>
            <w:tcW w:w="1559"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eastAsia="宋体"/>
                <w:szCs w:val="21"/>
                <w:lang w:val="en-US" w:eastAsia="zh-CN"/>
              </w:rPr>
            </w:pPr>
            <w:r>
              <w:rPr>
                <w:rFonts w:hint="eastAsia"/>
                <w:szCs w:val="21"/>
                <w:lang w:val="en-US" w:eastAsia="zh-CN"/>
              </w:rPr>
              <w:t>0</w:t>
            </w:r>
          </w:p>
        </w:tc>
        <w:tc>
          <w:tcPr>
            <w:tcW w:w="1418"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bCs/>
                <w:spacing w:val="-10"/>
                <w:szCs w:val="21"/>
              </w:rPr>
            </w:pPr>
            <w:r>
              <w:rPr>
                <w:bCs/>
                <w:spacing w:val="-10"/>
                <w:szCs w:val="21"/>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firstLineChars="0"/>
              <w:jc w:val="center"/>
              <w:textAlignment w:val="auto"/>
              <w:rPr>
                <w:rFonts w:hint="default" w:ascii="Times New Roman" w:hAnsi="Times New Roman" w:eastAsia="宋体" w:cs="Times New Roman"/>
                <w:snapToGrid w:val="0"/>
                <w:color w:val="000000"/>
                <w:kern w:val="21"/>
                <w:sz w:val="21"/>
                <w:szCs w:val="21"/>
                <w:lang w:val="en-US" w:eastAsia="zh-CN" w:bidi="ar-SA"/>
              </w:rPr>
            </w:pPr>
            <w:r>
              <w:rPr>
                <w:rFonts w:ascii="Times New Roman"/>
                <w:snapToGrid w:val="0"/>
                <w:color w:val="000000"/>
                <w:kern w:val="21"/>
                <w:szCs w:val="21"/>
              </w:rPr>
              <w:t>0</w:t>
            </w:r>
            <w:r>
              <w:rPr>
                <w:rFonts w:hint="eastAsia" w:ascii="Times New Roman"/>
                <w:snapToGrid w:val="0"/>
                <w:color w:val="000000"/>
                <w:kern w:val="21"/>
                <w:szCs w:val="21"/>
                <w:lang w:val="en-US" w:eastAsia="zh-CN"/>
              </w:rPr>
              <w:t>.067</w:t>
            </w:r>
          </w:p>
        </w:tc>
        <w:tc>
          <w:tcPr>
            <w:tcW w:w="1427" w:type="dxa"/>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bCs/>
                <w:spacing w:val="-10"/>
                <w:szCs w:val="21"/>
              </w:rPr>
            </w:pPr>
            <w:r>
              <w:rPr>
                <w:bCs/>
                <w:spacing w:val="-10"/>
                <w:szCs w:val="21"/>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restart"/>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r>
              <w:rPr>
                <w:rFonts w:ascii="Times New Roman"/>
                <w:b/>
                <w:snapToGrid w:val="0"/>
                <w:color w:val="000000"/>
                <w:kern w:val="21"/>
                <w:szCs w:val="21"/>
              </w:rPr>
              <w:t>一般工业</w:t>
            </w:r>
          </w:p>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r>
              <w:rPr>
                <w:rFonts w:ascii="Times New Roman"/>
                <w:b/>
                <w:snapToGrid w:val="0"/>
                <w:color w:val="000000"/>
                <w:kern w:val="21"/>
                <w:szCs w:val="21"/>
              </w:rPr>
              <w:t>固体废物</w:t>
            </w: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边角料和金属废屑</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164.57</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164.57</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color w:val="000000"/>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color w:val="000000"/>
                <w:szCs w:val="21"/>
              </w:rPr>
            </w:pPr>
            <w:r>
              <w:rPr>
                <w:rFonts w:hint="default" w:ascii="Times New Roman" w:hAnsi="Times New Roman" w:eastAsia="宋体" w:cs="Times New Roman"/>
                <w:i w:val="0"/>
                <w:color w:val="000000"/>
                <w:kern w:val="0"/>
                <w:sz w:val="21"/>
                <w:szCs w:val="21"/>
                <w:u w:val="none"/>
                <w:lang w:val="en-US" w:eastAsia="zh-CN" w:bidi="ar"/>
              </w:rPr>
              <w:t>164.57</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除尘器（机加工、抛丸、焊接）收集尘</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17.74</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17.74</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17.74</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除尘器（多元合金共渗）收集尘</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1.519</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1.519</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1.519</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3.038</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eastAsia" w:cs="Times New Roman"/>
                <w:i w:val="0"/>
                <w:color w:val="000000"/>
                <w:kern w:val="0"/>
                <w:sz w:val="21"/>
                <w:szCs w:val="21"/>
                <w:u w:val="none"/>
                <w:lang w:val="en-US" w:eastAsia="zh-CN" w:bidi="ar"/>
              </w:rPr>
              <w:t>+</w:t>
            </w:r>
            <w:r>
              <w:rPr>
                <w:rFonts w:hint="default" w:ascii="Times New Roman" w:hAnsi="Times New Roman" w:eastAsia="宋体" w:cs="Times New Roman"/>
                <w:i w:val="0"/>
                <w:color w:val="000000"/>
                <w:kern w:val="0"/>
                <w:sz w:val="21"/>
                <w:szCs w:val="21"/>
                <w:u w:val="none"/>
                <w:lang w:val="en-US" w:eastAsia="zh-CN" w:bidi="ar"/>
              </w:rPr>
              <w:t>1.519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压滤机压滤泥饼</w:t>
            </w:r>
          </w:p>
        </w:tc>
        <w:tc>
          <w:tcPr>
            <w:tcW w:w="1663"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0.035</w:t>
            </w:r>
          </w:p>
        </w:tc>
        <w:tc>
          <w:tcPr>
            <w:tcW w:w="1276"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0.035</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0.035</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snapToGrid w:val="0"/>
                <w:color w:val="000000"/>
                <w:kern w:val="21"/>
                <w:szCs w:val="21"/>
              </w:rPr>
            </w:pP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0.07</w:t>
            </w:r>
          </w:p>
        </w:tc>
        <w:tc>
          <w:tcPr>
            <w:tcW w:w="1427"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eastAsia" w:cs="Times New Roman"/>
                <w:i w:val="0"/>
                <w:color w:val="000000"/>
                <w:kern w:val="0"/>
                <w:sz w:val="21"/>
                <w:szCs w:val="21"/>
                <w:u w:val="none"/>
                <w:lang w:val="en-US" w:eastAsia="zh-CN" w:bidi="ar"/>
              </w:rPr>
              <w:t>+</w:t>
            </w:r>
            <w:r>
              <w:rPr>
                <w:rFonts w:hint="default" w:ascii="Times New Roman" w:hAnsi="Times New Roman" w:eastAsia="宋体" w:cs="Times New Roman"/>
                <w:i w:val="0"/>
                <w:color w:val="000000"/>
                <w:kern w:val="0"/>
                <w:sz w:val="21"/>
                <w:szCs w:val="21"/>
                <w:u w:val="none"/>
                <w:lang w:val="en-US" w:eastAsia="zh-CN" w:bidi="ar"/>
              </w:rPr>
              <w:t>0.035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废反渗透膜</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restart"/>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r>
              <w:rPr>
                <w:rFonts w:ascii="Times New Roman"/>
                <w:b/>
                <w:snapToGrid w:val="0"/>
                <w:color w:val="000000"/>
                <w:kern w:val="21"/>
                <w:szCs w:val="21"/>
              </w:rPr>
              <w:t>危险废物</w:t>
            </w: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废乳化液</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0.3</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0.3</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0.3</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废</w:t>
            </w:r>
            <w:r>
              <w:rPr>
                <w:rStyle w:val="100"/>
                <w:rFonts w:eastAsia="宋体"/>
                <w:lang w:val="en-US" w:eastAsia="zh-CN" w:bidi="ar"/>
              </w:rPr>
              <w:t>润滑油</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0.01</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0.01</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0.01</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bCs/>
                <w:spacing w:val="-10"/>
                <w:szCs w:val="21"/>
              </w:rPr>
            </w:pPr>
            <w:r>
              <w:rPr>
                <w:rFonts w:hint="default" w:ascii="Times New Roman" w:hAnsi="Times New Roman" w:eastAsia="宋体" w:cs="Times New Roman"/>
                <w:i w:val="0"/>
                <w:color w:val="000000"/>
                <w:kern w:val="0"/>
                <w:sz w:val="21"/>
                <w:szCs w:val="21"/>
                <w:u w:val="none"/>
                <w:lang w:val="en-US" w:eastAsia="zh-CN" w:bidi="ar"/>
              </w:rPr>
              <w:t>废液压油</w:t>
            </w:r>
          </w:p>
        </w:tc>
        <w:tc>
          <w:tcPr>
            <w:tcW w:w="1663"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276"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snapToGrid w:val="0"/>
                <w:color w:val="000000"/>
                <w:kern w:val="21"/>
                <w:szCs w:val="21"/>
              </w:rPr>
            </w:pPr>
            <w:r>
              <w:rPr>
                <w:rFonts w:hint="eastAsia" w:ascii="Times New Roman"/>
                <w:snapToGrid w:val="0"/>
                <w:color w:val="000000"/>
                <w:kern w:val="21"/>
                <w:szCs w:val="21"/>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0.03</w:t>
            </w:r>
          </w:p>
        </w:tc>
        <w:tc>
          <w:tcPr>
            <w:tcW w:w="1427" w:type="dxa"/>
            <w:vAlign w:val="center"/>
          </w:tcPr>
          <w:p>
            <w:pPr>
              <w:keepNext w:val="0"/>
              <w:keepLines w:val="0"/>
              <w:widowControl/>
              <w:suppressLineNumbers w:val="0"/>
              <w:jc w:val="center"/>
              <w:textAlignment w:val="center"/>
              <w:rPr>
                <w:rFonts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bCs/>
                <w:spacing w:val="-10"/>
                <w:szCs w:val="21"/>
              </w:rPr>
            </w:pPr>
            <w:r>
              <w:rPr>
                <w:rFonts w:hint="default" w:ascii="Times New Roman" w:hAnsi="Times New Roman" w:eastAsia="宋体" w:cs="Times New Roman"/>
                <w:i w:val="0"/>
                <w:color w:val="000000"/>
                <w:kern w:val="0"/>
                <w:sz w:val="21"/>
                <w:szCs w:val="21"/>
                <w:u w:val="none"/>
                <w:lang w:val="en-US" w:eastAsia="zh-CN" w:bidi="ar"/>
              </w:rPr>
              <w:t>废</w:t>
            </w:r>
            <w:r>
              <w:rPr>
                <w:rStyle w:val="100"/>
                <w:rFonts w:eastAsia="宋体"/>
                <w:lang w:val="en-US" w:eastAsia="zh-CN" w:bidi="ar"/>
              </w:rPr>
              <w:t>过滤棉</w:t>
            </w:r>
          </w:p>
        </w:tc>
        <w:tc>
          <w:tcPr>
            <w:tcW w:w="1663"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0.12</w:t>
            </w:r>
          </w:p>
        </w:tc>
        <w:tc>
          <w:tcPr>
            <w:tcW w:w="1276"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0.12</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0.12</w:t>
            </w:r>
          </w:p>
        </w:tc>
        <w:tc>
          <w:tcPr>
            <w:tcW w:w="1427"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bCs/>
                <w:spacing w:val="-10"/>
                <w:szCs w:val="21"/>
              </w:rPr>
            </w:pPr>
            <w:r>
              <w:rPr>
                <w:rFonts w:hint="default" w:ascii="Times New Roman" w:hAnsi="Times New Roman" w:eastAsia="宋体" w:cs="Times New Roman"/>
                <w:i w:val="0"/>
                <w:color w:val="000000"/>
                <w:kern w:val="0"/>
                <w:sz w:val="21"/>
                <w:szCs w:val="21"/>
                <w:u w:val="none"/>
                <w:lang w:val="en-US" w:eastAsia="zh-CN" w:bidi="ar"/>
              </w:rPr>
              <w:t>废活性炭</w:t>
            </w:r>
          </w:p>
        </w:tc>
        <w:tc>
          <w:tcPr>
            <w:tcW w:w="1663"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1.298</w:t>
            </w:r>
          </w:p>
        </w:tc>
        <w:tc>
          <w:tcPr>
            <w:tcW w:w="1276"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1.298</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1.004</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2.302</w:t>
            </w:r>
          </w:p>
        </w:tc>
        <w:tc>
          <w:tcPr>
            <w:tcW w:w="1427"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eastAsia" w:cs="Times New Roman"/>
                <w:i w:val="0"/>
                <w:color w:val="000000"/>
                <w:kern w:val="0"/>
                <w:sz w:val="21"/>
                <w:szCs w:val="21"/>
                <w:u w:val="none"/>
                <w:lang w:val="en-US" w:eastAsia="zh-CN" w:bidi="ar"/>
              </w:rPr>
              <w:t>+</w:t>
            </w:r>
            <w:r>
              <w:rPr>
                <w:rFonts w:hint="default" w:ascii="Times New Roman" w:hAnsi="Times New Roman" w:eastAsia="宋体" w:cs="Times New Roman"/>
                <w:i w:val="0"/>
                <w:color w:val="000000"/>
                <w:kern w:val="0"/>
                <w:sz w:val="21"/>
                <w:szCs w:val="21"/>
                <w:u w:val="none"/>
                <w:lang w:val="en-US" w:eastAsia="zh-CN" w:bidi="ar"/>
              </w:rPr>
              <w:t>1.004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bCs/>
                <w:spacing w:val="-10"/>
                <w:szCs w:val="21"/>
              </w:rPr>
            </w:pPr>
            <w:r>
              <w:rPr>
                <w:rFonts w:hint="default" w:ascii="Times New Roman" w:hAnsi="Times New Roman" w:eastAsia="宋体" w:cs="Times New Roman"/>
                <w:i w:val="0"/>
                <w:color w:val="000000"/>
                <w:kern w:val="0"/>
                <w:sz w:val="21"/>
                <w:szCs w:val="21"/>
                <w:u w:val="none"/>
                <w:lang w:val="en-US" w:eastAsia="zh-CN" w:bidi="ar"/>
              </w:rPr>
              <w:t>废UV</w:t>
            </w:r>
            <w:r>
              <w:rPr>
                <w:rStyle w:val="101"/>
                <w:lang w:val="en-US" w:eastAsia="zh-CN" w:bidi="ar"/>
              </w:rPr>
              <w:t>灯管</w:t>
            </w:r>
          </w:p>
        </w:tc>
        <w:tc>
          <w:tcPr>
            <w:tcW w:w="1663"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0.005</w:t>
            </w:r>
          </w:p>
        </w:tc>
        <w:tc>
          <w:tcPr>
            <w:tcW w:w="1276"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0.005</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0.005</w:t>
            </w:r>
          </w:p>
        </w:tc>
        <w:tc>
          <w:tcPr>
            <w:tcW w:w="1427"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bCs/>
                <w:spacing w:val="-10"/>
                <w:szCs w:val="21"/>
              </w:rPr>
            </w:pPr>
            <w:r>
              <w:rPr>
                <w:rFonts w:hint="default" w:ascii="Times New Roman" w:hAnsi="Times New Roman" w:eastAsia="宋体" w:cs="Times New Roman"/>
                <w:i w:val="0"/>
                <w:color w:val="000000"/>
                <w:kern w:val="0"/>
                <w:sz w:val="21"/>
                <w:szCs w:val="21"/>
                <w:u w:val="none"/>
                <w:lang w:val="en-US" w:eastAsia="zh-CN" w:bidi="ar"/>
              </w:rPr>
              <w:t>废包装桶</w:t>
            </w:r>
          </w:p>
        </w:tc>
        <w:tc>
          <w:tcPr>
            <w:tcW w:w="1663"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0.25</w:t>
            </w:r>
          </w:p>
        </w:tc>
        <w:tc>
          <w:tcPr>
            <w:tcW w:w="1276" w:type="dxa"/>
            <w:vAlign w:val="center"/>
          </w:tcPr>
          <w:p>
            <w:pPr>
              <w:keepNext w:val="0"/>
              <w:keepLines w:val="0"/>
              <w:widowControl/>
              <w:suppressLineNumbers w:val="0"/>
              <w:jc w:val="center"/>
              <w:textAlignment w:val="center"/>
              <w:rPr>
                <w:rFonts w:hint="eastAsia" w:ascii="Times New Roman"/>
                <w:snapToGrid w:val="0"/>
                <w:color w:val="000000"/>
                <w:kern w:val="21"/>
                <w:szCs w:val="21"/>
              </w:rPr>
            </w:pPr>
            <w:r>
              <w:rPr>
                <w:rFonts w:hint="default" w:ascii="Times New Roman" w:hAnsi="Times New Roman" w:eastAsia="宋体" w:cs="Times New Roman"/>
                <w:i w:val="0"/>
                <w:color w:val="000000"/>
                <w:kern w:val="0"/>
                <w:sz w:val="21"/>
                <w:szCs w:val="21"/>
                <w:u w:val="none"/>
                <w:lang w:val="en-US" w:eastAsia="zh-CN" w:bidi="ar"/>
              </w:rPr>
              <w:t>0.25</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0.05</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eastAsia"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701" w:type="dxa"/>
            <w:vAlign w:val="center"/>
          </w:tcPr>
          <w:p>
            <w:pPr>
              <w:keepNext w:val="0"/>
              <w:keepLines w:val="0"/>
              <w:widowControl/>
              <w:suppressLineNumbers w:val="0"/>
              <w:jc w:val="center"/>
              <w:textAlignment w:val="center"/>
              <w:rPr>
                <w:szCs w:val="21"/>
              </w:rPr>
            </w:pPr>
            <w:r>
              <w:rPr>
                <w:rFonts w:hint="default" w:ascii="Times New Roman" w:hAnsi="Times New Roman" w:eastAsia="宋体" w:cs="Times New Roman"/>
                <w:i w:val="0"/>
                <w:color w:val="000000"/>
                <w:kern w:val="0"/>
                <w:sz w:val="21"/>
                <w:szCs w:val="21"/>
                <w:u w:val="none"/>
                <w:lang w:val="en-US" w:eastAsia="zh-CN" w:bidi="ar"/>
              </w:rPr>
              <w:t>0.3</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eastAsia="宋体"/>
                <w:snapToGrid w:val="0"/>
                <w:color w:val="000000"/>
                <w:kern w:val="21"/>
                <w:szCs w:val="21"/>
                <w:lang w:val="en-US" w:eastAsia="zh-CN"/>
              </w:rPr>
            </w:pPr>
            <w:r>
              <w:rPr>
                <w:rFonts w:hint="eastAsia" w:ascii="Times New Roman"/>
                <w:snapToGrid w:val="0"/>
                <w:color w:val="000000"/>
                <w:kern w:val="21"/>
                <w:szCs w:val="21"/>
                <w:lang w:val="en-US" w:eastAsia="zh-CN"/>
              </w:rPr>
              <w:t>+0.05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304" w:type="dxa"/>
            <w:vMerge w:val="continue"/>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ascii="Times New Roman"/>
                <w:b/>
                <w:snapToGrid w:val="0"/>
                <w:color w:val="000000"/>
                <w:kern w:val="21"/>
                <w:szCs w:val="21"/>
              </w:rPr>
            </w:pPr>
          </w:p>
        </w:tc>
        <w:tc>
          <w:tcPr>
            <w:tcW w:w="1739" w:type="dxa"/>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default" w:ascii="Times New Roman" w:hAnsi="Times New Roman" w:eastAsia="宋体" w:cs="Times New Roman"/>
                <w:i w:val="0"/>
                <w:color w:val="000000"/>
                <w:kern w:val="0"/>
                <w:sz w:val="21"/>
                <w:szCs w:val="21"/>
                <w:u w:val="none"/>
                <w:lang w:val="en-US" w:eastAsia="zh-CN" w:bidi="ar"/>
              </w:rPr>
              <w:t>废含油手套及抹布</w:t>
            </w:r>
          </w:p>
        </w:tc>
        <w:tc>
          <w:tcPr>
            <w:tcW w:w="1663" w:type="dxa"/>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cs="Times New Roman"/>
                <w:i w:val="0"/>
                <w:color w:val="000000"/>
                <w:kern w:val="0"/>
                <w:sz w:val="21"/>
                <w:szCs w:val="21"/>
                <w:u w:val="none"/>
                <w:lang w:val="en-US" w:eastAsia="zh-CN" w:bidi="ar"/>
              </w:rPr>
              <w:t>0.05</w:t>
            </w:r>
          </w:p>
        </w:tc>
        <w:tc>
          <w:tcPr>
            <w:tcW w:w="1276" w:type="dxa"/>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cs="Times New Roman"/>
                <w:i w:val="0"/>
                <w:color w:val="000000"/>
                <w:kern w:val="0"/>
                <w:sz w:val="21"/>
                <w:szCs w:val="21"/>
                <w:u w:val="none"/>
                <w:lang w:val="en-US" w:eastAsia="zh-CN" w:bidi="ar"/>
              </w:rPr>
              <w:t>0</w:t>
            </w:r>
          </w:p>
        </w:tc>
        <w:tc>
          <w:tcPr>
            <w:tcW w:w="1701"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559" w:type="dxa"/>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cs="Times New Roman"/>
                <w:i w:val="0"/>
                <w:color w:val="000000"/>
                <w:kern w:val="0"/>
                <w:sz w:val="21"/>
                <w:szCs w:val="21"/>
                <w:u w:val="none"/>
                <w:lang w:val="en-US" w:eastAsia="zh-CN" w:bidi="ar"/>
              </w:rPr>
              <w:t>0</w:t>
            </w:r>
          </w:p>
        </w:tc>
        <w:tc>
          <w:tcPr>
            <w:tcW w:w="1418"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snapToGrid w:val="0"/>
                <w:color w:val="000000"/>
                <w:kern w:val="21"/>
                <w:szCs w:val="21"/>
                <w:lang w:val="en-US" w:eastAsia="zh-CN"/>
              </w:rPr>
            </w:pPr>
            <w:r>
              <w:rPr>
                <w:rFonts w:hint="eastAsia" w:ascii="Times New Roman"/>
                <w:snapToGrid w:val="0"/>
                <w:color w:val="000000"/>
                <w:kern w:val="21"/>
                <w:szCs w:val="21"/>
                <w:lang w:val="en-US" w:eastAsia="zh-CN"/>
              </w:rPr>
              <w:t>0</w:t>
            </w:r>
          </w:p>
        </w:tc>
        <w:tc>
          <w:tcPr>
            <w:tcW w:w="1701" w:type="dxa"/>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cs="Times New Roman"/>
                <w:i w:val="0"/>
                <w:color w:val="000000"/>
                <w:kern w:val="0"/>
                <w:sz w:val="21"/>
                <w:szCs w:val="21"/>
                <w:u w:val="none"/>
                <w:lang w:val="en-US" w:eastAsia="zh-CN" w:bidi="ar"/>
              </w:rPr>
              <w:t>0.05</w:t>
            </w:r>
          </w:p>
        </w:tc>
        <w:tc>
          <w:tcPr>
            <w:tcW w:w="1427" w:type="dxa"/>
            <w:vAlign w:val="center"/>
          </w:tcPr>
          <w:p>
            <w:pPr>
              <w:pStyle w:val="38"/>
              <w:keepNext w:val="0"/>
              <w:keepLines w:val="0"/>
              <w:pageBreakBefore w:val="0"/>
              <w:widowControl w:val="0"/>
              <w:kinsoku/>
              <w:wordWrap/>
              <w:overflowPunct/>
              <w:topLinePunct w:val="0"/>
              <w:autoSpaceDE/>
              <w:autoSpaceDN/>
              <w:bidi w:val="0"/>
              <w:spacing w:beforeLines="0" w:afterLines="0" w:line="240" w:lineRule="auto"/>
              <w:ind w:firstLine="0"/>
              <w:jc w:val="center"/>
              <w:textAlignment w:val="auto"/>
              <w:rPr>
                <w:rFonts w:hint="default" w:ascii="Times New Roman"/>
                <w:snapToGrid w:val="0"/>
                <w:color w:val="000000"/>
                <w:kern w:val="21"/>
                <w:szCs w:val="21"/>
                <w:lang w:val="en-US" w:eastAsia="zh-CN"/>
              </w:rPr>
            </w:pPr>
            <w:r>
              <w:rPr>
                <w:rFonts w:hint="eastAsia" w:ascii="Times New Roman"/>
                <w:snapToGrid w:val="0"/>
                <w:color w:val="000000"/>
                <w:kern w:val="21"/>
                <w:szCs w:val="21"/>
                <w:lang w:val="en-US" w:eastAsia="zh-CN"/>
              </w:rPr>
              <w:t>0</w:t>
            </w:r>
          </w:p>
        </w:tc>
      </w:tr>
    </w:tbl>
    <w:p>
      <w:pPr>
        <w:pStyle w:val="38"/>
        <w:spacing w:beforeLines="80" w:after="24"/>
        <w:jc w:val="left"/>
        <w:rPr>
          <w:rFonts w:hAnsi="宋体" w:eastAsia="黑体"/>
        </w:rPr>
      </w:pPr>
      <w:r>
        <w:rPr>
          <w:rFonts w:hAnsi="宋体"/>
          <w:snapToGrid w:val="0"/>
          <w:color w:val="000000"/>
          <w:kern w:val="21"/>
          <w:szCs w:val="21"/>
        </w:rPr>
        <w:t>注：</w:t>
      </w:r>
      <w:r>
        <w:rPr>
          <w:rFonts w:hAnsi="宋体"/>
          <w:snapToGrid w:val="0"/>
          <w:color w:val="000000"/>
          <w:spacing w:val="-16"/>
          <w:kern w:val="21"/>
          <w:szCs w:val="21"/>
        </w:rPr>
        <w:fldChar w:fldCharType="begin"/>
      </w:r>
      <w:r>
        <w:rPr>
          <w:rFonts w:hAnsi="宋体"/>
          <w:snapToGrid w:val="0"/>
          <w:color w:val="000000"/>
          <w:spacing w:val="-16"/>
          <w:kern w:val="21"/>
          <w:szCs w:val="21"/>
        </w:rPr>
        <w:instrText xml:space="preserve"> = 6 \* GB3 \* MERGEFORMAT </w:instrText>
      </w:r>
      <w:r>
        <w:rPr>
          <w:rFonts w:hAnsi="宋体"/>
          <w:snapToGrid w:val="0"/>
          <w:color w:val="000000"/>
          <w:spacing w:val="-16"/>
          <w:kern w:val="21"/>
          <w:szCs w:val="21"/>
        </w:rPr>
        <w:fldChar w:fldCharType="separate"/>
      </w:r>
      <w:r>
        <w:rPr>
          <w:rFonts w:hint="eastAsia" w:hAnsi="宋体"/>
          <w:szCs w:val="21"/>
        </w:rPr>
        <w:t>⑥</w:t>
      </w:r>
      <w:r>
        <w:rPr>
          <w:rFonts w:hAnsi="宋体"/>
          <w:snapToGrid w:val="0"/>
          <w:color w:val="000000"/>
          <w:spacing w:val="-16"/>
          <w:kern w:val="21"/>
          <w:szCs w:val="21"/>
        </w:rPr>
        <w:fldChar w:fldCharType="end"/>
      </w:r>
      <w:r>
        <w:rPr>
          <w:rFonts w:hAnsi="宋体"/>
          <w:snapToGrid w:val="0"/>
          <w:color w:val="000000"/>
          <w:spacing w:val="-16"/>
          <w:kern w:val="21"/>
          <w:szCs w:val="21"/>
        </w:rPr>
        <w:t>=</w:t>
      </w:r>
      <w:r>
        <w:rPr>
          <w:rFonts w:hAnsi="宋体"/>
          <w:snapToGrid w:val="0"/>
          <w:color w:val="000000"/>
          <w:spacing w:val="-6"/>
          <w:kern w:val="21"/>
          <w:szCs w:val="21"/>
        </w:rPr>
        <w:fldChar w:fldCharType="begin"/>
      </w:r>
      <w:r>
        <w:rPr>
          <w:rFonts w:hAnsi="宋体"/>
          <w:snapToGrid w:val="0"/>
          <w:color w:val="000000"/>
          <w:spacing w:val="-6"/>
          <w:kern w:val="21"/>
          <w:szCs w:val="21"/>
        </w:rPr>
        <w:instrText xml:space="preserve"> = 1 \* GB3 \* MERGEFORMAT </w:instrText>
      </w:r>
      <w:r>
        <w:rPr>
          <w:rFonts w:hAnsi="宋体"/>
          <w:snapToGrid w:val="0"/>
          <w:color w:val="000000"/>
          <w:spacing w:val="-6"/>
          <w:kern w:val="21"/>
          <w:szCs w:val="21"/>
        </w:rPr>
        <w:fldChar w:fldCharType="separate"/>
      </w:r>
      <w:r>
        <w:rPr>
          <w:rFonts w:hint="eastAsia" w:hAnsi="宋体"/>
          <w:szCs w:val="21"/>
        </w:rPr>
        <w:t>①</w:t>
      </w:r>
      <w:r>
        <w:rPr>
          <w:rFonts w:hAnsi="宋体"/>
          <w:snapToGrid w:val="0"/>
          <w:color w:val="000000"/>
          <w:spacing w:val="-6"/>
          <w:kern w:val="21"/>
          <w:szCs w:val="21"/>
        </w:rPr>
        <w:fldChar w:fldCharType="end"/>
      </w:r>
      <w:r>
        <w:rPr>
          <w:rFonts w:hAnsi="宋体"/>
          <w:snapToGrid w:val="0"/>
          <w:color w:val="000000"/>
          <w:spacing w:val="-6"/>
          <w:kern w:val="21"/>
          <w:szCs w:val="21"/>
        </w:rPr>
        <w:t>+</w:t>
      </w:r>
      <w:r>
        <w:rPr>
          <w:rFonts w:hAnsi="宋体"/>
          <w:snapToGrid w:val="0"/>
          <w:color w:val="000000"/>
          <w:spacing w:val="-6"/>
          <w:kern w:val="21"/>
          <w:szCs w:val="21"/>
        </w:rPr>
        <w:fldChar w:fldCharType="begin"/>
      </w:r>
      <w:r>
        <w:rPr>
          <w:rFonts w:hAnsi="宋体"/>
          <w:snapToGrid w:val="0"/>
          <w:color w:val="000000"/>
          <w:spacing w:val="-6"/>
          <w:kern w:val="21"/>
          <w:szCs w:val="21"/>
        </w:rPr>
        <w:instrText xml:space="preserve"> = 3 \* GB3 \* MERGEFORMAT </w:instrText>
      </w:r>
      <w:r>
        <w:rPr>
          <w:rFonts w:hAnsi="宋体"/>
          <w:snapToGrid w:val="0"/>
          <w:color w:val="000000"/>
          <w:spacing w:val="-6"/>
          <w:kern w:val="21"/>
          <w:szCs w:val="21"/>
        </w:rPr>
        <w:fldChar w:fldCharType="separate"/>
      </w:r>
      <w:r>
        <w:rPr>
          <w:rFonts w:hint="eastAsia" w:hAnsi="宋体"/>
          <w:szCs w:val="21"/>
        </w:rPr>
        <w:t>③</w:t>
      </w:r>
      <w:r>
        <w:rPr>
          <w:rFonts w:hAnsi="宋体"/>
          <w:snapToGrid w:val="0"/>
          <w:color w:val="000000"/>
          <w:spacing w:val="-6"/>
          <w:kern w:val="21"/>
          <w:szCs w:val="21"/>
        </w:rPr>
        <w:fldChar w:fldCharType="end"/>
      </w:r>
      <w:r>
        <w:rPr>
          <w:rFonts w:hAnsi="宋体"/>
          <w:snapToGrid w:val="0"/>
          <w:color w:val="000000"/>
          <w:spacing w:val="-6"/>
          <w:kern w:val="21"/>
          <w:szCs w:val="21"/>
        </w:rPr>
        <w:t>+</w:t>
      </w:r>
      <w:r>
        <w:rPr>
          <w:rFonts w:hAnsi="宋体"/>
          <w:snapToGrid w:val="0"/>
          <w:color w:val="000000"/>
          <w:spacing w:val="-6"/>
          <w:kern w:val="21"/>
          <w:szCs w:val="21"/>
        </w:rPr>
        <w:fldChar w:fldCharType="begin"/>
      </w:r>
      <w:r>
        <w:rPr>
          <w:rFonts w:hAnsi="宋体"/>
          <w:snapToGrid w:val="0"/>
          <w:color w:val="000000"/>
          <w:spacing w:val="-6"/>
          <w:kern w:val="21"/>
          <w:szCs w:val="21"/>
        </w:rPr>
        <w:instrText xml:space="preserve"> = 4 \* GB3 \* MERGEFORMAT </w:instrText>
      </w:r>
      <w:r>
        <w:rPr>
          <w:rFonts w:hAnsi="宋体"/>
          <w:snapToGrid w:val="0"/>
          <w:color w:val="000000"/>
          <w:spacing w:val="-6"/>
          <w:kern w:val="21"/>
          <w:szCs w:val="21"/>
        </w:rPr>
        <w:fldChar w:fldCharType="separate"/>
      </w:r>
      <w:r>
        <w:rPr>
          <w:rFonts w:hint="eastAsia" w:hAnsi="宋体"/>
          <w:szCs w:val="21"/>
        </w:rPr>
        <w:t>④</w:t>
      </w:r>
      <w:r>
        <w:rPr>
          <w:rFonts w:hAnsi="宋体"/>
          <w:snapToGrid w:val="0"/>
          <w:color w:val="000000"/>
          <w:spacing w:val="-6"/>
          <w:kern w:val="21"/>
          <w:szCs w:val="21"/>
        </w:rPr>
        <w:fldChar w:fldCharType="end"/>
      </w:r>
      <w:r>
        <w:rPr>
          <w:rFonts w:hAnsi="宋体"/>
          <w:snapToGrid w:val="0"/>
          <w:color w:val="000000"/>
          <w:spacing w:val="-6"/>
          <w:kern w:val="21"/>
          <w:szCs w:val="21"/>
        </w:rPr>
        <w:t>-</w:t>
      </w:r>
      <w:r>
        <w:rPr>
          <w:rFonts w:hAnsi="宋体"/>
          <w:snapToGrid w:val="0"/>
          <w:color w:val="000000"/>
          <w:spacing w:val="-16"/>
          <w:kern w:val="21"/>
          <w:szCs w:val="21"/>
        </w:rPr>
        <w:fldChar w:fldCharType="begin"/>
      </w:r>
      <w:r>
        <w:rPr>
          <w:rFonts w:hAnsi="宋体"/>
          <w:snapToGrid w:val="0"/>
          <w:color w:val="000000"/>
          <w:spacing w:val="-16"/>
          <w:kern w:val="21"/>
          <w:szCs w:val="21"/>
        </w:rPr>
        <w:instrText xml:space="preserve"> = 5 \* GB3 \* MERGEFORMAT </w:instrText>
      </w:r>
      <w:r>
        <w:rPr>
          <w:rFonts w:hAnsi="宋体"/>
          <w:snapToGrid w:val="0"/>
          <w:color w:val="000000"/>
          <w:spacing w:val="-16"/>
          <w:kern w:val="21"/>
          <w:szCs w:val="21"/>
        </w:rPr>
        <w:fldChar w:fldCharType="separate"/>
      </w:r>
      <w:r>
        <w:rPr>
          <w:rFonts w:hint="eastAsia" w:hAnsi="宋体"/>
          <w:szCs w:val="21"/>
        </w:rPr>
        <w:t>⑤</w:t>
      </w:r>
      <w:r>
        <w:rPr>
          <w:rFonts w:hAnsi="宋体"/>
          <w:snapToGrid w:val="0"/>
          <w:color w:val="000000"/>
          <w:spacing w:val="-16"/>
          <w:kern w:val="21"/>
          <w:szCs w:val="21"/>
        </w:rPr>
        <w:fldChar w:fldCharType="end"/>
      </w:r>
      <w:r>
        <w:rPr>
          <w:rFonts w:hAnsi="宋体"/>
          <w:snapToGrid w:val="0"/>
          <w:color w:val="000000"/>
          <w:spacing w:val="-16"/>
          <w:kern w:val="21"/>
          <w:szCs w:val="21"/>
        </w:rPr>
        <w:t>；</w:t>
      </w:r>
      <w:r>
        <w:rPr>
          <w:rFonts w:hAnsi="宋体"/>
          <w:snapToGrid w:val="0"/>
          <w:color w:val="000000"/>
          <w:spacing w:val="-6"/>
          <w:kern w:val="21"/>
          <w:szCs w:val="21"/>
        </w:rPr>
        <w:fldChar w:fldCharType="begin"/>
      </w:r>
      <w:r>
        <w:rPr>
          <w:rFonts w:hAnsi="宋体"/>
          <w:snapToGrid w:val="0"/>
          <w:color w:val="000000"/>
          <w:spacing w:val="-6"/>
          <w:kern w:val="21"/>
          <w:szCs w:val="21"/>
        </w:rPr>
        <w:instrText xml:space="preserve"> = 7 \* GB3 \* MERGEFORMAT </w:instrText>
      </w:r>
      <w:r>
        <w:rPr>
          <w:rFonts w:hAnsi="宋体"/>
          <w:snapToGrid w:val="0"/>
          <w:color w:val="000000"/>
          <w:spacing w:val="-6"/>
          <w:kern w:val="21"/>
          <w:szCs w:val="21"/>
        </w:rPr>
        <w:fldChar w:fldCharType="separate"/>
      </w:r>
      <w:r>
        <w:rPr>
          <w:rFonts w:hint="eastAsia" w:hAnsi="宋体"/>
          <w:szCs w:val="21"/>
        </w:rPr>
        <w:t>⑦</w:t>
      </w:r>
      <w:r>
        <w:rPr>
          <w:rFonts w:hAnsi="宋体"/>
          <w:snapToGrid w:val="0"/>
          <w:color w:val="000000"/>
          <w:spacing w:val="-6"/>
          <w:kern w:val="21"/>
          <w:szCs w:val="21"/>
        </w:rPr>
        <w:fldChar w:fldCharType="end"/>
      </w:r>
      <w:r>
        <w:rPr>
          <w:rFonts w:hAnsi="宋体"/>
          <w:snapToGrid w:val="0"/>
          <w:color w:val="000000"/>
          <w:spacing w:val="-6"/>
          <w:kern w:val="21"/>
          <w:szCs w:val="21"/>
        </w:rPr>
        <w:t>=</w:t>
      </w:r>
      <w:r>
        <w:rPr>
          <w:rFonts w:hAnsi="宋体"/>
          <w:snapToGrid w:val="0"/>
          <w:color w:val="000000"/>
          <w:spacing w:val="-16"/>
          <w:kern w:val="21"/>
          <w:szCs w:val="21"/>
        </w:rPr>
        <w:fldChar w:fldCharType="begin"/>
      </w:r>
      <w:r>
        <w:rPr>
          <w:rFonts w:hAnsi="宋体"/>
          <w:snapToGrid w:val="0"/>
          <w:color w:val="000000"/>
          <w:spacing w:val="-16"/>
          <w:kern w:val="21"/>
          <w:szCs w:val="21"/>
        </w:rPr>
        <w:instrText xml:space="preserve"> = 6 \* GB3 \* MERGEFORMAT </w:instrText>
      </w:r>
      <w:r>
        <w:rPr>
          <w:rFonts w:hAnsi="宋体"/>
          <w:snapToGrid w:val="0"/>
          <w:color w:val="000000"/>
          <w:spacing w:val="-16"/>
          <w:kern w:val="21"/>
          <w:szCs w:val="21"/>
        </w:rPr>
        <w:fldChar w:fldCharType="separate"/>
      </w:r>
      <w:r>
        <w:rPr>
          <w:rFonts w:hint="eastAsia" w:hAnsi="宋体"/>
          <w:szCs w:val="21"/>
        </w:rPr>
        <w:t>⑥</w:t>
      </w:r>
      <w:r>
        <w:rPr>
          <w:rFonts w:hAnsi="宋体"/>
          <w:snapToGrid w:val="0"/>
          <w:color w:val="000000"/>
          <w:spacing w:val="-16"/>
          <w:kern w:val="21"/>
          <w:szCs w:val="21"/>
        </w:rPr>
        <w:fldChar w:fldCharType="end"/>
      </w:r>
      <w:r>
        <w:rPr>
          <w:rFonts w:hAnsi="宋体"/>
          <w:snapToGrid w:val="0"/>
          <w:color w:val="000000"/>
          <w:spacing w:val="-16"/>
          <w:kern w:val="21"/>
          <w:szCs w:val="21"/>
        </w:rPr>
        <w:t>-</w:t>
      </w:r>
      <w:r>
        <w:rPr>
          <w:rFonts w:hAnsi="宋体"/>
          <w:snapToGrid w:val="0"/>
          <w:color w:val="000000"/>
          <w:spacing w:val="-6"/>
          <w:kern w:val="21"/>
          <w:szCs w:val="21"/>
        </w:rPr>
        <w:fldChar w:fldCharType="begin"/>
      </w:r>
      <w:r>
        <w:rPr>
          <w:rFonts w:hAnsi="宋体"/>
          <w:snapToGrid w:val="0"/>
          <w:color w:val="000000"/>
          <w:spacing w:val="-6"/>
          <w:kern w:val="21"/>
          <w:szCs w:val="21"/>
        </w:rPr>
        <w:instrText xml:space="preserve"> = 1 \* GB3 \* MERGEFORMAT </w:instrText>
      </w:r>
      <w:r>
        <w:rPr>
          <w:rFonts w:hAnsi="宋体"/>
          <w:snapToGrid w:val="0"/>
          <w:color w:val="000000"/>
          <w:spacing w:val="-6"/>
          <w:kern w:val="21"/>
          <w:szCs w:val="21"/>
        </w:rPr>
        <w:fldChar w:fldCharType="separate"/>
      </w:r>
      <w:r>
        <w:rPr>
          <w:rFonts w:hint="eastAsia" w:hAnsi="宋体"/>
          <w:szCs w:val="21"/>
        </w:rPr>
        <w:t>①</w:t>
      </w:r>
      <w:r>
        <w:rPr>
          <w:rFonts w:hAnsi="宋体"/>
          <w:snapToGrid w:val="0"/>
          <w:color w:val="000000"/>
          <w:spacing w:val="-6"/>
          <w:kern w:val="21"/>
          <w:szCs w:val="21"/>
        </w:rPr>
        <w:fldChar w:fldCharType="end"/>
      </w:r>
    </w:p>
    <w:sectPr>
      <w:footerReference r:id="rId6" w:type="default"/>
      <w:pgSz w:w="16838" w:h="11906" w:orient="landscape"/>
      <w:pgMar w:top="1531" w:right="1701" w:bottom="1531" w:left="1701" w:header="851" w:footer="851" w:gutter="0"/>
      <w:pgBorders>
        <w:top w:val="none" w:sz="0" w:space="0"/>
        <w:left w:val="none" w:sz="0" w:space="0"/>
        <w:bottom w:val="none" w:sz="0" w:space="0"/>
        <w:right w:val="none" w:sz="0" w:space="0"/>
      </w:pgBorders>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新宋体-18030">
    <w:altName w:val="宋体"/>
    <w:panose1 w:val="00000000000000000000"/>
    <w:charset w:val="00"/>
    <w:family w:val="auto"/>
    <w:pitch w:val="default"/>
    <w:sig w:usb0="00000000" w:usb1="00000000" w:usb2="00000000"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TimesNewRomanPSMT">
    <w:altName w:val="宋体"/>
    <w:panose1 w:val="00000000000000000000"/>
    <w:charset w:val="00"/>
    <w:family w:val="roman"/>
    <w:pitch w:val="default"/>
    <w:sig w:usb0="00000000" w:usb1="00000000" w:usb2="00000010" w:usb3="00000000" w:csb0="00040001" w:csb1="00000000"/>
  </w:font>
  <w:font w:name="方正小标宋_GBK">
    <w:altName w:val="Arial Unicode MS"/>
    <w:panose1 w:val="00000000000000000000"/>
    <w:charset w:val="86"/>
    <w:family w:val="script"/>
    <w:pitch w:val="default"/>
    <w:sig w:usb0="00000000" w:usb1="00000000" w:usb2="00082016" w:usb3="00000000" w:csb0="00040001" w:csb1="00000000"/>
  </w:font>
  <w:font w:name="楷体_GB2312">
    <w:altName w:val="楷体"/>
    <w:panose1 w:val="00000000000000000000"/>
    <w:charset w:val="86"/>
    <w:family w:val="modern"/>
    <w:pitch w:val="default"/>
    <w:sig w:usb0="00000000" w:usb1="00000000" w:usb2="00000010" w:usb3="00000000" w:csb0="00040000"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framePr w:wrap="around" w:vAnchor="text" w:hAnchor="margin" w:xAlign="center" w:y="1"/>
      <w:rPr>
        <w:rStyle w:val="29"/>
      </w:rPr>
    </w:pPr>
    <w:r>
      <w:fldChar w:fldCharType="begin"/>
    </w:r>
    <w:r>
      <w:rPr>
        <w:rStyle w:val="29"/>
      </w:rPr>
      <w:instrText xml:space="preserve">PAGE  </w:instrText>
    </w:r>
    <w:r>
      <w:fldChar w:fldCharType="end"/>
    </w:r>
  </w:p>
  <w:p>
    <w:pPr>
      <w:pStyle w:val="16"/>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jc w:val="center"/>
    </w:pPr>
    <w:r>
      <w:fldChar w:fldCharType="begin"/>
    </w:r>
    <w:r>
      <w:instrText xml:space="preserve">PAGE   \* MERGEFORMAT</w:instrText>
    </w:r>
    <w:r>
      <w:fldChar w:fldCharType="separate"/>
    </w:r>
    <w:r>
      <w:rPr>
        <w:lang w:val="zh-CN"/>
      </w:rPr>
      <w:t>21</w:t>
    </w:r>
    <w:r>
      <w:rPr>
        <w:lang w:val="zh-CN"/>
      </w:rPr>
      <w:fldChar w:fldCharType="end"/>
    </w:r>
  </w:p>
  <w:p>
    <w:pPr>
      <w:pStyle w:val="16"/>
      <w:ind w:right="360" w:firstLine="36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right="360" w:firstLine="360"/>
      <w:jc w:val="cen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4DC4D3F"/>
    <w:multiLevelType w:val="singleLevel"/>
    <w:tmpl w:val="44DC4D3F"/>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hideSpellingErrors/>
  <w:attachedTemplate r:id="rId1"/>
  <w:documentProtection w:edit="readOnly" w:enforcement="0"/>
  <w:defaultTabStop w:val="420"/>
  <w:doNotHyphenateCaps/>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A14947"/>
    <w:rsid w:val="000022F8"/>
    <w:rsid w:val="00004009"/>
    <w:rsid w:val="00004285"/>
    <w:rsid w:val="00005B7E"/>
    <w:rsid w:val="000060B3"/>
    <w:rsid w:val="000075E8"/>
    <w:rsid w:val="0001021C"/>
    <w:rsid w:val="0001217B"/>
    <w:rsid w:val="000127AA"/>
    <w:rsid w:val="00016AA9"/>
    <w:rsid w:val="0001725E"/>
    <w:rsid w:val="000172B8"/>
    <w:rsid w:val="00017F38"/>
    <w:rsid w:val="00022523"/>
    <w:rsid w:val="0002376C"/>
    <w:rsid w:val="00024DE2"/>
    <w:rsid w:val="0002559C"/>
    <w:rsid w:val="00026C19"/>
    <w:rsid w:val="00031B73"/>
    <w:rsid w:val="00034C5A"/>
    <w:rsid w:val="000367C8"/>
    <w:rsid w:val="00040322"/>
    <w:rsid w:val="00041BF1"/>
    <w:rsid w:val="00041E8B"/>
    <w:rsid w:val="0004364B"/>
    <w:rsid w:val="00043CB8"/>
    <w:rsid w:val="00043D37"/>
    <w:rsid w:val="00043E9B"/>
    <w:rsid w:val="00044261"/>
    <w:rsid w:val="00044877"/>
    <w:rsid w:val="000448CE"/>
    <w:rsid w:val="00045313"/>
    <w:rsid w:val="0004693D"/>
    <w:rsid w:val="000472EA"/>
    <w:rsid w:val="00047E05"/>
    <w:rsid w:val="00050589"/>
    <w:rsid w:val="00050B1B"/>
    <w:rsid w:val="00051423"/>
    <w:rsid w:val="0005461E"/>
    <w:rsid w:val="000560D6"/>
    <w:rsid w:val="00061B1F"/>
    <w:rsid w:val="00062AB8"/>
    <w:rsid w:val="000653BC"/>
    <w:rsid w:val="0006558E"/>
    <w:rsid w:val="00065E2A"/>
    <w:rsid w:val="00067A61"/>
    <w:rsid w:val="0007111B"/>
    <w:rsid w:val="00072371"/>
    <w:rsid w:val="00072D39"/>
    <w:rsid w:val="000733C4"/>
    <w:rsid w:val="00074060"/>
    <w:rsid w:val="00074783"/>
    <w:rsid w:val="00076B5F"/>
    <w:rsid w:val="00076F82"/>
    <w:rsid w:val="0008070B"/>
    <w:rsid w:val="000810AC"/>
    <w:rsid w:val="00081A02"/>
    <w:rsid w:val="00082231"/>
    <w:rsid w:val="00082ACC"/>
    <w:rsid w:val="00082BA6"/>
    <w:rsid w:val="00082E1F"/>
    <w:rsid w:val="0008313C"/>
    <w:rsid w:val="000836AF"/>
    <w:rsid w:val="00083BB2"/>
    <w:rsid w:val="00083D87"/>
    <w:rsid w:val="00084333"/>
    <w:rsid w:val="000858FB"/>
    <w:rsid w:val="00086C4A"/>
    <w:rsid w:val="00086FAC"/>
    <w:rsid w:val="000879AB"/>
    <w:rsid w:val="00087B8A"/>
    <w:rsid w:val="00087CB1"/>
    <w:rsid w:val="00092D38"/>
    <w:rsid w:val="0009377B"/>
    <w:rsid w:val="00094B78"/>
    <w:rsid w:val="00095095"/>
    <w:rsid w:val="00095E10"/>
    <w:rsid w:val="000974B6"/>
    <w:rsid w:val="000A05E2"/>
    <w:rsid w:val="000A1B4F"/>
    <w:rsid w:val="000A20C9"/>
    <w:rsid w:val="000A2A98"/>
    <w:rsid w:val="000A6291"/>
    <w:rsid w:val="000A7AE8"/>
    <w:rsid w:val="000B0574"/>
    <w:rsid w:val="000B058F"/>
    <w:rsid w:val="000B4147"/>
    <w:rsid w:val="000B4467"/>
    <w:rsid w:val="000B4DB9"/>
    <w:rsid w:val="000B6222"/>
    <w:rsid w:val="000B6B81"/>
    <w:rsid w:val="000B6C91"/>
    <w:rsid w:val="000B7D76"/>
    <w:rsid w:val="000B7DDC"/>
    <w:rsid w:val="000B7FBB"/>
    <w:rsid w:val="000C09AC"/>
    <w:rsid w:val="000C317E"/>
    <w:rsid w:val="000C31AB"/>
    <w:rsid w:val="000C5000"/>
    <w:rsid w:val="000C6F99"/>
    <w:rsid w:val="000C767F"/>
    <w:rsid w:val="000D02CB"/>
    <w:rsid w:val="000D0670"/>
    <w:rsid w:val="000D1AF2"/>
    <w:rsid w:val="000D2B71"/>
    <w:rsid w:val="000D2F5C"/>
    <w:rsid w:val="000D44C7"/>
    <w:rsid w:val="000D46B3"/>
    <w:rsid w:val="000D5A44"/>
    <w:rsid w:val="000D66B3"/>
    <w:rsid w:val="000E1D9A"/>
    <w:rsid w:val="000E30D7"/>
    <w:rsid w:val="000E361E"/>
    <w:rsid w:val="000E37EB"/>
    <w:rsid w:val="000E3E7A"/>
    <w:rsid w:val="000E3ED2"/>
    <w:rsid w:val="000E4612"/>
    <w:rsid w:val="000E56A9"/>
    <w:rsid w:val="000E5EA0"/>
    <w:rsid w:val="000E6188"/>
    <w:rsid w:val="000E69A1"/>
    <w:rsid w:val="000E6E81"/>
    <w:rsid w:val="000F014D"/>
    <w:rsid w:val="000F1832"/>
    <w:rsid w:val="000F1CB8"/>
    <w:rsid w:val="000F1CE6"/>
    <w:rsid w:val="000F2ECB"/>
    <w:rsid w:val="000F45C2"/>
    <w:rsid w:val="000F680C"/>
    <w:rsid w:val="000F6EC3"/>
    <w:rsid w:val="000F7A96"/>
    <w:rsid w:val="00102891"/>
    <w:rsid w:val="00103A0A"/>
    <w:rsid w:val="00103B0A"/>
    <w:rsid w:val="00104CE8"/>
    <w:rsid w:val="0010739F"/>
    <w:rsid w:val="00107558"/>
    <w:rsid w:val="00113DDA"/>
    <w:rsid w:val="001140C2"/>
    <w:rsid w:val="001145B1"/>
    <w:rsid w:val="0011492F"/>
    <w:rsid w:val="00115659"/>
    <w:rsid w:val="001176BF"/>
    <w:rsid w:val="00117F0F"/>
    <w:rsid w:val="00122288"/>
    <w:rsid w:val="00123721"/>
    <w:rsid w:val="0012509B"/>
    <w:rsid w:val="00130FF5"/>
    <w:rsid w:val="00131204"/>
    <w:rsid w:val="00131528"/>
    <w:rsid w:val="00131F42"/>
    <w:rsid w:val="00131FF5"/>
    <w:rsid w:val="00132098"/>
    <w:rsid w:val="0013299B"/>
    <w:rsid w:val="001330EC"/>
    <w:rsid w:val="001357F1"/>
    <w:rsid w:val="00135E11"/>
    <w:rsid w:val="00136100"/>
    <w:rsid w:val="00140FA8"/>
    <w:rsid w:val="001410E8"/>
    <w:rsid w:val="0014141E"/>
    <w:rsid w:val="001422F3"/>
    <w:rsid w:val="00142FEB"/>
    <w:rsid w:val="00143A2D"/>
    <w:rsid w:val="00144800"/>
    <w:rsid w:val="00144D52"/>
    <w:rsid w:val="001451CF"/>
    <w:rsid w:val="00145A41"/>
    <w:rsid w:val="001468A2"/>
    <w:rsid w:val="00147AC0"/>
    <w:rsid w:val="00150180"/>
    <w:rsid w:val="0015158A"/>
    <w:rsid w:val="00151675"/>
    <w:rsid w:val="00151BAA"/>
    <w:rsid w:val="00152ED7"/>
    <w:rsid w:val="00153526"/>
    <w:rsid w:val="0015709B"/>
    <w:rsid w:val="00157435"/>
    <w:rsid w:val="00157A4C"/>
    <w:rsid w:val="00157D93"/>
    <w:rsid w:val="00160EB7"/>
    <w:rsid w:val="001623CC"/>
    <w:rsid w:val="00162ED9"/>
    <w:rsid w:val="00163051"/>
    <w:rsid w:val="001651E1"/>
    <w:rsid w:val="001706FB"/>
    <w:rsid w:val="00174A54"/>
    <w:rsid w:val="0017504D"/>
    <w:rsid w:val="0017523B"/>
    <w:rsid w:val="0017671A"/>
    <w:rsid w:val="0017723D"/>
    <w:rsid w:val="00177422"/>
    <w:rsid w:val="0018049A"/>
    <w:rsid w:val="00180AFB"/>
    <w:rsid w:val="001844E4"/>
    <w:rsid w:val="00184590"/>
    <w:rsid w:val="001851B1"/>
    <w:rsid w:val="00185C7D"/>
    <w:rsid w:val="00186269"/>
    <w:rsid w:val="001863EE"/>
    <w:rsid w:val="001870D1"/>
    <w:rsid w:val="0018781E"/>
    <w:rsid w:val="001900CC"/>
    <w:rsid w:val="0019262D"/>
    <w:rsid w:val="00193325"/>
    <w:rsid w:val="00195C9E"/>
    <w:rsid w:val="001A0BC1"/>
    <w:rsid w:val="001A1B35"/>
    <w:rsid w:val="001A275B"/>
    <w:rsid w:val="001A3A93"/>
    <w:rsid w:val="001A48A2"/>
    <w:rsid w:val="001A5D52"/>
    <w:rsid w:val="001A6F61"/>
    <w:rsid w:val="001B0FFD"/>
    <w:rsid w:val="001B16D3"/>
    <w:rsid w:val="001B305C"/>
    <w:rsid w:val="001B5405"/>
    <w:rsid w:val="001B72B8"/>
    <w:rsid w:val="001C02CC"/>
    <w:rsid w:val="001C067F"/>
    <w:rsid w:val="001C21F1"/>
    <w:rsid w:val="001C27CF"/>
    <w:rsid w:val="001C33F5"/>
    <w:rsid w:val="001C3C55"/>
    <w:rsid w:val="001C5152"/>
    <w:rsid w:val="001C60F0"/>
    <w:rsid w:val="001C667C"/>
    <w:rsid w:val="001C69B3"/>
    <w:rsid w:val="001D3112"/>
    <w:rsid w:val="001D32DC"/>
    <w:rsid w:val="001D5595"/>
    <w:rsid w:val="001D75E5"/>
    <w:rsid w:val="001D785D"/>
    <w:rsid w:val="001D7874"/>
    <w:rsid w:val="001D7F22"/>
    <w:rsid w:val="001E22BF"/>
    <w:rsid w:val="001E2638"/>
    <w:rsid w:val="001E2AD3"/>
    <w:rsid w:val="001E2CA5"/>
    <w:rsid w:val="001E3958"/>
    <w:rsid w:val="001E4155"/>
    <w:rsid w:val="001E44AB"/>
    <w:rsid w:val="001F0105"/>
    <w:rsid w:val="001F0D10"/>
    <w:rsid w:val="001F0F17"/>
    <w:rsid w:val="001F1058"/>
    <w:rsid w:val="001F3347"/>
    <w:rsid w:val="001F4B01"/>
    <w:rsid w:val="001F4C2B"/>
    <w:rsid w:val="001F58B7"/>
    <w:rsid w:val="001F69E4"/>
    <w:rsid w:val="001F6CD9"/>
    <w:rsid w:val="001F7229"/>
    <w:rsid w:val="00200EB4"/>
    <w:rsid w:val="00202C40"/>
    <w:rsid w:val="00202E83"/>
    <w:rsid w:val="002049CF"/>
    <w:rsid w:val="002052CB"/>
    <w:rsid w:val="00205C7B"/>
    <w:rsid w:val="0020692D"/>
    <w:rsid w:val="00206AF4"/>
    <w:rsid w:val="00211DCC"/>
    <w:rsid w:val="002125B4"/>
    <w:rsid w:val="00213592"/>
    <w:rsid w:val="002147AB"/>
    <w:rsid w:val="002155B8"/>
    <w:rsid w:val="00216C3E"/>
    <w:rsid w:val="00221FD8"/>
    <w:rsid w:val="002224CA"/>
    <w:rsid w:val="00222FBC"/>
    <w:rsid w:val="00223ED3"/>
    <w:rsid w:val="00224839"/>
    <w:rsid w:val="002249B2"/>
    <w:rsid w:val="00226566"/>
    <w:rsid w:val="00226574"/>
    <w:rsid w:val="00226FD0"/>
    <w:rsid w:val="002278EC"/>
    <w:rsid w:val="00230697"/>
    <w:rsid w:val="00231DF0"/>
    <w:rsid w:val="00231F57"/>
    <w:rsid w:val="0023280E"/>
    <w:rsid w:val="00232C02"/>
    <w:rsid w:val="0023324B"/>
    <w:rsid w:val="002334BB"/>
    <w:rsid w:val="00235DF6"/>
    <w:rsid w:val="0023714D"/>
    <w:rsid w:val="002377D1"/>
    <w:rsid w:val="00241CC9"/>
    <w:rsid w:val="00242851"/>
    <w:rsid w:val="00242F4A"/>
    <w:rsid w:val="00246B28"/>
    <w:rsid w:val="00246C41"/>
    <w:rsid w:val="00246FAA"/>
    <w:rsid w:val="00247042"/>
    <w:rsid w:val="002479F7"/>
    <w:rsid w:val="00247EAD"/>
    <w:rsid w:val="00247ED6"/>
    <w:rsid w:val="00247F05"/>
    <w:rsid w:val="002506BC"/>
    <w:rsid w:val="002514FC"/>
    <w:rsid w:val="0025254F"/>
    <w:rsid w:val="002526A4"/>
    <w:rsid w:val="00254345"/>
    <w:rsid w:val="00256E04"/>
    <w:rsid w:val="002571F7"/>
    <w:rsid w:val="002613D7"/>
    <w:rsid w:val="00263005"/>
    <w:rsid w:val="00263573"/>
    <w:rsid w:val="00264522"/>
    <w:rsid w:val="00264557"/>
    <w:rsid w:val="002707B2"/>
    <w:rsid w:val="0027166C"/>
    <w:rsid w:val="00271ACA"/>
    <w:rsid w:val="00271B4D"/>
    <w:rsid w:val="00271FFC"/>
    <w:rsid w:val="00272DD9"/>
    <w:rsid w:val="00274C99"/>
    <w:rsid w:val="00277485"/>
    <w:rsid w:val="00277553"/>
    <w:rsid w:val="00277C1C"/>
    <w:rsid w:val="00280300"/>
    <w:rsid w:val="002805AB"/>
    <w:rsid w:val="00280CFF"/>
    <w:rsid w:val="00281C4A"/>
    <w:rsid w:val="0028232E"/>
    <w:rsid w:val="00282F50"/>
    <w:rsid w:val="0028323D"/>
    <w:rsid w:val="00284204"/>
    <w:rsid w:val="002862B9"/>
    <w:rsid w:val="0028733C"/>
    <w:rsid w:val="0028757A"/>
    <w:rsid w:val="00290545"/>
    <w:rsid w:val="00291773"/>
    <w:rsid w:val="00291856"/>
    <w:rsid w:val="00292659"/>
    <w:rsid w:val="002939A2"/>
    <w:rsid w:val="00294941"/>
    <w:rsid w:val="00294A5F"/>
    <w:rsid w:val="00296318"/>
    <w:rsid w:val="002965FD"/>
    <w:rsid w:val="002A168C"/>
    <w:rsid w:val="002A1B1E"/>
    <w:rsid w:val="002A1D72"/>
    <w:rsid w:val="002A3DC7"/>
    <w:rsid w:val="002A4AAF"/>
    <w:rsid w:val="002A4FA5"/>
    <w:rsid w:val="002A5110"/>
    <w:rsid w:val="002A5EA6"/>
    <w:rsid w:val="002A7C17"/>
    <w:rsid w:val="002B061C"/>
    <w:rsid w:val="002B40B4"/>
    <w:rsid w:val="002B4761"/>
    <w:rsid w:val="002B49E2"/>
    <w:rsid w:val="002B4BCD"/>
    <w:rsid w:val="002B5734"/>
    <w:rsid w:val="002B669D"/>
    <w:rsid w:val="002B672D"/>
    <w:rsid w:val="002B7861"/>
    <w:rsid w:val="002B7B00"/>
    <w:rsid w:val="002B7C44"/>
    <w:rsid w:val="002B7DF0"/>
    <w:rsid w:val="002C0D20"/>
    <w:rsid w:val="002C0EBD"/>
    <w:rsid w:val="002C1985"/>
    <w:rsid w:val="002C2B17"/>
    <w:rsid w:val="002C50C6"/>
    <w:rsid w:val="002C557E"/>
    <w:rsid w:val="002D088A"/>
    <w:rsid w:val="002D17A2"/>
    <w:rsid w:val="002D23D6"/>
    <w:rsid w:val="002D3DD0"/>
    <w:rsid w:val="002D3E9C"/>
    <w:rsid w:val="002D4980"/>
    <w:rsid w:val="002D4D3D"/>
    <w:rsid w:val="002D4F3A"/>
    <w:rsid w:val="002D5027"/>
    <w:rsid w:val="002E1F3A"/>
    <w:rsid w:val="002E298A"/>
    <w:rsid w:val="002E3538"/>
    <w:rsid w:val="002E3F95"/>
    <w:rsid w:val="002E5961"/>
    <w:rsid w:val="002E70D3"/>
    <w:rsid w:val="002F0A09"/>
    <w:rsid w:val="002F0B5D"/>
    <w:rsid w:val="002F1527"/>
    <w:rsid w:val="002F32E1"/>
    <w:rsid w:val="002F357D"/>
    <w:rsid w:val="002F4A0A"/>
    <w:rsid w:val="002F6DBF"/>
    <w:rsid w:val="00300625"/>
    <w:rsid w:val="0030173D"/>
    <w:rsid w:val="00301865"/>
    <w:rsid w:val="00301978"/>
    <w:rsid w:val="003020AF"/>
    <w:rsid w:val="0030332C"/>
    <w:rsid w:val="0030376C"/>
    <w:rsid w:val="00303C52"/>
    <w:rsid w:val="00304AAB"/>
    <w:rsid w:val="00304FF4"/>
    <w:rsid w:val="003051C2"/>
    <w:rsid w:val="00305657"/>
    <w:rsid w:val="00312296"/>
    <w:rsid w:val="00312C39"/>
    <w:rsid w:val="00312E67"/>
    <w:rsid w:val="00313198"/>
    <w:rsid w:val="00313695"/>
    <w:rsid w:val="0031402C"/>
    <w:rsid w:val="00314041"/>
    <w:rsid w:val="00314B6B"/>
    <w:rsid w:val="00314F0E"/>
    <w:rsid w:val="003157FF"/>
    <w:rsid w:val="00316EFA"/>
    <w:rsid w:val="0031769C"/>
    <w:rsid w:val="00317EB5"/>
    <w:rsid w:val="00320919"/>
    <w:rsid w:val="00320C20"/>
    <w:rsid w:val="00321D8E"/>
    <w:rsid w:val="00322777"/>
    <w:rsid w:val="003243C2"/>
    <w:rsid w:val="00324668"/>
    <w:rsid w:val="003248CC"/>
    <w:rsid w:val="00325928"/>
    <w:rsid w:val="00325D9C"/>
    <w:rsid w:val="0032687F"/>
    <w:rsid w:val="00326F97"/>
    <w:rsid w:val="00331564"/>
    <w:rsid w:val="00332863"/>
    <w:rsid w:val="0033371D"/>
    <w:rsid w:val="0033684D"/>
    <w:rsid w:val="00337B42"/>
    <w:rsid w:val="00341B42"/>
    <w:rsid w:val="00341B7D"/>
    <w:rsid w:val="0034348F"/>
    <w:rsid w:val="0034365E"/>
    <w:rsid w:val="0034397C"/>
    <w:rsid w:val="003448A2"/>
    <w:rsid w:val="0034688B"/>
    <w:rsid w:val="00347BE4"/>
    <w:rsid w:val="00347EA6"/>
    <w:rsid w:val="00351730"/>
    <w:rsid w:val="00351F4C"/>
    <w:rsid w:val="00352805"/>
    <w:rsid w:val="0035344A"/>
    <w:rsid w:val="00354011"/>
    <w:rsid w:val="003540DE"/>
    <w:rsid w:val="003557F5"/>
    <w:rsid w:val="00355844"/>
    <w:rsid w:val="00355BC0"/>
    <w:rsid w:val="00356653"/>
    <w:rsid w:val="003567BA"/>
    <w:rsid w:val="0035743F"/>
    <w:rsid w:val="00357BE2"/>
    <w:rsid w:val="00360614"/>
    <w:rsid w:val="00360650"/>
    <w:rsid w:val="003609DC"/>
    <w:rsid w:val="0036170C"/>
    <w:rsid w:val="003623C4"/>
    <w:rsid w:val="00362F31"/>
    <w:rsid w:val="00365C4A"/>
    <w:rsid w:val="00366587"/>
    <w:rsid w:val="00366E0F"/>
    <w:rsid w:val="00367983"/>
    <w:rsid w:val="00372DD3"/>
    <w:rsid w:val="0037475F"/>
    <w:rsid w:val="003761BA"/>
    <w:rsid w:val="003774A5"/>
    <w:rsid w:val="0037797C"/>
    <w:rsid w:val="00380AD7"/>
    <w:rsid w:val="00381A72"/>
    <w:rsid w:val="00381C94"/>
    <w:rsid w:val="003831A9"/>
    <w:rsid w:val="003834D3"/>
    <w:rsid w:val="0038453A"/>
    <w:rsid w:val="00384676"/>
    <w:rsid w:val="00385036"/>
    <w:rsid w:val="003861C4"/>
    <w:rsid w:val="00386552"/>
    <w:rsid w:val="00386778"/>
    <w:rsid w:val="00387A42"/>
    <w:rsid w:val="00390857"/>
    <w:rsid w:val="00391056"/>
    <w:rsid w:val="003919B6"/>
    <w:rsid w:val="0039319E"/>
    <w:rsid w:val="00395A5E"/>
    <w:rsid w:val="00396A78"/>
    <w:rsid w:val="003973D5"/>
    <w:rsid w:val="003A1938"/>
    <w:rsid w:val="003A1972"/>
    <w:rsid w:val="003A22E7"/>
    <w:rsid w:val="003A2C89"/>
    <w:rsid w:val="003A2DA4"/>
    <w:rsid w:val="003A2DF5"/>
    <w:rsid w:val="003A2E51"/>
    <w:rsid w:val="003A2FDE"/>
    <w:rsid w:val="003A32DB"/>
    <w:rsid w:val="003A36AE"/>
    <w:rsid w:val="003A4343"/>
    <w:rsid w:val="003A4B6F"/>
    <w:rsid w:val="003A4BF3"/>
    <w:rsid w:val="003A4EC9"/>
    <w:rsid w:val="003A663B"/>
    <w:rsid w:val="003A6760"/>
    <w:rsid w:val="003A7EC9"/>
    <w:rsid w:val="003B2284"/>
    <w:rsid w:val="003B2DDF"/>
    <w:rsid w:val="003B32F6"/>
    <w:rsid w:val="003B39EC"/>
    <w:rsid w:val="003B420D"/>
    <w:rsid w:val="003B5F95"/>
    <w:rsid w:val="003B7793"/>
    <w:rsid w:val="003C1785"/>
    <w:rsid w:val="003C22B8"/>
    <w:rsid w:val="003C2D7F"/>
    <w:rsid w:val="003C4B95"/>
    <w:rsid w:val="003C4C91"/>
    <w:rsid w:val="003C6C16"/>
    <w:rsid w:val="003D0E0A"/>
    <w:rsid w:val="003D1896"/>
    <w:rsid w:val="003D42F7"/>
    <w:rsid w:val="003D520F"/>
    <w:rsid w:val="003D5CA4"/>
    <w:rsid w:val="003D5DF9"/>
    <w:rsid w:val="003D794D"/>
    <w:rsid w:val="003E0A48"/>
    <w:rsid w:val="003E0DBA"/>
    <w:rsid w:val="003E1043"/>
    <w:rsid w:val="003E1F79"/>
    <w:rsid w:val="003E3058"/>
    <w:rsid w:val="003E45EA"/>
    <w:rsid w:val="003E61E8"/>
    <w:rsid w:val="003E73F1"/>
    <w:rsid w:val="003E76A9"/>
    <w:rsid w:val="003E7EE9"/>
    <w:rsid w:val="003F02F9"/>
    <w:rsid w:val="003F0467"/>
    <w:rsid w:val="003F0809"/>
    <w:rsid w:val="003F1DD8"/>
    <w:rsid w:val="003F3013"/>
    <w:rsid w:val="003F4EC2"/>
    <w:rsid w:val="003F5363"/>
    <w:rsid w:val="003F6291"/>
    <w:rsid w:val="003F6A8C"/>
    <w:rsid w:val="003F755C"/>
    <w:rsid w:val="00400A40"/>
    <w:rsid w:val="0040228F"/>
    <w:rsid w:val="004053F9"/>
    <w:rsid w:val="004069CA"/>
    <w:rsid w:val="00406ABA"/>
    <w:rsid w:val="00406F01"/>
    <w:rsid w:val="0041494E"/>
    <w:rsid w:val="00416D50"/>
    <w:rsid w:val="00416FD5"/>
    <w:rsid w:val="00417772"/>
    <w:rsid w:val="00420D68"/>
    <w:rsid w:val="00420E6A"/>
    <w:rsid w:val="00421014"/>
    <w:rsid w:val="00421043"/>
    <w:rsid w:val="00423301"/>
    <w:rsid w:val="00423AC2"/>
    <w:rsid w:val="00424C51"/>
    <w:rsid w:val="004255E6"/>
    <w:rsid w:val="00425A9E"/>
    <w:rsid w:val="00426D6B"/>
    <w:rsid w:val="00426FC2"/>
    <w:rsid w:val="00427115"/>
    <w:rsid w:val="00427C3A"/>
    <w:rsid w:val="004318EE"/>
    <w:rsid w:val="00431E6C"/>
    <w:rsid w:val="004332B2"/>
    <w:rsid w:val="00433CE7"/>
    <w:rsid w:val="00434AD3"/>
    <w:rsid w:val="00440761"/>
    <w:rsid w:val="00441ECA"/>
    <w:rsid w:val="004427B7"/>
    <w:rsid w:val="00443807"/>
    <w:rsid w:val="00444B06"/>
    <w:rsid w:val="0044744D"/>
    <w:rsid w:val="00447A29"/>
    <w:rsid w:val="00452523"/>
    <w:rsid w:val="00452738"/>
    <w:rsid w:val="00452EEA"/>
    <w:rsid w:val="004547EC"/>
    <w:rsid w:val="00454CEF"/>
    <w:rsid w:val="004557D9"/>
    <w:rsid w:val="00456091"/>
    <w:rsid w:val="00456736"/>
    <w:rsid w:val="00456C71"/>
    <w:rsid w:val="0045702C"/>
    <w:rsid w:val="0045758E"/>
    <w:rsid w:val="00461CD4"/>
    <w:rsid w:val="0046383D"/>
    <w:rsid w:val="00463A4C"/>
    <w:rsid w:val="00463A53"/>
    <w:rsid w:val="0046410A"/>
    <w:rsid w:val="0046532D"/>
    <w:rsid w:val="00465746"/>
    <w:rsid w:val="00466321"/>
    <w:rsid w:val="00467847"/>
    <w:rsid w:val="004678C0"/>
    <w:rsid w:val="00470342"/>
    <w:rsid w:val="00470A1F"/>
    <w:rsid w:val="00472004"/>
    <w:rsid w:val="00472BD5"/>
    <w:rsid w:val="00474743"/>
    <w:rsid w:val="00476A8B"/>
    <w:rsid w:val="00476E28"/>
    <w:rsid w:val="004802CD"/>
    <w:rsid w:val="00480E83"/>
    <w:rsid w:val="00482557"/>
    <w:rsid w:val="00484B9B"/>
    <w:rsid w:val="004855F6"/>
    <w:rsid w:val="00485DAB"/>
    <w:rsid w:val="0048661E"/>
    <w:rsid w:val="00486D4B"/>
    <w:rsid w:val="00486FB8"/>
    <w:rsid w:val="00486FFC"/>
    <w:rsid w:val="004915CA"/>
    <w:rsid w:val="00491BB0"/>
    <w:rsid w:val="00491CA7"/>
    <w:rsid w:val="0049302F"/>
    <w:rsid w:val="00494670"/>
    <w:rsid w:val="00496A76"/>
    <w:rsid w:val="004A08B3"/>
    <w:rsid w:val="004A2649"/>
    <w:rsid w:val="004A2BB4"/>
    <w:rsid w:val="004A3094"/>
    <w:rsid w:val="004A3466"/>
    <w:rsid w:val="004A3823"/>
    <w:rsid w:val="004A40AF"/>
    <w:rsid w:val="004A67B2"/>
    <w:rsid w:val="004B288B"/>
    <w:rsid w:val="004B4CAC"/>
    <w:rsid w:val="004B6659"/>
    <w:rsid w:val="004B6965"/>
    <w:rsid w:val="004B7665"/>
    <w:rsid w:val="004C0081"/>
    <w:rsid w:val="004C0575"/>
    <w:rsid w:val="004C0893"/>
    <w:rsid w:val="004C0906"/>
    <w:rsid w:val="004C0F02"/>
    <w:rsid w:val="004C2067"/>
    <w:rsid w:val="004C2331"/>
    <w:rsid w:val="004C6376"/>
    <w:rsid w:val="004D1D82"/>
    <w:rsid w:val="004D2B05"/>
    <w:rsid w:val="004D3D55"/>
    <w:rsid w:val="004D4236"/>
    <w:rsid w:val="004D43F1"/>
    <w:rsid w:val="004D5746"/>
    <w:rsid w:val="004D5958"/>
    <w:rsid w:val="004D650C"/>
    <w:rsid w:val="004D65C3"/>
    <w:rsid w:val="004D7324"/>
    <w:rsid w:val="004D7521"/>
    <w:rsid w:val="004E2AB6"/>
    <w:rsid w:val="004E3232"/>
    <w:rsid w:val="004E3B98"/>
    <w:rsid w:val="004E47AA"/>
    <w:rsid w:val="004E5BB0"/>
    <w:rsid w:val="004E6946"/>
    <w:rsid w:val="004E74C5"/>
    <w:rsid w:val="004E76EC"/>
    <w:rsid w:val="004F108E"/>
    <w:rsid w:val="004F158F"/>
    <w:rsid w:val="004F1AD8"/>
    <w:rsid w:val="004F33E6"/>
    <w:rsid w:val="004F54DA"/>
    <w:rsid w:val="004F60D1"/>
    <w:rsid w:val="0050015B"/>
    <w:rsid w:val="005017D6"/>
    <w:rsid w:val="005039CB"/>
    <w:rsid w:val="00504C04"/>
    <w:rsid w:val="0050558F"/>
    <w:rsid w:val="00505DEA"/>
    <w:rsid w:val="00506286"/>
    <w:rsid w:val="00507C21"/>
    <w:rsid w:val="00507FA9"/>
    <w:rsid w:val="005106D9"/>
    <w:rsid w:val="00510813"/>
    <w:rsid w:val="00511990"/>
    <w:rsid w:val="00511DE0"/>
    <w:rsid w:val="0051212C"/>
    <w:rsid w:val="0051285B"/>
    <w:rsid w:val="005128F5"/>
    <w:rsid w:val="00512F47"/>
    <w:rsid w:val="005133F1"/>
    <w:rsid w:val="00513F12"/>
    <w:rsid w:val="00514870"/>
    <w:rsid w:val="00514B9B"/>
    <w:rsid w:val="00515357"/>
    <w:rsid w:val="005159BF"/>
    <w:rsid w:val="0051682F"/>
    <w:rsid w:val="00517589"/>
    <w:rsid w:val="00517F02"/>
    <w:rsid w:val="00520BAC"/>
    <w:rsid w:val="00524303"/>
    <w:rsid w:val="005246F9"/>
    <w:rsid w:val="005258A2"/>
    <w:rsid w:val="00527BA9"/>
    <w:rsid w:val="0053001B"/>
    <w:rsid w:val="00530CE1"/>
    <w:rsid w:val="00531D1B"/>
    <w:rsid w:val="00533C67"/>
    <w:rsid w:val="005356D1"/>
    <w:rsid w:val="005371F1"/>
    <w:rsid w:val="005401AE"/>
    <w:rsid w:val="005406B3"/>
    <w:rsid w:val="00541A4C"/>
    <w:rsid w:val="00541CE0"/>
    <w:rsid w:val="00542602"/>
    <w:rsid w:val="00542D72"/>
    <w:rsid w:val="00542E07"/>
    <w:rsid w:val="00542F2F"/>
    <w:rsid w:val="00545424"/>
    <w:rsid w:val="00545504"/>
    <w:rsid w:val="0054574E"/>
    <w:rsid w:val="00547272"/>
    <w:rsid w:val="00550B1F"/>
    <w:rsid w:val="00553FBC"/>
    <w:rsid w:val="0055441C"/>
    <w:rsid w:val="00554A7B"/>
    <w:rsid w:val="0055572C"/>
    <w:rsid w:val="0055618D"/>
    <w:rsid w:val="005564E7"/>
    <w:rsid w:val="0055685A"/>
    <w:rsid w:val="00557178"/>
    <w:rsid w:val="00557383"/>
    <w:rsid w:val="0056106A"/>
    <w:rsid w:val="0056458E"/>
    <w:rsid w:val="005652AF"/>
    <w:rsid w:val="00566069"/>
    <w:rsid w:val="00566A91"/>
    <w:rsid w:val="0056754F"/>
    <w:rsid w:val="005677B9"/>
    <w:rsid w:val="00570299"/>
    <w:rsid w:val="005720AE"/>
    <w:rsid w:val="005729EB"/>
    <w:rsid w:val="00572A06"/>
    <w:rsid w:val="00574645"/>
    <w:rsid w:val="00575256"/>
    <w:rsid w:val="00575FB4"/>
    <w:rsid w:val="00576CAB"/>
    <w:rsid w:val="00576F16"/>
    <w:rsid w:val="0057776A"/>
    <w:rsid w:val="00582EE0"/>
    <w:rsid w:val="00582FB5"/>
    <w:rsid w:val="0058308E"/>
    <w:rsid w:val="00583269"/>
    <w:rsid w:val="00583338"/>
    <w:rsid w:val="0058338A"/>
    <w:rsid w:val="00583AEF"/>
    <w:rsid w:val="005844E8"/>
    <w:rsid w:val="005846C9"/>
    <w:rsid w:val="00587565"/>
    <w:rsid w:val="00590122"/>
    <w:rsid w:val="005903EA"/>
    <w:rsid w:val="005907FE"/>
    <w:rsid w:val="00590F19"/>
    <w:rsid w:val="0059223F"/>
    <w:rsid w:val="00592CC0"/>
    <w:rsid w:val="00592FA5"/>
    <w:rsid w:val="00594D77"/>
    <w:rsid w:val="005969E4"/>
    <w:rsid w:val="005979E2"/>
    <w:rsid w:val="005A06B7"/>
    <w:rsid w:val="005A08C2"/>
    <w:rsid w:val="005A1759"/>
    <w:rsid w:val="005A1F72"/>
    <w:rsid w:val="005A2232"/>
    <w:rsid w:val="005A2605"/>
    <w:rsid w:val="005A2FEB"/>
    <w:rsid w:val="005A4046"/>
    <w:rsid w:val="005A4F2C"/>
    <w:rsid w:val="005A68A7"/>
    <w:rsid w:val="005A74EC"/>
    <w:rsid w:val="005A78BB"/>
    <w:rsid w:val="005A7B94"/>
    <w:rsid w:val="005B037B"/>
    <w:rsid w:val="005B0469"/>
    <w:rsid w:val="005B1BEC"/>
    <w:rsid w:val="005B1D52"/>
    <w:rsid w:val="005B3BE5"/>
    <w:rsid w:val="005B6103"/>
    <w:rsid w:val="005B641E"/>
    <w:rsid w:val="005B70C6"/>
    <w:rsid w:val="005C00FF"/>
    <w:rsid w:val="005C0758"/>
    <w:rsid w:val="005C0834"/>
    <w:rsid w:val="005C1298"/>
    <w:rsid w:val="005C2A41"/>
    <w:rsid w:val="005C383A"/>
    <w:rsid w:val="005C412B"/>
    <w:rsid w:val="005C5DF7"/>
    <w:rsid w:val="005C60EA"/>
    <w:rsid w:val="005C7EE1"/>
    <w:rsid w:val="005D2B0C"/>
    <w:rsid w:val="005D36AB"/>
    <w:rsid w:val="005D3D41"/>
    <w:rsid w:val="005D5CC6"/>
    <w:rsid w:val="005E1434"/>
    <w:rsid w:val="005E2996"/>
    <w:rsid w:val="005E412D"/>
    <w:rsid w:val="005E7318"/>
    <w:rsid w:val="005E7AB6"/>
    <w:rsid w:val="005F08EB"/>
    <w:rsid w:val="005F0F73"/>
    <w:rsid w:val="005F23C9"/>
    <w:rsid w:val="005F3322"/>
    <w:rsid w:val="005F386C"/>
    <w:rsid w:val="005F41CC"/>
    <w:rsid w:val="005F5AEB"/>
    <w:rsid w:val="00602550"/>
    <w:rsid w:val="006035D5"/>
    <w:rsid w:val="006071F6"/>
    <w:rsid w:val="006109C9"/>
    <w:rsid w:val="00612927"/>
    <w:rsid w:val="00612A3F"/>
    <w:rsid w:val="0061353B"/>
    <w:rsid w:val="0061452E"/>
    <w:rsid w:val="00614CFD"/>
    <w:rsid w:val="00616873"/>
    <w:rsid w:val="00617CC3"/>
    <w:rsid w:val="00617D2D"/>
    <w:rsid w:val="0062108C"/>
    <w:rsid w:val="006216B7"/>
    <w:rsid w:val="00621AC8"/>
    <w:rsid w:val="006233E8"/>
    <w:rsid w:val="006243F4"/>
    <w:rsid w:val="00627498"/>
    <w:rsid w:val="006300D2"/>
    <w:rsid w:val="00630764"/>
    <w:rsid w:val="00630A9A"/>
    <w:rsid w:val="006377A6"/>
    <w:rsid w:val="00637A3D"/>
    <w:rsid w:val="006405EC"/>
    <w:rsid w:val="006411EF"/>
    <w:rsid w:val="00643E89"/>
    <w:rsid w:val="006443AE"/>
    <w:rsid w:val="00645470"/>
    <w:rsid w:val="006478DB"/>
    <w:rsid w:val="00650CEE"/>
    <w:rsid w:val="00650FDD"/>
    <w:rsid w:val="00652B7D"/>
    <w:rsid w:val="00652E03"/>
    <w:rsid w:val="00653548"/>
    <w:rsid w:val="00654AD6"/>
    <w:rsid w:val="0065683D"/>
    <w:rsid w:val="00656B7B"/>
    <w:rsid w:val="00656EF3"/>
    <w:rsid w:val="0066008E"/>
    <w:rsid w:val="006606FA"/>
    <w:rsid w:val="00662939"/>
    <w:rsid w:val="00663878"/>
    <w:rsid w:val="006643A3"/>
    <w:rsid w:val="006646A2"/>
    <w:rsid w:val="006651D6"/>
    <w:rsid w:val="006654B6"/>
    <w:rsid w:val="006664B2"/>
    <w:rsid w:val="00667BB9"/>
    <w:rsid w:val="0067038F"/>
    <w:rsid w:val="006707B6"/>
    <w:rsid w:val="0067084A"/>
    <w:rsid w:val="006708C9"/>
    <w:rsid w:val="0067127E"/>
    <w:rsid w:val="006714DC"/>
    <w:rsid w:val="006732F2"/>
    <w:rsid w:val="0067425C"/>
    <w:rsid w:val="006748B8"/>
    <w:rsid w:val="00675183"/>
    <w:rsid w:val="0067597C"/>
    <w:rsid w:val="006775C3"/>
    <w:rsid w:val="00682036"/>
    <w:rsid w:val="0068497E"/>
    <w:rsid w:val="00686E6B"/>
    <w:rsid w:val="006900FA"/>
    <w:rsid w:val="006904A4"/>
    <w:rsid w:val="0069070A"/>
    <w:rsid w:val="00691233"/>
    <w:rsid w:val="0069264D"/>
    <w:rsid w:val="0069290A"/>
    <w:rsid w:val="0069471A"/>
    <w:rsid w:val="00694D4D"/>
    <w:rsid w:val="00696C08"/>
    <w:rsid w:val="0069775A"/>
    <w:rsid w:val="00697813"/>
    <w:rsid w:val="006A29E5"/>
    <w:rsid w:val="006A3977"/>
    <w:rsid w:val="006A3EE8"/>
    <w:rsid w:val="006A5865"/>
    <w:rsid w:val="006A6967"/>
    <w:rsid w:val="006A72BF"/>
    <w:rsid w:val="006B021B"/>
    <w:rsid w:val="006B03F2"/>
    <w:rsid w:val="006B0537"/>
    <w:rsid w:val="006B0819"/>
    <w:rsid w:val="006B0F50"/>
    <w:rsid w:val="006B17A2"/>
    <w:rsid w:val="006B37DC"/>
    <w:rsid w:val="006B38B1"/>
    <w:rsid w:val="006B3D4F"/>
    <w:rsid w:val="006B4490"/>
    <w:rsid w:val="006B4F68"/>
    <w:rsid w:val="006B5AB6"/>
    <w:rsid w:val="006B72A5"/>
    <w:rsid w:val="006C032E"/>
    <w:rsid w:val="006C0592"/>
    <w:rsid w:val="006C09EE"/>
    <w:rsid w:val="006C2138"/>
    <w:rsid w:val="006C272E"/>
    <w:rsid w:val="006C2B16"/>
    <w:rsid w:val="006C43A3"/>
    <w:rsid w:val="006C46C8"/>
    <w:rsid w:val="006C5479"/>
    <w:rsid w:val="006C5D4C"/>
    <w:rsid w:val="006C7C78"/>
    <w:rsid w:val="006D13B5"/>
    <w:rsid w:val="006D1E8E"/>
    <w:rsid w:val="006D239E"/>
    <w:rsid w:val="006D2C1D"/>
    <w:rsid w:val="006D37F3"/>
    <w:rsid w:val="006D38B4"/>
    <w:rsid w:val="006D3BA7"/>
    <w:rsid w:val="006D42A4"/>
    <w:rsid w:val="006D4625"/>
    <w:rsid w:val="006D4D4F"/>
    <w:rsid w:val="006D4E75"/>
    <w:rsid w:val="006D631D"/>
    <w:rsid w:val="006D7932"/>
    <w:rsid w:val="006E12FF"/>
    <w:rsid w:val="006E13C4"/>
    <w:rsid w:val="006E1509"/>
    <w:rsid w:val="006E298D"/>
    <w:rsid w:val="006E2F76"/>
    <w:rsid w:val="006E607E"/>
    <w:rsid w:val="006E66AE"/>
    <w:rsid w:val="006E6A92"/>
    <w:rsid w:val="006E6E8C"/>
    <w:rsid w:val="006E70AE"/>
    <w:rsid w:val="006F0C2C"/>
    <w:rsid w:val="006F0DC1"/>
    <w:rsid w:val="006F0F5D"/>
    <w:rsid w:val="006F1572"/>
    <w:rsid w:val="006F3042"/>
    <w:rsid w:val="006F3E42"/>
    <w:rsid w:val="006F5D5E"/>
    <w:rsid w:val="006F671D"/>
    <w:rsid w:val="006F6C60"/>
    <w:rsid w:val="006F752E"/>
    <w:rsid w:val="006F7AA5"/>
    <w:rsid w:val="007000DB"/>
    <w:rsid w:val="007015E2"/>
    <w:rsid w:val="00703101"/>
    <w:rsid w:val="00704E65"/>
    <w:rsid w:val="0070602D"/>
    <w:rsid w:val="00706C5D"/>
    <w:rsid w:val="007114FF"/>
    <w:rsid w:val="007131FE"/>
    <w:rsid w:val="007132DB"/>
    <w:rsid w:val="00714687"/>
    <w:rsid w:val="007157CB"/>
    <w:rsid w:val="007169B8"/>
    <w:rsid w:val="007215B2"/>
    <w:rsid w:val="00721ABD"/>
    <w:rsid w:val="00721AEE"/>
    <w:rsid w:val="00722CE3"/>
    <w:rsid w:val="007241DA"/>
    <w:rsid w:val="007256C5"/>
    <w:rsid w:val="0072639E"/>
    <w:rsid w:val="0072694C"/>
    <w:rsid w:val="00726C32"/>
    <w:rsid w:val="00727106"/>
    <w:rsid w:val="007271FE"/>
    <w:rsid w:val="00727BAF"/>
    <w:rsid w:val="00732922"/>
    <w:rsid w:val="007335AF"/>
    <w:rsid w:val="00733783"/>
    <w:rsid w:val="00734724"/>
    <w:rsid w:val="0074052B"/>
    <w:rsid w:val="00741280"/>
    <w:rsid w:val="00741880"/>
    <w:rsid w:val="00742065"/>
    <w:rsid w:val="00742443"/>
    <w:rsid w:val="00742E9B"/>
    <w:rsid w:val="00744FFA"/>
    <w:rsid w:val="0074561E"/>
    <w:rsid w:val="0074799D"/>
    <w:rsid w:val="0075162E"/>
    <w:rsid w:val="00751D41"/>
    <w:rsid w:val="00752E84"/>
    <w:rsid w:val="00753E7F"/>
    <w:rsid w:val="00754034"/>
    <w:rsid w:val="007549D6"/>
    <w:rsid w:val="00754BD8"/>
    <w:rsid w:val="007558ED"/>
    <w:rsid w:val="00756556"/>
    <w:rsid w:val="00757190"/>
    <w:rsid w:val="007600DB"/>
    <w:rsid w:val="00761162"/>
    <w:rsid w:val="007616D6"/>
    <w:rsid w:val="007618C4"/>
    <w:rsid w:val="00761F6F"/>
    <w:rsid w:val="007633CC"/>
    <w:rsid w:val="00766AF7"/>
    <w:rsid w:val="00766C57"/>
    <w:rsid w:val="0076704F"/>
    <w:rsid w:val="007675DD"/>
    <w:rsid w:val="00767980"/>
    <w:rsid w:val="00767EA3"/>
    <w:rsid w:val="00770B19"/>
    <w:rsid w:val="007712AB"/>
    <w:rsid w:val="00771A14"/>
    <w:rsid w:val="00773B13"/>
    <w:rsid w:val="00773CB8"/>
    <w:rsid w:val="0077463F"/>
    <w:rsid w:val="007754F5"/>
    <w:rsid w:val="00777F39"/>
    <w:rsid w:val="00781277"/>
    <w:rsid w:val="007824B9"/>
    <w:rsid w:val="00782569"/>
    <w:rsid w:val="00783108"/>
    <w:rsid w:val="007836EA"/>
    <w:rsid w:val="00784CDA"/>
    <w:rsid w:val="00784D9D"/>
    <w:rsid w:val="007853B0"/>
    <w:rsid w:val="00787B85"/>
    <w:rsid w:val="007906C4"/>
    <w:rsid w:val="00791585"/>
    <w:rsid w:val="00793802"/>
    <w:rsid w:val="007940EA"/>
    <w:rsid w:val="007943FE"/>
    <w:rsid w:val="00794525"/>
    <w:rsid w:val="007967E8"/>
    <w:rsid w:val="00796AF6"/>
    <w:rsid w:val="007A0790"/>
    <w:rsid w:val="007A12B7"/>
    <w:rsid w:val="007A1FCE"/>
    <w:rsid w:val="007A2170"/>
    <w:rsid w:val="007A22BF"/>
    <w:rsid w:val="007A2B43"/>
    <w:rsid w:val="007A3323"/>
    <w:rsid w:val="007A4AA4"/>
    <w:rsid w:val="007A6346"/>
    <w:rsid w:val="007B1348"/>
    <w:rsid w:val="007B36BE"/>
    <w:rsid w:val="007B48AB"/>
    <w:rsid w:val="007B4E87"/>
    <w:rsid w:val="007B60EA"/>
    <w:rsid w:val="007B69D8"/>
    <w:rsid w:val="007B72B8"/>
    <w:rsid w:val="007B7650"/>
    <w:rsid w:val="007B7A58"/>
    <w:rsid w:val="007C09A0"/>
    <w:rsid w:val="007C17AC"/>
    <w:rsid w:val="007C21B5"/>
    <w:rsid w:val="007C34A4"/>
    <w:rsid w:val="007D206F"/>
    <w:rsid w:val="007D3464"/>
    <w:rsid w:val="007D3D65"/>
    <w:rsid w:val="007D4DFD"/>
    <w:rsid w:val="007D4FF7"/>
    <w:rsid w:val="007D6441"/>
    <w:rsid w:val="007D7B6A"/>
    <w:rsid w:val="007E002A"/>
    <w:rsid w:val="007E2F39"/>
    <w:rsid w:val="007E4349"/>
    <w:rsid w:val="007E4BD2"/>
    <w:rsid w:val="007E7624"/>
    <w:rsid w:val="007F06A6"/>
    <w:rsid w:val="007F1EC5"/>
    <w:rsid w:val="007F4B32"/>
    <w:rsid w:val="007F69F5"/>
    <w:rsid w:val="007F6BC2"/>
    <w:rsid w:val="007F7544"/>
    <w:rsid w:val="007F7B66"/>
    <w:rsid w:val="00800D9D"/>
    <w:rsid w:val="00801393"/>
    <w:rsid w:val="00801874"/>
    <w:rsid w:val="00802397"/>
    <w:rsid w:val="00802F88"/>
    <w:rsid w:val="0080426F"/>
    <w:rsid w:val="008051C1"/>
    <w:rsid w:val="00805CA0"/>
    <w:rsid w:val="008111C6"/>
    <w:rsid w:val="008113DF"/>
    <w:rsid w:val="0081293E"/>
    <w:rsid w:val="0081383E"/>
    <w:rsid w:val="00814BB6"/>
    <w:rsid w:val="00815465"/>
    <w:rsid w:val="00815F02"/>
    <w:rsid w:val="00816299"/>
    <w:rsid w:val="00817A6D"/>
    <w:rsid w:val="00817E9A"/>
    <w:rsid w:val="00820673"/>
    <w:rsid w:val="00820713"/>
    <w:rsid w:val="00823620"/>
    <w:rsid w:val="008237AC"/>
    <w:rsid w:val="00824CD9"/>
    <w:rsid w:val="00826751"/>
    <w:rsid w:val="00826943"/>
    <w:rsid w:val="00826CA6"/>
    <w:rsid w:val="00826ED0"/>
    <w:rsid w:val="00827643"/>
    <w:rsid w:val="00830539"/>
    <w:rsid w:val="008306BD"/>
    <w:rsid w:val="00830808"/>
    <w:rsid w:val="00830F52"/>
    <w:rsid w:val="00831A80"/>
    <w:rsid w:val="008322C1"/>
    <w:rsid w:val="00832A9F"/>
    <w:rsid w:val="00833512"/>
    <w:rsid w:val="00833743"/>
    <w:rsid w:val="008340A4"/>
    <w:rsid w:val="00835513"/>
    <w:rsid w:val="00836205"/>
    <w:rsid w:val="0084434E"/>
    <w:rsid w:val="008453CF"/>
    <w:rsid w:val="00845CA0"/>
    <w:rsid w:val="008463BB"/>
    <w:rsid w:val="008470AD"/>
    <w:rsid w:val="008501D9"/>
    <w:rsid w:val="0085097C"/>
    <w:rsid w:val="00852D41"/>
    <w:rsid w:val="00852EE0"/>
    <w:rsid w:val="00854978"/>
    <w:rsid w:val="0085511D"/>
    <w:rsid w:val="008564D6"/>
    <w:rsid w:val="00856D8A"/>
    <w:rsid w:val="00857089"/>
    <w:rsid w:val="0085738A"/>
    <w:rsid w:val="00860A99"/>
    <w:rsid w:val="008648BC"/>
    <w:rsid w:val="008657EA"/>
    <w:rsid w:val="0087135F"/>
    <w:rsid w:val="008717E3"/>
    <w:rsid w:val="008717EB"/>
    <w:rsid w:val="0087187C"/>
    <w:rsid w:val="00872D94"/>
    <w:rsid w:val="00872DB3"/>
    <w:rsid w:val="00873895"/>
    <w:rsid w:val="00875AB3"/>
    <w:rsid w:val="0087690E"/>
    <w:rsid w:val="00880230"/>
    <w:rsid w:val="00880364"/>
    <w:rsid w:val="00881503"/>
    <w:rsid w:val="0088233A"/>
    <w:rsid w:val="008828D2"/>
    <w:rsid w:val="008863D0"/>
    <w:rsid w:val="00886AD8"/>
    <w:rsid w:val="00887034"/>
    <w:rsid w:val="008900C6"/>
    <w:rsid w:val="00890894"/>
    <w:rsid w:val="00891592"/>
    <w:rsid w:val="00891A24"/>
    <w:rsid w:val="00891A81"/>
    <w:rsid w:val="00891E9E"/>
    <w:rsid w:val="008949B0"/>
    <w:rsid w:val="00894E9F"/>
    <w:rsid w:val="00896A78"/>
    <w:rsid w:val="00897AB2"/>
    <w:rsid w:val="00897B43"/>
    <w:rsid w:val="00897E33"/>
    <w:rsid w:val="008A0B78"/>
    <w:rsid w:val="008A1343"/>
    <w:rsid w:val="008A2F68"/>
    <w:rsid w:val="008A30D9"/>
    <w:rsid w:val="008A46E9"/>
    <w:rsid w:val="008A47B3"/>
    <w:rsid w:val="008A7FFC"/>
    <w:rsid w:val="008B0256"/>
    <w:rsid w:val="008B354A"/>
    <w:rsid w:val="008B4FA6"/>
    <w:rsid w:val="008B5282"/>
    <w:rsid w:val="008B565E"/>
    <w:rsid w:val="008B5F50"/>
    <w:rsid w:val="008B7C17"/>
    <w:rsid w:val="008B7D62"/>
    <w:rsid w:val="008C2D01"/>
    <w:rsid w:val="008C3258"/>
    <w:rsid w:val="008C40E6"/>
    <w:rsid w:val="008C661D"/>
    <w:rsid w:val="008D0F7A"/>
    <w:rsid w:val="008D1F00"/>
    <w:rsid w:val="008D2FBE"/>
    <w:rsid w:val="008D3279"/>
    <w:rsid w:val="008D3F75"/>
    <w:rsid w:val="008D5450"/>
    <w:rsid w:val="008D552E"/>
    <w:rsid w:val="008D68E4"/>
    <w:rsid w:val="008D7F96"/>
    <w:rsid w:val="008E0506"/>
    <w:rsid w:val="008E0CFF"/>
    <w:rsid w:val="008E0F3F"/>
    <w:rsid w:val="008E1CF4"/>
    <w:rsid w:val="008E3CF5"/>
    <w:rsid w:val="008E48E0"/>
    <w:rsid w:val="008E48F9"/>
    <w:rsid w:val="008E5538"/>
    <w:rsid w:val="008E5541"/>
    <w:rsid w:val="008E570C"/>
    <w:rsid w:val="008E584B"/>
    <w:rsid w:val="008E5CD6"/>
    <w:rsid w:val="008E5D6B"/>
    <w:rsid w:val="008E727B"/>
    <w:rsid w:val="008E76F0"/>
    <w:rsid w:val="008F04E5"/>
    <w:rsid w:val="008F0A23"/>
    <w:rsid w:val="008F0E8A"/>
    <w:rsid w:val="008F15FE"/>
    <w:rsid w:val="008F210C"/>
    <w:rsid w:val="008F2D29"/>
    <w:rsid w:val="008F3BAE"/>
    <w:rsid w:val="008F46A2"/>
    <w:rsid w:val="008F4D82"/>
    <w:rsid w:val="008F5187"/>
    <w:rsid w:val="008F5B64"/>
    <w:rsid w:val="008F60D8"/>
    <w:rsid w:val="009009E8"/>
    <w:rsid w:val="00901980"/>
    <w:rsid w:val="00902727"/>
    <w:rsid w:val="0090312B"/>
    <w:rsid w:val="00903751"/>
    <w:rsid w:val="00903783"/>
    <w:rsid w:val="009048B9"/>
    <w:rsid w:val="009064B6"/>
    <w:rsid w:val="00910104"/>
    <w:rsid w:val="00911B85"/>
    <w:rsid w:val="0091369F"/>
    <w:rsid w:val="009143C0"/>
    <w:rsid w:val="00915E5F"/>
    <w:rsid w:val="00915ED6"/>
    <w:rsid w:val="0091736D"/>
    <w:rsid w:val="009204CE"/>
    <w:rsid w:val="00923326"/>
    <w:rsid w:val="009245BD"/>
    <w:rsid w:val="00925465"/>
    <w:rsid w:val="00926958"/>
    <w:rsid w:val="009279AD"/>
    <w:rsid w:val="0093037A"/>
    <w:rsid w:val="00930620"/>
    <w:rsid w:val="00932647"/>
    <w:rsid w:val="009332BE"/>
    <w:rsid w:val="00933DCD"/>
    <w:rsid w:val="00935A6A"/>
    <w:rsid w:val="00935E45"/>
    <w:rsid w:val="009406DA"/>
    <w:rsid w:val="0094154D"/>
    <w:rsid w:val="00941664"/>
    <w:rsid w:val="00941A1C"/>
    <w:rsid w:val="009441E4"/>
    <w:rsid w:val="0094444C"/>
    <w:rsid w:val="009503C6"/>
    <w:rsid w:val="00950942"/>
    <w:rsid w:val="0095098D"/>
    <w:rsid w:val="00950AFF"/>
    <w:rsid w:val="0095155F"/>
    <w:rsid w:val="00952CB4"/>
    <w:rsid w:val="00952CD0"/>
    <w:rsid w:val="0095352F"/>
    <w:rsid w:val="00954429"/>
    <w:rsid w:val="00954F91"/>
    <w:rsid w:val="009563CE"/>
    <w:rsid w:val="00957289"/>
    <w:rsid w:val="00957F56"/>
    <w:rsid w:val="00961645"/>
    <w:rsid w:val="0096248F"/>
    <w:rsid w:val="00962AF4"/>
    <w:rsid w:val="00962B7E"/>
    <w:rsid w:val="009639EA"/>
    <w:rsid w:val="00964A3C"/>
    <w:rsid w:val="009658F6"/>
    <w:rsid w:val="0096602C"/>
    <w:rsid w:val="009662F3"/>
    <w:rsid w:val="009711D2"/>
    <w:rsid w:val="00971245"/>
    <w:rsid w:val="00971B31"/>
    <w:rsid w:val="00972118"/>
    <w:rsid w:val="00974360"/>
    <w:rsid w:val="00976328"/>
    <w:rsid w:val="0097680D"/>
    <w:rsid w:val="00976849"/>
    <w:rsid w:val="00976D55"/>
    <w:rsid w:val="00977273"/>
    <w:rsid w:val="00980AB4"/>
    <w:rsid w:val="00981309"/>
    <w:rsid w:val="00981D04"/>
    <w:rsid w:val="00982438"/>
    <w:rsid w:val="0098404C"/>
    <w:rsid w:val="009842CD"/>
    <w:rsid w:val="00984BEB"/>
    <w:rsid w:val="00984D2C"/>
    <w:rsid w:val="00985283"/>
    <w:rsid w:val="00985DA4"/>
    <w:rsid w:val="00986C4A"/>
    <w:rsid w:val="0098781B"/>
    <w:rsid w:val="00990CBD"/>
    <w:rsid w:val="0099214F"/>
    <w:rsid w:val="009931BD"/>
    <w:rsid w:val="009942CE"/>
    <w:rsid w:val="00994F98"/>
    <w:rsid w:val="0099564C"/>
    <w:rsid w:val="00995992"/>
    <w:rsid w:val="009A0010"/>
    <w:rsid w:val="009A023C"/>
    <w:rsid w:val="009A03E5"/>
    <w:rsid w:val="009A0AC0"/>
    <w:rsid w:val="009A0B4F"/>
    <w:rsid w:val="009A0F3B"/>
    <w:rsid w:val="009A167A"/>
    <w:rsid w:val="009A1BB4"/>
    <w:rsid w:val="009A2628"/>
    <w:rsid w:val="009A2833"/>
    <w:rsid w:val="009A3200"/>
    <w:rsid w:val="009A3F4B"/>
    <w:rsid w:val="009A404E"/>
    <w:rsid w:val="009A469C"/>
    <w:rsid w:val="009A46EA"/>
    <w:rsid w:val="009A4AA0"/>
    <w:rsid w:val="009B07F6"/>
    <w:rsid w:val="009B0897"/>
    <w:rsid w:val="009B12D9"/>
    <w:rsid w:val="009B1C1B"/>
    <w:rsid w:val="009B3E7F"/>
    <w:rsid w:val="009B4BC2"/>
    <w:rsid w:val="009B56A7"/>
    <w:rsid w:val="009B5AAA"/>
    <w:rsid w:val="009B5B69"/>
    <w:rsid w:val="009B7BD9"/>
    <w:rsid w:val="009C157C"/>
    <w:rsid w:val="009C19A7"/>
    <w:rsid w:val="009C3788"/>
    <w:rsid w:val="009C546A"/>
    <w:rsid w:val="009C5705"/>
    <w:rsid w:val="009C7DD5"/>
    <w:rsid w:val="009D02D3"/>
    <w:rsid w:val="009D259B"/>
    <w:rsid w:val="009D2CC1"/>
    <w:rsid w:val="009D6D0E"/>
    <w:rsid w:val="009E0552"/>
    <w:rsid w:val="009E0E37"/>
    <w:rsid w:val="009E12B9"/>
    <w:rsid w:val="009E227D"/>
    <w:rsid w:val="009E3585"/>
    <w:rsid w:val="009E4F87"/>
    <w:rsid w:val="009E5019"/>
    <w:rsid w:val="009F0144"/>
    <w:rsid w:val="009F037F"/>
    <w:rsid w:val="009F335B"/>
    <w:rsid w:val="009F4C1E"/>
    <w:rsid w:val="009F5D0E"/>
    <w:rsid w:val="009F5D71"/>
    <w:rsid w:val="009F654A"/>
    <w:rsid w:val="009F7DD7"/>
    <w:rsid w:val="009F7F71"/>
    <w:rsid w:val="00A020F7"/>
    <w:rsid w:val="00A02E48"/>
    <w:rsid w:val="00A03E4A"/>
    <w:rsid w:val="00A04184"/>
    <w:rsid w:val="00A04E72"/>
    <w:rsid w:val="00A04F1B"/>
    <w:rsid w:val="00A0501B"/>
    <w:rsid w:val="00A05053"/>
    <w:rsid w:val="00A05168"/>
    <w:rsid w:val="00A0533A"/>
    <w:rsid w:val="00A05768"/>
    <w:rsid w:val="00A061C2"/>
    <w:rsid w:val="00A065A1"/>
    <w:rsid w:val="00A069E7"/>
    <w:rsid w:val="00A11084"/>
    <w:rsid w:val="00A125AA"/>
    <w:rsid w:val="00A1284C"/>
    <w:rsid w:val="00A130F0"/>
    <w:rsid w:val="00A1339C"/>
    <w:rsid w:val="00A1469F"/>
    <w:rsid w:val="00A14947"/>
    <w:rsid w:val="00A150F0"/>
    <w:rsid w:val="00A15264"/>
    <w:rsid w:val="00A1555F"/>
    <w:rsid w:val="00A16BA2"/>
    <w:rsid w:val="00A17EC3"/>
    <w:rsid w:val="00A20992"/>
    <w:rsid w:val="00A21A50"/>
    <w:rsid w:val="00A26363"/>
    <w:rsid w:val="00A30A23"/>
    <w:rsid w:val="00A32A83"/>
    <w:rsid w:val="00A33895"/>
    <w:rsid w:val="00A34E07"/>
    <w:rsid w:val="00A3512B"/>
    <w:rsid w:val="00A368DB"/>
    <w:rsid w:val="00A36DBF"/>
    <w:rsid w:val="00A402EB"/>
    <w:rsid w:val="00A40511"/>
    <w:rsid w:val="00A41177"/>
    <w:rsid w:val="00A418C2"/>
    <w:rsid w:val="00A41B9F"/>
    <w:rsid w:val="00A423AA"/>
    <w:rsid w:val="00A42A72"/>
    <w:rsid w:val="00A42D9F"/>
    <w:rsid w:val="00A43816"/>
    <w:rsid w:val="00A4424D"/>
    <w:rsid w:val="00A45CFE"/>
    <w:rsid w:val="00A45EE1"/>
    <w:rsid w:val="00A4629E"/>
    <w:rsid w:val="00A4656C"/>
    <w:rsid w:val="00A51100"/>
    <w:rsid w:val="00A51464"/>
    <w:rsid w:val="00A5189F"/>
    <w:rsid w:val="00A519C9"/>
    <w:rsid w:val="00A529CA"/>
    <w:rsid w:val="00A53EC6"/>
    <w:rsid w:val="00A542D6"/>
    <w:rsid w:val="00A54349"/>
    <w:rsid w:val="00A54F15"/>
    <w:rsid w:val="00A55C0F"/>
    <w:rsid w:val="00A605F3"/>
    <w:rsid w:val="00A6134C"/>
    <w:rsid w:val="00A62292"/>
    <w:rsid w:val="00A62758"/>
    <w:rsid w:val="00A63A5F"/>
    <w:rsid w:val="00A63CC0"/>
    <w:rsid w:val="00A6522B"/>
    <w:rsid w:val="00A65486"/>
    <w:rsid w:val="00A659CA"/>
    <w:rsid w:val="00A71055"/>
    <w:rsid w:val="00A71162"/>
    <w:rsid w:val="00A715C1"/>
    <w:rsid w:val="00A719B2"/>
    <w:rsid w:val="00A726F6"/>
    <w:rsid w:val="00A72BCA"/>
    <w:rsid w:val="00A72BF5"/>
    <w:rsid w:val="00A741CC"/>
    <w:rsid w:val="00A76335"/>
    <w:rsid w:val="00A77E7C"/>
    <w:rsid w:val="00A801F1"/>
    <w:rsid w:val="00A8046A"/>
    <w:rsid w:val="00A80CC8"/>
    <w:rsid w:val="00A82170"/>
    <w:rsid w:val="00A85D8E"/>
    <w:rsid w:val="00A8713F"/>
    <w:rsid w:val="00A9080C"/>
    <w:rsid w:val="00A90847"/>
    <w:rsid w:val="00A90BA1"/>
    <w:rsid w:val="00A9158A"/>
    <w:rsid w:val="00A92037"/>
    <w:rsid w:val="00A93460"/>
    <w:rsid w:val="00A97519"/>
    <w:rsid w:val="00A97A9A"/>
    <w:rsid w:val="00AA0397"/>
    <w:rsid w:val="00AA0671"/>
    <w:rsid w:val="00AA2160"/>
    <w:rsid w:val="00AA2531"/>
    <w:rsid w:val="00AA3B8D"/>
    <w:rsid w:val="00AA3CF1"/>
    <w:rsid w:val="00AA66EF"/>
    <w:rsid w:val="00AB03A4"/>
    <w:rsid w:val="00AB1E09"/>
    <w:rsid w:val="00AB1E2C"/>
    <w:rsid w:val="00AB2530"/>
    <w:rsid w:val="00AB350A"/>
    <w:rsid w:val="00AB3A66"/>
    <w:rsid w:val="00AB4462"/>
    <w:rsid w:val="00AB45C3"/>
    <w:rsid w:val="00AB529C"/>
    <w:rsid w:val="00AB5330"/>
    <w:rsid w:val="00AB7747"/>
    <w:rsid w:val="00AC0B36"/>
    <w:rsid w:val="00AC0ED5"/>
    <w:rsid w:val="00AC14CE"/>
    <w:rsid w:val="00AC24C7"/>
    <w:rsid w:val="00AC2A56"/>
    <w:rsid w:val="00AC2D26"/>
    <w:rsid w:val="00AC459A"/>
    <w:rsid w:val="00AC59B5"/>
    <w:rsid w:val="00AC5C6B"/>
    <w:rsid w:val="00AC699B"/>
    <w:rsid w:val="00AD002E"/>
    <w:rsid w:val="00AD055E"/>
    <w:rsid w:val="00AD07B3"/>
    <w:rsid w:val="00AD409D"/>
    <w:rsid w:val="00AD47A7"/>
    <w:rsid w:val="00AD74A4"/>
    <w:rsid w:val="00AD7AC4"/>
    <w:rsid w:val="00AE0672"/>
    <w:rsid w:val="00AE09C4"/>
    <w:rsid w:val="00AE11CA"/>
    <w:rsid w:val="00AE1461"/>
    <w:rsid w:val="00AE2AF1"/>
    <w:rsid w:val="00AE39F0"/>
    <w:rsid w:val="00AE5CEA"/>
    <w:rsid w:val="00AF007B"/>
    <w:rsid w:val="00AF0CBF"/>
    <w:rsid w:val="00AF0D43"/>
    <w:rsid w:val="00AF257F"/>
    <w:rsid w:val="00AF33CF"/>
    <w:rsid w:val="00AF3947"/>
    <w:rsid w:val="00AF411B"/>
    <w:rsid w:val="00AF4D50"/>
    <w:rsid w:val="00AF52B0"/>
    <w:rsid w:val="00AF611C"/>
    <w:rsid w:val="00AF6179"/>
    <w:rsid w:val="00B0193C"/>
    <w:rsid w:val="00B02CA5"/>
    <w:rsid w:val="00B045D4"/>
    <w:rsid w:val="00B065B0"/>
    <w:rsid w:val="00B075A0"/>
    <w:rsid w:val="00B12338"/>
    <w:rsid w:val="00B12375"/>
    <w:rsid w:val="00B1295A"/>
    <w:rsid w:val="00B169A7"/>
    <w:rsid w:val="00B1731A"/>
    <w:rsid w:val="00B17975"/>
    <w:rsid w:val="00B20725"/>
    <w:rsid w:val="00B209B6"/>
    <w:rsid w:val="00B20A45"/>
    <w:rsid w:val="00B2175A"/>
    <w:rsid w:val="00B22032"/>
    <w:rsid w:val="00B22C5C"/>
    <w:rsid w:val="00B24C1A"/>
    <w:rsid w:val="00B24F30"/>
    <w:rsid w:val="00B26C2C"/>
    <w:rsid w:val="00B30805"/>
    <w:rsid w:val="00B30949"/>
    <w:rsid w:val="00B31ABF"/>
    <w:rsid w:val="00B3344E"/>
    <w:rsid w:val="00B33BE3"/>
    <w:rsid w:val="00B35B50"/>
    <w:rsid w:val="00B36E87"/>
    <w:rsid w:val="00B37CBB"/>
    <w:rsid w:val="00B37DC8"/>
    <w:rsid w:val="00B42372"/>
    <w:rsid w:val="00B427B5"/>
    <w:rsid w:val="00B4313E"/>
    <w:rsid w:val="00B43B7C"/>
    <w:rsid w:val="00B45E57"/>
    <w:rsid w:val="00B47061"/>
    <w:rsid w:val="00B47D8F"/>
    <w:rsid w:val="00B509BA"/>
    <w:rsid w:val="00B513C2"/>
    <w:rsid w:val="00B53B5D"/>
    <w:rsid w:val="00B54862"/>
    <w:rsid w:val="00B550CC"/>
    <w:rsid w:val="00B557AA"/>
    <w:rsid w:val="00B5647A"/>
    <w:rsid w:val="00B6055E"/>
    <w:rsid w:val="00B6317D"/>
    <w:rsid w:val="00B63C05"/>
    <w:rsid w:val="00B655E3"/>
    <w:rsid w:val="00B6627B"/>
    <w:rsid w:val="00B675DD"/>
    <w:rsid w:val="00B71550"/>
    <w:rsid w:val="00B72F65"/>
    <w:rsid w:val="00B73874"/>
    <w:rsid w:val="00B74B2B"/>
    <w:rsid w:val="00B74D1B"/>
    <w:rsid w:val="00B7723F"/>
    <w:rsid w:val="00B80534"/>
    <w:rsid w:val="00B82DCE"/>
    <w:rsid w:val="00B83039"/>
    <w:rsid w:val="00B830BC"/>
    <w:rsid w:val="00B835E8"/>
    <w:rsid w:val="00B83681"/>
    <w:rsid w:val="00B83A6D"/>
    <w:rsid w:val="00B8433C"/>
    <w:rsid w:val="00B84997"/>
    <w:rsid w:val="00B8521F"/>
    <w:rsid w:val="00B85943"/>
    <w:rsid w:val="00B85AB9"/>
    <w:rsid w:val="00B87491"/>
    <w:rsid w:val="00B87C4E"/>
    <w:rsid w:val="00B90062"/>
    <w:rsid w:val="00B90549"/>
    <w:rsid w:val="00B92B4A"/>
    <w:rsid w:val="00B94F37"/>
    <w:rsid w:val="00B964EC"/>
    <w:rsid w:val="00B97235"/>
    <w:rsid w:val="00BA00C7"/>
    <w:rsid w:val="00BA061B"/>
    <w:rsid w:val="00BA13A8"/>
    <w:rsid w:val="00BA29E9"/>
    <w:rsid w:val="00BA2A85"/>
    <w:rsid w:val="00BA3916"/>
    <w:rsid w:val="00BA7142"/>
    <w:rsid w:val="00BA7487"/>
    <w:rsid w:val="00BA7FE4"/>
    <w:rsid w:val="00BB1101"/>
    <w:rsid w:val="00BB15B2"/>
    <w:rsid w:val="00BB1A15"/>
    <w:rsid w:val="00BB1C7A"/>
    <w:rsid w:val="00BB2116"/>
    <w:rsid w:val="00BB21D2"/>
    <w:rsid w:val="00BB237C"/>
    <w:rsid w:val="00BB41A3"/>
    <w:rsid w:val="00BB4E44"/>
    <w:rsid w:val="00BB5FE0"/>
    <w:rsid w:val="00BB75A4"/>
    <w:rsid w:val="00BB77C0"/>
    <w:rsid w:val="00BC1E62"/>
    <w:rsid w:val="00BC257C"/>
    <w:rsid w:val="00BC32DC"/>
    <w:rsid w:val="00BC35B6"/>
    <w:rsid w:val="00BC3870"/>
    <w:rsid w:val="00BC3BBD"/>
    <w:rsid w:val="00BC3D1D"/>
    <w:rsid w:val="00BC4BD9"/>
    <w:rsid w:val="00BC5FD9"/>
    <w:rsid w:val="00BC62DA"/>
    <w:rsid w:val="00BD1B51"/>
    <w:rsid w:val="00BD2360"/>
    <w:rsid w:val="00BD253C"/>
    <w:rsid w:val="00BD2FD6"/>
    <w:rsid w:val="00BD4596"/>
    <w:rsid w:val="00BD486C"/>
    <w:rsid w:val="00BD5051"/>
    <w:rsid w:val="00BD574B"/>
    <w:rsid w:val="00BD64A5"/>
    <w:rsid w:val="00BD6D3F"/>
    <w:rsid w:val="00BD744E"/>
    <w:rsid w:val="00BE096A"/>
    <w:rsid w:val="00BE1405"/>
    <w:rsid w:val="00BE292E"/>
    <w:rsid w:val="00BE312D"/>
    <w:rsid w:val="00BE4DD4"/>
    <w:rsid w:val="00BE696F"/>
    <w:rsid w:val="00BF0E63"/>
    <w:rsid w:val="00BF1C20"/>
    <w:rsid w:val="00BF2E15"/>
    <w:rsid w:val="00BF569E"/>
    <w:rsid w:val="00BF6E97"/>
    <w:rsid w:val="00BF7A9C"/>
    <w:rsid w:val="00BF7EDA"/>
    <w:rsid w:val="00C00373"/>
    <w:rsid w:val="00C01AB3"/>
    <w:rsid w:val="00C022F3"/>
    <w:rsid w:val="00C03065"/>
    <w:rsid w:val="00C03543"/>
    <w:rsid w:val="00C03A7B"/>
    <w:rsid w:val="00C05125"/>
    <w:rsid w:val="00C0534F"/>
    <w:rsid w:val="00C0573D"/>
    <w:rsid w:val="00C05BB2"/>
    <w:rsid w:val="00C06AF2"/>
    <w:rsid w:val="00C06D31"/>
    <w:rsid w:val="00C07BF5"/>
    <w:rsid w:val="00C07D43"/>
    <w:rsid w:val="00C07E93"/>
    <w:rsid w:val="00C10578"/>
    <w:rsid w:val="00C12117"/>
    <w:rsid w:val="00C12872"/>
    <w:rsid w:val="00C131DB"/>
    <w:rsid w:val="00C135BC"/>
    <w:rsid w:val="00C13BEF"/>
    <w:rsid w:val="00C1503A"/>
    <w:rsid w:val="00C15C95"/>
    <w:rsid w:val="00C2107B"/>
    <w:rsid w:val="00C2170B"/>
    <w:rsid w:val="00C22E25"/>
    <w:rsid w:val="00C23DF1"/>
    <w:rsid w:val="00C2596A"/>
    <w:rsid w:val="00C25A7D"/>
    <w:rsid w:val="00C26863"/>
    <w:rsid w:val="00C27537"/>
    <w:rsid w:val="00C2769A"/>
    <w:rsid w:val="00C31223"/>
    <w:rsid w:val="00C3133F"/>
    <w:rsid w:val="00C328FE"/>
    <w:rsid w:val="00C33159"/>
    <w:rsid w:val="00C33507"/>
    <w:rsid w:val="00C33D96"/>
    <w:rsid w:val="00C3702D"/>
    <w:rsid w:val="00C416E9"/>
    <w:rsid w:val="00C417B4"/>
    <w:rsid w:val="00C41801"/>
    <w:rsid w:val="00C41D0B"/>
    <w:rsid w:val="00C4409D"/>
    <w:rsid w:val="00C448C9"/>
    <w:rsid w:val="00C44E72"/>
    <w:rsid w:val="00C45A06"/>
    <w:rsid w:val="00C45B35"/>
    <w:rsid w:val="00C47371"/>
    <w:rsid w:val="00C47E5B"/>
    <w:rsid w:val="00C550FD"/>
    <w:rsid w:val="00C5558A"/>
    <w:rsid w:val="00C5608B"/>
    <w:rsid w:val="00C56B39"/>
    <w:rsid w:val="00C56D34"/>
    <w:rsid w:val="00C57076"/>
    <w:rsid w:val="00C5792E"/>
    <w:rsid w:val="00C601AC"/>
    <w:rsid w:val="00C6030F"/>
    <w:rsid w:val="00C60EB9"/>
    <w:rsid w:val="00C61E4B"/>
    <w:rsid w:val="00C62B8D"/>
    <w:rsid w:val="00C6337C"/>
    <w:rsid w:val="00C640F4"/>
    <w:rsid w:val="00C64BFF"/>
    <w:rsid w:val="00C654D8"/>
    <w:rsid w:val="00C67135"/>
    <w:rsid w:val="00C704E9"/>
    <w:rsid w:val="00C70865"/>
    <w:rsid w:val="00C70C73"/>
    <w:rsid w:val="00C711A6"/>
    <w:rsid w:val="00C718D9"/>
    <w:rsid w:val="00C728C0"/>
    <w:rsid w:val="00C73EE3"/>
    <w:rsid w:val="00C7573A"/>
    <w:rsid w:val="00C763C9"/>
    <w:rsid w:val="00C76695"/>
    <w:rsid w:val="00C77F27"/>
    <w:rsid w:val="00C80057"/>
    <w:rsid w:val="00C80DA0"/>
    <w:rsid w:val="00C82232"/>
    <w:rsid w:val="00C82582"/>
    <w:rsid w:val="00C82913"/>
    <w:rsid w:val="00C82BCD"/>
    <w:rsid w:val="00C8359C"/>
    <w:rsid w:val="00C835E8"/>
    <w:rsid w:val="00C86AD5"/>
    <w:rsid w:val="00C87690"/>
    <w:rsid w:val="00C87966"/>
    <w:rsid w:val="00C907D9"/>
    <w:rsid w:val="00C912EA"/>
    <w:rsid w:val="00C93500"/>
    <w:rsid w:val="00C972B1"/>
    <w:rsid w:val="00C97E68"/>
    <w:rsid w:val="00CA02D2"/>
    <w:rsid w:val="00CA040E"/>
    <w:rsid w:val="00CA0D10"/>
    <w:rsid w:val="00CA1A59"/>
    <w:rsid w:val="00CA2A76"/>
    <w:rsid w:val="00CA2CCE"/>
    <w:rsid w:val="00CA3B03"/>
    <w:rsid w:val="00CA43FD"/>
    <w:rsid w:val="00CA4947"/>
    <w:rsid w:val="00CA4EE5"/>
    <w:rsid w:val="00CA619F"/>
    <w:rsid w:val="00CA70D8"/>
    <w:rsid w:val="00CA7EF8"/>
    <w:rsid w:val="00CB0025"/>
    <w:rsid w:val="00CB033E"/>
    <w:rsid w:val="00CB0AAE"/>
    <w:rsid w:val="00CB1C85"/>
    <w:rsid w:val="00CB372E"/>
    <w:rsid w:val="00CB41CD"/>
    <w:rsid w:val="00CB47B1"/>
    <w:rsid w:val="00CB4D2F"/>
    <w:rsid w:val="00CB6951"/>
    <w:rsid w:val="00CC2039"/>
    <w:rsid w:val="00CC2B17"/>
    <w:rsid w:val="00CC4478"/>
    <w:rsid w:val="00CC489B"/>
    <w:rsid w:val="00CC4A57"/>
    <w:rsid w:val="00CC5763"/>
    <w:rsid w:val="00CC5963"/>
    <w:rsid w:val="00CC7691"/>
    <w:rsid w:val="00CD0600"/>
    <w:rsid w:val="00CD1ADE"/>
    <w:rsid w:val="00CD2BCD"/>
    <w:rsid w:val="00CD2D37"/>
    <w:rsid w:val="00CD3A4C"/>
    <w:rsid w:val="00CD45BF"/>
    <w:rsid w:val="00CD5944"/>
    <w:rsid w:val="00CD6564"/>
    <w:rsid w:val="00CD7CB3"/>
    <w:rsid w:val="00CE0449"/>
    <w:rsid w:val="00CE0747"/>
    <w:rsid w:val="00CE10E9"/>
    <w:rsid w:val="00CE240D"/>
    <w:rsid w:val="00CE2910"/>
    <w:rsid w:val="00CE3B28"/>
    <w:rsid w:val="00CE3D3B"/>
    <w:rsid w:val="00CE5393"/>
    <w:rsid w:val="00CE615B"/>
    <w:rsid w:val="00CE7382"/>
    <w:rsid w:val="00CF2C82"/>
    <w:rsid w:val="00CF36BE"/>
    <w:rsid w:val="00CF6000"/>
    <w:rsid w:val="00CF7A27"/>
    <w:rsid w:val="00D003F3"/>
    <w:rsid w:val="00D01586"/>
    <w:rsid w:val="00D0341E"/>
    <w:rsid w:val="00D0364F"/>
    <w:rsid w:val="00D04903"/>
    <w:rsid w:val="00D04BAE"/>
    <w:rsid w:val="00D04F78"/>
    <w:rsid w:val="00D06834"/>
    <w:rsid w:val="00D074EB"/>
    <w:rsid w:val="00D13964"/>
    <w:rsid w:val="00D1532A"/>
    <w:rsid w:val="00D15963"/>
    <w:rsid w:val="00D15E64"/>
    <w:rsid w:val="00D16073"/>
    <w:rsid w:val="00D20DE0"/>
    <w:rsid w:val="00D21538"/>
    <w:rsid w:val="00D21694"/>
    <w:rsid w:val="00D22F2F"/>
    <w:rsid w:val="00D24D8E"/>
    <w:rsid w:val="00D25209"/>
    <w:rsid w:val="00D25FF4"/>
    <w:rsid w:val="00D274E2"/>
    <w:rsid w:val="00D301A8"/>
    <w:rsid w:val="00D3046D"/>
    <w:rsid w:val="00D308ED"/>
    <w:rsid w:val="00D30A88"/>
    <w:rsid w:val="00D328CB"/>
    <w:rsid w:val="00D33EA0"/>
    <w:rsid w:val="00D35DD9"/>
    <w:rsid w:val="00D36D86"/>
    <w:rsid w:val="00D36E66"/>
    <w:rsid w:val="00D4121E"/>
    <w:rsid w:val="00D42379"/>
    <w:rsid w:val="00D428AA"/>
    <w:rsid w:val="00D42A73"/>
    <w:rsid w:val="00D50A34"/>
    <w:rsid w:val="00D50A38"/>
    <w:rsid w:val="00D50A78"/>
    <w:rsid w:val="00D51029"/>
    <w:rsid w:val="00D53D0B"/>
    <w:rsid w:val="00D53EFA"/>
    <w:rsid w:val="00D53F2D"/>
    <w:rsid w:val="00D542FB"/>
    <w:rsid w:val="00D55456"/>
    <w:rsid w:val="00D604B9"/>
    <w:rsid w:val="00D60772"/>
    <w:rsid w:val="00D60F71"/>
    <w:rsid w:val="00D62063"/>
    <w:rsid w:val="00D623E4"/>
    <w:rsid w:val="00D62D9E"/>
    <w:rsid w:val="00D6334E"/>
    <w:rsid w:val="00D64DFE"/>
    <w:rsid w:val="00D658C2"/>
    <w:rsid w:val="00D65966"/>
    <w:rsid w:val="00D65D2E"/>
    <w:rsid w:val="00D66B1A"/>
    <w:rsid w:val="00D70245"/>
    <w:rsid w:val="00D7042E"/>
    <w:rsid w:val="00D72118"/>
    <w:rsid w:val="00D7255C"/>
    <w:rsid w:val="00D7274A"/>
    <w:rsid w:val="00D73461"/>
    <w:rsid w:val="00D761A7"/>
    <w:rsid w:val="00D800B2"/>
    <w:rsid w:val="00D81F9D"/>
    <w:rsid w:val="00D82F17"/>
    <w:rsid w:val="00D835A2"/>
    <w:rsid w:val="00D83A21"/>
    <w:rsid w:val="00D83D1E"/>
    <w:rsid w:val="00D848B8"/>
    <w:rsid w:val="00D84C1E"/>
    <w:rsid w:val="00D87C3F"/>
    <w:rsid w:val="00D90C92"/>
    <w:rsid w:val="00D9304D"/>
    <w:rsid w:val="00D93A74"/>
    <w:rsid w:val="00D94A7C"/>
    <w:rsid w:val="00D95896"/>
    <w:rsid w:val="00D972FE"/>
    <w:rsid w:val="00D973CE"/>
    <w:rsid w:val="00DA0234"/>
    <w:rsid w:val="00DA24B8"/>
    <w:rsid w:val="00DA26D9"/>
    <w:rsid w:val="00DA3E93"/>
    <w:rsid w:val="00DA428E"/>
    <w:rsid w:val="00DA4F0E"/>
    <w:rsid w:val="00DA6946"/>
    <w:rsid w:val="00DA7707"/>
    <w:rsid w:val="00DB0D42"/>
    <w:rsid w:val="00DB1C43"/>
    <w:rsid w:val="00DB2983"/>
    <w:rsid w:val="00DB3F4E"/>
    <w:rsid w:val="00DB5E0A"/>
    <w:rsid w:val="00DB69AC"/>
    <w:rsid w:val="00DC1257"/>
    <w:rsid w:val="00DC379C"/>
    <w:rsid w:val="00DC3DC0"/>
    <w:rsid w:val="00DC40AE"/>
    <w:rsid w:val="00DC5B2B"/>
    <w:rsid w:val="00DC6CF1"/>
    <w:rsid w:val="00DC6DA2"/>
    <w:rsid w:val="00DC7118"/>
    <w:rsid w:val="00DC7367"/>
    <w:rsid w:val="00DD00C6"/>
    <w:rsid w:val="00DD05D7"/>
    <w:rsid w:val="00DD2823"/>
    <w:rsid w:val="00DD318D"/>
    <w:rsid w:val="00DD3202"/>
    <w:rsid w:val="00DD426A"/>
    <w:rsid w:val="00DD454D"/>
    <w:rsid w:val="00DD5169"/>
    <w:rsid w:val="00DD516F"/>
    <w:rsid w:val="00DD6755"/>
    <w:rsid w:val="00DD7847"/>
    <w:rsid w:val="00DD7982"/>
    <w:rsid w:val="00DD7C00"/>
    <w:rsid w:val="00DE019D"/>
    <w:rsid w:val="00DE03AA"/>
    <w:rsid w:val="00DE0837"/>
    <w:rsid w:val="00DE0918"/>
    <w:rsid w:val="00DE1125"/>
    <w:rsid w:val="00DE3B4E"/>
    <w:rsid w:val="00DE4F8A"/>
    <w:rsid w:val="00DE53E1"/>
    <w:rsid w:val="00DE5E72"/>
    <w:rsid w:val="00DE5E76"/>
    <w:rsid w:val="00DF1196"/>
    <w:rsid w:val="00DF192C"/>
    <w:rsid w:val="00DF21D3"/>
    <w:rsid w:val="00DF2E12"/>
    <w:rsid w:val="00DF300A"/>
    <w:rsid w:val="00DF3300"/>
    <w:rsid w:val="00DF3524"/>
    <w:rsid w:val="00DF4F28"/>
    <w:rsid w:val="00DF514A"/>
    <w:rsid w:val="00DF52CC"/>
    <w:rsid w:val="00DF5C1D"/>
    <w:rsid w:val="00DF6690"/>
    <w:rsid w:val="00DF6804"/>
    <w:rsid w:val="00E00696"/>
    <w:rsid w:val="00E026BD"/>
    <w:rsid w:val="00E0358D"/>
    <w:rsid w:val="00E04323"/>
    <w:rsid w:val="00E05131"/>
    <w:rsid w:val="00E070A2"/>
    <w:rsid w:val="00E074EA"/>
    <w:rsid w:val="00E07649"/>
    <w:rsid w:val="00E11651"/>
    <w:rsid w:val="00E1479B"/>
    <w:rsid w:val="00E14A9E"/>
    <w:rsid w:val="00E14C39"/>
    <w:rsid w:val="00E157D3"/>
    <w:rsid w:val="00E17BEF"/>
    <w:rsid w:val="00E22491"/>
    <w:rsid w:val="00E24DA2"/>
    <w:rsid w:val="00E2656A"/>
    <w:rsid w:val="00E26D2E"/>
    <w:rsid w:val="00E271A2"/>
    <w:rsid w:val="00E3002A"/>
    <w:rsid w:val="00E30044"/>
    <w:rsid w:val="00E32C6F"/>
    <w:rsid w:val="00E3395E"/>
    <w:rsid w:val="00E3409A"/>
    <w:rsid w:val="00E35010"/>
    <w:rsid w:val="00E3558E"/>
    <w:rsid w:val="00E36009"/>
    <w:rsid w:val="00E37150"/>
    <w:rsid w:val="00E407E8"/>
    <w:rsid w:val="00E40886"/>
    <w:rsid w:val="00E412D0"/>
    <w:rsid w:val="00E4195A"/>
    <w:rsid w:val="00E43058"/>
    <w:rsid w:val="00E4387C"/>
    <w:rsid w:val="00E50C95"/>
    <w:rsid w:val="00E50CEF"/>
    <w:rsid w:val="00E52265"/>
    <w:rsid w:val="00E52F03"/>
    <w:rsid w:val="00E530EB"/>
    <w:rsid w:val="00E53860"/>
    <w:rsid w:val="00E539DC"/>
    <w:rsid w:val="00E56322"/>
    <w:rsid w:val="00E56E8C"/>
    <w:rsid w:val="00E60381"/>
    <w:rsid w:val="00E60770"/>
    <w:rsid w:val="00E60772"/>
    <w:rsid w:val="00E60982"/>
    <w:rsid w:val="00E612BD"/>
    <w:rsid w:val="00E62C62"/>
    <w:rsid w:val="00E63944"/>
    <w:rsid w:val="00E63B48"/>
    <w:rsid w:val="00E64E1D"/>
    <w:rsid w:val="00E654C1"/>
    <w:rsid w:val="00E65D97"/>
    <w:rsid w:val="00E67B34"/>
    <w:rsid w:val="00E7002C"/>
    <w:rsid w:val="00E70380"/>
    <w:rsid w:val="00E70AFD"/>
    <w:rsid w:val="00E72A5A"/>
    <w:rsid w:val="00E72D1B"/>
    <w:rsid w:val="00E73354"/>
    <w:rsid w:val="00E750AD"/>
    <w:rsid w:val="00E75782"/>
    <w:rsid w:val="00E75DC5"/>
    <w:rsid w:val="00E7607F"/>
    <w:rsid w:val="00E7629E"/>
    <w:rsid w:val="00E762E5"/>
    <w:rsid w:val="00E77992"/>
    <w:rsid w:val="00E77C1B"/>
    <w:rsid w:val="00E77EC9"/>
    <w:rsid w:val="00E80EC2"/>
    <w:rsid w:val="00E8129D"/>
    <w:rsid w:val="00E82BBA"/>
    <w:rsid w:val="00E83B16"/>
    <w:rsid w:val="00E855B7"/>
    <w:rsid w:val="00E858EE"/>
    <w:rsid w:val="00E87317"/>
    <w:rsid w:val="00E874B5"/>
    <w:rsid w:val="00E87B80"/>
    <w:rsid w:val="00E9242D"/>
    <w:rsid w:val="00E95DD9"/>
    <w:rsid w:val="00EA0855"/>
    <w:rsid w:val="00EA1078"/>
    <w:rsid w:val="00EA1F93"/>
    <w:rsid w:val="00EA26AF"/>
    <w:rsid w:val="00EA3CEB"/>
    <w:rsid w:val="00EB02F5"/>
    <w:rsid w:val="00EB2CB1"/>
    <w:rsid w:val="00EB3DB1"/>
    <w:rsid w:val="00EB4705"/>
    <w:rsid w:val="00EB4D74"/>
    <w:rsid w:val="00EB5255"/>
    <w:rsid w:val="00EB5C47"/>
    <w:rsid w:val="00EB66B1"/>
    <w:rsid w:val="00EB66F6"/>
    <w:rsid w:val="00EB69B1"/>
    <w:rsid w:val="00EB6E66"/>
    <w:rsid w:val="00EB7B75"/>
    <w:rsid w:val="00EB7DD4"/>
    <w:rsid w:val="00EC049E"/>
    <w:rsid w:val="00EC0879"/>
    <w:rsid w:val="00EC0E75"/>
    <w:rsid w:val="00EC3999"/>
    <w:rsid w:val="00EC7023"/>
    <w:rsid w:val="00ED010C"/>
    <w:rsid w:val="00ED0639"/>
    <w:rsid w:val="00ED0A85"/>
    <w:rsid w:val="00ED1031"/>
    <w:rsid w:val="00ED1F8C"/>
    <w:rsid w:val="00ED44F9"/>
    <w:rsid w:val="00ED56E1"/>
    <w:rsid w:val="00ED5A30"/>
    <w:rsid w:val="00ED691C"/>
    <w:rsid w:val="00EE1358"/>
    <w:rsid w:val="00EE2412"/>
    <w:rsid w:val="00EE29D9"/>
    <w:rsid w:val="00EE2C7B"/>
    <w:rsid w:val="00EE69F5"/>
    <w:rsid w:val="00EF0B3F"/>
    <w:rsid w:val="00EF2B9C"/>
    <w:rsid w:val="00EF45C6"/>
    <w:rsid w:val="00EF4755"/>
    <w:rsid w:val="00EF4909"/>
    <w:rsid w:val="00EF4DE7"/>
    <w:rsid w:val="00EF5004"/>
    <w:rsid w:val="00EF632A"/>
    <w:rsid w:val="00EF63E6"/>
    <w:rsid w:val="00EF69A9"/>
    <w:rsid w:val="00EF7135"/>
    <w:rsid w:val="00F01193"/>
    <w:rsid w:val="00F01E9F"/>
    <w:rsid w:val="00F027DB"/>
    <w:rsid w:val="00F02F78"/>
    <w:rsid w:val="00F03F45"/>
    <w:rsid w:val="00F045C5"/>
    <w:rsid w:val="00F04635"/>
    <w:rsid w:val="00F04CC1"/>
    <w:rsid w:val="00F04F3F"/>
    <w:rsid w:val="00F051BC"/>
    <w:rsid w:val="00F05763"/>
    <w:rsid w:val="00F06D25"/>
    <w:rsid w:val="00F079E9"/>
    <w:rsid w:val="00F10502"/>
    <w:rsid w:val="00F1216C"/>
    <w:rsid w:val="00F14A7A"/>
    <w:rsid w:val="00F1549F"/>
    <w:rsid w:val="00F166CE"/>
    <w:rsid w:val="00F20497"/>
    <w:rsid w:val="00F209B4"/>
    <w:rsid w:val="00F220E5"/>
    <w:rsid w:val="00F22985"/>
    <w:rsid w:val="00F2475A"/>
    <w:rsid w:val="00F26AD1"/>
    <w:rsid w:val="00F30F11"/>
    <w:rsid w:val="00F32709"/>
    <w:rsid w:val="00F3383E"/>
    <w:rsid w:val="00F339D8"/>
    <w:rsid w:val="00F33E01"/>
    <w:rsid w:val="00F36950"/>
    <w:rsid w:val="00F36A13"/>
    <w:rsid w:val="00F4064A"/>
    <w:rsid w:val="00F40F20"/>
    <w:rsid w:val="00F4194E"/>
    <w:rsid w:val="00F431D7"/>
    <w:rsid w:val="00F43314"/>
    <w:rsid w:val="00F43D51"/>
    <w:rsid w:val="00F4445F"/>
    <w:rsid w:val="00F465A7"/>
    <w:rsid w:val="00F46868"/>
    <w:rsid w:val="00F46EAC"/>
    <w:rsid w:val="00F50B7C"/>
    <w:rsid w:val="00F50EF7"/>
    <w:rsid w:val="00F51AD6"/>
    <w:rsid w:val="00F5498A"/>
    <w:rsid w:val="00F550E6"/>
    <w:rsid w:val="00F56595"/>
    <w:rsid w:val="00F56DC4"/>
    <w:rsid w:val="00F579D9"/>
    <w:rsid w:val="00F61231"/>
    <w:rsid w:val="00F61C24"/>
    <w:rsid w:val="00F62382"/>
    <w:rsid w:val="00F632DB"/>
    <w:rsid w:val="00F63E88"/>
    <w:rsid w:val="00F656FE"/>
    <w:rsid w:val="00F65800"/>
    <w:rsid w:val="00F66684"/>
    <w:rsid w:val="00F678F7"/>
    <w:rsid w:val="00F72EAA"/>
    <w:rsid w:val="00F73537"/>
    <w:rsid w:val="00F74345"/>
    <w:rsid w:val="00F74657"/>
    <w:rsid w:val="00F74AEE"/>
    <w:rsid w:val="00F75CEC"/>
    <w:rsid w:val="00F76473"/>
    <w:rsid w:val="00F76BD8"/>
    <w:rsid w:val="00F8011C"/>
    <w:rsid w:val="00F80A0A"/>
    <w:rsid w:val="00F812D8"/>
    <w:rsid w:val="00F82B19"/>
    <w:rsid w:val="00F82B3E"/>
    <w:rsid w:val="00F83D00"/>
    <w:rsid w:val="00F846E9"/>
    <w:rsid w:val="00F85F3B"/>
    <w:rsid w:val="00F87E80"/>
    <w:rsid w:val="00F91CF7"/>
    <w:rsid w:val="00F9212D"/>
    <w:rsid w:val="00F925D3"/>
    <w:rsid w:val="00F936CA"/>
    <w:rsid w:val="00F94576"/>
    <w:rsid w:val="00F948EF"/>
    <w:rsid w:val="00F95045"/>
    <w:rsid w:val="00F95EA0"/>
    <w:rsid w:val="00F96278"/>
    <w:rsid w:val="00F96420"/>
    <w:rsid w:val="00F965DA"/>
    <w:rsid w:val="00F979D5"/>
    <w:rsid w:val="00FA0320"/>
    <w:rsid w:val="00FA0ADE"/>
    <w:rsid w:val="00FA22EC"/>
    <w:rsid w:val="00FA2D01"/>
    <w:rsid w:val="00FA3B47"/>
    <w:rsid w:val="00FA3D3D"/>
    <w:rsid w:val="00FA406A"/>
    <w:rsid w:val="00FA4986"/>
    <w:rsid w:val="00FA59A3"/>
    <w:rsid w:val="00FA75E3"/>
    <w:rsid w:val="00FA76D0"/>
    <w:rsid w:val="00FA797E"/>
    <w:rsid w:val="00FB07FF"/>
    <w:rsid w:val="00FB187E"/>
    <w:rsid w:val="00FB245D"/>
    <w:rsid w:val="00FB2DD2"/>
    <w:rsid w:val="00FB503A"/>
    <w:rsid w:val="00FB516C"/>
    <w:rsid w:val="00FB6018"/>
    <w:rsid w:val="00FB6877"/>
    <w:rsid w:val="00FB68A9"/>
    <w:rsid w:val="00FB760B"/>
    <w:rsid w:val="00FB78CB"/>
    <w:rsid w:val="00FB7A4A"/>
    <w:rsid w:val="00FC0EFC"/>
    <w:rsid w:val="00FC1C39"/>
    <w:rsid w:val="00FC1CED"/>
    <w:rsid w:val="00FC2313"/>
    <w:rsid w:val="00FC328B"/>
    <w:rsid w:val="00FC407D"/>
    <w:rsid w:val="00FC44A8"/>
    <w:rsid w:val="00FC4853"/>
    <w:rsid w:val="00FC5A84"/>
    <w:rsid w:val="00FC5F05"/>
    <w:rsid w:val="00FC67D4"/>
    <w:rsid w:val="00FC758E"/>
    <w:rsid w:val="00FD0236"/>
    <w:rsid w:val="00FD0994"/>
    <w:rsid w:val="00FD0FD1"/>
    <w:rsid w:val="00FD1316"/>
    <w:rsid w:val="00FD18F4"/>
    <w:rsid w:val="00FD355E"/>
    <w:rsid w:val="00FD4249"/>
    <w:rsid w:val="00FD54DB"/>
    <w:rsid w:val="00FD619F"/>
    <w:rsid w:val="00FD6EDB"/>
    <w:rsid w:val="00FE1EF5"/>
    <w:rsid w:val="00FE1F93"/>
    <w:rsid w:val="00FE274A"/>
    <w:rsid w:val="00FE2C62"/>
    <w:rsid w:val="00FE339D"/>
    <w:rsid w:val="00FE3471"/>
    <w:rsid w:val="00FE4286"/>
    <w:rsid w:val="00FE56CD"/>
    <w:rsid w:val="00FE5DAD"/>
    <w:rsid w:val="00FE6DB9"/>
    <w:rsid w:val="00FE70AE"/>
    <w:rsid w:val="00FE70BF"/>
    <w:rsid w:val="00FE71F0"/>
    <w:rsid w:val="00FF0351"/>
    <w:rsid w:val="00FF3738"/>
    <w:rsid w:val="00FF5263"/>
    <w:rsid w:val="00FF7CA6"/>
    <w:rsid w:val="01290F7E"/>
    <w:rsid w:val="015D1E09"/>
    <w:rsid w:val="01ED40BB"/>
    <w:rsid w:val="02697903"/>
    <w:rsid w:val="02F96569"/>
    <w:rsid w:val="03EA7B21"/>
    <w:rsid w:val="059A38AD"/>
    <w:rsid w:val="05F83EAE"/>
    <w:rsid w:val="063E7D85"/>
    <w:rsid w:val="06E62795"/>
    <w:rsid w:val="07293586"/>
    <w:rsid w:val="07295285"/>
    <w:rsid w:val="07382DFF"/>
    <w:rsid w:val="07636392"/>
    <w:rsid w:val="07770C56"/>
    <w:rsid w:val="092217DD"/>
    <w:rsid w:val="093A7294"/>
    <w:rsid w:val="09410133"/>
    <w:rsid w:val="099F7DC4"/>
    <w:rsid w:val="0A263993"/>
    <w:rsid w:val="0A2D3AC2"/>
    <w:rsid w:val="0AA755DF"/>
    <w:rsid w:val="0B120D44"/>
    <w:rsid w:val="0BD27BF6"/>
    <w:rsid w:val="0C3B3C7D"/>
    <w:rsid w:val="0C566EFE"/>
    <w:rsid w:val="0CAB2EAE"/>
    <w:rsid w:val="0D617050"/>
    <w:rsid w:val="0D621C7D"/>
    <w:rsid w:val="0E2864C0"/>
    <w:rsid w:val="0E73034D"/>
    <w:rsid w:val="0F13775A"/>
    <w:rsid w:val="0F5F45FE"/>
    <w:rsid w:val="0F9A112B"/>
    <w:rsid w:val="106D2F64"/>
    <w:rsid w:val="10940073"/>
    <w:rsid w:val="10B63710"/>
    <w:rsid w:val="10F10820"/>
    <w:rsid w:val="111C2F7A"/>
    <w:rsid w:val="112C6887"/>
    <w:rsid w:val="11665CA1"/>
    <w:rsid w:val="12051B8B"/>
    <w:rsid w:val="13927763"/>
    <w:rsid w:val="13951726"/>
    <w:rsid w:val="14396509"/>
    <w:rsid w:val="14DD2C3C"/>
    <w:rsid w:val="15B4696E"/>
    <w:rsid w:val="16087E1D"/>
    <w:rsid w:val="17701D14"/>
    <w:rsid w:val="17735226"/>
    <w:rsid w:val="17BE1A1C"/>
    <w:rsid w:val="1899313F"/>
    <w:rsid w:val="189A6997"/>
    <w:rsid w:val="189F624C"/>
    <w:rsid w:val="19774EC4"/>
    <w:rsid w:val="1A1C66C0"/>
    <w:rsid w:val="1A42393B"/>
    <w:rsid w:val="1AAD45DE"/>
    <w:rsid w:val="1B046F80"/>
    <w:rsid w:val="1B3267B5"/>
    <w:rsid w:val="1B40161D"/>
    <w:rsid w:val="1B441859"/>
    <w:rsid w:val="1B6606B1"/>
    <w:rsid w:val="1BD34858"/>
    <w:rsid w:val="1C5E7925"/>
    <w:rsid w:val="1CFD070F"/>
    <w:rsid w:val="1D130D07"/>
    <w:rsid w:val="1D5F6196"/>
    <w:rsid w:val="1D6132A5"/>
    <w:rsid w:val="1D8E56D5"/>
    <w:rsid w:val="1E713368"/>
    <w:rsid w:val="1E7A43DA"/>
    <w:rsid w:val="1EA37BD9"/>
    <w:rsid w:val="1EC76701"/>
    <w:rsid w:val="1F024DBB"/>
    <w:rsid w:val="1F0F7885"/>
    <w:rsid w:val="1FE7539E"/>
    <w:rsid w:val="203C4E46"/>
    <w:rsid w:val="20671BE0"/>
    <w:rsid w:val="20963CB8"/>
    <w:rsid w:val="20A81A1B"/>
    <w:rsid w:val="20B07FB6"/>
    <w:rsid w:val="20B646FB"/>
    <w:rsid w:val="213B74B1"/>
    <w:rsid w:val="215A2310"/>
    <w:rsid w:val="21DE318A"/>
    <w:rsid w:val="21EF5B80"/>
    <w:rsid w:val="22386AC5"/>
    <w:rsid w:val="22576990"/>
    <w:rsid w:val="22F47480"/>
    <w:rsid w:val="23DE1C48"/>
    <w:rsid w:val="240210CD"/>
    <w:rsid w:val="24822E9D"/>
    <w:rsid w:val="24BF09F7"/>
    <w:rsid w:val="252D53FE"/>
    <w:rsid w:val="25EC2D81"/>
    <w:rsid w:val="2634165E"/>
    <w:rsid w:val="277057A2"/>
    <w:rsid w:val="28995C7C"/>
    <w:rsid w:val="29206EB8"/>
    <w:rsid w:val="29595666"/>
    <w:rsid w:val="29874881"/>
    <w:rsid w:val="29E325E0"/>
    <w:rsid w:val="2A452503"/>
    <w:rsid w:val="2BA936A8"/>
    <w:rsid w:val="2C315A5A"/>
    <w:rsid w:val="2C4B1C25"/>
    <w:rsid w:val="2D6E4A57"/>
    <w:rsid w:val="2D9E56F5"/>
    <w:rsid w:val="2E667F96"/>
    <w:rsid w:val="2E8226AB"/>
    <w:rsid w:val="2FD065E6"/>
    <w:rsid w:val="2FD96870"/>
    <w:rsid w:val="301879EB"/>
    <w:rsid w:val="30580BC9"/>
    <w:rsid w:val="311E2ED7"/>
    <w:rsid w:val="315619EE"/>
    <w:rsid w:val="315C449C"/>
    <w:rsid w:val="31B82709"/>
    <w:rsid w:val="31D05482"/>
    <w:rsid w:val="322E6E16"/>
    <w:rsid w:val="32400B34"/>
    <w:rsid w:val="329E6876"/>
    <w:rsid w:val="32A06ED5"/>
    <w:rsid w:val="333015F2"/>
    <w:rsid w:val="33465574"/>
    <w:rsid w:val="334B6320"/>
    <w:rsid w:val="33D934D4"/>
    <w:rsid w:val="33FE2F6A"/>
    <w:rsid w:val="340E07E5"/>
    <w:rsid w:val="34235BF7"/>
    <w:rsid w:val="34F03B85"/>
    <w:rsid w:val="358C5FA8"/>
    <w:rsid w:val="35C15DF1"/>
    <w:rsid w:val="35F15928"/>
    <w:rsid w:val="36074A7F"/>
    <w:rsid w:val="36923549"/>
    <w:rsid w:val="36B75FBF"/>
    <w:rsid w:val="36BD0C45"/>
    <w:rsid w:val="378A3689"/>
    <w:rsid w:val="37E00298"/>
    <w:rsid w:val="38B302F9"/>
    <w:rsid w:val="38F12CD3"/>
    <w:rsid w:val="38F94775"/>
    <w:rsid w:val="392971ED"/>
    <w:rsid w:val="39325651"/>
    <w:rsid w:val="39B66F62"/>
    <w:rsid w:val="3A872856"/>
    <w:rsid w:val="3B1C1142"/>
    <w:rsid w:val="3B3763D1"/>
    <w:rsid w:val="3C2F6E1E"/>
    <w:rsid w:val="3C4F64BA"/>
    <w:rsid w:val="3CDA245A"/>
    <w:rsid w:val="3D1E06B7"/>
    <w:rsid w:val="3DA24BE8"/>
    <w:rsid w:val="3E0323B7"/>
    <w:rsid w:val="3EDA0523"/>
    <w:rsid w:val="3F0F12AA"/>
    <w:rsid w:val="3F583763"/>
    <w:rsid w:val="3FDF0CEE"/>
    <w:rsid w:val="407A6407"/>
    <w:rsid w:val="4200449D"/>
    <w:rsid w:val="42046D8E"/>
    <w:rsid w:val="423A3BCC"/>
    <w:rsid w:val="424E57D2"/>
    <w:rsid w:val="42B26C49"/>
    <w:rsid w:val="433A6FE6"/>
    <w:rsid w:val="43480868"/>
    <w:rsid w:val="4350713C"/>
    <w:rsid w:val="436653E0"/>
    <w:rsid w:val="43A2076C"/>
    <w:rsid w:val="43C4431A"/>
    <w:rsid w:val="43F16A85"/>
    <w:rsid w:val="44B951CC"/>
    <w:rsid w:val="44CD14E0"/>
    <w:rsid w:val="44F20B0B"/>
    <w:rsid w:val="452E5F4C"/>
    <w:rsid w:val="45612018"/>
    <w:rsid w:val="458946E9"/>
    <w:rsid w:val="45A47C0E"/>
    <w:rsid w:val="46577FD6"/>
    <w:rsid w:val="46D955A7"/>
    <w:rsid w:val="47133957"/>
    <w:rsid w:val="47A07E0C"/>
    <w:rsid w:val="47A5131A"/>
    <w:rsid w:val="47E00D58"/>
    <w:rsid w:val="4870272E"/>
    <w:rsid w:val="49DC7715"/>
    <w:rsid w:val="4A023139"/>
    <w:rsid w:val="4A0645BE"/>
    <w:rsid w:val="4A7B576F"/>
    <w:rsid w:val="4AF561A9"/>
    <w:rsid w:val="4BAB35E2"/>
    <w:rsid w:val="4C4A0649"/>
    <w:rsid w:val="4C7E5ECA"/>
    <w:rsid w:val="4C876AA5"/>
    <w:rsid w:val="4CF83989"/>
    <w:rsid w:val="4D0E00FB"/>
    <w:rsid w:val="4D176606"/>
    <w:rsid w:val="4DEC4FB0"/>
    <w:rsid w:val="4E075D8A"/>
    <w:rsid w:val="4EC00FAD"/>
    <w:rsid w:val="4EFD1E3C"/>
    <w:rsid w:val="4F497C02"/>
    <w:rsid w:val="4F9843DC"/>
    <w:rsid w:val="4FC62A8C"/>
    <w:rsid w:val="4FE20F0D"/>
    <w:rsid w:val="4FE51552"/>
    <w:rsid w:val="50330C5B"/>
    <w:rsid w:val="50504C4B"/>
    <w:rsid w:val="509C6E7C"/>
    <w:rsid w:val="5162104E"/>
    <w:rsid w:val="51D72435"/>
    <w:rsid w:val="53A039CC"/>
    <w:rsid w:val="53A1505A"/>
    <w:rsid w:val="54063E08"/>
    <w:rsid w:val="543437E8"/>
    <w:rsid w:val="54637DFF"/>
    <w:rsid w:val="54C95AF2"/>
    <w:rsid w:val="54F73313"/>
    <w:rsid w:val="54F80955"/>
    <w:rsid w:val="555170A7"/>
    <w:rsid w:val="5587536D"/>
    <w:rsid w:val="559B174B"/>
    <w:rsid w:val="55CE0CF4"/>
    <w:rsid w:val="56782AF9"/>
    <w:rsid w:val="56B22A9C"/>
    <w:rsid w:val="57A46C73"/>
    <w:rsid w:val="57AD7CD7"/>
    <w:rsid w:val="57B72A76"/>
    <w:rsid w:val="57C10D1E"/>
    <w:rsid w:val="57C3426C"/>
    <w:rsid w:val="57CE1F93"/>
    <w:rsid w:val="588743D1"/>
    <w:rsid w:val="5887701A"/>
    <w:rsid w:val="59C0439F"/>
    <w:rsid w:val="5A426FA1"/>
    <w:rsid w:val="5A7A1ED8"/>
    <w:rsid w:val="5ABE2233"/>
    <w:rsid w:val="5BDF5D95"/>
    <w:rsid w:val="5BFE7528"/>
    <w:rsid w:val="5C482915"/>
    <w:rsid w:val="5D5169FE"/>
    <w:rsid w:val="5D780CA3"/>
    <w:rsid w:val="5D926FB9"/>
    <w:rsid w:val="5E2467F1"/>
    <w:rsid w:val="5F1A2B43"/>
    <w:rsid w:val="5FB555F9"/>
    <w:rsid w:val="5FB837BB"/>
    <w:rsid w:val="60CC405A"/>
    <w:rsid w:val="612F3891"/>
    <w:rsid w:val="61DC48FE"/>
    <w:rsid w:val="61E215D8"/>
    <w:rsid w:val="621B3775"/>
    <w:rsid w:val="62364782"/>
    <w:rsid w:val="6394356A"/>
    <w:rsid w:val="63C61B2C"/>
    <w:rsid w:val="63D40BE9"/>
    <w:rsid w:val="64102431"/>
    <w:rsid w:val="64A5243A"/>
    <w:rsid w:val="64F531DE"/>
    <w:rsid w:val="65373578"/>
    <w:rsid w:val="656A4798"/>
    <w:rsid w:val="671F124A"/>
    <w:rsid w:val="677A33C6"/>
    <w:rsid w:val="681F6961"/>
    <w:rsid w:val="68610A2F"/>
    <w:rsid w:val="68805514"/>
    <w:rsid w:val="69316E2F"/>
    <w:rsid w:val="694E2071"/>
    <w:rsid w:val="69766163"/>
    <w:rsid w:val="697A3B33"/>
    <w:rsid w:val="69D44760"/>
    <w:rsid w:val="6A466A8B"/>
    <w:rsid w:val="6A520EC7"/>
    <w:rsid w:val="6AF87E20"/>
    <w:rsid w:val="6B322639"/>
    <w:rsid w:val="6C636C38"/>
    <w:rsid w:val="6DB34098"/>
    <w:rsid w:val="6DB545B6"/>
    <w:rsid w:val="6DE02FB4"/>
    <w:rsid w:val="6E514CED"/>
    <w:rsid w:val="6EB563D5"/>
    <w:rsid w:val="6ED92677"/>
    <w:rsid w:val="6EF279C4"/>
    <w:rsid w:val="6F225983"/>
    <w:rsid w:val="6F53522B"/>
    <w:rsid w:val="6F7B3E89"/>
    <w:rsid w:val="6FFC5590"/>
    <w:rsid w:val="705A363E"/>
    <w:rsid w:val="705F382B"/>
    <w:rsid w:val="706D1DD0"/>
    <w:rsid w:val="70856B87"/>
    <w:rsid w:val="70D527EE"/>
    <w:rsid w:val="715B5300"/>
    <w:rsid w:val="71D27F8A"/>
    <w:rsid w:val="72553024"/>
    <w:rsid w:val="727A18FF"/>
    <w:rsid w:val="73122968"/>
    <w:rsid w:val="731F5D5E"/>
    <w:rsid w:val="73C51AD5"/>
    <w:rsid w:val="741E793C"/>
    <w:rsid w:val="745E3944"/>
    <w:rsid w:val="7635099D"/>
    <w:rsid w:val="76BE586E"/>
    <w:rsid w:val="77762421"/>
    <w:rsid w:val="77B56B1F"/>
    <w:rsid w:val="780F09F4"/>
    <w:rsid w:val="78310F03"/>
    <w:rsid w:val="785900A7"/>
    <w:rsid w:val="78A90480"/>
    <w:rsid w:val="790D67D0"/>
    <w:rsid w:val="79350406"/>
    <w:rsid w:val="7A364017"/>
    <w:rsid w:val="7A8265E1"/>
    <w:rsid w:val="7AA550A6"/>
    <w:rsid w:val="7B686D42"/>
    <w:rsid w:val="7B841746"/>
    <w:rsid w:val="7C6C5AC7"/>
    <w:rsid w:val="7CC6544B"/>
    <w:rsid w:val="7D0239FF"/>
    <w:rsid w:val="7D5E40CD"/>
    <w:rsid w:val="7DCD56F2"/>
    <w:rsid w:val="7F001CE7"/>
    <w:rsid w:val="7FE47E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nhideWhenUsed="0" w:uiPriority="0" w:semiHidden="0" w:name="index 1" w:locked="1"/>
    <w:lsdException w:unhideWhenUsed="0" w:uiPriority="0" w:semiHidden="0" w:name="index 2" w:locked="1"/>
    <w:lsdException w:unhideWhenUsed="0" w:uiPriority="0" w:semiHidden="0" w:name="index 3" w:locked="1"/>
    <w:lsdException w:unhideWhenUsed="0" w:uiPriority="0" w:semiHidden="0" w:name="index 4" w:locked="1"/>
    <w:lsdException w:unhideWhenUsed="0" w:uiPriority="0" w:semiHidden="0" w:name="index 5" w:locked="1"/>
    <w:lsdException w:unhideWhenUsed="0" w:uiPriority="0" w:semiHidden="0" w:name="index 6" w:locked="1"/>
    <w:lsdException w:unhideWhenUsed="0" w:uiPriority="0" w:semiHidden="0" w:name="index 7" w:locked="1"/>
    <w:lsdException w:unhideWhenUsed="0" w:uiPriority="0" w:semiHidden="0" w:name="index 8" w:locked="1"/>
    <w:lsdException w:unhideWhenUsed="0" w:uiPriority="0" w:semiHidden="0" w:name="index 9" w:locked="1"/>
    <w:lsdException w:qFormat="1" w:unhideWhenUsed="0" w:uiPriority="39"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0" w:semiHidden="0" w:name="Normal Indent" w:locked="1"/>
    <w:lsdException w:unhideWhenUsed="0" w:uiPriority="0" w:semiHidden="0" w:name="footnote text" w:locked="1"/>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ocked="1"/>
    <w:lsdException w:qFormat="1" w:unhideWhenUsed="0" w:uiPriority="0" w:semiHidden="0" w:name="caption" w:locked="1"/>
    <w:lsdException w:qFormat="1" w:unhideWhenUsed="0" w:uiPriority="0" w:semiHidden="0" w:name="table of figures" w:locked="1"/>
    <w:lsdException w:unhideWhenUsed="0" w:uiPriority="0" w:semiHidden="0" w:name="envelope address" w:locked="1"/>
    <w:lsdException w:unhideWhenUsed="0" w:uiPriority="0" w:semiHidden="0" w:name="envelope return" w:locked="1"/>
    <w:lsdException w:unhideWhenUsed="0" w:uiPriority="0" w:semiHidden="0" w:name="footnote reference" w:locked="1"/>
    <w:lsdException w:qFormat="1" w:unhideWhenUsed="0" w:uiPriority="0" w:semiHidden="0" w:name="annotation reference"/>
    <w:lsdException w:unhideWhenUsed="0" w:uiPriority="0" w:semiHidden="0" w:name="line number" w:locked="1"/>
    <w:lsdException w:qFormat="1" w:unhideWhenUsed="0" w:uiPriority="0" w:semiHidden="0" w:name="page number" w:locked="1"/>
    <w:lsdException w:unhideWhenUsed="0" w:uiPriority="0" w:semiHidden="0" w:name="endnote reference" w:locked="1"/>
    <w:lsdException w:unhideWhenUsed="0" w:uiPriority="0" w:semiHidden="0" w:name="endnote text" w:locked="1"/>
    <w:lsdException w:unhideWhenUsed="0" w:uiPriority="0" w:semiHidden="0" w:name="table of authorities" w:locked="1"/>
    <w:lsdException w:unhideWhenUsed="0" w:uiPriority="0" w:semiHidden="0" w:name="macro" w:locked="1"/>
    <w:lsdException w:unhideWhenUsed="0" w:uiPriority="0" w:semiHidden="0" w:name="toa heading" w:locked="1"/>
    <w:lsdException w:unhideWhenUsed="0" w:uiPriority="0" w:semiHidden="0" w:name="List" w:locked="1"/>
    <w:lsdException w:unhideWhenUsed="0" w:uiPriority="0" w:semiHidden="0" w:name="List Bullet" w:locked="1"/>
    <w:lsdException w:unhideWhenUsed="0" w:uiPriority="0" w:semiHidden="0" w:name="List Number" w:locked="1"/>
    <w:lsdException w:unhideWhenUsed="0" w:uiPriority="0" w:semiHidden="0" w:name="List 2" w:locked="1"/>
    <w:lsdException w:unhideWhenUsed="0" w:uiPriority="0" w:semiHidden="0" w:name="List 3" w:locked="1"/>
    <w:lsdException w:unhideWhenUsed="0" w:uiPriority="0" w:semiHidden="0" w:name="List 4" w:locked="1"/>
    <w:lsdException w:unhideWhenUsed="0" w:uiPriority="0" w:semiHidden="0" w:name="List 5" w:locked="1"/>
    <w:lsdException w:unhideWhenUsed="0" w:uiPriority="0" w:semiHidden="0" w:name="List Bullet 2" w:locked="1"/>
    <w:lsdException w:unhideWhenUsed="0" w:uiPriority="0" w:semiHidden="0" w:name="List Bullet 3" w:locked="1"/>
    <w:lsdException w:unhideWhenUsed="0" w:uiPriority="0" w:semiHidden="0" w:name="List Bullet 4" w:locked="1"/>
    <w:lsdException w:unhideWhenUsed="0" w:uiPriority="0" w:semiHidden="0" w:name="List Bullet 5" w:locked="1"/>
    <w:lsdException w:unhideWhenUsed="0" w:uiPriority="0" w:semiHidden="0" w:name="List Number 2" w:locked="1"/>
    <w:lsdException w:unhideWhenUsed="0" w:uiPriority="0" w:semiHidden="0" w:name="List Number 3" w:locked="1"/>
    <w:lsdException w:unhideWhenUsed="0" w:uiPriority="0" w:semiHidden="0" w:name="List Number 4" w:locked="1"/>
    <w:lsdException w:unhideWhenUsed="0" w:uiPriority="0" w:semiHidden="0" w:name="List Number 5" w:locked="1"/>
    <w:lsdException w:qFormat="1" w:unhideWhenUsed="0" w:uiPriority="0" w:semiHidden="0" w:name="Title" w:locked="1"/>
    <w:lsdException w:unhideWhenUsed="0" w:uiPriority="0" w:semiHidden="0" w:name="Closing" w:locked="1"/>
    <w:lsdException w:unhideWhenUsed="0" w:uiPriority="0" w:semiHidden="0" w:name="Signature" w:locked="1"/>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ocked="1"/>
    <w:lsdException w:unhideWhenUsed="0" w:uiPriority="0" w:semiHidden="0" w:name="List Continue 2" w:locked="1"/>
    <w:lsdException w:unhideWhenUsed="0" w:uiPriority="0" w:semiHidden="0" w:name="List Continue 3" w:locked="1"/>
    <w:lsdException w:unhideWhenUsed="0" w:uiPriority="0" w:semiHidden="0" w:name="List Continue 4" w:locked="1"/>
    <w:lsdException w:unhideWhenUsed="0" w:uiPriority="0" w:semiHidden="0" w:name="List Continue 5" w:locked="1"/>
    <w:lsdException w:unhideWhenUsed="0" w:uiPriority="0" w:semiHidden="0" w:name="Message Header" w:locked="1"/>
    <w:lsdException w:qFormat="1" w:unhideWhenUsed="0" w:uiPriority="0" w:semiHidden="0" w:name="Subtitle" w:locked="1"/>
    <w:lsdException w:unhideWhenUsed="0" w:uiPriority="0" w:semiHidden="0" w:name="Salutation" w:locked="1"/>
    <w:lsdException w:qFormat="1" w:unhideWhenUsed="0" w:uiPriority="0" w:semiHidden="0" w:name="Date"/>
    <w:lsdException w:qFormat="1" w:unhideWhenUsed="0" w:uiPriority="0" w:semiHidden="0" w:name="Body Text First Indent" w:locked="1"/>
    <w:lsdException w:qFormat="1" w:unhideWhenUsed="0" w:uiPriority="0" w:semiHidden="0" w:name="Body Text First Indent 2" w:locked="1"/>
    <w:lsdException w:qFormat="1" w:unhideWhenUsed="0" w:uiPriority="99" w:semiHidden="0" w:name="Note Heading" w:locked="1"/>
    <w:lsdException w:qFormat="1" w:unhideWhenUsed="0" w:uiPriority="0" w:semiHidden="0" w:name="Body Text 2" w:locked="1"/>
    <w:lsdException w:unhideWhenUsed="0" w:uiPriority="0" w:semiHidden="0" w:name="Body Text 3" w:locked="1"/>
    <w:lsdException w:qFormat="1" w:unhideWhenUsed="0" w:uiPriority="0" w:semiHidden="0" w:name="Body Text Indent 2" w:locked="1"/>
    <w:lsdException w:unhideWhenUsed="0" w:uiPriority="0" w:semiHidden="0" w:name="Body Text Indent 3" w:locked="1"/>
    <w:lsdException w:unhideWhenUsed="0" w:uiPriority="0" w:semiHidden="0" w:name="Block Text" w:locked="1"/>
    <w:lsdException w:qFormat="1" w:uiPriority="99" w:semiHidden="0" w:name="Hyperlink" w:locked="1"/>
    <w:lsdException w:unhideWhenUsed="0" w:uiPriority="0" w:semiHidden="0" w:name="FollowedHyperlink" w:locked="1"/>
    <w:lsdException w:qFormat="1" w:unhideWhenUsed="0" w:uiPriority="0" w:semiHidden="0" w:name="Strong" w:locked="1"/>
    <w:lsdException w:qFormat="1" w:unhideWhenUsed="0" w:uiPriority="0" w:semiHidden="0" w:name="Emphasis" w:locked="1"/>
    <w:lsdException w:qFormat="1" w:unhideWhenUsed="0" w:uiPriority="0" w:semiHidden="0" w:name="Document Map" w:locked="1"/>
    <w:lsdException w:unhideWhenUsed="0" w:uiPriority="0" w:semiHidden="0" w:name="Plain Text" w:locked="1"/>
    <w:lsdException w:unhideWhenUsed="0" w:uiPriority="0" w:semiHidden="0" w:name="E-mail Signature" w:locked="1"/>
    <w:lsdException w:qFormat="1" w:unhideWhenUsed="0" w:uiPriority="0" w:semiHidden="0" w:name="Normal (Web)"/>
    <w:lsdException w:unhideWhenUsed="0" w:uiPriority="0" w:semiHidden="0" w:name="HTML Acronym" w:locked="1"/>
    <w:lsdException w:unhideWhenUsed="0" w:uiPriority="0" w:semiHidden="0" w:name="HTML Address" w:locked="1"/>
    <w:lsdException w:unhideWhenUsed="0" w:uiPriority="0" w:semiHidden="0" w:name="HTML Cite" w:locked="1"/>
    <w:lsdException w:unhideWhenUsed="0" w:uiPriority="0" w:semiHidden="0" w:name="HTML Code" w:locked="1"/>
    <w:lsdException w:unhideWhenUsed="0" w:uiPriority="0" w:semiHidden="0" w:name="HTML Definition" w:locked="1"/>
    <w:lsdException w:unhideWhenUsed="0" w:uiPriority="0" w:semiHidden="0" w:name="HTML Keyboard" w:locked="1"/>
    <w:lsdException w:unhideWhenUsed="0" w:uiPriority="0" w:semiHidden="0" w:name="HTML Preformatted" w:locked="1"/>
    <w:lsdException w:unhideWhenUsed="0" w:uiPriority="0" w:semiHidden="0" w:name="HTML Sample" w:locked="1"/>
    <w:lsdException w:unhideWhenUsed="0" w:uiPriority="0" w:semiHidden="0" w:name="HTML Typewriter" w:locked="1"/>
    <w:lsdException w:unhideWhenUsed="0" w:uiPriority="0" w:semiHidden="0" w:name="HTML Variable" w:locked="1"/>
    <w:lsdException w:qFormat="1" w:uiPriority="99" w:name="Normal Table"/>
    <w:lsdException w:qFormat="1" w:unhideWhenUsed="0" w:uiPriority="0" w:name="annotation subject"/>
    <w:lsdException w:unhideWhenUsed="0" w:uiPriority="0" w:semiHidden="0" w:name="Table Simple 1" w:locked="1"/>
    <w:lsdException w:unhideWhenUsed="0" w:uiPriority="0" w:semiHidden="0" w:name="Table Simple 2" w:locked="1"/>
    <w:lsdException w:unhideWhenUsed="0" w:uiPriority="0" w:semiHidden="0" w:name="Table Simple 3" w:locked="1"/>
    <w:lsdException w:unhideWhenUsed="0" w:uiPriority="0" w:semiHidden="0" w:name="Table Classic 1" w:locked="1"/>
    <w:lsdException w:unhideWhenUsed="0" w:uiPriority="0" w:semiHidden="0" w:name="Table Classic 2" w:locked="1"/>
    <w:lsdException w:unhideWhenUsed="0" w:uiPriority="0" w:semiHidden="0" w:name="Table Classic 3" w:locked="1"/>
    <w:lsdException w:unhideWhenUsed="0" w:uiPriority="0" w:semiHidden="0" w:name="Table Classic 4" w:locked="1"/>
    <w:lsdException w:unhideWhenUsed="0" w:uiPriority="0" w:semiHidden="0" w:name="Table Colorful 1" w:locked="1"/>
    <w:lsdException w:unhideWhenUsed="0" w:uiPriority="0" w:semiHidden="0" w:name="Table Colorful 2" w:locked="1"/>
    <w:lsdException w:unhideWhenUsed="0" w:uiPriority="0" w:semiHidden="0" w:name="Table Colorful 3" w:locked="1"/>
    <w:lsdException w:unhideWhenUsed="0" w:uiPriority="0" w:semiHidden="0" w:name="Table Columns 1" w:locked="1"/>
    <w:lsdException w:unhideWhenUsed="0" w:uiPriority="0" w:semiHidden="0" w:name="Table Columns 2" w:locked="1"/>
    <w:lsdException w:unhideWhenUsed="0" w:uiPriority="0" w:semiHidden="0" w:name="Table Columns 3" w:locked="1"/>
    <w:lsdException w:unhideWhenUsed="0" w:uiPriority="0" w:semiHidden="0" w:name="Table Columns 4" w:locked="1"/>
    <w:lsdException w:unhideWhenUsed="0" w:uiPriority="0" w:semiHidden="0" w:name="Table Columns 5" w:locked="1"/>
    <w:lsdException w:unhideWhenUsed="0" w:uiPriority="0" w:semiHidden="0" w:name="Table Grid 1" w:locked="1"/>
    <w:lsdException w:unhideWhenUsed="0" w:uiPriority="0" w:semiHidden="0" w:name="Table Grid 2" w:locked="1"/>
    <w:lsdException w:unhideWhenUsed="0" w:uiPriority="0" w:semiHidden="0" w:name="Table Grid 3" w:locked="1"/>
    <w:lsdException w:unhideWhenUsed="0" w:uiPriority="0" w:semiHidden="0" w:name="Table Grid 4" w:locked="1"/>
    <w:lsdException w:unhideWhenUsed="0" w:uiPriority="0" w:semiHidden="0" w:name="Table Grid 5" w:locked="1"/>
    <w:lsdException w:unhideWhenUsed="0" w:uiPriority="0" w:semiHidden="0" w:name="Table Grid 6" w:locked="1"/>
    <w:lsdException w:unhideWhenUsed="0" w:uiPriority="0" w:semiHidden="0" w:name="Table Grid 7" w:locked="1"/>
    <w:lsdException w:unhideWhenUsed="0" w:uiPriority="0" w:semiHidden="0" w:name="Table Grid 8" w:locked="1"/>
    <w:lsdException w:unhideWhenUsed="0" w:uiPriority="0" w:semiHidden="0" w:name="Table List 1" w:locked="1"/>
    <w:lsdException w:unhideWhenUsed="0" w:uiPriority="0" w:semiHidden="0" w:name="Table List 2" w:locked="1"/>
    <w:lsdException w:unhideWhenUsed="0" w:uiPriority="0" w:semiHidden="0" w:name="Table List 3" w:locked="1"/>
    <w:lsdException w:unhideWhenUsed="0" w:uiPriority="0" w:semiHidden="0" w:name="Table List 4" w:locked="1"/>
    <w:lsdException w:unhideWhenUsed="0" w:uiPriority="0" w:semiHidden="0" w:name="Table List 5" w:locked="1"/>
    <w:lsdException w:unhideWhenUsed="0" w:uiPriority="0" w:semiHidden="0" w:name="Table List 6" w:locked="1"/>
    <w:lsdException w:unhideWhenUsed="0" w:uiPriority="0" w:semiHidden="0" w:name="Table List 7" w:locked="1"/>
    <w:lsdException w:unhideWhenUsed="0" w:uiPriority="0" w:semiHidden="0" w:name="Table List 8" w:locked="1"/>
    <w:lsdException w:unhideWhenUsed="0" w:uiPriority="0" w:semiHidden="0" w:name="Table 3D effects 1" w:locked="1"/>
    <w:lsdException w:unhideWhenUsed="0" w:uiPriority="0" w:semiHidden="0" w:name="Table 3D effects 2" w:locked="1"/>
    <w:lsdException w:unhideWhenUsed="0" w:uiPriority="0" w:semiHidden="0" w:name="Table 3D effects 3" w:locked="1"/>
    <w:lsdException w:unhideWhenUsed="0" w:uiPriority="0" w:semiHidden="0" w:name="Table Contemporary" w:locked="1"/>
    <w:lsdException w:unhideWhenUsed="0" w:uiPriority="0" w:semiHidden="0" w:name="Table Elegant" w:locked="1"/>
    <w:lsdException w:unhideWhenUsed="0" w:uiPriority="0" w:semiHidden="0" w:name="Table Professional" w:locked="1"/>
    <w:lsdException w:unhideWhenUsed="0" w:uiPriority="0" w:semiHidden="0" w:name="Table Subtle 1" w:locked="1"/>
    <w:lsdException w:unhideWhenUsed="0" w:uiPriority="0" w:semiHidden="0" w:name="Table Subtle 2" w:locked="1"/>
    <w:lsdException w:unhideWhenUsed="0" w:uiPriority="0" w:semiHidden="0" w:name="Table Web 1" w:locked="1"/>
    <w:lsdException w:unhideWhenUsed="0" w:uiPriority="0" w:semiHidden="0" w:name="Table Web 2" w:locked="1"/>
    <w:lsdException w:unhideWhenUsed="0" w:uiPriority="0" w:semiHidden="0" w:name="Table Web 3" w:locked="1"/>
    <w:lsdException w:qFormat="1" w:unhideWhenUsed="0" w:uiPriority="0" w:name="Balloon Text"/>
    <w:lsdException w:qFormat="1" w:unhideWhenUsed="0" w:uiPriority="59" w:semiHidden="0" w:name="Table Grid"/>
    <w:lsdException w:unhideWhenUsed="0" w:uiPriority="0" w:semiHidden="0" w:name="Table Theme" w:locked="1"/>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4">
    <w:name w:val="heading 2"/>
    <w:basedOn w:val="1"/>
    <w:next w:val="1"/>
    <w:link w:val="65"/>
    <w:semiHidden/>
    <w:unhideWhenUsed/>
    <w:qFormat/>
    <w:locked/>
    <w:uiPriority w:val="0"/>
    <w:pPr>
      <w:keepNext/>
      <w:keepLines/>
      <w:spacing w:before="260" w:after="260" w:line="416" w:lineRule="auto"/>
      <w:outlineLvl w:val="1"/>
    </w:pPr>
    <w:rPr>
      <w:rFonts w:ascii="Cambria" w:hAnsi="Cambria"/>
      <w:b/>
      <w:bCs/>
      <w:sz w:val="32"/>
      <w:szCs w:val="32"/>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customStyle="1" w:styleId="2">
    <w:name w:val="Default"/>
    <w:link w:val="57"/>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5">
    <w:name w:val="Note Heading"/>
    <w:basedOn w:val="1"/>
    <w:next w:val="1"/>
    <w:link w:val="83"/>
    <w:qFormat/>
    <w:locked/>
    <w:uiPriority w:val="99"/>
    <w:pPr>
      <w:jc w:val="center"/>
    </w:pPr>
  </w:style>
  <w:style w:type="paragraph" w:styleId="6">
    <w:name w:val="Normal Indent"/>
    <w:basedOn w:val="1"/>
    <w:link w:val="68"/>
    <w:qFormat/>
    <w:locked/>
    <w:uiPriority w:val="0"/>
    <w:pPr>
      <w:ind w:firstLine="420"/>
    </w:pPr>
    <w:rPr>
      <w:szCs w:val="20"/>
    </w:rPr>
  </w:style>
  <w:style w:type="paragraph" w:styleId="7">
    <w:name w:val="caption"/>
    <w:basedOn w:val="1"/>
    <w:next w:val="1"/>
    <w:link w:val="53"/>
    <w:qFormat/>
    <w:locked/>
    <w:uiPriority w:val="0"/>
    <w:pPr>
      <w:adjustRightInd w:val="0"/>
      <w:snapToGrid w:val="0"/>
      <w:jc w:val="center"/>
    </w:pPr>
    <w:rPr>
      <w:rFonts w:ascii="Calibri" w:hAnsi="Calibri"/>
      <w:b/>
      <w:color w:val="000000"/>
      <w:sz w:val="24"/>
      <w:szCs w:val="21"/>
    </w:rPr>
  </w:style>
  <w:style w:type="paragraph" w:styleId="8">
    <w:name w:val="Document Map"/>
    <w:basedOn w:val="1"/>
    <w:link w:val="67"/>
    <w:qFormat/>
    <w:locked/>
    <w:uiPriority w:val="0"/>
    <w:rPr>
      <w:rFonts w:ascii="宋体"/>
      <w:sz w:val="18"/>
      <w:szCs w:val="18"/>
    </w:rPr>
  </w:style>
  <w:style w:type="paragraph" w:styleId="9">
    <w:name w:val="annotation text"/>
    <w:basedOn w:val="1"/>
    <w:link w:val="45"/>
    <w:semiHidden/>
    <w:qFormat/>
    <w:uiPriority w:val="0"/>
    <w:pPr>
      <w:jc w:val="left"/>
    </w:pPr>
    <w:rPr>
      <w:kern w:val="0"/>
      <w:sz w:val="24"/>
      <w:szCs w:val="20"/>
    </w:rPr>
  </w:style>
  <w:style w:type="paragraph" w:styleId="10">
    <w:name w:val="Body Text"/>
    <w:basedOn w:val="1"/>
    <w:next w:val="11"/>
    <w:link w:val="47"/>
    <w:qFormat/>
    <w:uiPriority w:val="0"/>
    <w:pPr>
      <w:widowControl/>
      <w:snapToGrid w:val="0"/>
      <w:spacing w:before="60" w:after="160" w:line="259" w:lineRule="auto"/>
      <w:ind w:right="113"/>
    </w:pPr>
    <w:rPr>
      <w:kern w:val="0"/>
      <w:sz w:val="18"/>
      <w:szCs w:val="20"/>
    </w:rPr>
  </w:style>
  <w:style w:type="paragraph" w:customStyle="1" w:styleId="11">
    <w:name w:val="xl27"/>
    <w:basedOn w:val="1"/>
    <w:next w:val="12"/>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新宋体-18030" w:hAnsi="新宋体-18030" w:eastAsia="新宋体-18030" w:cs="新宋体-18030"/>
      <w:kern w:val="0"/>
    </w:rPr>
  </w:style>
  <w:style w:type="paragraph" w:styleId="12">
    <w:name w:val="Body Text Indent 2"/>
    <w:basedOn w:val="1"/>
    <w:next w:val="1"/>
    <w:link w:val="62"/>
    <w:qFormat/>
    <w:locked/>
    <w:uiPriority w:val="0"/>
    <w:pPr>
      <w:spacing w:after="120" w:line="480" w:lineRule="auto"/>
      <w:ind w:left="420" w:leftChars="200"/>
    </w:pPr>
  </w:style>
  <w:style w:type="paragraph" w:styleId="13">
    <w:name w:val="Body Text Indent"/>
    <w:basedOn w:val="1"/>
    <w:link w:val="35"/>
    <w:qFormat/>
    <w:uiPriority w:val="0"/>
    <w:pPr>
      <w:spacing w:after="120"/>
      <w:ind w:left="420" w:leftChars="200"/>
    </w:pPr>
    <w:rPr>
      <w:kern w:val="0"/>
      <w:sz w:val="24"/>
      <w:szCs w:val="20"/>
    </w:rPr>
  </w:style>
  <w:style w:type="paragraph" w:styleId="14">
    <w:name w:val="Date"/>
    <w:basedOn w:val="1"/>
    <w:next w:val="1"/>
    <w:link w:val="33"/>
    <w:qFormat/>
    <w:uiPriority w:val="0"/>
    <w:pPr>
      <w:ind w:left="100" w:leftChars="2500"/>
    </w:pPr>
    <w:rPr>
      <w:kern w:val="0"/>
      <w:sz w:val="24"/>
      <w:szCs w:val="20"/>
    </w:rPr>
  </w:style>
  <w:style w:type="paragraph" w:styleId="15">
    <w:name w:val="Balloon Text"/>
    <w:basedOn w:val="1"/>
    <w:link w:val="41"/>
    <w:semiHidden/>
    <w:qFormat/>
    <w:uiPriority w:val="0"/>
    <w:rPr>
      <w:kern w:val="0"/>
      <w:sz w:val="18"/>
      <w:szCs w:val="20"/>
    </w:rPr>
  </w:style>
  <w:style w:type="paragraph" w:styleId="16">
    <w:name w:val="footer"/>
    <w:basedOn w:val="1"/>
    <w:link w:val="34"/>
    <w:qFormat/>
    <w:uiPriority w:val="99"/>
    <w:pPr>
      <w:tabs>
        <w:tab w:val="center" w:pos="4153"/>
        <w:tab w:val="right" w:pos="8306"/>
      </w:tabs>
      <w:snapToGrid w:val="0"/>
      <w:jc w:val="left"/>
    </w:pPr>
    <w:rPr>
      <w:kern w:val="0"/>
      <w:sz w:val="18"/>
      <w:szCs w:val="20"/>
    </w:rPr>
  </w:style>
  <w:style w:type="paragraph" w:styleId="17">
    <w:name w:val="header"/>
    <w:basedOn w:val="1"/>
    <w:link w:val="40"/>
    <w:qFormat/>
    <w:uiPriority w:val="0"/>
    <w:pPr>
      <w:pBdr>
        <w:bottom w:val="single" w:color="auto" w:sz="6" w:space="1"/>
      </w:pBdr>
      <w:tabs>
        <w:tab w:val="center" w:pos="4153"/>
        <w:tab w:val="right" w:pos="8306"/>
      </w:tabs>
      <w:snapToGrid w:val="0"/>
      <w:jc w:val="center"/>
    </w:pPr>
    <w:rPr>
      <w:kern w:val="0"/>
      <w:sz w:val="18"/>
      <w:szCs w:val="20"/>
    </w:rPr>
  </w:style>
  <w:style w:type="paragraph" w:styleId="18">
    <w:name w:val="toc 1"/>
    <w:basedOn w:val="1"/>
    <w:next w:val="1"/>
    <w:qFormat/>
    <w:locked/>
    <w:uiPriority w:val="39"/>
  </w:style>
  <w:style w:type="paragraph" w:styleId="19">
    <w:name w:val="table of figures"/>
    <w:basedOn w:val="1"/>
    <w:next w:val="1"/>
    <w:qFormat/>
    <w:locked/>
    <w:uiPriority w:val="0"/>
    <w:pPr>
      <w:ind w:left="200" w:leftChars="200" w:hanging="200" w:hangingChars="200"/>
    </w:pPr>
  </w:style>
  <w:style w:type="paragraph" w:styleId="20">
    <w:name w:val="Body Text 2"/>
    <w:basedOn w:val="1"/>
    <w:link w:val="80"/>
    <w:qFormat/>
    <w:locked/>
    <w:uiPriority w:val="0"/>
    <w:pPr>
      <w:spacing w:after="120" w:line="480" w:lineRule="auto"/>
    </w:pPr>
  </w:style>
  <w:style w:type="paragraph" w:styleId="21">
    <w:name w:val="Normal (Web)"/>
    <w:basedOn w:val="1"/>
    <w:link w:val="36"/>
    <w:qFormat/>
    <w:uiPriority w:val="0"/>
    <w:pPr>
      <w:widowControl/>
      <w:spacing w:before="100" w:beforeAutospacing="1" w:after="100" w:afterAutospacing="1"/>
      <w:jc w:val="left"/>
    </w:pPr>
    <w:rPr>
      <w:rFonts w:ascii="宋体" w:hAnsi="宋体"/>
      <w:kern w:val="0"/>
      <w:sz w:val="24"/>
      <w:szCs w:val="20"/>
    </w:rPr>
  </w:style>
  <w:style w:type="paragraph" w:styleId="22">
    <w:name w:val="annotation subject"/>
    <w:basedOn w:val="9"/>
    <w:next w:val="9"/>
    <w:link w:val="46"/>
    <w:semiHidden/>
    <w:qFormat/>
    <w:uiPriority w:val="0"/>
    <w:rPr>
      <w:b/>
    </w:rPr>
  </w:style>
  <w:style w:type="paragraph" w:styleId="23">
    <w:name w:val="Body Text First Indent"/>
    <w:basedOn w:val="10"/>
    <w:link w:val="55"/>
    <w:qFormat/>
    <w:locked/>
    <w:uiPriority w:val="0"/>
    <w:pPr>
      <w:widowControl w:val="0"/>
      <w:snapToGrid/>
      <w:spacing w:before="0" w:after="120" w:line="240" w:lineRule="auto"/>
      <w:ind w:right="0" w:firstLine="420" w:firstLineChars="100"/>
    </w:pPr>
    <w:rPr>
      <w:rFonts w:ascii="Calibri" w:hAnsi="Calibri"/>
      <w:kern w:val="2"/>
      <w:sz w:val="21"/>
      <w:szCs w:val="24"/>
    </w:rPr>
  </w:style>
  <w:style w:type="paragraph" w:styleId="24">
    <w:name w:val="Body Text First Indent 2"/>
    <w:basedOn w:val="13"/>
    <w:next w:val="1"/>
    <w:link w:val="66"/>
    <w:qFormat/>
    <w:locked/>
    <w:uiPriority w:val="0"/>
    <w:pPr>
      <w:ind w:firstLine="420" w:firstLineChars="200"/>
    </w:pPr>
    <w:rPr>
      <w:kern w:val="2"/>
      <w:sz w:val="21"/>
      <w:szCs w:val="24"/>
    </w:rPr>
  </w:style>
  <w:style w:type="table" w:styleId="26">
    <w:name w:val="Table Grid"/>
    <w:basedOn w:val="2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8">
    <w:name w:val="Strong"/>
    <w:qFormat/>
    <w:locked/>
    <w:uiPriority w:val="0"/>
    <w:rPr>
      <w:b/>
      <w:bCs/>
    </w:rPr>
  </w:style>
  <w:style w:type="character" w:styleId="29">
    <w:name w:val="page number"/>
    <w:basedOn w:val="27"/>
    <w:qFormat/>
    <w:locked/>
    <w:uiPriority w:val="0"/>
  </w:style>
  <w:style w:type="character" w:styleId="30">
    <w:name w:val="Emphasis"/>
    <w:basedOn w:val="27"/>
    <w:qFormat/>
    <w:locked/>
    <w:uiPriority w:val="0"/>
    <w:rPr>
      <w:i/>
    </w:rPr>
  </w:style>
  <w:style w:type="character" w:styleId="31">
    <w:name w:val="Hyperlink"/>
    <w:basedOn w:val="27"/>
    <w:unhideWhenUsed/>
    <w:qFormat/>
    <w:locked/>
    <w:uiPriority w:val="99"/>
    <w:rPr>
      <w:color w:val="0000FF"/>
      <w:u w:val="single"/>
    </w:rPr>
  </w:style>
  <w:style w:type="character" w:styleId="32">
    <w:name w:val="annotation reference"/>
    <w:qFormat/>
    <w:uiPriority w:val="0"/>
    <w:rPr>
      <w:sz w:val="21"/>
    </w:rPr>
  </w:style>
  <w:style w:type="character" w:customStyle="1" w:styleId="33">
    <w:name w:val="日期 Char"/>
    <w:link w:val="14"/>
    <w:qFormat/>
    <w:locked/>
    <w:uiPriority w:val="0"/>
    <w:rPr>
      <w:rFonts w:ascii="Times New Roman" w:hAnsi="Times New Roman" w:eastAsia="宋体"/>
      <w:sz w:val="24"/>
    </w:rPr>
  </w:style>
  <w:style w:type="character" w:customStyle="1" w:styleId="34">
    <w:name w:val="页脚 Char"/>
    <w:link w:val="16"/>
    <w:qFormat/>
    <w:locked/>
    <w:uiPriority w:val="99"/>
    <w:rPr>
      <w:sz w:val="18"/>
    </w:rPr>
  </w:style>
  <w:style w:type="character" w:customStyle="1" w:styleId="35">
    <w:name w:val="正文文本缩进 Char"/>
    <w:link w:val="13"/>
    <w:semiHidden/>
    <w:qFormat/>
    <w:locked/>
    <w:uiPriority w:val="0"/>
    <w:rPr>
      <w:rFonts w:ascii="Times New Roman" w:hAnsi="Times New Roman" w:eastAsia="宋体"/>
      <w:sz w:val="24"/>
    </w:rPr>
  </w:style>
  <w:style w:type="character" w:customStyle="1" w:styleId="36">
    <w:name w:val="普通(网站) Char"/>
    <w:link w:val="21"/>
    <w:qFormat/>
    <w:locked/>
    <w:uiPriority w:val="0"/>
    <w:rPr>
      <w:rFonts w:ascii="宋体" w:hAnsi="宋体" w:eastAsia="宋体"/>
      <w:sz w:val="24"/>
    </w:rPr>
  </w:style>
  <w:style w:type="character" w:customStyle="1" w:styleId="37">
    <w:name w:val="表格 Char"/>
    <w:link w:val="38"/>
    <w:qFormat/>
    <w:locked/>
    <w:uiPriority w:val="0"/>
    <w:rPr>
      <w:rFonts w:ascii="宋体"/>
      <w:sz w:val="21"/>
    </w:rPr>
  </w:style>
  <w:style w:type="paragraph" w:customStyle="1" w:styleId="38">
    <w:name w:val="表格"/>
    <w:basedOn w:val="6"/>
    <w:next w:val="1"/>
    <w:link w:val="37"/>
    <w:qFormat/>
    <w:uiPriority w:val="0"/>
    <w:pPr>
      <w:adjustRightInd w:val="0"/>
      <w:snapToGrid w:val="0"/>
      <w:spacing w:beforeLines="10" w:afterLines="10" w:line="259" w:lineRule="auto"/>
      <w:jc w:val="center"/>
    </w:pPr>
    <w:rPr>
      <w:rFonts w:ascii="宋体"/>
      <w:kern w:val="0"/>
    </w:rPr>
  </w:style>
  <w:style w:type="character" w:customStyle="1" w:styleId="39">
    <w:name w:val="正文文本 字符1"/>
    <w:semiHidden/>
    <w:qFormat/>
    <w:uiPriority w:val="0"/>
    <w:rPr>
      <w:rFonts w:ascii="Times New Roman" w:hAnsi="Times New Roman" w:eastAsia="宋体"/>
      <w:sz w:val="24"/>
    </w:rPr>
  </w:style>
  <w:style w:type="character" w:customStyle="1" w:styleId="40">
    <w:name w:val="页眉 Char"/>
    <w:link w:val="17"/>
    <w:qFormat/>
    <w:locked/>
    <w:uiPriority w:val="0"/>
    <w:rPr>
      <w:sz w:val="18"/>
    </w:rPr>
  </w:style>
  <w:style w:type="character" w:customStyle="1" w:styleId="41">
    <w:name w:val="批注框文本 Char"/>
    <w:link w:val="15"/>
    <w:semiHidden/>
    <w:qFormat/>
    <w:locked/>
    <w:uiPriority w:val="0"/>
    <w:rPr>
      <w:rFonts w:ascii="Times New Roman" w:hAnsi="Times New Roman" w:eastAsia="宋体"/>
      <w:sz w:val="18"/>
    </w:rPr>
  </w:style>
  <w:style w:type="character" w:customStyle="1" w:styleId="42">
    <w:name w:val="日期 字符"/>
    <w:semiHidden/>
    <w:qFormat/>
    <w:uiPriority w:val="0"/>
    <w:rPr>
      <w:rFonts w:ascii="Times New Roman" w:hAnsi="Times New Roman" w:eastAsia="宋体"/>
      <w:sz w:val="24"/>
    </w:rPr>
  </w:style>
  <w:style w:type="character" w:customStyle="1" w:styleId="43">
    <w:name w:val="批注文字 字符1"/>
    <w:semiHidden/>
    <w:qFormat/>
    <w:uiPriority w:val="0"/>
    <w:rPr>
      <w:rFonts w:ascii="Times New Roman" w:hAnsi="Times New Roman" w:eastAsia="宋体"/>
      <w:sz w:val="24"/>
    </w:rPr>
  </w:style>
  <w:style w:type="character" w:customStyle="1" w:styleId="44">
    <w:name w:val="页脚 字符"/>
    <w:basedOn w:val="27"/>
    <w:qFormat/>
    <w:uiPriority w:val="99"/>
  </w:style>
  <w:style w:type="character" w:customStyle="1" w:styleId="45">
    <w:name w:val="批注文字 Char"/>
    <w:link w:val="9"/>
    <w:qFormat/>
    <w:locked/>
    <w:uiPriority w:val="0"/>
    <w:rPr>
      <w:rFonts w:ascii="Times New Roman" w:hAnsi="Times New Roman" w:eastAsia="宋体"/>
      <w:sz w:val="24"/>
    </w:rPr>
  </w:style>
  <w:style w:type="character" w:customStyle="1" w:styleId="46">
    <w:name w:val="批注主题 Char"/>
    <w:link w:val="22"/>
    <w:semiHidden/>
    <w:qFormat/>
    <w:locked/>
    <w:uiPriority w:val="0"/>
    <w:rPr>
      <w:rFonts w:ascii="Times New Roman" w:hAnsi="Times New Roman" w:eastAsia="宋体"/>
      <w:b/>
      <w:kern w:val="2"/>
      <w:sz w:val="24"/>
    </w:rPr>
  </w:style>
  <w:style w:type="character" w:customStyle="1" w:styleId="47">
    <w:name w:val="正文文本 Char"/>
    <w:link w:val="10"/>
    <w:qFormat/>
    <w:locked/>
    <w:uiPriority w:val="0"/>
    <w:rPr>
      <w:sz w:val="18"/>
    </w:rPr>
  </w:style>
  <w:style w:type="paragraph" w:customStyle="1" w:styleId="48">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49">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0">
    <w:name w:val="ENFI正文"/>
    <w:basedOn w:val="1"/>
    <w:qFormat/>
    <w:uiPriority w:val="0"/>
    <w:pPr>
      <w:adjustRightInd w:val="0"/>
      <w:snapToGrid w:val="0"/>
      <w:spacing w:line="400" w:lineRule="exact"/>
      <w:ind w:firstLine="567"/>
    </w:pPr>
    <w:rPr>
      <w:rFonts w:eastAsia="仿宋_GB2312"/>
      <w:color w:val="000000"/>
      <w:sz w:val="24"/>
      <w:szCs w:val="22"/>
    </w:rPr>
  </w:style>
  <w:style w:type="character" w:customStyle="1" w:styleId="51">
    <w:name w:val="正文首行缩进 2 + Times New Roman Char"/>
    <w:link w:val="52"/>
    <w:qFormat/>
    <w:uiPriority w:val="0"/>
    <w:rPr>
      <w:sz w:val="24"/>
    </w:rPr>
  </w:style>
  <w:style w:type="paragraph" w:customStyle="1" w:styleId="52">
    <w:name w:val="正文首行缩进 2 + Times New Roman"/>
    <w:basedOn w:val="1"/>
    <w:link w:val="51"/>
    <w:qFormat/>
    <w:uiPriority w:val="0"/>
    <w:pPr>
      <w:tabs>
        <w:tab w:val="left" w:pos="0"/>
        <w:tab w:val="left" w:pos="870"/>
        <w:tab w:val="left" w:pos="3150"/>
      </w:tabs>
      <w:autoSpaceDE w:val="0"/>
      <w:autoSpaceDN w:val="0"/>
      <w:spacing w:line="360" w:lineRule="auto"/>
      <w:ind w:firstLine="480" w:firstLineChars="200"/>
    </w:pPr>
    <w:rPr>
      <w:kern w:val="0"/>
      <w:sz w:val="24"/>
      <w:szCs w:val="20"/>
    </w:rPr>
  </w:style>
  <w:style w:type="character" w:customStyle="1" w:styleId="53">
    <w:name w:val="题注 Char"/>
    <w:link w:val="7"/>
    <w:qFormat/>
    <w:uiPriority w:val="0"/>
    <w:rPr>
      <w:rFonts w:ascii="Calibri" w:hAnsi="Calibri"/>
      <w:b/>
      <w:color w:val="000000"/>
      <w:kern w:val="2"/>
      <w:sz w:val="24"/>
      <w:szCs w:val="21"/>
    </w:rPr>
  </w:style>
  <w:style w:type="paragraph" w:customStyle="1" w:styleId="54">
    <w:name w:val="Char Char Char Char Char Char Char Char Char Char Char Char"/>
    <w:basedOn w:val="1"/>
    <w:qFormat/>
    <w:uiPriority w:val="0"/>
  </w:style>
  <w:style w:type="character" w:customStyle="1" w:styleId="55">
    <w:name w:val="正文首行缩进 Char"/>
    <w:link w:val="23"/>
    <w:qFormat/>
    <w:uiPriority w:val="0"/>
    <w:rPr>
      <w:rFonts w:ascii="Calibri" w:hAnsi="Calibri"/>
      <w:kern w:val="2"/>
      <w:sz w:val="21"/>
      <w:szCs w:val="24"/>
    </w:rPr>
  </w:style>
  <w:style w:type="paragraph" w:customStyle="1" w:styleId="56">
    <w:name w:val="特殊标题３"/>
    <w:basedOn w:val="1"/>
    <w:qFormat/>
    <w:uiPriority w:val="0"/>
    <w:pPr>
      <w:overflowPunct w:val="0"/>
      <w:autoSpaceDE w:val="0"/>
      <w:autoSpaceDN w:val="0"/>
      <w:spacing w:line="360" w:lineRule="auto"/>
    </w:pPr>
    <w:rPr>
      <w:rFonts w:eastAsia="仿宋_GB2312"/>
      <w:sz w:val="28"/>
    </w:rPr>
  </w:style>
  <w:style w:type="character" w:customStyle="1" w:styleId="57">
    <w:name w:val="Default Char"/>
    <w:link w:val="2"/>
    <w:qFormat/>
    <w:uiPriority w:val="0"/>
    <w:rPr>
      <w:rFonts w:ascii="宋体" w:cs="宋体"/>
      <w:color w:val="000000"/>
      <w:sz w:val="24"/>
      <w:szCs w:val="24"/>
    </w:rPr>
  </w:style>
  <w:style w:type="character" w:customStyle="1" w:styleId="58">
    <w:name w:val="表格的字 Char"/>
    <w:link w:val="59"/>
    <w:qFormat/>
    <w:uiPriority w:val="0"/>
    <w:rPr>
      <w:szCs w:val="21"/>
    </w:rPr>
  </w:style>
  <w:style w:type="paragraph" w:customStyle="1" w:styleId="59">
    <w:name w:val="表格的字"/>
    <w:next w:val="1"/>
    <w:link w:val="58"/>
    <w:qFormat/>
    <w:uiPriority w:val="0"/>
    <w:pPr>
      <w:jc w:val="center"/>
    </w:pPr>
    <w:rPr>
      <w:rFonts w:ascii="Times New Roman" w:hAnsi="Times New Roman" w:eastAsia="宋体" w:cs="Times New Roman"/>
      <w:szCs w:val="21"/>
      <w:lang w:val="en-US" w:eastAsia="zh-CN" w:bidi="ar-SA"/>
    </w:rPr>
  </w:style>
  <w:style w:type="table" w:customStyle="1" w:styleId="60">
    <w:name w:val="(环评报告表）1"/>
    <w:basedOn w:val="2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61">
    <w:name w:val="List Paragraph"/>
    <w:basedOn w:val="1"/>
    <w:qFormat/>
    <w:uiPriority w:val="34"/>
    <w:pPr>
      <w:ind w:firstLine="420" w:firstLineChars="200"/>
    </w:pPr>
    <w:rPr>
      <w:rFonts w:ascii="Calibri" w:hAnsi="Calibri" w:eastAsia="等线"/>
    </w:rPr>
  </w:style>
  <w:style w:type="character" w:customStyle="1" w:styleId="62">
    <w:name w:val="正文文本缩进 2 Char"/>
    <w:link w:val="12"/>
    <w:qFormat/>
    <w:uiPriority w:val="0"/>
    <w:rPr>
      <w:kern w:val="2"/>
      <w:sz w:val="21"/>
      <w:szCs w:val="24"/>
    </w:rPr>
  </w:style>
  <w:style w:type="paragraph" w:customStyle="1" w:styleId="63">
    <w:name w:val="表格文字"/>
    <w:basedOn w:val="1"/>
    <w:link w:val="64"/>
    <w:qFormat/>
    <w:uiPriority w:val="99"/>
    <w:pPr>
      <w:widowControl/>
      <w:adjustRightInd w:val="0"/>
      <w:snapToGrid w:val="0"/>
      <w:jc w:val="center"/>
    </w:pPr>
    <w:rPr>
      <w:kern w:val="0"/>
      <w:sz w:val="20"/>
      <w:szCs w:val="20"/>
    </w:rPr>
  </w:style>
  <w:style w:type="character" w:customStyle="1" w:styleId="64">
    <w:name w:val="表格文字 Char"/>
    <w:link w:val="63"/>
    <w:qFormat/>
    <w:uiPriority w:val="99"/>
  </w:style>
  <w:style w:type="character" w:customStyle="1" w:styleId="65">
    <w:name w:val="标题 2 Char"/>
    <w:link w:val="4"/>
    <w:semiHidden/>
    <w:qFormat/>
    <w:uiPriority w:val="0"/>
    <w:rPr>
      <w:rFonts w:ascii="Cambria" w:hAnsi="Cambria" w:eastAsia="宋体" w:cs="Times New Roman"/>
      <w:b/>
      <w:bCs/>
      <w:kern w:val="2"/>
      <w:sz w:val="32"/>
      <w:szCs w:val="32"/>
    </w:rPr>
  </w:style>
  <w:style w:type="character" w:customStyle="1" w:styleId="66">
    <w:name w:val="正文首行缩进 2 Char"/>
    <w:link w:val="24"/>
    <w:qFormat/>
    <w:uiPriority w:val="0"/>
    <w:rPr>
      <w:rFonts w:ascii="Times New Roman" w:hAnsi="Times New Roman" w:eastAsia="宋体"/>
      <w:kern w:val="2"/>
      <w:sz w:val="21"/>
      <w:szCs w:val="24"/>
    </w:rPr>
  </w:style>
  <w:style w:type="character" w:customStyle="1" w:styleId="67">
    <w:name w:val="文档结构图 Char"/>
    <w:basedOn w:val="27"/>
    <w:link w:val="8"/>
    <w:qFormat/>
    <w:uiPriority w:val="0"/>
    <w:rPr>
      <w:rFonts w:ascii="宋体"/>
      <w:kern w:val="2"/>
      <w:sz w:val="18"/>
      <w:szCs w:val="18"/>
    </w:rPr>
  </w:style>
  <w:style w:type="character" w:customStyle="1" w:styleId="68">
    <w:name w:val="正文缩进 Char"/>
    <w:link w:val="6"/>
    <w:qFormat/>
    <w:locked/>
    <w:uiPriority w:val="0"/>
    <w:rPr>
      <w:kern w:val="2"/>
      <w:sz w:val="21"/>
    </w:rPr>
  </w:style>
  <w:style w:type="paragraph" w:customStyle="1" w:styleId="69">
    <w:name w:val="Char"/>
    <w:basedOn w:val="1"/>
    <w:qFormat/>
    <w:uiPriority w:val="0"/>
    <w:pPr>
      <w:spacing w:line="360" w:lineRule="auto"/>
    </w:pPr>
    <w:rPr>
      <w:rFonts w:ascii="宋体" w:hAnsi="宋体" w:cs="宋体"/>
      <w:spacing w:val="-10"/>
      <w:sz w:val="24"/>
      <w:szCs w:val="21"/>
    </w:rPr>
  </w:style>
  <w:style w:type="paragraph" w:customStyle="1" w:styleId="70">
    <w:name w:val="Table Paragraph"/>
    <w:basedOn w:val="1"/>
    <w:qFormat/>
    <w:uiPriority w:val="1"/>
    <w:pPr>
      <w:spacing w:line="360" w:lineRule="auto"/>
    </w:pPr>
    <w:rPr>
      <w:rFonts w:ascii="宋体" w:hAnsi="宋体" w:cs="宋体"/>
      <w:sz w:val="24"/>
      <w:szCs w:val="20"/>
    </w:rPr>
  </w:style>
  <w:style w:type="character" w:customStyle="1" w:styleId="71">
    <w:name w:val="题注 Char1"/>
    <w:qFormat/>
    <w:uiPriority w:val="0"/>
    <w:rPr>
      <w:rFonts w:ascii="Calibri" w:hAnsi="Calibri"/>
      <w:b/>
      <w:color w:val="000000"/>
      <w:kern w:val="2"/>
      <w:sz w:val="24"/>
      <w:szCs w:val="21"/>
    </w:rPr>
  </w:style>
  <w:style w:type="paragraph" w:customStyle="1" w:styleId="72">
    <w:name w:val="表文"/>
    <w:basedOn w:val="1"/>
    <w:qFormat/>
    <w:uiPriority w:val="0"/>
    <w:pPr>
      <w:tabs>
        <w:tab w:val="left" w:pos="1021"/>
      </w:tabs>
      <w:jc w:val="center"/>
    </w:pPr>
    <w:rPr>
      <w:kern w:val="0"/>
      <w:position w:val="-23"/>
      <w:szCs w:val="21"/>
    </w:rPr>
  </w:style>
  <w:style w:type="character" w:styleId="73">
    <w:name w:val="Placeholder Text"/>
    <w:basedOn w:val="27"/>
    <w:unhideWhenUsed/>
    <w:qFormat/>
    <w:uiPriority w:val="99"/>
    <w:rPr>
      <w:color w:val="808080"/>
    </w:rPr>
  </w:style>
  <w:style w:type="paragraph" w:customStyle="1" w:styleId="74">
    <w:name w:val="环评正文"/>
    <w:basedOn w:val="1"/>
    <w:qFormat/>
    <w:uiPriority w:val="0"/>
    <w:pPr>
      <w:spacing w:beforeLines="30" w:line="360" w:lineRule="auto"/>
      <w:ind w:firstLine="480" w:firstLineChars="200"/>
    </w:pPr>
    <w:rPr>
      <w:kern w:val="0"/>
      <w:sz w:val="24"/>
      <w:szCs w:val="20"/>
    </w:rPr>
  </w:style>
  <w:style w:type="paragraph" w:customStyle="1" w:styleId="75">
    <w:name w:val="B-表头"/>
    <w:basedOn w:val="1"/>
    <w:qFormat/>
    <w:uiPriority w:val="0"/>
    <w:pPr>
      <w:keepNext/>
      <w:spacing w:beforeLines="25" w:afterLines="25"/>
      <w:jc w:val="center"/>
    </w:pPr>
    <w:rPr>
      <w:b/>
      <w:sz w:val="24"/>
    </w:rPr>
  </w:style>
  <w:style w:type="paragraph" w:customStyle="1" w:styleId="76">
    <w:name w:val="表头2"/>
    <w:basedOn w:val="1"/>
    <w:qFormat/>
    <w:uiPriority w:val="0"/>
    <w:pPr>
      <w:spacing w:beforeLines="50" w:afterLines="50"/>
      <w:jc w:val="center"/>
    </w:pPr>
    <w:rPr>
      <w:b/>
      <w:bCs/>
      <w:szCs w:val="21"/>
    </w:rPr>
  </w:style>
  <w:style w:type="paragraph" w:customStyle="1" w:styleId="77">
    <w:name w:val="样式9"/>
    <w:basedOn w:val="1"/>
    <w:qFormat/>
    <w:uiPriority w:val="0"/>
    <w:pPr>
      <w:adjustRightInd w:val="0"/>
      <w:snapToGrid w:val="0"/>
      <w:spacing w:line="460" w:lineRule="exact"/>
      <w:ind w:firstLine="520"/>
    </w:pPr>
    <w:rPr>
      <w:sz w:val="26"/>
      <w:szCs w:val="26"/>
    </w:rPr>
  </w:style>
  <w:style w:type="character" w:customStyle="1" w:styleId="78">
    <w:name w:val="NormalCharacter"/>
    <w:qFormat/>
    <w:uiPriority w:val="0"/>
  </w:style>
  <w:style w:type="character" w:customStyle="1" w:styleId="79">
    <w:name w:val="ref"/>
    <w:basedOn w:val="27"/>
    <w:qFormat/>
    <w:uiPriority w:val="0"/>
  </w:style>
  <w:style w:type="character" w:customStyle="1" w:styleId="80">
    <w:name w:val="正文文本 2 Char"/>
    <w:basedOn w:val="27"/>
    <w:link w:val="20"/>
    <w:qFormat/>
    <w:uiPriority w:val="0"/>
    <w:rPr>
      <w:kern w:val="2"/>
      <w:sz w:val="21"/>
      <w:szCs w:val="24"/>
    </w:rPr>
  </w:style>
  <w:style w:type="paragraph" w:customStyle="1" w:styleId="81">
    <w:name w:val="表文字"/>
    <w:basedOn w:val="1"/>
    <w:qFormat/>
    <w:uiPriority w:val="0"/>
    <w:pPr>
      <w:overflowPunct w:val="0"/>
      <w:autoSpaceDE w:val="0"/>
      <w:autoSpaceDN w:val="0"/>
      <w:adjustRightInd w:val="0"/>
      <w:spacing w:line="240" w:lineRule="atLeast"/>
      <w:textAlignment w:val="baseline"/>
    </w:pPr>
    <w:rPr>
      <w:sz w:val="24"/>
      <w:szCs w:val="20"/>
    </w:rPr>
  </w:style>
  <w:style w:type="paragraph" w:customStyle="1" w:styleId="82">
    <w:name w:val="表图标题"/>
    <w:basedOn w:val="1"/>
    <w:next w:val="1"/>
    <w:qFormat/>
    <w:uiPriority w:val="0"/>
    <w:pPr>
      <w:spacing w:line="360" w:lineRule="auto"/>
      <w:jc w:val="center"/>
    </w:pPr>
    <w:rPr>
      <w:rFonts w:eastAsia="黑体"/>
      <w:b/>
      <w:bCs/>
      <w:kern w:val="0"/>
      <w:sz w:val="24"/>
    </w:rPr>
  </w:style>
  <w:style w:type="character" w:customStyle="1" w:styleId="83">
    <w:name w:val="注释标题 Char"/>
    <w:basedOn w:val="27"/>
    <w:link w:val="5"/>
    <w:qFormat/>
    <w:uiPriority w:val="99"/>
    <w:rPr>
      <w:kern w:val="2"/>
      <w:sz w:val="21"/>
      <w:szCs w:val="24"/>
    </w:rPr>
  </w:style>
  <w:style w:type="character" w:customStyle="1" w:styleId="84">
    <w:name w:val="fontstyle01"/>
    <w:basedOn w:val="27"/>
    <w:qFormat/>
    <w:uiPriority w:val="0"/>
    <w:rPr>
      <w:rFonts w:hint="eastAsia" w:ascii="宋体" w:hAnsi="宋体" w:eastAsia="宋体"/>
      <w:color w:val="000000"/>
      <w:sz w:val="24"/>
      <w:szCs w:val="24"/>
    </w:rPr>
  </w:style>
  <w:style w:type="character" w:customStyle="1" w:styleId="85">
    <w:name w:val="fontstyle11"/>
    <w:basedOn w:val="27"/>
    <w:qFormat/>
    <w:uiPriority w:val="0"/>
    <w:rPr>
      <w:rFonts w:hint="eastAsia" w:ascii="TimesNewRomanPSMT" w:hAnsi="TimesNewRomanPSMT" w:eastAsia="TimesNewRomanPSMT"/>
      <w:color w:val="000000"/>
      <w:sz w:val="24"/>
      <w:szCs w:val="24"/>
    </w:rPr>
  </w:style>
  <w:style w:type="character" w:customStyle="1" w:styleId="86">
    <w:name w:val="fontstyle21"/>
    <w:basedOn w:val="27"/>
    <w:qFormat/>
    <w:uiPriority w:val="0"/>
    <w:rPr>
      <w:rFonts w:hint="eastAsia" w:ascii="TimesNewRomanPSMT" w:hAnsi="TimesNewRomanPSMT" w:eastAsia="TimesNewRomanPSMT"/>
      <w:color w:val="000000"/>
      <w:sz w:val="24"/>
      <w:szCs w:val="24"/>
    </w:rPr>
  </w:style>
  <w:style w:type="paragraph" w:customStyle="1" w:styleId="87">
    <w:name w:val="四级条标题"/>
    <w:basedOn w:val="1"/>
    <w:next w:val="1"/>
    <w:qFormat/>
    <w:uiPriority w:val="0"/>
    <w:pPr>
      <w:widowControl/>
      <w:tabs>
        <w:tab w:val="left" w:pos="360"/>
      </w:tabs>
      <w:outlineLvl w:val="5"/>
    </w:pPr>
    <w:rPr>
      <w:rFonts w:ascii="黑体" w:eastAsia="黑体"/>
      <w:b/>
      <w:bCs/>
      <w:kern w:val="0"/>
      <w:sz w:val="32"/>
      <w:szCs w:val="20"/>
    </w:rPr>
  </w:style>
  <w:style w:type="paragraph" w:customStyle="1" w:styleId="88">
    <w:name w:val="样式6565656"/>
    <w:basedOn w:val="1"/>
    <w:link w:val="89"/>
    <w:qFormat/>
    <w:uiPriority w:val="0"/>
    <w:pPr>
      <w:adjustRightInd w:val="0"/>
      <w:snapToGrid w:val="0"/>
      <w:spacing w:line="460" w:lineRule="atLeast"/>
      <w:ind w:firstLine="480" w:firstLineChars="200"/>
      <w:jc w:val="left"/>
    </w:pPr>
    <w:rPr>
      <w:rFonts w:hAnsi="宋体"/>
      <w:bCs/>
      <w:sz w:val="24"/>
    </w:rPr>
  </w:style>
  <w:style w:type="character" w:customStyle="1" w:styleId="89">
    <w:name w:val="样式6565656 Char"/>
    <w:link w:val="88"/>
    <w:qFormat/>
    <w:uiPriority w:val="0"/>
    <w:rPr>
      <w:rFonts w:hAnsi="宋体"/>
      <w:bCs/>
      <w:kern w:val="2"/>
      <w:sz w:val="24"/>
      <w:szCs w:val="24"/>
    </w:rPr>
  </w:style>
  <w:style w:type="paragraph" w:customStyle="1" w:styleId="90">
    <w:name w:val="正本文字"/>
    <w:basedOn w:val="1"/>
    <w:qFormat/>
    <w:uiPriority w:val="0"/>
    <w:pPr>
      <w:adjustRightInd w:val="0"/>
      <w:snapToGrid w:val="0"/>
      <w:spacing w:line="360" w:lineRule="auto"/>
      <w:ind w:firstLine="480" w:firstLineChars="200"/>
      <w:jc w:val="left"/>
    </w:pPr>
    <w:rPr>
      <w:kern w:val="18"/>
      <w:sz w:val="24"/>
      <w:szCs w:val="20"/>
    </w:rPr>
  </w:style>
  <w:style w:type="character" w:customStyle="1" w:styleId="91">
    <w:name w:val="content1"/>
    <w:qFormat/>
    <w:uiPriority w:val="0"/>
    <w:rPr>
      <w:color w:val="000000"/>
      <w:sz w:val="20"/>
      <w:szCs w:val="20"/>
    </w:rPr>
  </w:style>
  <w:style w:type="paragraph" w:customStyle="1" w:styleId="92">
    <w:name w:val="YH正文"/>
    <w:basedOn w:val="1"/>
    <w:qFormat/>
    <w:uiPriority w:val="0"/>
    <w:pPr>
      <w:snapToGrid w:val="0"/>
      <w:spacing w:line="360" w:lineRule="auto"/>
      <w:ind w:firstLine="1044" w:firstLineChars="200"/>
    </w:pPr>
    <w:rPr>
      <w:sz w:val="24"/>
    </w:rPr>
  </w:style>
  <w:style w:type="paragraph" w:customStyle="1" w:styleId="93">
    <w:name w:val="BG"/>
    <w:basedOn w:val="1"/>
    <w:unhideWhenUsed/>
    <w:qFormat/>
    <w:uiPriority w:val="99"/>
    <w:pPr>
      <w:snapToGrid w:val="0"/>
      <w:jc w:val="center"/>
    </w:pPr>
  </w:style>
  <w:style w:type="paragraph" w:customStyle="1" w:styleId="94">
    <w:name w:val="环评正文文字"/>
    <w:basedOn w:val="1"/>
    <w:qFormat/>
    <w:uiPriority w:val="0"/>
    <w:pPr>
      <w:spacing w:line="360" w:lineRule="auto"/>
      <w:ind w:firstLine="480" w:firstLineChars="200"/>
    </w:pPr>
    <w:rPr>
      <w:kern w:val="0"/>
      <w:sz w:val="24"/>
      <w:szCs w:val="20"/>
    </w:rPr>
  </w:style>
  <w:style w:type="paragraph" w:customStyle="1" w:styleId="95">
    <w:name w:val="表头"/>
    <w:basedOn w:val="1"/>
    <w:qFormat/>
    <w:uiPriority w:val="0"/>
    <w:pPr>
      <w:tabs>
        <w:tab w:val="left" w:pos="1021"/>
      </w:tabs>
      <w:spacing w:before="60"/>
      <w:jc w:val="center"/>
    </w:pPr>
    <w:rPr>
      <w:rFonts w:ascii="Arial" w:hAnsi="Arial" w:eastAsia="黑体" w:cs="Arial"/>
      <w:kern w:val="24"/>
      <w:sz w:val="24"/>
    </w:rPr>
  </w:style>
  <w:style w:type="paragraph" w:customStyle="1" w:styleId="96">
    <w:name w:val="样式 表格 32 + 首行缩进:  2 字符"/>
    <w:basedOn w:val="1"/>
    <w:qFormat/>
    <w:uiPriority w:val="0"/>
    <w:pPr>
      <w:autoSpaceDE w:val="0"/>
      <w:autoSpaceDN w:val="0"/>
      <w:adjustRightInd w:val="0"/>
      <w:spacing w:line="0" w:lineRule="atLeast"/>
      <w:jc w:val="center"/>
      <w:textAlignment w:val="baseline"/>
    </w:pPr>
    <w:rPr>
      <w:kern w:val="0"/>
    </w:rPr>
  </w:style>
  <w:style w:type="paragraph" w:customStyle="1" w:styleId="97">
    <w:name w:val="表格1"/>
    <w:basedOn w:val="1"/>
    <w:next w:val="1"/>
    <w:qFormat/>
    <w:uiPriority w:val="0"/>
    <w:pPr>
      <w:widowControl/>
      <w:adjustRightInd w:val="0"/>
      <w:spacing w:after="200" w:line="20" w:lineRule="atLeast"/>
      <w:jc w:val="center"/>
      <w:textAlignment w:val="center"/>
    </w:pPr>
    <w:rPr>
      <w:rFonts w:ascii="宋体"/>
      <w:kern w:val="0"/>
      <w:sz w:val="22"/>
      <w:lang w:eastAsia="en-US" w:bidi="en-US"/>
    </w:rPr>
  </w:style>
  <w:style w:type="paragraph" w:customStyle="1" w:styleId="98">
    <w:name w:val="文章正文样式"/>
    <w:basedOn w:val="1"/>
    <w:qFormat/>
    <w:uiPriority w:val="0"/>
    <w:pPr>
      <w:spacing w:line="520" w:lineRule="exact"/>
      <w:ind w:firstLine="480"/>
      <w:jc w:val="left"/>
    </w:pPr>
    <w:rPr>
      <w:rFonts w:ascii="宋体" w:hAnsi="宋体"/>
      <w:kern w:val="0"/>
      <w:sz w:val="34"/>
      <w:szCs w:val="20"/>
    </w:rPr>
  </w:style>
  <w:style w:type="paragraph" w:customStyle="1" w:styleId="99">
    <w:name w:val="【表格内】"/>
    <w:next w:val="23"/>
    <w:qFormat/>
    <w:uiPriority w:val="0"/>
    <w:pPr>
      <w:jc w:val="center"/>
    </w:pPr>
    <w:rPr>
      <w:rFonts w:ascii="Times New Roman" w:hAnsi="Times New Roman" w:eastAsia="宋体" w:cs="Times New Roman"/>
      <w:sz w:val="21"/>
      <w:szCs w:val="24"/>
      <w:lang w:val="en-US" w:eastAsia="zh-CN" w:bidi="ar-SA"/>
    </w:rPr>
  </w:style>
  <w:style w:type="character" w:customStyle="1" w:styleId="100">
    <w:name w:val="font21"/>
    <w:basedOn w:val="27"/>
    <w:qFormat/>
    <w:uiPriority w:val="0"/>
    <w:rPr>
      <w:rFonts w:hint="default" w:ascii="Times New Roman" w:hAnsi="Times New Roman" w:cs="Times New Roman"/>
      <w:color w:val="000000"/>
      <w:sz w:val="21"/>
      <w:szCs w:val="21"/>
      <w:u w:val="none"/>
    </w:rPr>
  </w:style>
  <w:style w:type="character" w:customStyle="1" w:styleId="101">
    <w:name w:val="font11"/>
    <w:basedOn w:val="27"/>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emf"/><Relationship Id="rId8" Type="http://schemas.openxmlformats.org/officeDocument/2006/relationships/oleObject" Target="embeddings/oleObject1.bin"/><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0.png"/><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emf"/><Relationship Id="rId18" Type="http://schemas.openxmlformats.org/officeDocument/2006/relationships/oleObject" Target="embeddings/oleObject6.bin"/><Relationship Id="rId17" Type="http://schemas.openxmlformats.org/officeDocument/2006/relationships/image" Target="media/image5.emf"/><Relationship Id="rId16" Type="http://schemas.openxmlformats.org/officeDocument/2006/relationships/oleObject" Target="embeddings/oleObject5.bin"/><Relationship Id="rId15" Type="http://schemas.openxmlformats.org/officeDocument/2006/relationships/image" Target="media/image4.emf"/><Relationship Id="rId14" Type="http://schemas.openxmlformats.org/officeDocument/2006/relationships/oleObject" Target="embeddings/oleObject4.bin"/><Relationship Id="rId13" Type="http://schemas.openxmlformats.org/officeDocument/2006/relationships/image" Target="media/image3.emf"/><Relationship Id="rId12" Type="http://schemas.openxmlformats.org/officeDocument/2006/relationships/oleObject" Target="embeddings/oleObject3.bin"/><Relationship Id="rId11" Type="http://schemas.openxmlformats.org/officeDocument/2006/relationships/image" Target="media/image2.emf"/><Relationship Id="rId10" Type="http://schemas.openxmlformats.org/officeDocument/2006/relationships/oleObject" Target="embeddings/oleObject2.bin"/><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soa\wdzx97.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6E5FE11-B426-4B56-B395-59B5FCE767E8}">
  <ds:schemaRefs/>
</ds:datastoreItem>
</file>

<file path=docProps/app.xml><?xml version="1.0" encoding="utf-8"?>
<Properties xmlns="http://schemas.openxmlformats.org/officeDocument/2006/extended-properties" xmlns:vt="http://schemas.openxmlformats.org/officeDocument/2006/docPropsVTypes">
  <Template>wdzx97</Template>
  <Company>微软中国</Company>
  <Pages>90</Pages>
  <Words>57677</Words>
  <Characters>68829</Characters>
  <Lines>284</Lines>
  <Paragraphs>80</Paragraphs>
  <TotalTime>3</TotalTime>
  <ScaleCrop>false</ScaleCrop>
  <LinksUpToDate>false</LinksUpToDate>
  <CharactersWithSpaces>69183</CharactersWithSpaces>
  <Application>WPS Office_11.8.6.8810_F1E327BC-269C-435d-A152-05C5408002CA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2022-07-03T22:17:00Z</dcterms:created>
  <dc:creator>lhj</dc:creator>
  <cp:lastModifiedBy>1366033552</cp:lastModifiedBy>
  <cp:lastPrinted>2023-03-03T02:33:00Z</cp:lastPrinted>
  <dcterms:modified xsi:type="dcterms:W3CDTF">2023-10-25T09:44:11Z</dcterms:modified>
  <dc:title>附件2</dc:title>
  <cp:revision>102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2052-11.8.6.8810</vt:lpwstr>
  </property>
</Properties>
</file>