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eastAsia="方正小标宋_GBK"/>
          <w:color w:val="FF0000"/>
          <w:sz w:val="109"/>
          <w:lang w:val="en-US" w:eastAsia="zh-CN"/>
        </w:rPr>
      </w:pPr>
      <w:r>
        <w:rPr>
          <w:rFonts w:hint="eastAsia" w:ascii="方正小标宋_GBK" w:eastAsia="方正小标宋_GBK"/>
          <w:color w:val="FF0000"/>
          <w:spacing w:val="115"/>
          <w:w w:val="50"/>
          <w:kern w:val="0"/>
          <w:sz w:val="109"/>
        </w:rPr>
        <w:t>衡</w:t>
      </w:r>
      <w:r>
        <w:rPr>
          <w:rFonts w:hint="eastAsia" w:ascii="方正小标宋_GBK" w:eastAsia="方正小标宋_GBK"/>
          <w:color w:val="FF0000"/>
          <w:w w:val="50"/>
          <w:kern w:val="0"/>
          <w:sz w:val="109"/>
        </w:rPr>
        <w:t>阳 县</w:t>
      </w:r>
      <w:r>
        <w:rPr>
          <w:rFonts w:hint="eastAsia" w:ascii="方正小标宋_GBK" w:eastAsia="方正小标宋_GBK"/>
          <w:color w:val="FF0000"/>
          <w:w w:val="50"/>
          <w:kern w:val="0"/>
          <w:sz w:val="109"/>
          <w:lang w:val="en-US" w:eastAsia="zh-CN"/>
        </w:rPr>
        <w:t xml:space="preserve"> 岣 嵝 乡 人 民 政 府</w: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eastAsia="方正小标宋_GBK"/>
          <w:sz w:val="36"/>
          <w:szCs w:val="36"/>
        </w:rPr>
      </w:pPr>
      <w:r>
        <w:rPr>
          <w:rFonts w:hint="eastAsia" w:ascii="方正小标宋_GBK" w:eastAsia="方正小标宋_GBK"/>
          <w:sz w:val="36"/>
          <w:szCs w:val="36"/>
          <w:lang w:val="en-US" w:eastAsia="zh-CN"/>
        </w:rPr>
        <w:t>2022年</w:t>
      </w:r>
      <w:r>
        <w:rPr>
          <w:rFonts w:hint="eastAsia" w:ascii="方正小标宋_GBK" w:eastAsia="方正小标宋_GBK"/>
          <w:sz w:val="36"/>
          <w:szCs w:val="36"/>
        </w:rPr>
        <w:t>部门整体支出绩效自评报告</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eastAsia="黑体"/>
          <w:sz w:val="32"/>
          <w:szCs w:val="32"/>
        </w:rPr>
      </w:pPr>
      <w:r>
        <w:rPr>
          <w:rFonts w:hint="eastAsia" w:eastAsia="黑体"/>
          <w:sz w:val="32"/>
          <w:szCs w:val="32"/>
        </w:rPr>
        <w:t>一、部门、单位基本情况</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eastAsia="楷体_GB2312"/>
          <w:sz w:val="32"/>
          <w:szCs w:val="32"/>
        </w:rPr>
      </w:pPr>
      <w:r>
        <w:rPr>
          <w:rFonts w:hint="eastAsia" w:ascii="楷体_GB2312" w:eastAsia="楷体_GB2312"/>
          <w:sz w:val="32"/>
          <w:szCs w:val="32"/>
        </w:rPr>
        <w:t>（一）机构设置情况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lang w:val="en" w:eastAsia="zh-CN"/>
        </w:rPr>
        <w:t>根据职责，我乡内设机构1个，所属事业单位3中心1大队（原9个站所）。内设机构是岣嵝乡机关。所属事业单位分别是社会事业综合服务中心、农业综合服务中心、政务服务中心、综合行政执法大队（原农技站、农机站、农经站、动物防检站、林业站、水管站、文体卫站、计生服务所、民营经济和信息化管理服务站）。</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人员编制情况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lang w:val="en-US" w:eastAsia="zh-CN"/>
        </w:rPr>
        <w:t>我乡核定编制62名，行政编29人，事业编33人，实有在职干部职工58人，离退休35人。</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主要职能职责</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执行本级人民代表大会决议和上级国家行政机关的决定和命令，发布决定和命令;落实国家政策，严格依法行政。</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执行本乡区域内的经济和社会发展计划、预算，管理本乡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制定并组织实施村乡建设规划，部署重点工程建设，地方道路建设及公共设施，水利设施的管理，负责土地、林木、水等自然资源和生态环境的保护，做好护林防火工作。</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按计划组织本级财政收入和地方税的征收，完成国家财政计划，不断培植税源，管好财政资金，增强财政实力。</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保障宪法和法律赋予妇女的男女平等、同工同酬和婚姻自由等各项权利，保障少数民族的合法权利和尊重少数民族的风俗习惯。</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7</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抓好精神文明建设，丰富群众文化生活，提倡移风易俗，反对封建迷信，破除陈规陋习，树立社会主义新风尚。</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kern w:val="2"/>
          <w:sz w:val="32"/>
          <w:szCs w:val="32"/>
          <w:lang w:val="en" w:eastAsia="zh-CN" w:bidi="ar-SA"/>
        </w:rPr>
        <w:t>8</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承办上级党委、政府交办的其他事项。</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绩效目标设定情况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在本年度收支预算内，确保完成以下整体目标：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目标1：</w:t>
      </w:r>
      <w:r>
        <w:rPr>
          <w:rFonts w:hint="eastAsia" w:ascii="仿宋_GB2312" w:hAnsi="仿宋_GB2312" w:eastAsia="仿宋_GB2312" w:cs="仿宋_GB2312"/>
          <w:sz w:val="32"/>
          <w:szCs w:val="32"/>
          <w:lang w:val="en-US" w:eastAsia="zh-CN"/>
        </w:rPr>
        <w:t>完成脱贫攻坚最后阶段</w:t>
      </w:r>
      <w:r>
        <w:rPr>
          <w:rFonts w:hint="eastAsia" w:ascii="仿宋_GB2312" w:hAnsi="仿宋_GB2312" w:eastAsia="仿宋_GB2312" w:cs="仿宋_GB2312"/>
          <w:sz w:val="32"/>
          <w:szCs w:val="32"/>
        </w:rPr>
        <w:t>，促进乡镇经济发展；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目标2：完善基础设施建设与惠民项目资金的管理，道路修扩建、硬化工程、安全饮水工程等验收合格率达9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目标3："两卡两折"补贴发放及时率达100%，坚守民生保障底线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确保人民群众利益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目标4：加强社会管理，维护社会稳定，妥善处理突发性、群体性事件，调节和处理好各种利益矛盾和纠分；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目标5：灾害防治、安全生产、森林防火实现"零发生"，人民生活水平不断提高，社会公众满意程度普遍提升；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rPr>
        <w:t>目标6：扶持对村级集体经济组织发展，致力乡村振兴。</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sz w:val="32"/>
          <w:szCs w:val="32"/>
        </w:rPr>
      </w:pPr>
      <w:r>
        <w:rPr>
          <w:rFonts w:hint="eastAsia" w:eastAsia="黑体"/>
          <w:sz w:val="32"/>
          <w:szCs w:val="32"/>
        </w:rPr>
        <w:t>二、一般公共预算支出情况</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rPr>
        <w:t>（一）经批复的预、决算情况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1.预算收入情况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2022年年初部门预算安排942.84万元，其中，一般公共预算拨款804.71万元（经费拨款804.71万元）。收入较去年增加147.7万元，其中经费拨款增加9.57万元。上年结转138.13万元。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2.预算支出情况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年初部门预算安排942.84万元，其中，一般公共服务292.45万元，社会保障和就业61.34万元，医疗卫生与计划生育28.75万元，农林水支出516.14万元，住房保障39.16万元，城乡社区支出5.00万元。支出较增加147.7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3.决算收入情况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年决算总收入</w:t>
      </w:r>
      <w:r>
        <w:rPr>
          <w:rFonts w:hint="eastAsia" w:ascii="仿宋_GB2312" w:hAnsi="仿宋_GB2312" w:eastAsia="仿宋_GB2312" w:cs="仿宋_GB2312"/>
          <w:sz w:val="32"/>
          <w:szCs w:val="32"/>
          <w:lang w:val="en-US" w:eastAsia="zh-CN"/>
        </w:rPr>
        <w:t>2252.74</w:t>
      </w:r>
      <w:r>
        <w:rPr>
          <w:rFonts w:hint="eastAsia" w:ascii="仿宋_GB2312" w:hAnsi="仿宋_GB2312" w:eastAsia="仿宋_GB2312" w:cs="仿宋_GB2312"/>
          <w:sz w:val="32"/>
          <w:szCs w:val="32"/>
        </w:rPr>
        <w:t>万元，其中：一般财政拨款收入</w:t>
      </w:r>
      <w:r>
        <w:rPr>
          <w:rFonts w:hint="eastAsia" w:ascii="仿宋_GB2312" w:hAnsi="仿宋_GB2312" w:eastAsia="仿宋_GB2312" w:cs="仿宋_GB2312"/>
          <w:sz w:val="32"/>
          <w:szCs w:val="32"/>
          <w:lang w:val="en-US" w:eastAsia="zh-CN"/>
        </w:rPr>
        <w:t>1206.19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政府性基金收入10万元，其他收入1036.55万元</w:t>
      </w:r>
      <w:r>
        <w:rPr>
          <w:rFonts w:hint="eastAsia" w:ascii="仿宋_GB2312" w:hAnsi="仿宋_GB2312" w:eastAsia="仿宋_GB2312" w:cs="仿宋_GB2312"/>
          <w:sz w:val="32"/>
          <w:szCs w:val="32"/>
        </w:rPr>
        <w:t>。年初结余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收入较202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增加66.19</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4.决算支出情况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年决算总支出</w:t>
      </w:r>
      <w:r>
        <w:rPr>
          <w:rFonts w:hint="eastAsia" w:ascii="仿宋_GB2312" w:hAnsi="仿宋_GB2312" w:eastAsia="仿宋_GB2312" w:cs="仿宋_GB2312"/>
          <w:sz w:val="32"/>
          <w:szCs w:val="32"/>
          <w:lang w:val="en-US" w:eastAsia="zh-CN"/>
        </w:rPr>
        <w:t>2252.74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1216.19</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其他支出1036.55万元</w:t>
      </w:r>
      <w:r>
        <w:rPr>
          <w:rFonts w:hint="eastAsia" w:ascii="仿宋_GB2312" w:hAnsi="仿宋_GB2312" w:eastAsia="仿宋_GB2312" w:cs="仿宋_GB2312"/>
          <w:sz w:val="32"/>
          <w:szCs w:val="32"/>
        </w:rPr>
        <w:t>。年末结余0万元。</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支出较202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66.19</w:t>
      </w:r>
      <w:r>
        <w:rPr>
          <w:rFonts w:hint="eastAsia" w:ascii="仿宋_GB2312" w:hAnsi="仿宋_GB2312" w:eastAsia="仿宋_GB2312" w:cs="仿宋_GB2312"/>
          <w:sz w:val="32"/>
          <w:szCs w:val="32"/>
        </w:rPr>
        <w:t>万元，主要是本年度对村一级的</w:t>
      </w:r>
      <w:r>
        <w:rPr>
          <w:rFonts w:hint="eastAsia" w:ascii="仿宋_GB2312" w:hAnsi="仿宋_GB2312" w:eastAsia="仿宋_GB2312" w:cs="仿宋_GB2312"/>
          <w:sz w:val="32"/>
          <w:szCs w:val="32"/>
          <w:lang w:val="en-US" w:eastAsia="zh-CN"/>
        </w:rPr>
        <w:t>各项开支及</w:t>
      </w:r>
      <w:r>
        <w:rPr>
          <w:rFonts w:hint="eastAsia" w:ascii="仿宋_GB2312" w:hAnsi="仿宋_GB2312" w:eastAsia="仿宋_GB2312" w:cs="仿宋_GB2312"/>
          <w:sz w:val="32"/>
          <w:szCs w:val="32"/>
        </w:rPr>
        <w:t>基础设施建设拨款增加项目支出。基本支出较上年实际是有所减少的。</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rPr>
        <w:t>部门预算执行情况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基本支出情况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2022年财政拨款基本支出1216.19万元。（1）人员经费851.83万元，主要包括：基本工资240.36万元、津补贴175.83万元、奖金70.84万元、社会保障缴费87.68万元、抚恤及生活补助36.48万元、其他对个人的补助21.77万元、住房公积金39.16万元、其他工资福利支出179.41等；（2）日常公用经费349.36万元，主要包括：办公费7.17万元、水电费0.58万元、手续费0万元、维修费0万元、印刷费0万元、会议费3万元、培训费10万元、公务接待费6.93万元、专用材料费195.31万元、劳务费0万元、公车维护费2.91万元、其他交通费用22.8万元、其他商品和服务支出100.66万元，工会经费0万元、物业管理费0万元等。</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项目支出情况</w:t>
      </w:r>
      <w:r>
        <w:rPr>
          <w:rFonts w:hint="eastAsia" w:ascii="仿宋_GB2312" w:eastAsia="仿宋_GB2312"/>
          <w:b/>
          <w:bCs/>
          <w:sz w:val="32"/>
          <w:szCs w:val="32"/>
        </w:rPr>
        <w:tab/>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本单位2022年度无项目支出。</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“三公”经费使用和管理情况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我乡严格控制公务接待，2022年“三公”经费9.83万元，同比2022年下降5%。其中：公务接待费6.93万元、减少2.6万元，下降5%；公务用车购置及运行费用2.9万元、增加0.46万元，上升5%；因公出国(境)费0万元。</w:t>
      </w:r>
    </w:p>
    <w:p>
      <w:pPr>
        <w:keepNext w:val="0"/>
        <w:keepLines w:val="0"/>
        <w:pageBreakBefore w:val="0"/>
        <w:widowControl w:val="0"/>
        <w:kinsoku/>
        <w:wordWrap/>
        <w:overflowPunct/>
        <w:topLinePunct w:val="0"/>
        <w:autoSpaceDE/>
        <w:autoSpaceDN/>
        <w:bidi w:val="0"/>
        <w:adjustRightInd/>
        <w:snapToGrid/>
        <w:spacing w:line="240" w:lineRule="auto"/>
        <w:ind w:firstLine="660" w:firstLineChars="300"/>
        <w:jc w:val="center"/>
        <w:textAlignment w:val="auto"/>
        <w:rPr>
          <w:rFonts w:hint="default" w:ascii="微软雅黑" w:hAnsi="微软雅黑" w:eastAsia="宋体" w:cs="宋体"/>
          <w:kern w:val="0"/>
          <w:sz w:val="22"/>
          <w:szCs w:val="22"/>
          <w:lang w:val="en" w:eastAsia="zh-CN" w:bidi="ar-SA"/>
        </w:rPr>
      </w:pPr>
      <w:r>
        <w:rPr>
          <w:rFonts w:hint="eastAsia" w:ascii="微软雅黑" w:hAnsi="微软雅黑" w:eastAsia="宋体" w:cs="宋体"/>
          <w:kern w:val="0"/>
          <w:sz w:val="22"/>
          <w:szCs w:val="22"/>
          <w:lang w:val="en" w:eastAsia="zh-CN" w:bidi="ar-SA"/>
        </w:rPr>
        <w:t xml:space="preserve">“三公经费”与上年对比情况         </w:t>
      </w:r>
      <w:r>
        <w:rPr>
          <w:rFonts w:hint="eastAsia" w:ascii="微软雅黑" w:hAnsi="微软雅黑" w:cs="宋体"/>
          <w:kern w:val="0"/>
          <w:sz w:val="22"/>
          <w:szCs w:val="22"/>
          <w:lang w:val="en-US" w:eastAsia="zh-CN" w:bidi="ar-SA"/>
        </w:rPr>
        <w:t xml:space="preserve">          </w:t>
      </w:r>
      <w:r>
        <w:rPr>
          <w:rFonts w:hint="eastAsia" w:ascii="微软雅黑" w:hAnsi="微软雅黑" w:eastAsia="宋体" w:cs="宋体"/>
          <w:kern w:val="0"/>
          <w:sz w:val="22"/>
          <w:szCs w:val="22"/>
          <w:lang w:val="en" w:eastAsia="zh-CN" w:bidi="ar-SA"/>
        </w:rPr>
        <w:t xml:space="preserve"> 单位：万元</w:t>
      </w:r>
    </w:p>
    <w:tbl>
      <w:tblPr>
        <w:tblStyle w:val="5"/>
        <w:tblW w:w="80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31"/>
        <w:gridCol w:w="1860"/>
        <w:gridCol w:w="1830"/>
        <w:gridCol w:w="20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费用项目</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20</w:t>
            </w:r>
            <w:r>
              <w:rPr>
                <w:rFonts w:hint="eastAsia" w:ascii="华文宋体" w:hAnsi="华文宋体" w:eastAsia="华文宋体"/>
                <w:b/>
                <w:bCs/>
                <w:sz w:val="22"/>
                <w:szCs w:val="22"/>
                <w:lang w:val="en-US" w:eastAsia="zh-CN"/>
              </w:rPr>
              <w:t>21</w:t>
            </w:r>
            <w:r>
              <w:rPr>
                <w:rFonts w:hint="eastAsia" w:ascii="华文宋体" w:hAnsi="华文宋体" w:eastAsia="华文宋体"/>
                <w:b/>
                <w:bCs/>
                <w:sz w:val="22"/>
                <w:szCs w:val="22"/>
              </w:rPr>
              <w:t>年</w:t>
            </w:r>
          </w:p>
          <w:p>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决算数</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lang w:eastAsia="zh-CN"/>
              </w:rPr>
              <w:t>2022</w:t>
            </w:r>
            <w:r>
              <w:rPr>
                <w:rFonts w:hint="eastAsia" w:ascii="华文宋体" w:hAnsi="华文宋体" w:eastAsia="华文宋体"/>
                <w:b/>
                <w:bCs/>
                <w:sz w:val="22"/>
                <w:szCs w:val="22"/>
              </w:rPr>
              <w:t>年</w:t>
            </w:r>
          </w:p>
          <w:p>
            <w:pPr>
              <w:keepNext w:val="0"/>
              <w:keepLines w:val="0"/>
              <w:pageBreakBefore w:val="0"/>
              <w:widowControl w:val="0"/>
              <w:kinsoku/>
              <w:wordWrap/>
              <w:overflowPunct/>
              <w:topLinePunct w:val="0"/>
              <w:autoSpaceDE/>
              <w:autoSpaceDN/>
              <w:bidi w:val="0"/>
              <w:adjustRightInd/>
              <w:snapToGrid/>
              <w:spacing w:line="240" w:lineRule="auto"/>
              <w:ind w:firstLine="663"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决算数</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增减情况（20</w:t>
            </w:r>
            <w:r>
              <w:rPr>
                <w:rFonts w:hint="eastAsia" w:ascii="华文宋体" w:hAnsi="华文宋体" w:eastAsia="华文宋体"/>
                <w:b/>
                <w:bCs/>
                <w:sz w:val="22"/>
                <w:szCs w:val="22"/>
                <w:lang w:val="en-US" w:eastAsia="zh-CN"/>
              </w:rPr>
              <w:t>21</w:t>
            </w:r>
            <w:r>
              <w:rPr>
                <w:rFonts w:hint="eastAsia" w:ascii="华文宋体" w:hAnsi="华文宋体" w:eastAsia="华文宋体"/>
                <w:b/>
                <w:bCs/>
                <w:sz w:val="22"/>
                <w:szCs w:val="22"/>
              </w:rPr>
              <w:t>-20</w:t>
            </w:r>
            <w:r>
              <w:rPr>
                <w:rFonts w:hint="eastAsia" w:ascii="华文宋体" w:hAnsi="华文宋体" w:eastAsia="华文宋体"/>
                <w:b/>
                <w:bCs/>
                <w:sz w:val="22"/>
                <w:szCs w:val="22"/>
                <w:lang w:val="en-US" w:eastAsia="zh-CN"/>
              </w:rPr>
              <w:t>20</w:t>
            </w:r>
            <w:r>
              <w:rPr>
                <w:rFonts w:hint="eastAsia" w:ascii="华文宋体" w:hAnsi="华文宋体" w:eastAsia="华文宋体"/>
                <w:b/>
                <w:bCs/>
                <w:sz w:val="22"/>
                <w:szCs w:val="22"/>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公务接待费</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9.52</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6.93</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tabs>
                <w:tab w:val="center" w:pos="989"/>
              </w:tabs>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公车运行维护费</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2.44</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2.9</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0.46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因公出国费用</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合  计</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11.97</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9.83</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rPr>
              <w:t>-</w:t>
            </w:r>
            <w:r>
              <w:rPr>
                <w:rFonts w:hint="eastAsia" w:ascii="华文宋体" w:hAnsi="华文宋体" w:eastAsia="华文宋体"/>
                <w:sz w:val="24"/>
                <w:szCs w:val="24"/>
                <w:lang w:val="en-US" w:eastAsia="zh-CN"/>
              </w:rPr>
              <w:t>2.14</w:t>
            </w:r>
          </w:p>
        </w:tc>
      </w:tr>
    </w:tbl>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资金结转和结余情况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kern w:val="2"/>
          <w:sz w:val="32"/>
          <w:szCs w:val="32"/>
          <w:lang w:val="en" w:eastAsia="zh-CN" w:bidi="ar-SA"/>
        </w:rPr>
      </w:pPr>
      <w:r>
        <w:rPr>
          <w:rFonts w:hint="eastAsia" w:ascii="仿宋_GB2312" w:hAnsi="仿宋_GB2312" w:eastAsia="仿宋_GB2312" w:cs="仿宋_GB2312"/>
          <w:bCs/>
          <w:kern w:val="2"/>
          <w:sz w:val="32"/>
          <w:szCs w:val="32"/>
          <w:lang w:val="en" w:eastAsia="zh-CN" w:bidi="ar-SA"/>
        </w:rPr>
        <w:t>2022年，我</w:t>
      </w:r>
      <w:r>
        <w:rPr>
          <w:rFonts w:hint="eastAsia" w:ascii="仿宋_GB2312" w:hAnsi="仿宋_GB2312" w:eastAsia="仿宋_GB2312" w:cs="仿宋_GB2312"/>
          <w:bCs/>
          <w:kern w:val="2"/>
          <w:sz w:val="32"/>
          <w:szCs w:val="32"/>
          <w:lang w:val="en-US" w:eastAsia="zh-CN" w:bidi="ar-SA"/>
        </w:rPr>
        <w:t>乡严格</w:t>
      </w:r>
      <w:r>
        <w:rPr>
          <w:rFonts w:hint="eastAsia" w:ascii="仿宋_GB2312" w:hAnsi="仿宋_GB2312" w:eastAsia="仿宋_GB2312" w:cs="仿宋_GB2312"/>
          <w:bCs/>
          <w:kern w:val="2"/>
          <w:sz w:val="32"/>
          <w:szCs w:val="32"/>
          <w:lang w:val="en" w:eastAsia="zh-CN" w:bidi="ar-SA"/>
        </w:rPr>
        <w:t>按照预算编制指导思想，坚持厉行节约和从严控制经费等一般性支出，坚持依法理财、统筹兼顾，比较圆满地完成了年度资金周转，年末结余为零。</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rPr>
      </w:pPr>
      <w:r>
        <w:rPr>
          <w:rFonts w:hint="eastAsia" w:ascii="楷体_GB2312" w:hAnsi="楷体" w:eastAsia="楷体_GB2312" w:cs="楷体"/>
          <w:bCs/>
          <w:color w:val="auto"/>
          <w:sz w:val="32"/>
          <w:szCs w:val="32"/>
        </w:rPr>
        <w:t>部门整体支出管理与制度建设情况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val="en" w:eastAsia="zh-CN"/>
        </w:rPr>
        <w:t>管理制度健全。</w:t>
      </w:r>
      <w:r>
        <w:rPr>
          <w:rFonts w:hint="eastAsia" w:ascii="仿宋_GB2312" w:hAnsi="仿宋_GB2312" w:eastAsia="仿宋_GB2312" w:cs="仿宋_GB2312"/>
          <w:bCs/>
          <w:sz w:val="32"/>
          <w:szCs w:val="32"/>
          <w:lang w:val="en" w:eastAsia="zh-CN"/>
        </w:rPr>
        <w:t>有预算资金管理办法、财务管理制度、内部控制制度等；相关制度合法、合规、完整；相关制度得到有效执行，并有考核制度</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lang w:val="en" w:eastAsia="zh-CN"/>
        </w:rPr>
        <w:t>资金使用合规。</w:t>
      </w:r>
      <w:r>
        <w:rPr>
          <w:rFonts w:hint="eastAsia" w:ascii="仿宋_GB2312" w:hAnsi="仿宋_GB2312" w:eastAsia="仿宋_GB2312" w:cs="仿宋_GB2312"/>
          <w:bCs/>
          <w:sz w:val="32"/>
          <w:szCs w:val="32"/>
          <w:lang w:val="en" w:eastAsia="zh-CN"/>
        </w:rPr>
        <w:t>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三、政府性基金预算支出情况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 w:eastAsia="楷体_GB2312" w:cs="楷体"/>
          <w:bCs/>
          <w:sz w:val="32"/>
          <w:szCs w:val="32"/>
          <w:lang w:val="en-US" w:eastAsia="zh-CN"/>
        </w:rPr>
      </w:pPr>
      <w:r>
        <w:rPr>
          <w:rFonts w:hint="eastAsia" w:ascii="仿宋_GB2312" w:hAnsi="仿宋_GB2312" w:eastAsia="仿宋_GB2312" w:cs="仿宋_GB2312"/>
          <w:bCs/>
          <w:sz w:val="32"/>
          <w:szCs w:val="32"/>
          <w:lang w:val="en-US" w:eastAsia="zh-CN"/>
        </w:rPr>
        <w:t>2022年本单位政府性基金为10万元，已完成全部支出。</w:t>
      </w:r>
    </w:p>
    <w:p>
      <w:pPr>
        <w:pStyle w:val="7"/>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国有资本经营预算支出情况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lang w:val="en-US" w:eastAsia="zh-CN"/>
        </w:rPr>
      </w:pPr>
      <w:r>
        <w:rPr>
          <w:rFonts w:hint="eastAsia" w:eastAsia="黑体"/>
          <w:sz w:val="32"/>
          <w:szCs w:val="32"/>
          <w:lang w:val="en-US" w:eastAsia="zh-CN"/>
        </w:rPr>
        <w:t>无</w:t>
      </w:r>
    </w:p>
    <w:p>
      <w:pPr>
        <w:pStyle w:val="7"/>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社会保险基金预算支出情况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lang w:val="en-US" w:eastAsia="zh-CN"/>
        </w:rPr>
      </w:pPr>
      <w:r>
        <w:rPr>
          <w:rFonts w:hint="eastAsia" w:eastAsia="黑体"/>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（一）综合评价结论。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从年初工作计划和年度整体支出情况来看，一是预算执行情况较好，支出把关较严，量力而行，量财办事；二是农村产业结构调整较好，低效常规农作物种植率较低；三是廉政建设执行率较好。自评得分9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分，评价等级优秀。</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评价指标分析（或综合评价情况）。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年度部门整体支出状况的概述和分析，我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部门整体支出绩效情况如下：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1.本年预算配置控制较好，财政供养人员控制在预算编制以内，实际在职人员数小于编制数。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2.预算执行方面，支出总额控制在预算总额内，除专项预算的追加和政策性工资绩效预算的追加外，本部门预算未进行预算相关事项调整。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3.预算管理方面，制定了切实有效的内部财务、资产管理等制度，执行总体较为有效。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4.较好地完成了年度工作任务，各项绩效目标完成度均在95%以上。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5.举全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之力振兴乡村经济，深入开展污染防治攻坚战。今年我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进行人居环境卫生改革，按照“党委抓总、村级负责、属地管理”的原则，明确行政村是人居环境卫生的主体责任，通过改革实现全镇人居环境卫生保洁常态化。坚持把优化营商环境作为招商引资的前提，努力打造投资洼地，服务高地，提升投资环境竞争力。切实落实“种地得补贴，不种地不得补贴”的要求，提高农民种粮积极性。优化粮食生产结构，充分利用旱土资源，高岸田，天水田，发展特色旱杂粮种植，提高粮食总产量。深入开展污染防治攻坚战。推进“河（库）长制”，大力开展巡河行动。推广植树造林，开展荒山植绿和复绿行动，建好青山绿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6.民生保障再上新台阶，不断增强民生福祉。我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现有实际参加城乡居民养老保险人数</w:t>
      </w:r>
      <w:r>
        <w:rPr>
          <w:rFonts w:hint="eastAsia" w:ascii="仿宋_GB2312" w:hAnsi="仿宋_GB2312" w:eastAsia="仿宋_GB2312" w:cs="仿宋_GB2312"/>
          <w:sz w:val="32"/>
          <w:szCs w:val="32"/>
          <w:lang w:val="en-US" w:eastAsia="zh-CN"/>
        </w:rPr>
        <w:t>7937</w:t>
      </w:r>
      <w:r>
        <w:rPr>
          <w:rFonts w:hint="eastAsia" w:ascii="仿宋_GB2312" w:hAnsi="仿宋_GB2312" w:eastAsia="仿宋_GB2312" w:cs="仿宋_GB2312"/>
          <w:sz w:val="32"/>
          <w:szCs w:val="32"/>
        </w:rPr>
        <w:t>人。60周岁以上实际发放待遇</w:t>
      </w:r>
      <w:r>
        <w:rPr>
          <w:rFonts w:hint="eastAsia" w:ascii="仿宋_GB2312" w:hAnsi="仿宋_GB2312" w:eastAsia="仿宋_GB2312" w:cs="仿宋_GB2312"/>
          <w:sz w:val="32"/>
          <w:szCs w:val="32"/>
          <w:lang w:val="en-US" w:eastAsia="zh-CN"/>
        </w:rPr>
        <w:t>3296</w:t>
      </w:r>
      <w:r>
        <w:rPr>
          <w:rFonts w:hint="eastAsia" w:ascii="仿宋_GB2312" w:hAnsi="仿宋_GB2312" w:eastAsia="仿宋_GB2312" w:cs="仿宋_GB2312"/>
          <w:sz w:val="32"/>
          <w:szCs w:val="32"/>
        </w:rPr>
        <w:t>人。全面落实养老保障待遇核查“回头看”工作。组建工作专班，组织领导各村村干部下沉到每一村、每一户，严格落实“两个全覆盖”和“五个搞清楚”要求，推进养老保障待遇核查“回头看”工作。核查中，注重加强政银联动，大同数据堡垒，加强信息共享，确保数据真实准确。进一步增强农村文化软实力，加强村级公共文化服务中心、农家书屋的投入与管理，发展培育基层文化骨干。</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7.政府自身建设不断加强。</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政府自觉接受</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人大和群众监督，继续推行政务公开，严格执行“八项规定”和“六项禁令”，坚决反对“四风”实现“一站式”服务；拓展村级服务站，简化办事程序，政府效能和执行力稳步提高。</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sz w:val="32"/>
          <w:szCs w:val="32"/>
        </w:rPr>
      </w:pPr>
      <w:r>
        <w:rPr>
          <w:rFonts w:hint="eastAsia" w:eastAsia="黑体"/>
          <w:sz w:val="32"/>
          <w:szCs w:val="32"/>
        </w:rPr>
        <w:t>七、存在的问题及原因分析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在看到成绩的同时，我们也清醒地意识到，在与人民群众的需求相比，还存在一些不足和问题，主要体现在以下几个方面：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农业产业化投入和服务还不够，缺乏资金和技术扶持。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农村基础设施建设仍需大力加强。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财务制度方面不够规范、人员分工不明等原因造成的财务工作的拖延和滞后。</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黑体"/>
          <w:sz w:val="32"/>
          <w:szCs w:val="32"/>
        </w:rPr>
      </w:pPr>
      <w:r>
        <w:rPr>
          <w:rFonts w:hint="eastAsia" w:ascii="Times New Roman" w:hAnsi="Times New Roman" w:eastAsia="黑体"/>
          <w:sz w:val="32"/>
          <w:szCs w:val="32"/>
        </w:rPr>
        <w:t>下一步改进措施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针对以上存在的问题，应把握以下重点：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狠抓“三农”工作，不断夯实农业基础。稳定现有粮食生产基础，大胆调整优化产业结构，积极倡导多种经营，引导农民走产业化、规模化、市场化的发展路子，促进农业增效，农民增收，农村经济稳步发展。大力发展优势特色，突出推进油茶、蔬果产业，着力品种改良、品质提升、品牌创建。大力发展生态畜牧水产健康养殖，着力培育一批农业大户，充分发挥他们的辐射带动作用，引导广大农民加快农业发展步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抓好新农村项目建设工作。落实好水、电、路三大基础设施整村推进工程，切实改变农村基础设施落后问题，打造好小城镇建设，实施“碧水青山蓝天”工程，深入开展城乡环境综合整治，大力建设“美丽乡村、幸福家园”，优化城乡人居环境，抓好“三边”绿化，加强生态环境保护，巩固退耕还林成果，加大封山育林、荒山造林力度，打造生态秀美、美丽宜居乡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加强基层组织建设，打牢执政基础。农村基层组织工作制度更加完善，村务、财务管理科学民主、规范有序，齐抓共管、整体推进、群众满意的良好工作运行机制。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规范财务报账制度，完善报账流程，明确相关人员岗位职责，做到一人一岗，一岗多责。同时，提高财务人员的业务能力，注重相关业务知识的积累与学习，确保财务工作的及时性和有序性。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报告应包括以下附件：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1.部门整体支出绩效评价基础数据表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2.部门整体支出绩效自评表</w:t>
      </w:r>
    </w:p>
    <w:p/>
    <w:p/>
    <w:p/>
    <w:p/>
    <w:p/>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ascii="Times New Roman" w:hAnsi="Times New Roman" w:eastAsia="PMingLiU"/>
          <w:kern w:val="0"/>
          <w:sz w:val="24"/>
        </w:rPr>
        <w:tab/>
      </w:r>
    </w:p>
    <w:tbl>
      <w:tblPr>
        <w:tblStyle w:val="5"/>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62</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default" w:ascii="Times New Roman" w:hAnsi="Times New Roman"/>
                <w:kern w:val="0"/>
                <w:szCs w:val="21"/>
              </w:rPr>
              <w:t>5</w:t>
            </w:r>
            <w:r>
              <w:rPr>
                <w:rFonts w:hint="eastAsia" w:ascii="Times New Roman" w:hAnsi="Times New Roman"/>
                <w:kern w:val="0"/>
                <w:szCs w:val="21"/>
                <w:lang w:val="en-US" w:eastAsia="zh-CN"/>
              </w:rPr>
              <w:t>8</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93.54%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2252.74</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942.84</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1150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9.83</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r>
              <w:rPr>
                <w:rFonts w:hint="eastAsia" w:ascii="Times New Roman" w:hAnsi="Times New Roman"/>
                <w:kern w:val="0"/>
                <w:szCs w:val="21"/>
                <w:lang w:val="en-US" w:eastAsia="zh-CN"/>
              </w:rPr>
              <w:t>9.83</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11.97</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2.9</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2.9</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2.44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2.9</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2.9</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2.44</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6.93</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6.93</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9.52</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仿宋_GB2312"/>
                <w:kern w:val="0"/>
                <w:szCs w:val="21"/>
              </w:rPr>
            </w:pPr>
            <w:r>
              <w:rPr>
                <w:rFonts w:hint="eastAsia" w:ascii="仿宋" w:hAnsi="仿宋" w:eastAsia="仿宋"/>
                <w:kern w:val="0"/>
                <w:sz w:val="24"/>
                <w:szCs w:val="28"/>
              </w:rPr>
              <w:t>一、加强组织领导；二、健全完善规章制度；三、加强资金监控与督促检查</w:t>
            </w:r>
            <w:r>
              <w:rPr>
                <w:rFonts w:hint="eastAsia" w:ascii="仿宋" w:hAnsi="仿宋" w:eastAsia="仿宋"/>
                <w:kern w:val="0"/>
                <w:sz w:val="22"/>
                <w:szCs w:val="22"/>
              </w:rPr>
              <w:t>。</w:t>
            </w:r>
            <w:r>
              <w:rPr>
                <w:rFonts w:hint="eastAsia" w:ascii="仿宋" w:hAnsi="仿宋" w:eastAsia="仿宋"/>
                <w:kern w:val="0"/>
                <w:szCs w:val="21"/>
              </w:rPr>
              <w:t>　</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cs="宋体"/>
          <w:kern w:val="0"/>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填表人：            联系电话：               单位负责人签字：</w:t>
      </w: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2022</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eastAsia" w:ascii="宋体"/>
          <w:sz w:val="24"/>
        </w:rPr>
      </w:pPr>
      <w:r>
        <w:rPr>
          <w:rFonts w:hint="eastAsia" w:ascii="宋体"/>
          <w:sz w:val="24"/>
        </w:rPr>
        <w:t>填报单位（盖章）：</w:t>
      </w:r>
      <w:r>
        <w:rPr>
          <w:rFonts w:ascii="宋体"/>
          <w:sz w:val="24"/>
        </w:rPr>
        <w:t xml:space="preserve">                             </w:t>
      </w:r>
      <w:r>
        <w:rPr>
          <w:rFonts w:hint="eastAsia" w:ascii="宋体"/>
          <w:sz w:val="24"/>
        </w:rPr>
        <w:t xml:space="preserve"> 填报时间：</w:t>
      </w:r>
    </w:p>
    <w:tbl>
      <w:tblPr>
        <w:tblStyle w:val="5"/>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050"/>
        <w:gridCol w:w="1005"/>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vAlign w:val="center"/>
          </w:tcPr>
          <w:p>
            <w:pPr>
              <w:widowControl/>
              <w:jc w:val="center"/>
              <w:rPr>
                <w:rFonts w:hint="eastAsia" w:ascii="宋体" w:hAnsi="宋体" w:cs="宋体"/>
                <w:color w:val="000000"/>
                <w:kern w:val="0"/>
                <w:szCs w:val="21"/>
              </w:rPr>
            </w:pPr>
          </w:p>
        </w:tc>
        <w:tc>
          <w:tcPr>
            <w:tcW w:w="1695"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1216.19</w:t>
            </w:r>
          </w:p>
        </w:tc>
        <w:tc>
          <w:tcPr>
            <w:tcW w:w="152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2252.74</w:t>
            </w:r>
            <w:r>
              <w:rPr>
                <w:rFonts w:hint="eastAsia" w:ascii="宋体" w:hAnsi="宋体" w:cs="宋体"/>
                <w:color w:val="000000"/>
                <w:kern w:val="0"/>
                <w:szCs w:val="21"/>
              </w:rPr>
              <w:t>　</w:t>
            </w:r>
          </w:p>
        </w:tc>
        <w:tc>
          <w:tcPr>
            <w:tcW w:w="1358"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4650" w:type="dxa"/>
            <w:gridSpan w:val="5"/>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1206.19</w:t>
            </w:r>
          </w:p>
        </w:tc>
        <w:tc>
          <w:tcPr>
            <w:tcW w:w="2879"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879" w:type="dxa"/>
            <w:gridSpan w:val="2"/>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851.83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0</w:t>
            </w:r>
          </w:p>
        </w:tc>
        <w:tc>
          <w:tcPr>
            <w:tcW w:w="2879" w:type="dxa"/>
            <w:gridSpan w:val="2"/>
            <w:vAlign w:val="center"/>
          </w:tcPr>
          <w:p>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349.36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2879" w:type="dxa"/>
            <w:gridSpan w:val="2"/>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1036.55</w:t>
            </w:r>
            <w:r>
              <w:rPr>
                <w:rFonts w:hint="eastAsia" w:ascii="宋体" w:hAnsi="宋体" w:cs="宋体"/>
                <w:color w:val="000000"/>
                <w:kern w:val="0"/>
                <w:szCs w:val="21"/>
              </w:rPr>
              <w:t>　</w:t>
            </w:r>
          </w:p>
        </w:tc>
        <w:tc>
          <w:tcPr>
            <w:tcW w:w="2879"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650"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89"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4650" w:type="dxa"/>
            <w:gridSpan w:val="5"/>
            <w:vAlign w:val="center"/>
          </w:tcPr>
          <w:p>
            <w:pPr>
              <w:widowControl/>
              <w:rPr>
                <w:rFonts w:ascii="仿宋" w:hAnsi="仿宋" w:eastAsia="仿宋" w:cs="宋体"/>
                <w:color w:val="000000"/>
                <w:kern w:val="0"/>
                <w:szCs w:val="21"/>
              </w:rPr>
            </w:pPr>
            <w:r>
              <w:rPr>
                <w:rFonts w:hint="eastAsia" w:ascii="宋体" w:hAnsi="宋体" w:cs="宋体"/>
                <w:color w:val="000000"/>
                <w:kern w:val="0"/>
                <w:szCs w:val="21"/>
              </w:rPr>
              <w:t>　</w:t>
            </w:r>
            <w:r>
              <w:rPr>
                <w:rFonts w:hint="eastAsia" w:ascii="仿宋" w:hAnsi="仿宋" w:eastAsia="仿宋" w:cs="宋体"/>
                <w:color w:val="000000"/>
                <w:kern w:val="0"/>
                <w:szCs w:val="21"/>
              </w:rPr>
              <w:t>在本年度收支预算内，确保完成以下整体目标：</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目标1：奋力冲刺重点项目攻坚，促进乡镇经济发展；</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目标2：完善基础设施建设与惠民项目资金的管理，道路修扩建、硬化工程、安全饮水工程等验收合格率达9</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目标3："两卡两折"补贴发放及时率达100%，坚守民生保障底线；</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目标4：加强社会管理，维护社会稳定，妥善处理突发性、群体性事件，调节和处理好各种利益矛盾和纠分；</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目标5：灾害防治、安全生产、森林防火实现"零发生"，人民生活水平不断提高，社会公众满意程度普遍提升；</w:t>
            </w:r>
          </w:p>
          <w:p>
            <w:pPr>
              <w:widowControl/>
              <w:rPr>
                <w:rFonts w:hint="eastAsia" w:ascii="宋体" w:hAnsi="宋体" w:cs="宋体"/>
                <w:color w:val="000000"/>
                <w:kern w:val="0"/>
                <w:szCs w:val="21"/>
              </w:rPr>
            </w:pPr>
            <w:r>
              <w:rPr>
                <w:rFonts w:hint="eastAsia" w:ascii="仿宋" w:hAnsi="仿宋" w:eastAsia="仿宋" w:cs="宋体"/>
                <w:color w:val="000000"/>
                <w:kern w:val="0"/>
                <w:szCs w:val="21"/>
              </w:rPr>
              <w:t>目标6：扶持对村级集体经济组织发展，致力乡村振兴。</w:t>
            </w:r>
          </w:p>
        </w:tc>
        <w:tc>
          <w:tcPr>
            <w:tcW w:w="4650" w:type="dxa"/>
            <w:gridSpan w:val="4"/>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在本年度收支预算内，已经完成以下整体目标：</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目标1：坚持优化营商环境作为招商引资的前提，努力打造投资洼地，服务高地，提升投资环境竞争力；</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目标2：加大资金投入村级基础设施建设，完善全镇1</w:t>
            </w:r>
            <w:r>
              <w:rPr>
                <w:rFonts w:hint="eastAsia" w:ascii="仿宋" w:hAnsi="仿宋" w:eastAsia="仿宋" w:cs="宋体"/>
                <w:color w:val="000000"/>
                <w:kern w:val="0"/>
                <w:szCs w:val="21"/>
                <w:lang w:val="en-US" w:eastAsia="zh-CN"/>
              </w:rPr>
              <w:t>0</w:t>
            </w:r>
            <w:r>
              <w:rPr>
                <w:rFonts w:hint="eastAsia" w:ascii="仿宋" w:hAnsi="仿宋" w:eastAsia="仿宋" w:cs="宋体"/>
                <w:color w:val="000000"/>
                <w:kern w:val="0"/>
                <w:szCs w:val="21"/>
              </w:rPr>
              <w:t>个村、社区文化广场建设与村部维修、安全饮水工程等验收合格率</w:t>
            </w:r>
            <w:r>
              <w:rPr>
                <w:rFonts w:hint="eastAsia" w:ascii="仿宋" w:hAnsi="仿宋" w:eastAsia="仿宋" w:cs="宋体"/>
                <w:color w:val="000000"/>
                <w:kern w:val="0"/>
                <w:szCs w:val="21"/>
                <w:lang w:val="en-US" w:eastAsia="zh-CN"/>
              </w:rPr>
              <w:t>均</w:t>
            </w:r>
            <w:r>
              <w:rPr>
                <w:rFonts w:hint="eastAsia" w:ascii="仿宋" w:hAnsi="仿宋" w:eastAsia="仿宋" w:cs="宋体"/>
                <w:color w:val="000000"/>
                <w:kern w:val="0"/>
                <w:szCs w:val="21"/>
              </w:rPr>
              <w:t>在9</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%以上；</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目标3："两卡两折"补贴发放及时率达100%；</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目标4：及时妥善处理突发性、群体性事件，调节和处理好各种利益矛盾和纠分；</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目标5：常态性抓好灾害防治、安全生产、森林防火等日常工作，实现"危害零发生"；</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目标6：加大扶持种植集体经济组织发展。</w:t>
            </w:r>
          </w:p>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textDirection w:val="tbRlV"/>
            <w:vAlign w:val="center"/>
          </w:tcPr>
          <w:p>
            <w:pPr>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105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700"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700" w:type="dxa"/>
            <w:gridSpan w:val="2"/>
            <w:vAlign w:val="center"/>
          </w:tcPr>
          <w:p>
            <w:pPr>
              <w:widowControl/>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重点项目建设</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落实粮食生产战略村居数</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0</w:t>
            </w:r>
            <w:r>
              <w:rPr>
                <w:rFonts w:hint="eastAsia" w:ascii="仿宋" w:hAnsi="仿宋" w:eastAsia="仿宋" w:cs="宋体"/>
                <w:color w:val="000000"/>
                <w:kern w:val="0"/>
                <w:sz w:val="22"/>
              </w:rPr>
              <w:t>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0</w:t>
            </w:r>
            <w:r>
              <w:rPr>
                <w:rFonts w:hint="eastAsia" w:ascii="仿宋" w:hAnsi="仿宋" w:eastAsia="仿宋" w:cs="宋体"/>
                <w:color w:val="000000"/>
                <w:kern w:val="0"/>
                <w:sz w:val="22"/>
              </w:rPr>
              <w:t>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8</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jc w:val="lef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扶持村级集体经济发展 </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86"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700" w:type="dxa"/>
            <w:gridSpan w:val="2"/>
            <w:vAlign w:val="center"/>
          </w:tcPr>
          <w:p>
            <w:pPr>
              <w:widowControl/>
              <w:spacing w:line="240" w:lineRule="exact"/>
              <w:jc w:val="left"/>
              <w:rPr>
                <w:rFonts w:hint="default"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szCs w:val="24"/>
                <w:lang w:val="en-US" w:eastAsia="zh-CN" w:bidi="ar-SA"/>
              </w:rPr>
              <w:t>白石峰村、松柏村水渠水塘、高峰村、凤山村、觉先村道路硬化、神皇村绿化工程验收合格率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 xml:space="preserve">% </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9"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发展双季稻，在去年的基础上增加</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9</w:t>
            </w:r>
            <w:r>
              <w:rPr>
                <w:rFonts w:ascii="仿宋" w:hAnsi="仿宋" w:eastAsia="仿宋" w:cs="宋体"/>
                <w:color w:val="000000"/>
                <w:kern w:val="0"/>
                <w:sz w:val="22"/>
              </w:rPr>
              <w:t>%</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9</w:t>
            </w:r>
            <w:r>
              <w:rPr>
                <w:rFonts w:hint="eastAsia" w:ascii="仿宋" w:hAnsi="仿宋" w:eastAsia="仿宋" w:cs="宋体"/>
                <w:color w:val="000000"/>
                <w:kern w:val="0"/>
                <w:sz w:val="22"/>
              </w:rPr>
              <w:t>%</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杜绝返贫现象</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返贫率0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返贫率0</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工作完成及时率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100%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严格执行预算，成本节约率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三公经费控制率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≦95%</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100%</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经济效益指标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运输成本下降</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32%</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农民增收</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≧5000元/人</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5元/人</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村级集体经济增收</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万元/个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万元/个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4"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村民出行效率、道路、饮水安全提高</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24"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continue"/>
            <w:vAlign w:val="center"/>
          </w:tcPr>
          <w:p>
            <w:pPr>
              <w:widowControl/>
              <w:jc w:val="center"/>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农户劳动获得感增强，生活水平提高</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62%、92%</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continue"/>
            <w:vAlign w:val="center"/>
          </w:tcPr>
          <w:p>
            <w:pPr>
              <w:widowControl/>
              <w:jc w:val="center"/>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bidi="ar"/>
              </w:rPr>
              <w:t>社会稳定，生产生活安全</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良好</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良好</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9"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以新农村建设为重点，推进生态建设</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2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开展群众性爱国卫生活动，美化环境</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政府服务职能增强</w:t>
            </w:r>
          </w:p>
        </w:tc>
        <w:tc>
          <w:tcPr>
            <w:tcW w:w="152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0%</w:t>
            </w:r>
          </w:p>
        </w:tc>
        <w:tc>
          <w:tcPr>
            <w:tcW w:w="1358"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0%</w:t>
            </w:r>
          </w:p>
        </w:tc>
        <w:tc>
          <w:tcPr>
            <w:tcW w:w="840"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9"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坚持统筹城乡发展，稳步发展战略</w:t>
            </w:r>
          </w:p>
        </w:tc>
        <w:tc>
          <w:tcPr>
            <w:tcW w:w="152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w:t>
            </w:r>
          </w:p>
        </w:tc>
        <w:tc>
          <w:tcPr>
            <w:tcW w:w="840"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9"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 w:val="18"/>
                <w:szCs w:val="18"/>
              </w:rPr>
              <w:t>（10分）</w:t>
            </w:r>
          </w:p>
        </w:tc>
        <w:tc>
          <w:tcPr>
            <w:tcW w:w="10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社区、村组群众对政府职能达成满意度　</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2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群众生活满意度较去年有所提高</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92%</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562"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700" w:type="dxa"/>
            <w:gridSpan w:val="2"/>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p>
        </w:tc>
        <w:tc>
          <w:tcPr>
            <w:tcW w:w="2879"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3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86" w:hRule="atLeast"/>
          <w:jc w:val="center"/>
        </w:trPr>
        <w:tc>
          <w:tcPr>
            <w:tcW w:w="1218" w:type="dxa"/>
            <w:gridSpan w:val="2"/>
            <w:vMerge w:val="continue"/>
            <w:vAlign w:val="center"/>
          </w:tcPr>
          <w:p>
            <w:pPr>
              <w:widowControl/>
              <w:jc w:val="center"/>
            </w:pPr>
          </w:p>
        </w:tc>
        <w:tc>
          <w:tcPr>
            <w:tcW w:w="4044" w:type="dxa"/>
            <w:gridSpan w:val="4"/>
            <w:vAlign w:val="center"/>
          </w:tcPr>
          <w:p>
            <w:pPr>
              <w:widowControl/>
              <w:jc w:val="left"/>
              <w:rPr>
                <w:rFonts w:hint="eastAsia" w:ascii="宋体" w:hAnsi="宋体" w:cs="宋体"/>
                <w:color w:val="000000"/>
                <w:kern w:val="0"/>
                <w:szCs w:val="21"/>
              </w:rPr>
            </w:pPr>
          </w:p>
        </w:tc>
        <w:tc>
          <w:tcPr>
            <w:tcW w:w="4650" w:type="dxa"/>
            <w:gridSpan w:val="4"/>
            <w:vAlign w:val="center"/>
          </w:tcPr>
          <w:p>
            <w:pPr>
              <w:widowControl/>
              <w:jc w:val="left"/>
              <w:rPr>
                <w:rFonts w:hint="eastAsia" w:ascii="宋体" w:hAnsi="宋体" w:cs="宋体"/>
                <w:color w:val="000000"/>
                <w:kern w:val="0"/>
                <w:szCs w:val="21"/>
              </w:rPr>
            </w:pPr>
          </w:p>
        </w:tc>
      </w:tr>
    </w:tbl>
    <w:p>
      <w:pPr>
        <w:spacing w:before="156" w:beforeLines="50" w:line="300" w:lineRule="exact"/>
        <w:rPr>
          <w:rFonts w:hint="eastAsia" w:ascii="仿宋_GB2312" w:hAnsi="仿宋_GB2312" w:eastAsia="仿宋_GB2312" w:cs="仿宋_GB2312"/>
          <w:sz w:val="24"/>
        </w:rPr>
      </w:pPr>
      <w:r>
        <w:rPr>
          <w:rFonts w:hint="eastAsia" w:ascii="宋体" w:hAnsi="宋体" w:cs="宋体"/>
          <w:sz w:val="22"/>
          <w:szCs w:val="22"/>
        </w:rPr>
        <w:t>填表人：              联系电话：                 单位负责人签字</w:t>
      </w:r>
      <w:r>
        <w:rPr>
          <w:rFonts w:hint="eastAsia" w:ascii="宋体" w:hAnsi="宋体" w:cs="宋体"/>
          <w:sz w:val="24"/>
        </w:rPr>
        <w:t>：</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78268"/>
    <w:multiLevelType w:val="singleLevel"/>
    <w:tmpl w:val="D9178268"/>
    <w:lvl w:ilvl="0" w:tentative="0">
      <w:start w:val="2"/>
      <w:numFmt w:val="chineseCounting"/>
      <w:suff w:val="nothing"/>
      <w:lvlText w:val="（%1）"/>
      <w:lvlJc w:val="left"/>
      <w:rPr>
        <w:rFonts w:hint="eastAsia"/>
      </w:rPr>
    </w:lvl>
  </w:abstractNum>
  <w:abstractNum w:abstractNumId="1">
    <w:nsid w:val="FFB30136"/>
    <w:multiLevelType w:val="singleLevel"/>
    <w:tmpl w:val="FFB30136"/>
    <w:lvl w:ilvl="0" w:tentative="0">
      <w:start w:val="2"/>
      <w:numFmt w:val="chineseCounting"/>
      <w:suff w:val="nothing"/>
      <w:lvlText w:val="（%1）"/>
      <w:lvlJc w:val="left"/>
      <w:rPr>
        <w:rFonts w:hint="eastAsia"/>
      </w:rPr>
    </w:lvl>
  </w:abstractNum>
  <w:abstractNum w:abstractNumId="2">
    <w:nsid w:val="0C53A45F"/>
    <w:multiLevelType w:val="singleLevel"/>
    <w:tmpl w:val="0C53A45F"/>
    <w:lvl w:ilvl="0" w:tentative="0">
      <w:start w:val="8"/>
      <w:numFmt w:val="chineseCounting"/>
      <w:suff w:val="nothing"/>
      <w:lvlText w:val="%1、"/>
      <w:lvlJc w:val="left"/>
      <w:rPr>
        <w:rFonts w:hint="eastAsia"/>
      </w:rPr>
    </w:lvl>
  </w:abstractNum>
  <w:abstractNum w:abstractNumId="3">
    <w:nsid w:val="7B8F9E86"/>
    <w:multiLevelType w:val="singleLevel"/>
    <w:tmpl w:val="7B8F9E86"/>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Y2ExMjFiODAxZDU0MGU1MmNhYjc0YTlkMTRhY2UifQ=="/>
  </w:docVars>
  <w:rsids>
    <w:rsidRoot w:val="26260776"/>
    <w:rsid w:val="005E3CF5"/>
    <w:rsid w:val="00891233"/>
    <w:rsid w:val="01D95F0B"/>
    <w:rsid w:val="03B44E81"/>
    <w:rsid w:val="0458580D"/>
    <w:rsid w:val="05421031"/>
    <w:rsid w:val="07442078"/>
    <w:rsid w:val="083B3730"/>
    <w:rsid w:val="094840A2"/>
    <w:rsid w:val="0B9C2483"/>
    <w:rsid w:val="0E0D58BA"/>
    <w:rsid w:val="0E176068"/>
    <w:rsid w:val="0E43752E"/>
    <w:rsid w:val="0F152C78"/>
    <w:rsid w:val="0FA77648"/>
    <w:rsid w:val="1111746F"/>
    <w:rsid w:val="11CB5870"/>
    <w:rsid w:val="12072620"/>
    <w:rsid w:val="133E6515"/>
    <w:rsid w:val="13FE7993"/>
    <w:rsid w:val="14151024"/>
    <w:rsid w:val="176471DF"/>
    <w:rsid w:val="17F84EE5"/>
    <w:rsid w:val="19B27315"/>
    <w:rsid w:val="19F53DD2"/>
    <w:rsid w:val="1ACB068F"/>
    <w:rsid w:val="1C0320AA"/>
    <w:rsid w:val="1C1D316C"/>
    <w:rsid w:val="1E0B5246"/>
    <w:rsid w:val="1F7C63FB"/>
    <w:rsid w:val="215F7D83"/>
    <w:rsid w:val="218D51B0"/>
    <w:rsid w:val="22680EB9"/>
    <w:rsid w:val="232E5C5F"/>
    <w:rsid w:val="237C4C1C"/>
    <w:rsid w:val="241035B6"/>
    <w:rsid w:val="24496525"/>
    <w:rsid w:val="25253091"/>
    <w:rsid w:val="26260776"/>
    <w:rsid w:val="26793695"/>
    <w:rsid w:val="27B506FD"/>
    <w:rsid w:val="280671AA"/>
    <w:rsid w:val="29F574D6"/>
    <w:rsid w:val="2A693A20"/>
    <w:rsid w:val="2C1362BB"/>
    <w:rsid w:val="2D1E0AF2"/>
    <w:rsid w:val="2D2A56E9"/>
    <w:rsid w:val="2D40315E"/>
    <w:rsid w:val="2E7D5CEC"/>
    <w:rsid w:val="2E9F2106"/>
    <w:rsid w:val="2F2820FC"/>
    <w:rsid w:val="2F4B5DEA"/>
    <w:rsid w:val="309540FD"/>
    <w:rsid w:val="30B359F5"/>
    <w:rsid w:val="30B55C11"/>
    <w:rsid w:val="358833D3"/>
    <w:rsid w:val="35B75F88"/>
    <w:rsid w:val="36BD312A"/>
    <w:rsid w:val="380F20AB"/>
    <w:rsid w:val="381054A7"/>
    <w:rsid w:val="38635F53"/>
    <w:rsid w:val="388760E5"/>
    <w:rsid w:val="3982065B"/>
    <w:rsid w:val="3A815E0A"/>
    <w:rsid w:val="3A827018"/>
    <w:rsid w:val="3A9C574C"/>
    <w:rsid w:val="3D28450A"/>
    <w:rsid w:val="3E2E53A0"/>
    <w:rsid w:val="3E892CF3"/>
    <w:rsid w:val="3FEE25A6"/>
    <w:rsid w:val="3FF43934"/>
    <w:rsid w:val="40925627"/>
    <w:rsid w:val="409F1AF2"/>
    <w:rsid w:val="40B03CFF"/>
    <w:rsid w:val="411B561D"/>
    <w:rsid w:val="413466DE"/>
    <w:rsid w:val="419378A9"/>
    <w:rsid w:val="41A970CC"/>
    <w:rsid w:val="425F3C2F"/>
    <w:rsid w:val="4283341E"/>
    <w:rsid w:val="42C615B8"/>
    <w:rsid w:val="436F4192"/>
    <w:rsid w:val="43BF2BD7"/>
    <w:rsid w:val="44114AB5"/>
    <w:rsid w:val="441445A5"/>
    <w:rsid w:val="44784B34"/>
    <w:rsid w:val="44E73A68"/>
    <w:rsid w:val="4541586E"/>
    <w:rsid w:val="45440EBA"/>
    <w:rsid w:val="46B502C1"/>
    <w:rsid w:val="47E256A4"/>
    <w:rsid w:val="49AD5280"/>
    <w:rsid w:val="4A527BD5"/>
    <w:rsid w:val="4B1F03FF"/>
    <w:rsid w:val="4B75001F"/>
    <w:rsid w:val="4BF278C2"/>
    <w:rsid w:val="4C583305"/>
    <w:rsid w:val="4D697710"/>
    <w:rsid w:val="4E515DDC"/>
    <w:rsid w:val="501C6CBB"/>
    <w:rsid w:val="50E83041"/>
    <w:rsid w:val="50EA0B67"/>
    <w:rsid w:val="52EC6E19"/>
    <w:rsid w:val="53A72D40"/>
    <w:rsid w:val="54613836"/>
    <w:rsid w:val="54B90F7D"/>
    <w:rsid w:val="550541C2"/>
    <w:rsid w:val="57EA769F"/>
    <w:rsid w:val="58A106A5"/>
    <w:rsid w:val="59F36CDF"/>
    <w:rsid w:val="5A1804F3"/>
    <w:rsid w:val="5C563555"/>
    <w:rsid w:val="5E211941"/>
    <w:rsid w:val="5E5A37D0"/>
    <w:rsid w:val="5E6E102A"/>
    <w:rsid w:val="5E873E9A"/>
    <w:rsid w:val="602D281F"/>
    <w:rsid w:val="60956D42"/>
    <w:rsid w:val="61EF2482"/>
    <w:rsid w:val="6246767E"/>
    <w:rsid w:val="65102E3B"/>
    <w:rsid w:val="65B85280"/>
    <w:rsid w:val="66E71979"/>
    <w:rsid w:val="67F73E3E"/>
    <w:rsid w:val="68E02558"/>
    <w:rsid w:val="69015277"/>
    <w:rsid w:val="6B581E4B"/>
    <w:rsid w:val="6BE50451"/>
    <w:rsid w:val="6EBF31DC"/>
    <w:rsid w:val="6F2614AD"/>
    <w:rsid w:val="706109EE"/>
    <w:rsid w:val="71777D9E"/>
    <w:rsid w:val="71ED1E0E"/>
    <w:rsid w:val="723932A5"/>
    <w:rsid w:val="725620A9"/>
    <w:rsid w:val="73B40E35"/>
    <w:rsid w:val="741B2C62"/>
    <w:rsid w:val="7487654A"/>
    <w:rsid w:val="757A4300"/>
    <w:rsid w:val="75E4177A"/>
    <w:rsid w:val="77E65C7D"/>
    <w:rsid w:val="792151BF"/>
    <w:rsid w:val="79865022"/>
    <w:rsid w:val="79C04A19"/>
    <w:rsid w:val="7A124E54"/>
    <w:rsid w:val="7B857D2E"/>
    <w:rsid w:val="7CCA3477"/>
    <w:rsid w:val="7CCE160F"/>
    <w:rsid w:val="7CDA77E5"/>
    <w:rsid w:val="7D8F021D"/>
    <w:rsid w:val="7EAF501B"/>
    <w:rsid w:val="7F0A3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paragraph" w:customStyle="1" w:styleId="7">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2022-04-06T02:15:00Z</dcterms:created>
  <dc:creator>崖上松1404350381</dc:creator>
  <cp:lastModifiedBy>崖上松1404350381</cp:lastModifiedBy>
  <dcterms:modified xsi:type="dcterms:W3CDTF">2023-03-15T04:42:22Z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6857D790F3B749ED981DAE1D7D44CE55</vt:lpwstr>
  </property>
</Properties>
</file>