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方正北魏楷书简体"/>
          <w:b/>
          <w:sz w:val="46"/>
          <w:szCs w:val="46"/>
        </w:rPr>
      </w:pPr>
      <w:bookmarkStart w:id="0" w:name="_Toc334014063"/>
      <w:bookmarkStart w:id="1" w:name="_Toc333229850"/>
      <w:bookmarkStart w:id="2" w:name="_Toc334080705"/>
    </w:p>
    <w:p>
      <w:pPr>
        <w:jc w:val="center"/>
        <w:rPr>
          <w:rFonts w:eastAsia="方正北魏楷书简体"/>
          <w:b/>
          <w:sz w:val="46"/>
          <w:szCs w:val="46"/>
        </w:rPr>
      </w:pPr>
    </w:p>
    <w:p>
      <w:pPr>
        <w:jc w:val="center"/>
        <w:rPr>
          <w:rFonts w:eastAsia="方正北魏楷书简体"/>
          <w:b/>
          <w:sz w:val="46"/>
          <w:szCs w:val="46"/>
        </w:rPr>
      </w:pPr>
    </w:p>
    <w:p>
      <w:pPr>
        <w:jc w:val="center"/>
        <w:rPr>
          <w:rFonts w:eastAsia="方正北魏楷书简体"/>
          <w:b/>
          <w:sz w:val="46"/>
          <w:szCs w:val="46"/>
        </w:rPr>
      </w:pPr>
    </w:p>
    <w:p>
      <w:pPr>
        <w:jc w:val="center"/>
        <w:rPr>
          <w:rFonts w:eastAsia="方正北魏楷书简体"/>
          <w:b/>
          <w:sz w:val="46"/>
          <w:szCs w:val="46"/>
        </w:rPr>
      </w:pPr>
      <w:r>
        <w:rPr>
          <w:rFonts w:hint="eastAsia" w:eastAsia="方正北魏楷书简体"/>
          <w:b/>
          <w:sz w:val="46"/>
          <w:szCs w:val="46"/>
        </w:rPr>
        <w:t>湖南安发原生态农业旅游开发有限公司台源蛋鸡养殖二场建设项目</w:t>
      </w:r>
    </w:p>
    <w:p>
      <w:pPr>
        <w:spacing w:line="360" w:lineRule="auto"/>
        <w:jc w:val="center"/>
        <w:rPr>
          <w:rFonts w:eastAsia="方正北魏楷书简体"/>
          <w:b/>
          <w:spacing w:val="-20"/>
          <w:sz w:val="86"/>
          <w:szCs w:val="86"/>
        </w:rPr>
      </w:pPr>
      <w:r>
        <w:rPr>
          <w:rFonts w:hint="eastAsia" w:eastAsia="方正北魏楷书简体"/>
          <w:b/>
          <w:spacing w:val="-20"/>
          <w:sz w:val="86"/>
          <w:szCs w:val="86"/>
        </w:rPr>
        <w:t>环境影响</w:t>
      </w:r>
      <w:bookmarkEnd w:id="0"/>
      <w:bookmarkEnd w:id="1"/>
      <w:bookmarkEnd w:id="2"/>
      <w:r>
        <w:rPr>
          <w:rFonts w:hint="eastAsia" w:eastAsia="方正北魏楷书简体"/>
          <w:b/>
          <w:spacing w:val="-20"/>
          <w:sz w:val="86"/>
          <w:szCs w:val="86"/>
        </w:rPr>
        <w:t>报告书</w:t>
      </w:r>
    </w:p>
    <w:p>
      <w:pPr>
        <w:spacing w:line="360" w:lineRule="auto"/>
        <w:ind w:firstLine="560"/>
        <w:jc w:val="center"/>
        <w:rPr>
          <w:sz w:val="24"/>
        </w:rPr>
      </w:pPr>
    </w:p>
    <w:p>
      <w:pPr>
        <w:spacing w:line="360" w:lineRule="auto"/>
        <w:ind w:firstLine="560"/>
        <w:jc w:val="center"/>
        <w:rPr>
          <w:sz w:val="24"/>
        </w:rPr>
      </w:pPr>
    </w:p>
    <w:p>
      <w:pPr>
        <w:spacing w:line="360" w:lineRule="auto"/>
        <w:ind w:firstLine="560"/>
        <w:jc w:val="center"/>
        <w:rPr>
          <w:sz w:val="24"/>
        </w:rPr>
      </w:pPr>
    </w:p>
    <w:p>
      <w:pPr>
        <w:spacing w:line="360" w:lineRule="auto"/>
        <w:ind w:firstLine="560"/>
        <w:jc w:val="center"/>
        <w:rPr>
          <w:sz w:val="24"/>
        </w:rPr>
      </w:pPr>
    </w:p>
    <w:p>
      <w:pPr>
        <w:spacing w:line="360" w:lineRule="auto"/>
        <w:ind w:firstLine="560"/>
        <w:jc w:val="center"/>
        <w:rPr>
          <w:sz w:val="24"/>
        </w:rPr>
      </w:pPr>
    </w:p>
    <w:p>
      <w:pPr>
        <w:spacing w:line="360" w:lineRule="auto"/>
        <w:ind w:firstLine="560"/>
        <w:jc w:val="center"/>
        <w:rPr>
          <w:sz w:val="24"/>
        </w:rPr>
      </w:pPr>
    </w:p>
    <w:p>
      <w:pPr>
        <w:spacing w:line="360" w:lineRule="auto"/>
        <w:ind w:firstLine="560"/>
        <w:jc w:val="center"/>
        <w:rPr>
          <w:sz w:val="24"/>
        </w:rPr>
      </w:pPr>
    </w:p>
    <w:p>
      <w:pPr>
        <w:spacing w:line="360" w:lineRule="auto"/>
        <w:ind w:firstLine="560"/>
        <w:jc w:val="center"/>
        <w:rPr>
          <w:sz w:val="24"/>
        </w:rPr>
      </w:pPr>
    </w:p>
    <w:p>
      <w:pPr>
        <w:spacing w:line="360" w:lineRule="auto"/>
        <w:ind w:firstLine="560"/>
        <w:jc w:val="center"/>
        <w:rPr>
          <w:sz w:val="24"/>
        </w:rPr>
      </w:pPr>
    </w:p>
    <w:p>
      <w:pPr>
        <w:spacing w:line="360" w:lineRule="auto"/>
        <w:ind w:firstLine="560"/>
        <w:jc w:val="center"/>
        <w:rPr>
          <w:sz w:val="24"/>
        </w:rPr>
      </w:pPr>
    </w:p>
    <w:p>
      <w:pPr>
        <w:spacing w:line="360" w:lineRule="auto"/>
        <w:ind w:firstLine="560"/>
        <w:jc w:val="center"/>
        <w:rPr>
          <w:sz w:val="24"/>
        </w:rPr>
      </w:pPr>
    </w:p>
    <w:p>
      <w:pPr>
        <w:spacing w:line="360" w:lineRule="auto"/>
        <w:ind w:firstLine="560"/>
        <w:jc w:val="center"/>
        <w:rPr>
          <w:sz w:val="24"/>
        </w:rPr>
      </w:pPr>
    </w:p>
    <w:p>
      <w:pPr>
        <w:spacing w:line="360" w:lineRule="auto"/>
        <w:ind w:firstLine="560"/>
        <w:jc w:val="center"/>
        <w:rPr>
          <w:rFonts w:eastAsia="方正北魏楷书简体"/>
          <w:sz w:val="36"/>
          <w:szCs w:val="36"/>
        </w:rPr>
      </w:pPr>
      <w:r>
        <w:rPr>
          <w:rFonts w:eastAsia="方正北魏楷书简体"/>
          <w:sz w:val="36"/>
          <w:szCs w:val="36"/>
        </w:rPr>
        <w:t>编制单位：湖南鑫煜环保科技有限公司</w:t>
      </w:r>
    </w:p>
    <w:p>
      <w:pPr>
        <w:spacing w:line="360" w:lineRule="auto"/>
        <w:ind w:firstLine="560"/>
        <w:jc w:val="center"/>
        <w:rPr>
          <w:rFonts w:eastAsia="方正北魏楷书简体"/>
          <w:sz w:val="36"/>
          <w:szCs w:val="36"/>
        </w:rPr>
      </w:pPr>
      <w:r>
        <w:rPr>
          <w:rFonts w:eastAsia="方正北魏楷书简体"/>
          <w:sz w:val="36"/>
          <w:szCs w:val="36"/>
        </w:rPr>
        <w:t>建设单位：</w:t>
      </w:r>
      <w:r>
        <w:rPr>
          <w:rFonts w:hint="eastAsia" w:eastAsia="方正北魏楷书简体"/>
          <w:sz w:val="36"/>
          <w:szCs w:val="36"/>
        </w:rPr>
        <w:t>湖南安发原生态农业旅游开发有限公司</w:t>
      </w:r>
    </w:p>
    <w:p>
      <w:pPr>
        <w:jc w:val="center"/>
        <w:rPr>
          <w:rFonts w:eastAsia="方正北魏楷书简体"/>
          <w:b/>
          <w:sz w:val="2"/>
          <w:szCs w:val="44"/>
        </w:rPr>
      </w:pPr>
    </w:p>
    <w:p>
      <w:pPr>
        <w:adjustRightInd w:val="0"/>
        <w:snapToGrid w:val="0"/>
        <w:jc w:val="center"/>
        <w:rPr>
          <w:rFonts w:eastAsia="方正北魏楷书简体"/>
          <w:sz w:val="36"/>
          <w:szCs w:val="36"/>
        </w:rPr>
      </w:pPr>
      <w:r>
        <w:rPr>
          <w:rFonts w:eastAsia="方正北魏楷书简体"/>
          <w:sz w:val="36"/>
          <w:szCs w:val="36"/>
        </w:rPr>
        <w:t>二〇二</w:t>
      </w:r>
      <w:r>
        <w:rPr>
          <w:rFonts w:hint="eastAsia" w:eastAsia="方正北魏楷书简体"/>
          <w:sz w:val="36"/>
          <w:szCs w:val="36"/>
          <w:lang w:val="en-US" w:eastAsia="zh-CN"/>
        </w:rPr>
        <w:t>三</w:t>
      </w:r>
      <w:r>
        <w:rPr>
          <w:rFonts w:eastAsia="方正北魏楷书简体"/>
          <w:sz w:val="36"/>
          <w:szCs w:val="36"/>
        </w:rPr>
        <w:t>年</w:t>
      </w:r>
      <w:r>
        <w:rPr>
          <w:rFonts w:hint="eastAsia" w:eastAsia="方正北魏楷书简体"/>
          <w:sz w:val="36"/>
          <w:szCs w:val="36"/>
          <w:lang w:val="en-US" w:eastAsia="zh-CN"/>
        </w:rPr>
        <w:t>十</w:t>
      </w:r>
      <w:r>
        <w:rPr>
          <w:rFonts w:eastAsia="方正北魏楷书简体"/>
          <w:sz w:val="36"/>
          <w:szCs w:val="36"/>
        </w:rPr>
        <w:t>月</w:t>
      </w:r>
    </w:p>
    <w:p>
      <w:pPr>
        <w:adjustRightInd w:val="0"/>
        <w:snapToGrid w:val="0"/>
        <w:jc w:val="center"/>
        <w:rPr>
          <w:rFonts w:eastAsia="方正北魏楷书简体"/>
          <w:sz w:val="36"/>
          <w:szCs w:val="36"/>
        </w:rPr>
        <w:sectPr>
          <w:footerReference r:id="rId6" w:type="first"/>
          <w:headerReference r:id="rId3" w:type="default"/>
          <w:footerReference r:id="rId4" w:type="default"/>
          <w:footerReference r:id="rId5" w:type="even"/>
          <w:pgSz w:w="11906" w:h="16838"/>
          <w:pgMar w:top="1440" w:right="1800" w:bottom="1440" w:left="1800" w:header="851" w:footer="794" w:gutter="0"/>
          <w:pgBorders>
            <w:top w:val="none" w:sz="0" w:space="0"/>
            <w:left w:val="none" w:sz="0" w:space="0"/>
            <w:bottom w:val="none" w:sz="0" w:space="0"/>
            <w:right w:val="none" w:sz="0" w:space="0"/>
          </w:pgBorders>
          <w:pgNumType w:fmt="upperRoman" w:start="1"/>
          <w:cols w:space="720" w:num="1"/>
          <w:docGrid w:linePitch="312" w:charSpace="0"/>
        </w:sectPr>
      </w:pPr>
    </w:p>
    <w:p>
      <w:pPr>
        <w:spacing w:line="360" w:lineRule="auto"/>
        <w:jc w:val="center"/>
        <w:rPr>
          <w:sz w:val="44"/>
          <w:szCs w:val="44"/>
        </w:rPr>
      </w:pPr>
      <w:r>
        <w:rPr>
          <w:b/>
          <w:bCs/>
          <w:sz w:val="44"/>
          <w:szCs w:val="44"/>
        </w:rPr>
        <w:t>目录</w:t>
      </w:r>
    </w:p>
    <w:p>
      <w:pPr>
        <w:pStyle w:val="34"/>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b/>
          <w:sz w:val="24"/>
        </w:rPr>
      </w:pPr>
      <w:bookmarkStart w:id="3" w:name="_Toc21585"/>
      <w:bookmarkStart w:id="4" w:name="_Toc517522232"/>
      <w:bookmarkStart w:id="5" w:name="_Toc21204"/>
      <w:bookmarkStart w:id="6" w:name="_Toc16362"/>
      <w:bookmarkStart w:id="7" w:name="_Toc86"/>
      <w:bookmarkStart w:id="8" w:name="_Toc27674"/>
      <w:bookmarkStart w:id="9" w:name="_Toc15455"/>
      <w:r>
        <w:rPr>
          <w:rFonts w:eastAsiaTheme="majorEastAsia"/>
          <w:b/>
          <w:bCs/>
          <w:sz w:val="24"/>
        </w:rPr>
        <w:fldChar w:fldCharType="begin"/>
      </w:r>
      <w:r>
        <w:rPr>
          <w:rFonts w:eastAsiaTheme="majorEastAsia"/>
          <w:b/>
          <w:bCs/>
          <w:sz w:val="24"/>
        </w:rPr>
        <w:instrText xml:space="preserve"> TOC \o "1-2" \h \z \u </w:instrText>
      </w:r>
      <w:r>
        <w:rPr>
          <w:rFonts w:eastAsiaTheme="majorEastAsia"/>
          <w:b/>
          <w:bCs/>
          <w:sz w:val="24"/>
        </w:rPr>
        <w:fldChar w:fldCharType="separate"/>
      </w:r>
      <w:r>
        <w:fldChar w:fldCharType="begin"/>
      </w:r>
      <w:r>
        <w:instrText xml:space="preserve"> HYPERLINK \l "_Toc123886388" </w:instrText>
      </w:r>
      <w:r>
        <w:fldChar w:fldCharType="separate"/>
      </w:r>
      <w:r>
        <w:rPr>
          <w:rStyle w:val="60"/>
          <w:b/>
          <w:sz w:val="24"/>
        </w:rPr>
        <w:t>1 概述</w:t>
      </w:r>
      <w:r>
        <w:rPr>
          <w:b/>
          <w:sz w:val="24"/>
        </w:rPr>
        <w:tab/>
      </w:r>
      <w:r>
        <w:rPr>
          <w:b/>
          <w:sz w:val="24"/>
        </w:rPr>
        <w:fldChar w:fldCharType="begin"/>
      </w:r>
      <w:r>
        <w:rPr>
          <w:b/>
          <w:sz w:val="24"/>
        </w:rPr>
        <w:instrText xml:space="preserve"> PAGEREF _Toc123886388 \h </w:instrText>
      </w:r>
      <w:r>
        <w:rPr>
          <w:b/>
          <w:sz w:val="24"/>
        </w:rPr>
        <w:fldChar w:fldCharType="separate"/>
      </w:r>
      <w:r>
        <w:rPr>
          <w:b/>
          <w:sz w:val="24"/>
        </w:rPr>
        <w:t>- 5 -</w:t>
      </w:r>
      <w:r>
        <w:rPr>
          <w:b/>
          <w:sz w:val="24"/>
        </w:rPr>
        <w:fldChar w:fldCharType="end"/>
      </w:r>
      <w:r>
        <w:rPr>
          <w:b/>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"_Toc123886389" </w:instrText>
      </w:r>
      <w:r>
        <w:fldChar w:fldCharType="separate"/>
      </w:r>
      <w:r>
        <w:rPr>
          <w:rStyle w:val="60"/>
          <w:sz w:val="24"/>
        </w:rPr>
        <w:t>1.1 项目由来</w:t>
      </w:r>
      <w:r>
        <w:rPr>
          <w:sz w:val="24"/>
        </w:rPr>
        <w:tab/>
      </w:r>
      <w:r>
        <w:rPr>
          <w:sz w:val="24"/>
        </w:rPr>
        <w:fldChar w:fldCharType="begin"/>
      </w:r>
      <w:r>
        <w:rPr>
          <w:sz w:val="24"/>
        </w:rPr>
        <w:instrText xml:space="preserve"> PAGEREF _Toc123886389 \h </w:instrText>
      </w:r>
      <w:r>
        <w:rPr>
          <w:sz w:val="24"/>
        </w:rPr>
        <w:fldChar w:fldCharType="separate"/>
      </w:r>
      <w:r>
        <w:rPr>
          <w:sz w:val="24"/>
        </w:rPr>
        <w:t>- 5 -</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"_Toc123886390" </w:instrText>
      </w:r>
      <w:r>
        <w:fldChar w:fldCharType="separate"/>
      </w:r>
      <w:r>
        <w:rPr>
          <w:rStyle w:val="60"/>
          <w:sz w:val="24"/>
        </w:rPr>
        <w:t>1.2 项目特点</w:t>
      </w:r>
      <w:r>
        <w:rPr>
          <w:sz w:val="24"/>
        </w:rPr>
        <w:tab/>
      </w:r>
      <w:r>
        <w:rPr>
          <w:sz w:val="24"/>
        </w:rPr>
        <w:fldChar w:fldCharType="begin"/>
      </w:r>
      <w:r>
        <w:rPr>
          <w:sz w:val="24"/>
        </w:rPr>
        <w:instrText xml:space="preserve"> PAGEREF _Toc123886390 \h </w:instrText>
      </w:r>
      <w:r>
        <w:rPr>
          <w:sz w:val="24"/>
        </w:rPr>
        <w:fldChar w:fldCharType="separate"/>
      </w:r>
      <w:r>
        <w:rPr>
          <w:sz w:val="24"/>
        </w:rPr>
        <w:t>- 6 -</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"_Toc123886391" </w:instrText>
      </w:r>
      <w:r>
        <w:fldChar w:fldCharType="separate"/>
      </w:r>
      <w:r>
        <w:rPr>
          <w:rStyle w:val="60"/>
          <w:sz w:val="24"/>
        </w:rPr>
        <w:t>1.3 环境影响评价工作过程</w:t>
      </w:r>
      <w:r>
        <w:rPr>
          <w:sz w:val="24"/>
        </w:rPr>
        <w:tab/>
      </w:r>
      <w:r>
        <w:rPr>
          <w:sz w:val="24"/>
        </w:rPr>
        <w:fldChar w:fldCharType="begin"/>
      </w:r>
      <w:r>
        <w:rPr>
          <w:sz w:val="24"/>
        </w:rPr>
        <w:instrText xml:space="preserve"> PAGEREF _Toc123886391 \h </w:instrText>
      </w:r>
      <w:r>
        <w:rPr>
          <w:sz w:val="24"/>
        </w:rPr>
        <w:fldChar w:fldCharType="separate"/>
      </w:r>
      <w:r>
        <w:rPr>
          <w:sz w:val="24"/>
        </w:rPr>
        <w:t>- 6 -</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"_Toc123886392" </w:instrText>
      </w:r>
      <w:r>
        <w:fldChar w:fldCharType="separate"/>
      </w:r>
      <w:r>
        <w:rPr>
          <w:rStyle w:val="60"/>
          <w:sz w:val="24"/>
        </w:rPr>
        <w:t>1.4 分析判断相关情况</w:t>
      </w:r>
      <w:r>
        <w:rPr>
          <w:sz w:val="24"/>
        </w:rPr>
        <w:tab/>
      </w:r>
      <w:r>
        <w:rPr>
          <w:sz w:val="24"/>
        </w:rPr>
        <w:fldChar w:fldCharType="begin"/>
      </w:r>
      <w:r>
        <w:rPr>
          <w:sz w:val="24"/>
        </w:rPr>
        <w:instrText xml:space="preserve"> PAGEREF _Toc123886392 \h </w:instrText>
      </w:r>
      <w:r>
        <w:rPr>
          <w:sz w:val="24"/>
        </w:rPr>
        <w:fldChar w:fldCharType="separate"/>
      </w:r>
      <w:r>
        <w:rPr>
          <w:sz w:val="24"/>
        </w:rPr>
        <w:t>- 8 -</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"_Toc123886393" </w:instrText>
      </w:r>
      <w:r>
        <w:fldChar w:fldCharType="separate"/>
      </w:r>
      <w:r>
        <w:rPr>
          <w:rStyle w:val="60"/>
          <w:sz w:val="24"/>
        </w:rPr>
        <w:t>1.5 本项目关注的主要环境问题</w:t>
      </w:r>
      <w:r>
        <w:rPr>
          <w:sz w:val="24"/>
        </w:rPr>
        <w:tab/>
      </w:r>
      <w:r>
        <w:rPr>
          <w:sz w:val="24"/>
        </w:rPr>
        <w:fldChar w:fldCharType="begin"/>
      </w:r>
      <w:r>
        <w:rPr>
          <w:sz w:val="24"/>
        </w:rPr>
        <w:instrText xml:space="preserve"> PAGEREF _Toc123886393 \h </w:instrText>
      </w:r>
      <w:r>
        <w:rPr>
          <w:sz w:val="24"/>
        </w:rPr>
        <w:fldChar w:fldCharType="separate"/>
      </w:r>
      <w:r>
        <w:rPr>
          <w:sz w:val="24"/>
        </w:rPr>
        <w:t>- 30 -</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"_Toc123886394" </w:instrText>
      </w:r>
      <w:r>
        <w:fldChar w:fldCharType="separate"/>
      </w:r>
      <w:r>
        <w:rPr>
          <w:rStyle w:val="60"/>
          <w:sz w:val="24"/>
        </w:rPr>
        <w:t>1.6 环境影响报告书主要结论</w:t>
      </w:r>
      <w:r>
        <w:rPr>
          <w:sz w:val="24"/>
        </w:rPr>
        <w:tab/>
      </w:r>
      <w:r>
        <w:rPr>
          <w:sz w:val="24"/>
        </w:rPr>
        <w:fldChar w:fldCharType="begin"/>
      </w:r>
      <w:r>
        <w:rPr>
          <w:sz w:val="24"/>
        </w:rPr>
        <w:instrText xml:space="preserve"> PAGEREF _Toc123886394 \h </w:instrText>
      </w:r>
      <w:r>
        <w:rPr>
          <w:sz w:val="24"/>
        </w:rPr>
        <w:fldChar w:fldCharType="separate"/>
      </w:r>
      <w:r>
        <w:rPr>
          <w:sz w:val="24"/>
        </w:rPr>
        <w:t>- 31 -</w:t>
      </w:r>
      <w:r>
        <w:rPr>
          <w:sz w:val="24"/>
        </w:rPr>
        <w:fldChar w:fldCharType="end"/>
      </w:r>
      <w:r>
        <w:rPr>
          <w:sz w:val="24"/>
        </w:rPr>
        <w:fldChar w:fldCharType="end"/>
      </w:r>
    </w:p>
    <w:p>
      <w:pPr>
        <w:pStyle w:val="34"/>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b/>
          <w:sz w:val="24"/>
        </w:rPr>
      </w:pPr>
      <w:r>
        <w:fldChar w:fldCharType="begin"/>
      </w:r>
      <w:r>
        <w:instrText xml:space="preserve"> HYPERLINK \l "_Toc123886395" </w:instrText>
      </w:r>
      <w:r>
        <w:fldChar w:fldCharType="separate"/>
      </w:r>
      <w:r>
        <w:rPr>
          <w:rStyle w:val="60"/>
          <w:b/>
          <w:sz w:val="24"/>
        </w:rPr>
        <w:t>2 总则</w:t>
      </w:r>
      <w:r>
        <w:rPr>
          <w:b/>
          <w:sz w:val="24"/>
        </w:rPr>
        <w:tab/>
      </w:r>
      <w:r>
        <w:rPr>
          <w:b/>
          <w:sz w:val="24"/>
        </w:rPr>
        <w:fldChar w:fldCharType="begin"/>
      </w:r>
      <w:r>
        <w:rPr>
          <w:b/>
          <w:sz w:val="24"/>
        </w:rPr>
        <w:instrText xml:space="preserve"> PAGEREF _Toc123886395 \h </w:instrText>
      </w:r>
      <w:r>
        <w:rPr>
          <w:b/>
          <w:sz w:val="24"/>
        </w:rPr>
        <w:fldChar w:fldCharType="separate"/>
      </w:r>
      <w:r>
        <w:rPr>
          <w:b/>
          <w:sz w:val="24"/>
        </w:rPr>
        <w:t>32</w:t>
      </w:r>
      <w:r>
        <w:rPr>
          <w:b/>
          <w:sz w:val="24"/>
        </w:rPr>
        <w:fldChar w:fldCharType="end"/>
      </w:r>
      <w:r>
        <w:rPr>
          <w:b/>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"_Toc123886396" </w:instrText>
      </w:r>
      <w:r>
        <w:fldChar w:fldCharType="separate"/>
      </w:r>
      <w:r>
        <w:rPr>
          <w:rStyle w:val="60"/>
          <w:sz w:val="24"/>
        </w:rPr>
        <w:t>2.1 编制依据</w:t>
      </w:r>
      <w:r>
        <w:rPr>
          <w:sz w:val="24"/>
        </w:rPr>
        <w:tab/>
      </w:r>
      <w:r>
        <w:rPr>
          <w:sz w:val="24"/>
        </w:rPr>
        <w:fldChar w:fldCharType="begin"/>
      </w:r>
      <w:r>
        <w:rPr>
          <w:sz w:val="24"/>
        </w:rPr>
        <w:instrText xml:space="preserve"> PAGEREF _Toc123886396 \h </w:instrText>
      </w:r>
      <w:r>
        <w:rPr>
          <w:sz w:val="24"/>
        </w:rPr>
        <w:fldChar w:fldCharType="separate"/>
      </w:r>
      <w:r>
        <w:rPr>
          <w:sz w:val="24"/>
        </w:rPr>
        <w:t>32</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"_Toc123886397" </w:instrText>
      </w:r>
      <w:r>
        <w:fldChar w:fldCharType="separate"/>
      </w:r>
      <w:r>
        <w:rPr>
          <w:rStyle w:val="60"/>
          <w:sz w:val="24"/>
        </w:rPr>
        <w:t>2.2 评价目的、原则、内容及评价重点</w:t>
      </w:r>
      <w:r>
        <w:rPr>
          <w:sz w:val="24"/>
        </w:rPr>
        <w:tab/>
      </w:r>
      <w:r>
        <w:rPr>
          <w:sz w:val="24"/>
        </w:rPr>
        <w:fldChar w:fldCharType="begin"/>
      </w:r>
      <w:r>
        <w:rPr>
          <w:sz w:val="24"/>
        </w:rPr>
        <w:instrText xml:space="preserve"> PAGEREF _Toc123886397 \h </w:instrText>
      </w:r>
      <w:r>
        <w:rPr>
          <w:sz w:val="24"/>
        </w:rPr>
        <w:fldChar w:fldCharType="separate"/>
      </w:r>
      <w:r>
        <w:rPr>
          <w:sz w:val="24"/>
        </w:rPr>
        <w:t>36</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"_Toc123886398" </w:instrText>
      </w:r>
      <w:r>
        <w:fldChar w:fldCharType="separate"/>
      </w:r>
      <w:r>
        <w:rPr>
          <w:rStyle w:val="60"/>
          <w:sz w:val="24"/>
        </w:rPr>
        <w:t>2.3 评价因子与评价标准</w:t>
      </w:r>
      <w:r>
        <w:rPr>
          <w:sz w:val="24"/>
        </w:rPr>
        <w:tab/>
      </w:r>
      <w:r>
        <w:rPr>
          <w:sz w:val="24"/>
        </w:rPr>
        <w:fldChar w:fldCharType="begin"/>
      </w:r>
      <w:r>
        <w:rPr>
          <w:sz w:val="24"/>
        </w:rPr>
        <w:instrText xml:space="preserve"> PAGEREF _Toc123886398 \h </w:instrText>
      </w:r>
      <w:r>
        <w:rPr>
          <w:sz w:val="24"/>
        </w:rPr>
        <w:fldChar w:fldCharType="separate"/>
      </w:r>
      <w:r>
        <w:rPr>
          <w:sz w:val="24"/>
        </w:rPr>
        <w:t>38</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"_Toc123886399" </w:instrText>
      </w:r>
      <w:r>
        <w:fldChar w:fldCharType="separate"/>
      </w:r>
      <w:r>
        <w:rPr>
          <w:rStyle w:val="60"/>
          <w:sz w:val="24"/>
        </w:rPr>
        <w:t>2.4 评价工作等级</w:t>
      </w:r>
      <w:r>
        <w:rPr>
          <w:sz w:val="24"/>
        </w:rPr>
        <w:tab/>
      </w:r>
      <w:r>
        <w:rPr>
          <w:sz w:val="24"/>
        </w:rPr>
        <w:fldChar w:fldCharType="begin"/>
      </w:r>
      <w:r>
        <w:rPr>
          <w:sz w:val="24"/>
        </w:rPr>
        <w:instrText xml:space="preserve"> PAGEREF _Toc123886399 \h </w:instrText>
      </w:r>
      <w:r>
        <w:rPr>
          <w:sz w:val="24"/>
        </w:rPr>
        <w:fldChar w:fldCharType="separate"/>
      </w:r>
      <w:r>
        <w:rPr>
          <w:sz w:val="24"/>
        </w:rPr>
        <w:t>44</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"_Toc123886400" </w:instrText>
      </w:r>
      <w:r>
        <w:fldChar w:fldCharType="separate"/>
      </w:r>
      <w:r>
        <w:rPr>
          <w:rStyle w:val="60"/>
          <w:sz w:val="24"/>
        </w:rPr>
        <w:t>2.5 评价工作范围</w:t>
      </w:r>
      <w:r>
        <w:rPr>
          <w:sz w:val="24"/>
        </w:rPr>
        <w:tab/>
      </w:r>
      <w:r>
        <w:rPr>
          <w:sz w:val="24"/>
        </w:rPr>
        <w:fldChar w:fldCharType="begin"/>
      </w:r>
      <w:r>
        <w:rPr>
          <w:sz w:val="24"/>
        </w:rPr>
        <w:instrText xml:space="preserve"> PAGEREF _Toc123886400 \h </w:instrText>
      </w:r>
      <w:r>
        <w:rPr>
          <w:sz w:val="24"/>
        </w:rPr>
        <w:fldChar w:fldCharType="separate"/>
      </w:r>
      <w:r>
        <w:rPr>
          <w:sz w:val="24"/>
        </w:rPr>
        <w:t>49</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"_Toc123886401" </w:instrText>
      </w:r>
      <w:r>
        <w:fldChar w:fldCharType="separate"/>
      </w:r>
      <w:r>
        <w:rPr>
          <w:rStyle w:val="60"/>
          <w:sz w:val="24"/>
        </w:rPr>
        <w:t>2.6 环境保护目标</w:t>
      </w:r>
      <w:r>
        <w:rPr>
          <w:sz w:val="24"/>
        </w:rPr>
        <w:tab/>
      </w:r>
      <w:r>
        <w:rPr>
          <w:sz w:val="24"/>
        </w:rPr>
        <w:fldChar w:fldCharType="begin"/>
      </w:r>
      <w:r>
        <w:rPr>
          <w:sz w:val="24"/>
        </w:rPr>
        <w:instrText xml:space="preserve"> PAGEREF _Toc123886401 \h </w:instrText>
      </w:r>
      <w:r>
        <w:rPr>
          <w:sz w:val="24"/>
        </w:rPr>
        <w:fldChar w:fldCharType="separate"/>
      </w:r>
      <w:r>
        <w:rPr>
          <w:sz w:val="24"/>
        </w:rPr>
        <w:t>50</w:t>
      </w:r>
      <w:r>
        <w:rPr>
          <w:sz w:val="24"/>
        </w:rPr>
        <w:fldChar w:fldCharType="end"/>
      </w:r>
      <w:r>
        <w:rPr>
          <w:sz w:val="24"/>
        </w:rPr>
        <w:fldChar w:fldCharType="end"/>
      </w:r>
    </w:p>
    <w:p>
      <w:pPr>
        <w:pStyle w:val="34"/>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b/>
          <w:sz w:val="24"/>
        </w:rPr>
      </w:pPr>
      <w:r>
        <w:fldChar w:fldCharType="begin"/>
      </w:r>
      <w:r>
        <w:instrText xml:space="preserve"> HYPERLINK \l "_Toc123886402" </w:instrText>
      </w:r>
      <w:r>
        <w:fldChar w:fldCharType="separate"/>
      </w:r>
      <w:r>
        <w:rPr>
          <w:rStyle w:val="60"/>
          <w:b/>
          <w:sz w:val="24"/>
        </w:rPr>
        <w:t>3 建设项目概况与工程分析</w:t>
      </w:r>
      <w:r>
        <w:rPr>
          <w:b/>
          <w:sz w:val="24"/>
        </w:rPr>
        <w:tab/>
      </w:r>
      <w:r>
        <w:rPr>
          <w:b/>
          <w:sz w:val="24"/>
        </w:rPr>
        <w:fldChar w:fldCharType="begin"/>
      </w:r>
      <w:r>
        <w:rPr>
          <w:b/>
          <w:sz w:val="24"/>
        </w:rPr>
        <w:instrText xml:space="preserve"> PAGEREF _Toc123886402 \h </w:instrText>
      </w:r>
      <w:r>
        <w:rPr>
          <w:b/>
          <w:sz w:val="24"/>
        </w:rPr>
        <w:fldChar w:fldCharType="separate"/>
      </w:r>
      <w:r>
        <w:rPr>
          <w:b/>
          <w:sz w:val="24"/>
        </w:rPr>
        <w:t>54</w:t>
      </w:r>
      <w:r>
        <w:rPr>
          <w:b/>
          <w:sz w:val="24"/>
        </w:rPr>
        <w:fldChar w:fldCharType="end"/>
      </w:r>
      <w:r>
        <w:rPr>
          <w:b/>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"_Toc123886403" </w:instrText>
      </w:r>
      <w:r>
        <w:fldChar w:fldCharType="separate"/>
      </w:r>
      <w:r>
        <w:rPr>
          <w:rStyle w:val="60"/>
          <w:sz w:val="24"/>
        </w:rPr>
        <w:t>3.1 项目概况</w:t>
      </w:r>
      <w:r>
        <w:rPr>
          <w:sz w:val="24"/>
        </w:rPr>
        <w:tab/>
      </w:r>
      <w:r>
        <w:rPr>
          <w:sz w:val="24"/>
        </w:rPr>
        <w:fldChar w:fldCharType="begin"/>
      </w:r>
      <w:r>
        <w:rPr>
          <w:sz w:val="24"/>
        </w:rPr>
        <w:instrText xml:space="preserve"> PAGEREF _Toc123886403 \h </w:instrText>
      </w:r>
      <w:r>
        <w:rPr>
          <w:sz w:val="24"/>
        </w:rPr>
        <w:fldChar w:fldCharType="separate"/>
      </w:r>
      <w:r>
        <w:rPr>
          <w:sz w:val="24"/>
        </w:rPr>
        <w:t>54</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"_Toc123886404" </w:instrText>
      </w:r>
      <w:r>
        <w:fldChar w:fldCharType="separate"/>
      </w:r>
      <w:r>
        <w:rPr>
          <w:rStyle w:val="60"/>
          <w:sz w:val="24"/>
        </w:rPr>
        <w:t>3.2 工程分析</w:t>
      </w:r>
      <w:r>
        <w:rPr>
          <w:sz w:val="24"/>
        </w:rPr>
        <w:tab/>
      </w:r>
      <w:r>
        <w:rPr>
          <w:sz w:val="24"/>
        </w:rPr>
        <w:fldChar w:fldCharType="begin"/>
      </w:r>
      <w:r>
        <w:rPr>
          <w:sz w:val="24"/>
        </w:rPr>
        <w:instrText xml:space="preserve"> PAGEREF _Toc123886404 \h </w:instrText>
      </w:r>
      <w:r>
        <w:rPr>
          <w:sz w:val="24"/>
        </w:rPr>
        <w:fldChar w:fldCharType="separate"/>
      </w:r>
      <w:r>
        <w:rPr>
          <w:sz w:val="24"/>
        </w:rPr>
        <w:t>64</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"_Toc123886405" </w:instrText>
      </w:r>
      <w:r>
        <w:fldChar w:fldCharType="separate"/>
      </w:r>
      <w:r>
        <w:rPr>
          <w:rStyle w:val="60"/>
          <w:sz w:val="24"/>
        </w:rPr>
        <w:t>3.3 污染源源强核算</w:t>
      </w:r>
      <w:r>
        <w:rPr>
          <w:sz w:val="24"/>
        </w:rPr>
        <w:tab/>
      </w:r>
      <w:r>
        <w:rPr>
          <w:sz w:val="24"/>
        </w:rPr>
        <w:fldChar w:fldCharType="begin"/>
      </w:r>
      <w:r>
        <w:rPr>
          <w:sz w:val="24"/>
        </w:rPr>
        <w:instrText xml:space="preserve"> PAGEREF _Toc123886405 \h </w:instrText>
      </w:r>
      <w:r>
        <w:rPr>
          <w:sz w:val="24"/>
        </w:rPr>
        <w:fldChar w:fldCharType="separate"/>
      </w:r>
      <w:r>
        <w:rPr>
          <w:sz w:val="24"/>
        </w:rPr>
        <w:t>71</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"_Toc123886406" </w:instrText>
      </w:r>
      <w:r>
        <w:fldChar w:fldCharType="separate"/>
      </w:r>
      <w:r>
        <w:rPr>
          <w:rStyle w:val="60"/>
          <w:sz w:val="24"/>
        </w:rPr>
        <w:t>3.4 环境风险</w:t>
      </w:r>
      <w:r>
        <w:rPr>
          <w:sz w:val="24"/>
        </w:rPr>
        <w:tab/>
      </w:r>
      <w:r>
        <w:rPr>
          <w:sz w:val="24"/>
        </w:rPr>
        <w:fldChar w:fldCharType="begin"/>
      </w:r>
      <w:r>
        <w:rPr>
          <w:sz w:val="24"/>
        </w:rPr>
        <w:instrText xml:space="preserve"> PAGEREF _Toc123886406 \h </w:instrText>
      </w:r>
      <w:r>
        <w:rPr>
          <w:sz w:val="24"/>
        </w:rPr>
        <w:fldChar w:fldCharType="separate"/>
      </w:r>
      <w:r>
        <w:rPr>
          <w:sz w:val="24"/>
        </w:rPr>
        <w:t>89</w:t>
      </w:r>
      <w:r>
        <w:rPr>
          <w:sz w:val="24"/>
        </w:rPr>
        <w:fldChar w:fldCharType="end"/>
      </w:r>
      <w:r>
        <w:rPr>
          <w:sz w:val="24"/>
        </w:rPr>
        <w:fldChar w:fldCharType="end"/>
      </w:r>
    </w:p>
    <w:p>
      <w:pPr>
        <w:pStyle w:val="34"/>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b/>
          <w:sz w:val="24"/>
        </w:rPr>
      </w:pPr>
      <w:r>
        <w:fldChar w:fldCharType="begin"/>
      </w:r>
      <w:r>
        <w:instrText xml:space="preserve"> HYPERLINK \l "_Toc123886407" </w:instrText>
      </w:r>
      <w:r>
        <w:fldChar w:fldCharType="separate"/>
      </w:r>
      <w:r>
        <w:rPr>
          <w:rStyle w:val="60"/>
          <w:b/>
          <w:sz w:val="24"/>
        </w:rPr>
        <w:t>4 区域环境概况</w:t>
      </w:r>
      <w:r>
        <w:rPr>
          <w:b/>
          <w:sz w:val="24"/>
        </w:rPr>
        <w:tab/>
      </w:r>
      <w:r>
        <w:rPr>
          <w:b/>
          <w:sz w:val="24"/>
        </w:rPr>
        <w:fldChar w:fldCharType="begin"/>
      </w:r>
      <w:r>
        <w:rPr>
          <w:b/>
          <w:sz w:val="24"/>
        </w:rPr>
        <w:instrText xml:space="preserve"> PAGEREF _Toc123886407 \h </w:instrText>
      </w:r>
      <w:r>
        <w:rPr>
          <w:b/>
          <w:sz w:val="24"/>
        </w:rPr>
        <w:fldChar w:fldCharType="separate"/>
      </w:r>
      <w:r>
        <w:rPr>
          <w:b/>
          <w:sz w:val="24"/>
        </w:rPr>
        <w:t>92</w:t>
      </w:r>
      <w:r>
        <w:rPr>
          <w:b/>
          <w:sz w:val="24"/>
        </w:rPr>
        <w:fldChar w:fldCharType="end"/>
      </w:r>
      <w:r>
        <w:rPr>
          <w:b/>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"_Toc123886408" </w:instrText>
      </w:r>
      <w:r>
        <w:fldChar w:fldCharType="separate"/>
      </w:r>
      <w:r>
        <w:rPr>
          <w:rStyle w:val="60"/>
          <w:sz w:val="24"/>
        </w:rPr>
        <w:t>4.1 自然环境概况</w:t>
      </w:r>
      <w:r>
        <w:rPr>
          <w:sz w:val="24"/>
        </w:rPr>
        <w:tab/>
      </w:r>
      <w:r>
        <w:rPr>
          <w:sz w:val="24"/>
        </w:rPr>
        <w:fldChar w:fldCharType="begin"/>
      </w:r>
      <w:r>
        <w:rPr>
          <w:sz w:val="24"/>
        </w:rPr>
        <w:instrText xml:space="preserve"> PAGEREF _Toc123886408 \h </w:instrText>
      </w:r>
      <w:r>
        <w:rPr>
          <w:sz w:val="24"/>
        </w:rPr>
        <w:fldChar w:fldCharType="separate"/>
      </w:r>
      <w:r>
        <w:rPr>
          <w:sz w:val="24"/>
        </w:rPr>
        <w:t>92</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"_Toc123886409" </w:instrText>
      </w:r>
      <w:r>
        <w:fldChar w:fldCharType="separate"/>
      </w:r>
      <w:r>
        <w:rPr>
          <w:rStyle w:val="60"/>
          <w:sz w:val="24"/>
        </w:rPr>
        <w:t>4.2 区域污染源调查</w:t>
      </w:r>
      <w:r>
        <w:rPr>
          <w:sz w:val="24"/>
        </w:rPr>
        <w:tab/>
      </w:r>
      <w:r>
        <w:rPr>
          <w:sz w:val="24"/>
        </w:rPr>
        <w:fldChar w:fldCharType="begin"/>
      </w:r>
      <w:r>
        <w:rPr>
          <w:sz w:val="24"/>
        </w:rPr>
        <w:instrText xml:space="preserve"> PAGEREF _Toc123886409 \h </w:instrText>
      </w:r>
      <w:r>
        <w:rPr>
          <w:sz w:val="24"/>
        </w:rPr>
        <w:fldChar w:fldCharType="separate"/>
      </w:r>
      <w:r>
        <w:rPr>
          <w:sz w:val="24"/>
        </w:rPr>
        <w:t>95</w:t>
      </w:r>
      <w:r>
        <w:rPr>
          <w:sz w:val="24"/>
        </w:rPr>
        <w:fldChar w:fldCharType="end"/>
      </w:r>
      <w:r>
        <w:rPr>
          <w:sz w:val="24"/>
        </w:rPr>
        <w:fldChar w:fldCharType="end"/>
      </w:r>
    </w:p>
    <w:p>
      <w:pPr>
        <w:pStyle w:val="34"/>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b/>
          <w:sz w:val="24"/>
        </w:rPr>
      </w:pPr>
      <w:r>
        <w:fldChar w:fldCharType="begin"/>
      </w:r>
      <w:r>
        <w:instrText xml:space="preserve"> HYPERLINK \l "_Toc123886410" </w:instrText>
      </w:r>
      <w:r>
        <w:fldChar w:fldCharType="separate"/>
      </w:r>
      <w:r>
        <w:rPr>
          <w:rStyle w:val="60"/>
          <w:b/>
          <w:sz w:val="24"/>
        </w:rPr>
        <w:t>5 环境质量现状调查与评价</w:t>
      </w:r>
      <w:r>
        <w:rPr>
          <w:b/>
          <w:sz w:val="24"/>
        </w:rPr>
        <w:tab/>
      </w:r>
      <w:r>
        <w:rPr>
          <w:b/>
          <w:sz w:val="24"/>
        </w:rPr>
        <w:fldChar w:fldCharType="begin"/>
      </w:r>
      <w:r>
        <w:rPr>
          <w:b/>
          <w:sz w:val="24"/>
        </w:rPr>
        <w:instrText xml:space="preserve"> PAGEREF _Toc123886410 \h </w:instrText>
      </w:r>
      <w:r>
        <w:rPr>
          <w:b/>
          <w:sz w:val="24"/>
        </w:rPr>
        <w:fldChar w:fldCharType="separate"/>
      </w:r>
      <w:r>
        <w:rPr>
          <w:b/>
          <w:sz w:val="24"/>
        </w:rPr>
        <w:t>96</w:t>
      </w:r>
      <w:r>
        <w:rPr>
          <w:b/>
          <w:sz w:val="24"/>
        </w:rPr>
        <w:fldChar w:fldCharType="end"/>
      </w:r>
      <w:r>
        <w:rPr>
          <w:b/>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"_Toc123886411" </w:instrText>
      </w:r>
      <w:r>
        <w:fldChar w:fldCharType="separate"/>
      </w:r>
      <w:r>
        <w:rPr>
          <w:rStyle w:val="60"/>
          <w:sz w:val="24"/>
        </w:rPr>
        <w:t>5.1 环境空气质量现状监测价</w:t>
      </w:r>
      <w:r>
        <w:rPr>
          <w:sz w:val="24"/>
        </w:rPr>
        <w:tab/>
      </w:r>
      <w:r>
        <w:rPr>
          <w:sz w:val="24"/>
        </w:rPr>
        <w:fldChar w:fldCharType="begin"/>
      </w:r>
      <w:r>
        <w:rPr>
          <w:sz w:val="24"/>
        </w:rPr>
        <w:instrText xml:space="preserve"> PAGEREF _Toc123886411 \h </w:instrText>
      </w:r>
      <w:r>
        <w:rPr>
          <w:sz w:val="24"/>
        </w:rPr>
        <w:fldChar w:fldCharType="separate"/>
      </w:r>
      <w:r>
        <w:rPr>
          <w:sz w:val="24"/>
        </w:rPr>
        <w:t>96</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"_Toc123886412" </w:instrText>
      </w:r>
      <w:r>
        <w:fldChar w:fldCharType="separate"/>
      </w:r>
      <w:r>
        <w:rPr>
          <w:rStyle w:val="60"/>
          <w:sz w:val="24"/>
        </w:rPr>
        <w:t>5.2 地表水质量现状监测与评价</w:t>
      </w:r>
      <w:r>
        <w:rPr>
          <w:sz w:val="24"/>
        </w:rPr>
        <w:tab/>
      </w:r>
      <w:r>
        <w:rPr>
          <w:sz w:val="24"/>
        </w:rPr>
        <w:fldChar w:fldCharType="begin"/>
      </w:r>
      <w:r>
        <w:rPr>
          <w:sz w:val="24"/>
        </w:rPr>
        <w:instrText xml:space="preserve"> PAGEREF _Toc123886412 \h </w:instrText>
      </w:r>
      <w:r>
        <w:rPr>
          <w:sz w:val="24"/>
        </w:rPr>
        <w:fldChar w:fldCharType="separate"/>
      </w:r>
      <w:r>
        <w:rPr>
          <w:sz w:val="24"/>
        </w:rPr>
        <w:t>98</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"_Toc123886413" </w:instrText>
      </w:r>
      <w:r>
        <w:fldChar w:fldCharType="separate"/>
      </w:r>
      <w:r>
        <w:rPr>
          <w:rStyle w:val="60"/>
          <w:sz w:val="24"/>
        </w:rPr>
        <w:t>5.3 地下水质量现状监测与评价</w:t>
      </w:r>
      <w:r>
        <w:rPr>
          <w:sz w:val="24"/>
        </w:rPr>
        <w:tab/>
      </w:r>
      <w:r>
        <w:rPr>
          <w:sz w:val="24"/>
        </w:rPr>
        <w:fldChar w:fldCharType="begin"/>
      </w:r>
      <w:r>
        <w:rPr>
          <w:sz w:val="24"/>
        </w:rPr>
        <w:instrText xml:space="preserve"> PAGEREF _Toc123886413 \h </w:instrText>
      </w:r>
      <w:r>
        <w:rPr>
          <w:sz w:val="24"/>
        </w:rPr>
        <w:fldChar w:fldCharType="separate"/>
      </w:r>
      <w:r>
        <w:rPr>
          <w:sz w:val="24"/>
        </w:rPr>
        <w:t>100</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"_Toc123886414" </w:instrText>
      </w:r>
      <w:r>
        <w:fldChar w:fldCharType="separate"/>
      </w:r>
      <w:r>
        <w:rPr>
          <w:rStyle w:val="60"/>
          <w:sz w:val="24"/>
        </w:rPr>
        <w:t>5.4 声环境质量现状调查与评价</w:t>
      </w:r>
      <w:r>
        <w:rPr>
          <w:sz w:val="24"/>
        </w:rPr>
        <w:tab/>
      </w:r>
      <w:r>
        <w:rPr>
          <w:sz w:val="24"/>
        </w:rPr>
        <w:fldChar w:fldCharType="begin"/>
      </w:r>
      <w:r>
        <w:rPr>
          <w:sz w:val="24"/>
        </w:rPr>
        <w:instrText xml:space="preserve"> PAGEREF _Toc123886414 \h </w:instrText>
      </w:r>
      <w:r>
        <w:rPr>
          <w:sz w:val="24"/>
        </w:rPr>
        <w:fldChar w:fldCharType="separate"/>
      </w:r>
      <w:r>
        <w:rPr>
          <w:sz w:val="24"/>
        </w:rPr>
        <w:t>102</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"_Toc123886415" </w:instrText>
      </w:r>
      <w:r>
        <w:fldChar w:fldCharType="separate"/>
      </w:r>
      <w:r>
        <w:rPr>
          <w:rStyle w:val="60"/>
          <w:sz w:val="24"/>
        </w:rPr>
        <w:t>5.5 土壤环境质量现状</w:t>
      </w:r>
      <w:r>
        <w:rPr>
          <w:sz w:val="24"/>
        </w:rPr>
        <w:tab/>
      </w:r>
      <w:r>
        <w:rPr>
          <w:sz w:val="24"/>
        </w:rPr>
        <w:fldChar w:fldCharType="begin"/>
      </w:r>
      <w:r>
        <w:rPr>
          <w:sz w:val="24"/>
        </w:rPr>
        <w:instrText xml:space="preserve"> PAGEREF _Toc123886415 \h </w:instrText>
      </w:r>
      <w:r>
        <w:rPr>
          <w:sz w:val="24"/>
        </w:rPr>
        <w:fldChar w:fldCharType="separate"/>
      </w:r>
      <w:r>
        <w:rPr>
          <w:sz w:val="24"/>
        </w:rPr>
        <w:t>103</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"_Toc123886416" </w:instrText>
      </w:r>
      <w:r>
        <w:fldChar w:fldCharType="separate"/>
      </w:r>
      <w:r>
        <w:rPr>
          <w:rStyle w:val="60"/>
          <w:sz w:val="24"/>
        </w:rPr>
        <w:t>5.6 生态环境质量现状</w:t>
      </w:r>
      <w:r>
        <w:rPr>
          <w:sz w:val="24"/>
        </w:rPr>
        <w:tab/>
      </w:r>
      <w:r>
        <w:rPr>
          <w:sz w:val="24"/>
        </w:rPr>
        <w:fldChar w:fldCharType="begin"/>
      </w:r>
      <w:r>
        <w:rPr>
          <w:sz w:val="24"/>
        </w:rPr>
        <w:instrText xml:space="preserve"> PAGEREF _Toc123886416 \h </w:instrText>
      </w:r>
      <w:r>
        <w:rPr>
          <w:sz w:val="24"/>
        </w:rPr>
        <w:fldChar w:fldCharType="separate"/>
      </w:r>
      <w:r>
        <w:rPr>
          <w:sz w:val="24"/>
        </w:rPr>
        <w:t>104</w:t>
      </w:r>
      <w:r>
        <w:rPr>
          <w:sz w:val="24"/>
        </w:rPr>
        <w:fldChar w:fldCharType="end"/>
      </w:r>
      <w:r>
        <w:rPr>
          <w:sz w:val="24"/>
        </w:rPr>
        <w:fldChar w:fldCharType="end"/>
      </w:r>
    </w:p>
    <w:p>
      <w:pPr>
        <w:pStyle w:val="34"/>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b/>
          <w:sz w:val="24"/>
        </w:rPr>
      </w:pPr>
      <w:r>
        <w:fldChar w:fldCharType="begin"/>
      </w:r>
      <w:r>
        <w:instrText xml:space="preserve"> HYPERLINK \l "_Toc123886417" </w:instrText>
      </w:r>
      <w:r>
        <w:fldChar w:fldCharType="separate"/>
      </w:r>
      <w:r>
        <w:rPr>
          <w:rStyle w:val="60"/>
          <w:b/>
          <w:sz w:val="24"/>
        </w:rPr>
        <w:t>6 环境影响预测与评价</w:t>
      </w:r>
      <w:r>
        <w:rPr>
          <w:b/>
          <w:sz w:val="24"/>
        </w:rPr>
        <w:tab/>
      </w:r>
      <w:r>
        <w:rPr>
          <w:b/>
          <w:sz w:val="24"/>
        </w:rPr>
        <w:fldChar w:fldCharType="begin"/>
      </w:r>
      <w:r>
        <w:rPr>
          <w:b/>
          <w:sz w:val="24"/>
        </w:rPr>
        <w:instrText xml:space="preserve"> PAGEREF _Toc123886417 \h </w:instrText>
      </w:r>
      <w:r>
        <w:rPr>
          <w:b/>
          <w:sz w:val="24"/>
        </w:rPr>
        <w:fldChar w:fldCharType="separate"/>
      </w:r>
      <w:r>
        <w:rPr>
          <w:b/>
          <w:sz w:val="24"/>
        </w:rPr>
        <w:t>106</w:t>
      </w:r>
      <w:r>
        <w:rPr>
          <w:b/>
          <w:sz w:val="24"/>
        </w:rPr>
        <w:fldChar w:fldCharType="end"/>
      </w:r>
      <w:r>
        <w:rPr>
          <w:b/>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"_Toc123886418" </w:instrText>
      </w:r>
      <w:r>
        <w:fldChar w:fldCharType="separate"/>
      </w:r>
      <w:r>
        <w:rPr>
          <w:rStyle w:val="60"/>
          <w:sz w:val="24"/>
        </w:rPr>
        <w:t>6.1 施工期环境影响分析</w:t>
      </w:r>
      <w:r>
        <w:rPr>
          <w:sz w:val="24"/>
        </w:rPr>
        <w:tab/>
      </w:r>
      <w:r>
        <w:rPr>
          <w:sz w:val="24"/>
        </w:rPr>
        <w:fldChar w:fldCharType="begin"/>
      </w:r>
      <w:r>
        <w:rPr>
          <w:sz w:val="24"/>
        </w:rPr>
        <w:instrText xml:space="preserve"> PAGEREF _Toc123886418 \h </w:instrText>
      </w:r>
      <w:r>
        <w:rPr>
          <w:sz w:val="24"/>
        </w:rPr>
        <w:fldChar w:fldCharType="separate"/>
      </w:r>
      <w:r>
        <w:rPr>
          <w:sz w:val="24"/>
        </w:rPr>
        <w:t>106</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"_Toc123886419" </w:instrText>
      </w:r>
      <w:r>
        <w:fldChar w:fldCharType="separate"/>
      </w:r>
      <w:r>
        <w:rPr>
          <w:rStyle w:val="60"/>
          <w:sz w:val="24"/>
        </w:rPr>
        <w:t>6.2 运营期环境影响分析</w:t>
      </w:r>
      <w:r>
        <w:rPr>
          <w:sz w:val="24"/>
        </w:rPr>
        <w:tab/>
      </w:r>
      <w:r>
        <w:rPr>
          <w:sz w:val="24"/>
        </w:rPr>
        <w:fldChar w:fldCharType="begin"/>
      </w:r>
      <w:r>
        <w:rPr>
          <w:sz w:val="24"/>
        </w:rPr>
        <w:instrText xml:space="preserve"> PAGEREF _Toc123886419 \h </w:instrText>
      </w:r>
      <w:r>
        <w:rPr>
          <w:sz w:val="24"/>
        </w:rPr>
        <w:fldChar w:fldCharType="separate"/>
      </w:r>
      <w:r>
        <w:rPr>
          <w:sz w:val="24"/>
        </w:rPr>
        <w:t>116</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"_Toc123886420" </w:instrText>
      </w:r>
      <w:r>
        <w:fldChar w:fldCharType="separate"/>
      </w:r>
      <w:r>
        <w:rPr>
          <w:rStyle w:val="60"/>
          <w:sz w:val="24"/>
        </w:rPr>
        <w:t>6.3 环境风险评价</w:t>
      </w:r>
      <w:r>
        <w:rPr>
          <w:sz w:val="24"/>
        </w:rPr>
        <w:tab/>
      </w:r>
      <w:r>
        <w:rPr>
          <w:sz w:val="24"/>
        </w:rPr>
        <w:fldChar w:fldCharType="begin"/>
      </w:r>
      <w:r>
        <w:rPr>
          <w:sz w:val="24"/>
        </w:rPr>
        <w:instrText xml:space="preserve"> PAGEREF _Toc123886420 \h </w:instrText>
      </w:r>
      <w:r>
        <w:rPr>
          <w:sz w:val="24"/>
        </w:rPr>
        <w:fldChar w:fldCharType="separate"/>
      </w:r>
      <w:r>
        <w:rPr>
          <w:sz w:val="24"/>
        </w:rPr>
        <w:t>142</w:t>
      </w:r>
      <w:r>
        <w:rPr>
          <w:sz w:val="24"/>
        </w:rPr>
        <w:fldChar w:fldCharType="end"/>
      </w:r>
      <w:r>
        <w:rPr>
          <w:sz w:val="24"/>
        </w:rPr>
        <w:fldChar w:fldCharType="end"/>
      </w:r>
    </w:p>
    <w:p>
      <w:pPr>
        <w:pStyle w:val="34"/>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b/>
          <w:sz w:val="24"/>
        </w:rPr>
      </w:pPr>
      <w:r>
        <w:fldChar w:fldCharType="begin"/>
      </w:r>
      <w:r>
        <w:instrText xml:space="preserve"> HYPERLINK \l "_Toc123886421" </w:instrText>
      </w:r>
      <w:r>
        <w:fldChar w:fldCharType="separate"/>
      </w:r>
      <w:r>
        <w:rPr>
          <w:rStyle w:val="60"/>
          <w:b/>
          <w:sz w:val="24"/>
        </w:rPr>
        <w:t>7 污染防治措施及经济技术可行性分析</w:t>
      </w:r>
      <w:r>
        <w:rPr>
          <w:b/>
          <w:sz w:val="24"/>
        </w:rPr>
        <w:tab/>
      </w:r>
      <w:r>
        <w:rPr>
          <w:b/>
          <w:sz w:val="24"/>
        </w:rPr>
        <w:fldChar w:fldCharType="begin"/>
      </w:r>
      <w:r>
        <w:rPr>
          <w:b/>
          <w:sz w:val="24"/>
        </w:rPr>
        <w:instrText xml:space="preserve"> PAGEREF _Toc123886421 \h </w:instrText>
      </w:r>
      <w:r>
        <w:rPr>
          <w:b/>
          <w:sz w:val="24"/>
        </w:rPr>
        <w:fldChar w:fldCharType="separate"/>
      </w:r>
      <w:r>
        <w:rPr>
          <w:b/>
          <w:sz w:val="24"/>
        </w:rPr>
        <w:t>144</w:t>
      </w:r>
      <w:r>
        <w:rPr>
          <w:b/>
          <w:sz w:val="24"/>
        </w:rPr>
        <w:fldChar w:fldCharType="end"/>
      </w:r>
      <w:r>
        <w:rPr>
          <w:b/>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"_Toc123886422" </w:instrText>
      </w:r>
      <w:r>
        <w:fldChar w:fldCharType="separate"/>
      </w:r>
      <w:r>
        <w:rPr>
          <w:rStyle w:val="60"/>
          <w:sz w:val="24"/>
        </w:rPr>
        <w:t>7.1 施工期污染防治措施及可行性论证</w:t>
      </w:r>
      <w:r>
        <w:rPr>
          <w:sz w:val="24"/>
        </w:rPr>
        <w:tab/>
      </w:r>
      <w:r>
        <w:rPr>
          <w:sz w:val="24"/>
        </w:rPr>
        <w:fldChar w:fldCharType="begin"/>
      </w:r>
      <w:r>
        <w:rPr>
          <w:sz w:val="24"/>
        </w:rPr>
        <w:instrText xml:space="preserve"> PAGEREF _Toc123886422 \h </w:instrText>
      </w:r>
      <w:r>
        <w:rPr>
          <w:sz w:val="24"/>
        </w:rPr>
        <w:fldChar w:fldCharType="separate"/>
      </w:r>
      <w:r>
        <w:rPr>
          <w:sz w:val="24"/>
        </w:rPr>
        <w:t>144</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"_Toc123886423" </w:instrText>
      </w:r>
      <w:r>
        <w:fldChar w:fldCharType="separate"/>
      </w:r>
      <w:r>
        <w:rPr>
          <w:rStyle w:val="60"/>
          <w:sz w:val="24"/>
        </w:rPr>
        <w:t>7.2 运营期污染防治措施及可行性论证</w:t>
      </w:r>
      <w:r>
        <w:rPr>
          <w:sz w:val="24"/>
        </w:rPr>
        <w:tab/>
      </w:r>
      <w:r>
        <w:rPr>
          <w:sz w:val="24"/>
        </w:rPr>
        <w:fldChar w:fldCharType="begin"/>
      </w:r>
      <w:r>
        <w:rPr>
          <w:sz w:val="24"/>
        </w:rPr>
        <w:instrText xml:space="preserve"> PAGEREF _Toc123886423 \h </w:instrText>
      </w:r>
      <w:r>
        <w:rPr>
          <w:sz w:val="24"/>
        </w:rPr>
        <w:fldChar w:fldCharType="separate"/>
      </w:r>
      <w:r>
        <w:rPr>
          <w:sz w:val="24"/>
        </w:rPr>
        <w:t>149</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b w:val="0"/>
          <w:bCs w:val="0"/>
          <w:sz w:val="24"/>
        </w:rPr>
      </w:pPr>
      <w:r>
        <w:rPr>
          <w:b w:val="0"/>
          <w:bCs w:val="0"/>
        </w:rPr>
        <w:fldChar w:fldCharType="begin"/>
      </w:r>
      <w:r>
        <w:rPr>
          <w:b w:val="0"/>
          <w:bCs w:val="0"/>
        </w:rPr>
        <w:instrText xml:space="preserve"> HYPERLINK \l "_Toc123886424" </w:instrText>
      </w:r>
      <w:r>
        <w:rPr>
          <w:b w:val="0"/>
          <w:bCs w:val="0"/>
        </w:rPr>
        <w:fldChar w:fldCharType="separate"/>
      </w:r>
      <w:r>
        <w:rPr>
          <w:rStyle w:val="60"/>
          <w:b w:val="0"/>
          <w:bCs w:val="0"/>
          <w:sz w:val="24"/>
        </w:rPr>
        <w:t>7.3 项目环保投资估算</w:t>
      </w:r>
      <w:r>
        <w:rPr>
          <w:b w:val="0"/>
          <w:bCs w:val="0"/>
          <w:sz w:val="24"/>
        </w:rPr>
        <w:tab/>
      </w:r>
      <w:r>
        <w:rPr>
          <w:b w:val="0"/>
          <w:bCs w:val="0"/>
          <w:sz w:val="24"/>
        </w:rPr>
        <w:fldChar w:fldCharType="begin"/>
      </w:r>
      <w:r>
        <w:rPr>
          <w:b w:val="0"/>
          <w:bCs w:val="0"/>
          <w:sz w:val="24"/>
        </w:rPr>
        <w:instrText xml:space="preserve"> PAGEREF _Toc123886424 \h </w:instrText>
      </w:r>
      <w:r>
        <w:rPr>
          <w:b w:val="0"/>
          <w:bCs w:val="0"/>
          <w:sz w:val="24"/>
        </w:rPr>
        <w:fldChar w:fldCharType="separate"/>
      </w:r>
      <w:r>
        <w:rPr>
          <w:b w:val="0"/>
          <w:bCs w:val="0"/>
          <w:sz w:val="24"/>
        </w:rPr>
        <w:t>173</w:t>
      </w:r>
      <w:r>
        <w:rPr>
          <w:b w:val="0"/>
          <w:bCs w:val="0"/>
          <w:sz w:val="24"/>
        </w:rPr>
        <w:fldChar w:fldCharType="end"/>
      </w:r>
      <w:r>
        <w:rPr>
          <w:b w:val="0"/>
          <w:bCs w:val="0"/>
          <w:sz w:val="24"/>
        </w:rPr>
        <w:fldChar w:fldCharType="end"/>
      </w:r>
    </w:p>
    <w:p>
      <w:pPr>
        <w:pStyle w:val="34"/>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b/>
          <w:sz w:val="24"/>
        </w:rPr>
      </w:pPr>
      <w:r>
        <w:fldChar w:fldCharType="begin"/>
      </w:r>
      <w:r>
        <w:instrText xml:space="preserve"> HYPERLINK \l "_Toc123886425" </w:instrText>
      </w:r>
      <w:r>
        <w:fldChar w:fldCharType="separate"/>
      </w:r>
      <w:r>
        <w:rPr>
          <w:rStyle w:val="60"/>
          <w:b/>
          <w:sz w:val="24"/>
        </w:rPr>
        <w:t>8 环境影响经济损益分析</w:t>
      </w:r>
      <w:r>
        <w:rPr>
          <w:b/>
          <w:sz w:val="24"/>
        </w:rPr>
        <w:tab/>
      </w:r>
      <w:r>
        <w:rPr>
          <w:b/>
          <w:sz w:val="24"/>
        </w:rPr>
        <w:fldChar w:fldCharType="begin"/>
      </w:r>
      <w:r>
        <w:rPr>
          <w:b/>
          <w:sz w:val="24"/>
        </w:rPr>
        <w:instrText xml:space="preserve"> PAGEREF _Toc123886425 \h </w:instrText>
      </w:r>
      <w:r>
        <w:rPr>
          <w:b/>
          <w:sz w:val="24"/>
        </w:rPr>
        <w:fldChar w:fldCharType="separate"/>
      </w:r>
      <w:r>
        <w:rPr>
          <w:b/>
          <w:sz w:val="24"/>
        </w:rPr>
        <w:t>176</w:t>
      </w:r>
      <w:r>
        <w:rPr>
          <w:b/>
          <w:sz w:val="24"/>
        </w:rPr>
        <w:fldChar w:fldCharType="end"/>
      </w:r>
      <w:r>
        <w:rPr>
          <w:b/>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b w:val="0"/>
          <w:bCs w:val="0"/>
          <w:sz w:val="24"/>
        </w:rPr>
      </w:pPr>
      <w:r>
        <w:rPr>
          <w:b w:val="0"/>
          <w:bCs w:val="0"/>
        </w:rPr>
        <w:fldChar w:fldCharType="begin"/>
      </w:r>
      <w:r>
        <w:rPr>
          <w:b w:val="0"/>
          <w:bCs w:val="0"/>
        </w:rPr>
        <w:instrText xml:space="preserve"> HYPERLINK \l "_Toc123886426" </w:instrText>
      </w:r>
      <w:r>
        <w:rPr>
          <w:b w:val="0"/>
          <w:bCs w:val="0"/>
        </w:rPr>
        <w:fldChar w:fldCharType="separate"/>
      </w:r>
      <w:r>
        <w:rPr>
          <w:rStyle w:val="60"/>
          <w:b w:val="0"/>
          <w:bCs w:val="0"/>
          <w:sz w:val="24"/>
        </w:rPr>
        <w:t>8.1 环境经济效益分析方法</w:t>
      </w:r>
      <w:r>
        <w:rPr>
          <w:b w:val="0"/>
          <w:bCs w:val="0"/>
          <w:sz w:val="24"/>
        </w:rPr>
        <w:tab/>
      </w:r>
      <w:r>
        <w:rPr>
          <w:b w:val="0"/>
          <w:bCs w:val="0"/>
          <w:sz w:val="24"/>
        </w:rPr>
        <w:fldChar w:fldCharType="begin"/>
      </w:r>
      <w:r>
        <w:rPr>
          <w:b w:val="0"/>
          <w:bCs w:val="0"/>
          <w:sz w:val="24"/>
        </w:rPr>
        <w:instrText xml:space="preserve"> PAGEREF _Toc123886426 \h </w:instrText>
      </w:r>
      <w:r>
        <w:rPr>
          <w:b w:val="0"/>
          <w:bCs w:val="0"/>
          <w:sz w:val="24"/>
        </w:rPr>
        <w:fldChar w:fldCharType="separate"/>
      </w:r>
      <w:r>
        <w:rPr>
          <w:b w:val="0"/>
          <w:bCs w:val="0"/>
          <w:sz w:val="24"/>
        </w:rPr>
        <w:t>176</w:t>
      </w:r>
      <w:r>
        <w:rPr>
          <w:b w:val="0"/>
          <w:bCs w:val="0"/>
          <w:sz w:val="24"/>
        </w:rPr>
        <w:fldChar w:fldCharType="end"/>
      </w:r>
      <w:r>
        <w:rPr>
          <w:b w:val="0"/>
          <w:bCs w:val="0"/>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b w:val="0"/>
          <w:bCs w:val="0"/>
          <w:sz w:val="24"/>
        </w:rPr>
      </w:pPr>
      <w:r>
        <w:rPr>
          <w:b w:val="0"/>
          <w:bCs w:val="0"/>
        </w:rPr>
        <w:fldChar w:fldCharType="begin"/>
      </w:r>
      <w:r>
        <w:rPr>
          <w:b w:val="0"/>
          <w:bCs w:val="0"/>
        </w:rPr>
        <w:instrText xml:space="preserve"> HYPERLINK \l "_Toc123886427" </w:instrText>
      </w:r>
      <w:r>
        <w:rPr>
          <w:b w:val="0"/>
          <w:bCs w:val="0"/>
        </w:rPr>
        <w:fldChar w:fldCharType="separate"/>
      </w:r>
      <w:r>
        <w:rPr>
          <w:rStyle w:val="60"/>
          <w:b w:val="0"/>
          <w:bCs w:val="0"/>
          <w:sz w:val="24"/>
        </w:rPr>
        <w:t>8.2 项目社会效益分析</w:t>
      </w:r>
      <w:r>
        <w:rPr>
          <w:b w:val="0"/>
          <w:bCs w:val="0"/>
          <w:sz w:val="24"/>
        </w:rPr>
        <w:tab/>
      </w:r>
      <w:r>
        <w:rPr>
          <w:b w:val="0"/>
          <w:bCs w:val="0"/>
          <w:sz w:val="24"/>
        </w:rPr>
        <w:fldChar w:fldCharType="begin"/>
      </w:r>
      <w:r>
        <w:rPr>
          <w:b w:val="0"/>
          <w:bCs w:val="0"/>
          <w:sz w:val="24"/>
        </w:rPr>
        <w:instrText xml:space="preserve"> PAGEREF _Toc123886427 \h </w:instrText>
      </w:r>
      <w:r>
        <w:rPr>
          <w:b w:val="0"/>
          <w:bCs w:val="0"/>
          <w:sz w:val="24"/>
        </w:rPr>
        <w:fldChar w:fldCharType="separate"/>
      </w:r>
      <w:r>
        <w:rPr>
          <w:b w:val="0"/>
          <w:bCs w:val="0"/>
          <w:sz w:val="24"/>
        </w:rPr>
        <w:t>176</w:t>
      </w:r>
      <w:r>
        <w:rPr>
          <w:b w:val="0"/>
          <w:bCs w:val="0"/>
          <w:sz w:val="24"/>
        </w:rPr>
        <w:fldChar w:fldCharType="end"/>
      </w:r>
      <w:r>
        <w:rPr>
          <w:b w:val="0"/>
          <w:bCs w:val="0"/>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b w:val="0"/>
          <w:bCs w:val="0"/>
          <w:sz w:val="24"/>
        </w:rPr>
      </w:pPr>
      <w:r>
        <w:rPr>
          <w:b w:val="0"/>
          <w:bCs w:val="0"/>
        </w:rPr>
        <w:fldChar w:fldCharType="begin"/>
      </w:r>
      <w:r>
        <w:rPr>
          <w:b w:val="0"/>
          <w:bCs w:val="0"/>
        </w:rPr>
        <w:instrText xml:space="preserve"> HYPERLINK \l "_Toc123886428" </w:instrText>
      </w:r>
      <w:r>
        <w:rPr>
          <w:b w:val="0"/>
          <w:bCs w:val="0"/>
        </w:rPr>
        <w:fldChar w:fldCharType="separate"/>
      </w:r>
      <w:r>
        <w:rPr>
          <w:rStyle w:val="60"/>
          <w:b w:val="0"/>
          <w:bCs w:val="0"/>
          <w:sz w:val="24"/>
        </w:rPr>
        <w:t>8.3 项目经济效益分析</w:t>
      </w:r>
      <w:r>
        <w:rPr>
          <w:b w:val="0"/>
          <w:bCs w:val="0"/>
          <w:sz w:val="24"/>
        </w:rPr>
        <w:tab/>
      </w:r>
      <w:r>
        <w:rPr>
          <w:b w:val="0"/>
          <w:bCs w:val="0"/>
          <w:sz w:val="24"/>
        </w:rPr>
        <w:fldChar w:fldCharType="begin"/>
      </w:r>
      <w:r>
        <w:rPr>
          <w:b w:val="0"/>
          <w:bCs w:val="0"/>
          <w:sz w:val="24"/>
        </w:rPr>
        <w:instrText xml:space="preserve"> PAGEREF _Toc123886428 \h </w:instrText>
      </w:r>
      <w:r>
        <w:rPr>
          <w:b w:val="0"/>
          <w:bCs w:val="0"/>
          <w:sz w:val="24"/>
        </w:rPr>
        <w:fldChar w:fldCharType="separate"/>
      </w:r>
      <w:r>
        <w:rPr>
          <w:b w:val="0"/>
          <w:bCs w:val="0"/>
          <w:sz w:val="24"/>
        </w:rPr>
        <w:t>176</w:t>
      </w:r>
      <w:r>
        <w:rPr>
          <w:b w:val="0"/>
          <w:bCs w:val="0"/>
          <w:sz w:val="24"/>
        </w:rPr>
        <w:fldChar w:fldCharType="end"/>
      </w:r>
      <w:r>
        <w:rPr>
          <w:b w:val="0"/>
          <w:bCs w:val="0"/>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b w:val="0"/>
          <w:bCs w:val="0"/>
          <w:sz w:val="24"/>
        </w:rPr>
      </w:pPr>
      <w:r>
        <w:rPr>
          <w:b w:val="0"/>
          <w:bCs w:val="0"/>
        </w:rPr>
        <w:fldChar w:fldCharType="begin"/>
      </w:r>
      <w:r>
        <w:rPr>
          <w:b w:val="0"/>
          <w:bCs w:val="0"/>
        </w:rPr>
        <w:instrText xml:space="preserve"> HYPERLINK \l "_Toc123886429" </w:instrText>
      </w:r>
      <w:r>
        <w:rPr>
          <w:b w:val="0"/>
          <w:bCs w:val="0"/>
        </w:rPr>
        <w:fldChar w:fldCharType="separate"/>
      </w:r>
      <w:r>
        <w:rPr>
          <w:rStyle w:val="60"/>
          <w:b w:val="0"/>
          <w:bCs w:val="0"/>
          <w:sz w:val="24"/>
        </w:rPr>
        <w:t>8.4 项目环境效益分析</w:t>
      </w:r>
      <w:r>
        <w:rPr>
          <w:b w:val="0"/>
          <w:bCs w:val="0"/>
          <w:sz w:val="24"/>
        </w:rPr>
        <w:tab/>
      </w:r>
      <w:r>
        <w:rPr>
          <w:b w:val="0"/>
          <w:bCs w:val="0"/>
          <w:sz w:val="24"/>
        </w:rPr>
        <w:fldChar w:fldCharType="begin"/>
      </w:r>
      <w:r>
        <w:rPr>
          <w:b w:val="0"/>
          <w:bCs w:val="0"/>
          <w:sz w:val="24"/>
        </w:rPr>
        <w:instrText xml:space="preserve"> PAGEREF _Toc123886429 \h </w:instrText>
      </w:r>
      <w:r>
        <w:rPr>
          <w:b w:val="0"/>
          <w:bCs w:val="0"/>
          <w:sz w:val="24"/>
        </w:rPr>
        <w:fldChar w:fldCharType="separate"/>
      </w:r>
      <w:r>
        <w:rPr>
          <w:b w:val="0"/>
          <w:bCs w:val="0"/>
          <w:sz w:val="24"/>
        </w:rPr>
        <w:t>177</w:t>
      </w:r>
      <w:r>
        <w:rPr>
          <w:b w:val="0"/>
          <w:bCs w:val="0"/>
          <w:sz w:val="24"/>
        </w:rPr>
        <w:fldChar w:fldCharType="end"/>
      </w:r>
      <w:r>
        <w:rPr>
          <w:b w:val="0"/>
          <w:bCs w:val="0"/>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b w:val="0"/>
          <w:bCs w:val="0"/>
          <w:sz w:val="24"/>
        </w:rPr>
      </w:pPr>
      <w:r>
        <w:rPr>
          <w:b w:val="0"/>
          <w:bCs w:val="0"/>
        </w:rPr>
        <w:fldChar w:fldCharType="begin"/>
      </w:r>
      <w:r>
        <w:rPr>
          <w:b w:val="0"/>
          <w:bCs w:val="0"/>
        </w:rPr>
        <w:instrText xml:space="preserve"> HYPERLINK \l "_Toc123886430" </w:instrText>
      </w:r>
      <w:r>
        <w:rPr>
          <w:b w:val="0"/>
          <w:bCs w:val="0"/>
        </w:rPr>
        <w:fldChar w:fldCharType="separate"/>
      </w:r>
      <w:r>
        <w:rPr>
          <w:rStyle w:val="60"/>
          <w:b w:val="0"/>
          <w:bCs w:val="0"/>
          <w:sz w:val="24"/>
        </w:rPr>
        <w:t>8.5 综合评价</w:t>
      </w:r>
      <w:r>
        <w:rPr>
          <w:b w:val="0"/>
          <w:bCs w:val="0"/>
          <w:sz w:val="24"/>
        </w:rPr>
        <w:tab/>
      </w:r>
      <w:r>
        <w:rPr>
          <w:b w:val="0"/>
          <w:bCs w:val="0"/>
          <w:sz w:val="24"/>
        </w:rPr>
        <w:fldChar w:fldCharType="begin"/>
      </w:r>
      <w:r>
        <w:rPr>
          <w:b w:val="0"/>
          <w:bCs w:val="0"/>
          <w:sz w:val="24"/>
        </w:rPr>
        <w:instrText xml:space="preserve"> PAGEREF _Toc123886430 \h </w:instrText>
      </w:r>
      <w:r>
        <w:rPr>
          <w:b w:val="0"/>
          <w:bCs w:val="0"/>
          <w:sz w:val="24"/>
        </w:rPr>
        <w:fldChar w:fldCharType="separate"/>
      </w:r>
      <w:r>
        <w:rPr>
          <w:b w:val="0"/>
          <w:bCs w:val="0"/>
          <w:sz w:val="24"/>
        </w:rPr>
        <w:t>178</w:t>
      </w:r>
      <w:r>
        <w:rPr>
          <w:b w:val="0"/>
          <w:bCs w:val="0"/>
          <w:sz w:val="24"/>
        </w:rPr>
        <w:fldChar w:fldCharType="end"/>
      </w:r>
      <w:r>
        <w:rPr>
          <w:b w:val="0"/>
          <w:bCs w:val="0"/>
          <w:sz w:val="24"/>
        </w:rPr>
        <w:fldChar w:fldCharType="end"/>
      </w:r>
    </w:p>
    <w:p>
      <w:pPr>
        <w:pStyle w:val="34"/>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b/>
          <w:sz w:val="24"/>
        </w:rPr>
      </w:pPr>
      <w:r>
        <w:fldChar w:fldCharType="begin"/>
      </w:r>
      <w:r>
        <w:instrText xml:space="preserve"> HYPERLINK \l "_Toc123886431" </w:instrText>
      </w:r>
      <w:r>
        <w:fldChar w:fldCharType="separate"/>
      </w:r>
      <w:r>
        <w:rPr>
          <w:rStyle w:val="60"/>
          <w:b/>
          <w:sz w:val="24"/>
        </w:rPr>
        <w:t>9 环境管理与监测计划</w:t>
      </w:r>
      <w:r>
        <w:rPr>
          <w:b/>
          <w:sz w:val="24"/>
        </w:rPr>
        <w:tab/>
      </w:r>
      <w:r>
        <w:rPr>
          <w:b/>
          <w:sz w:val="24"/>
        </w:rPr>
        <w:fldChar w:fldCharType="begin"/>
      </w:r>
      <w:r>
        <w:rPr>
          <w:b/>
          <w:sz w:val="24"/>
        </w:rPr>
        <w:instrText xml:space="preserve"> PAGEREF _Toc123886431 \h </w:instrText>
      </w:r>
      <w:r>
        <w:rPr>
          <w:b/>
          <w:sz w:val="24"/>
        </w:rPr>
        <w:fldChar w:fldCharType="separate"/>
      </w:r>
      <w:r>
        <w:rPr>
          <w:b/>
          <w:sz w:val="24"/>
        </w:rPr>
        <w:t>179</w:t>
      </w:r>
      <w:r>
        <w:rPr>
          <w:b/>
          <w:sz w:val="24"/>
        </w:rPr>
        <w:fldChar w:fldCharType="end"/>
      </w:r>
      <w:r>
        <w:rPr>
          <w:b/>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"_Toc123886432" </w:instrText>
      </w:r>
      <w:r>
        <w:fldChar w:fldCharType="separate"/>
      </w:r>
      <w:r>
        <w:rPr>
          <w:rStyle w:val="60"/>
          <w:bCs/>
          <w:sz w:val="24"/>
        </w:rPr>
        <w:t>9.1 目的</w:t>
      </w:r>
      <w:r>
        <w:rPr>
          <w:sz w:val="24"/>
        </w:rPr>
        <w:tab/>
      </w:r>
      <w:r>
        <w:rPr>
          <w:sz w:val="24"/>
        </w:rPr>
        <w:fldChar w:fldCharType="begin"/>
      </w:r>
      <w:r>
        <w:rPr>
          <w:sz w:val="24"/>
        </w:rPr>
        <w:instrText xml:space="preserve"> PAGEREF _Toc123886432 \h </w:instrText>
      </w:r>
      <w:r>
        <w:rPr>
          <w:sz w:val="24"/>
        </w:rPr>
        <w:fldChar w:fldCharType="separate"/>
      </w:r>
      <w:r>
        <w:rPr>
          <w:sz w:val="24"/>
        </w:rPr>
        <w:t>179</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"_Toc123886433" </w:instrText>
      </w:r>
      <w:r>
        <w:fldChar w:fldCharType="separate"/>
      </w:r>
      <w:r>
        <w:rPr>
          <w:rStyle w:val="60"/>
          <w:bCs/>
          <w:sz w:val="24"/>
        </w:rPr>
        <w:t>9.2 环境管理</w:t>
      </w:r>
      <w:r>
        <w:rPr>
          <w:sz w:val="24"/>
        </w:rPr>
        <w:tab/>
      </w:r>
      <w:r>
        <w:rPr>
          <w:sz w:val="24"/>
        </w:rPr>
        <w:fldChar w:fldCharType="begin"/>
      </w:r>
      <w:r>
        <w:rPr>
          <w:sz w:val="24"/>
        </w:rPr>
        <w:instrText xml:space="preserve"> PAGEREF _Toc123886433 \h </w:instrText>
      </w:r>
      <w:r>
        <w:rPr>
          <w:sz w:val="24"/>
        </w:rPr>
        <w:fldChar w:fldCharType="separate"/>
      </w:r>
      <w:r>
        <w:rPr>
          <w:sz w:val="24"/>
        </w:rPr>
        <w:t>179</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"_Toc123886434" </w:instrText>
      </w:r>
      <w:r>
        <w:fldChar w:fldCharType="separate"/>
      </w:r>
      <w:r>
        <w:rPr>
          <w:rStyle w:val="60"/>
          <w:bCs/>
          <w:sz w:val="24"/>
        </w:rPr>
        <w:t>9.3 信息公开</w:t>
      </w:r>
      <w:r>
        <w:rPr>
          <w:sz w:val="24"/>
        </w:rPr>
        <w:tab/>
      </w:r>
      <w:r>
        <w:rPr>
          <w:sz w:val="24"/>
        </w:rPr>
        <w:fldChar w:fldCharType="begin"/>
      </w:r>
      <w:r>
        <w:rPr>
          <w:sz w:val="24"/>
        </w:rPr>
        <w:instrText xml:space="preserve"> PAGEREF _Toc123886434 \h </w:instrText>
      </w:r>
      <w:r>
        <w:rPr>
          <w:sz w:val="24"/>
        </w:rPr>
        <w:fldChar w:fldCharType="separate"/>
      </w:r>
      <w:r>
        <w:rPr>
          <w:sz w:val="24"/>
        </w:rPr>
        <w:t>183</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"_Toc123886435" </w:instrText>
      </w:r>
      <w:r>
        <w:fldChar w:fldCharType="separate"/>
      </w:r>
      <w:r>
        <w:rPr>
          <w:rStyle w:val="60"/>
          <w:bCs/>
          <w:sz w:val="24"/>
        </w:rPr>
        <w:t>9.4 排污口信息</w:t>
      </w:r>
      <w:r>
        <w:rPr>
          <w:sz w:val="24"/>
        </w:rPr>
        <w:tab/>
      </w:r>
      <w:r>
        <w:rPr>
          <w:sz w:val="24"/>
        </w:rPr>
        <w:fldChar w:fldCharType="begin"/>
      </w:r>
      <w:r>
        <w:rPr>
          <w:sz w:val="24"/>
        </w:rPr>
        <w:instrText xml:space="preserve"> PAGEREF _Toc123886435 \h </w:instrText>
      </w:r>
      <w:r>
        <w:rPr>
          <w:sz w:val="24"/>
        </w:rPr>
        <w:fldChar w:fldCharType="separate"/>
      </w:r>
      <w:r>
        <w:rPr>
          <w:sz w:val="24"/>
        </w:rPr>
        <w:t>184</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"_Toc123886436" </w:instrText>
      </w:r>
      <w:r>
        <w:fldChar w:fldCharType="separate"/>
      </w:r>
      <w:r>
        <w:rPr>
          <w:rStyle w:val="60"/>
          <w:bCs/>
          <w:sz w:val="24"/>
        </w:rPr>
        <w:t>9.5 环境监测计划</w:t>
      </w:r>
      <w:r>
        <w:rPr>
          <w:sz w:val="24"/>
        </w:rPr>
        <w:tab/>
      </w:r>
      <w:r>
        <w:rPr>
          <w:sz w:val="24"/>
        </w:rPr>
        <w:fldChar w:fldCharType="begin"/>
      </w:r>
      <w:r>
        <w:rPr>
          <w:sz w:val="24"/>
        </w:rPr>
        <w:instrText xml:space="preserve"> PAGEREF _Toc123886436 \h </w:instrText>
      </w:r>
      <w:r>
        <w:rPr>
          <w:sz w:val="24"/>
        </w:rPr>
        <w:fldChar w:fldCharType="separate"/>
      </w:r>
      <w:r>
        <w:rPr>
          <w:sz w:val="24"/>
        </w:rPr>
        <w:t>185</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"_Toc123886437" </w:instrText>
      </w:r>
      <w:r>
        <w:fldChar w:fldCharType="separate"/>
      </w:r>
      <w:r>
        <w:rPr>
          <w:rStyle w:val="60"/>
          <w:bCs/>
          <w:sz w:val="24"/>
        </w:rPr>
        <w:t>9.6 建设项目环境保护“环保设施竣工”验收内容</w:t>
      </w:r>
      <w:r>
        <w:rPr>
          <w:sz w:val="24"/>
        </w:rPr>
        <w:tab/>
      </w:r>
      <w:r>
        <w:rPr>
          <w:sz w:val="24"/>
        </w:rPr>
        <w:fldChar w:fldCharType="begin"/>
      </w:r>
      <w:r>
        <w:rPr>
          <w:sz w:val="24"/>
        </w:rPr>
        <w:instrText xml:space="preserve"> PAGEREF _Toc123886437 \h </w:instrText>
      </w:r>
      <w:r>
        <w:rPr>
          <w:sz w:val="24"/>
        </w:rPr>
        <w:fldChar w:fldCharType="separate"/>
      </w:r>
      <w:r>
        <w:rPr>
          <w:sz w:val="24"/>
        </w:rPr>
        <w:t>187</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"_Toc123886438" </w:instrText>
      </w:r>
      <w:r>
        <w:fldChar w:fldCharType="separate"/>
      </w:r>
      <w:r>
        <w:rPr>
          <w:rStyle w:val="60"/>
          <w:bCs/>
          <w:sz w:val="24"/>
        </w:rPr>
        <w:t>9.7 固定污染源排污许可</w:t>
      </w:r>
      <w:r>
        <w:rPr>
          <w:sz w:val="24"/>
        </w:rPr>
        <w:tab/>
      </w:r>
      <w:r>
        <w:rPr>
          <w:sz w:val="24"/>
        </w:rPr>
        <w:fldChar w:fldCharType="begin"/>
      </w:r>
      <w:r>
        <w:rPr>
          <w:sz w:val="24"/>
        </w:rPr>
        <w:instrText xml:space="preserve"> PAGEREF _Toc123886438 \h </w:instrText>
      </w:r>
      <w:r>
        <w:rPr>
          <w:sz w:val="24"/>
        </w:rPr>
        <w:fldChar w:fldCharType="separate"/>
      </w:r>
      <w:r>
        <w:rPr>
          <w:sz w:val="24"/>
        </w:rPr>
        <w:t>190</w:t>
      </w:r>
      <w:r>
        <w:rPr>
          <w:sz w:val="24"/>
        </w:rPr>
        <w:fldChar w:fldCharType="end"/>
      </w:r>
      <w:r>
        <w:rPr>
          <w:sz w:val="24"/>
        </w:rPr>
        <w:fldChar w:fldCharType="end"/>
      </w:r>
    </w:p>
    <w:p>
      <w:pPr>
        <w:pStyle w:val="34"/>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b/>
          <w:sz w:val="24"/>
        </w:rPr>
      </w:pPr>
      <w:r>
        <w:fldChar w:fldCharType="begin"/>
      </w:r>
      <w:r>
        <w:instrText xml:space="preserve"> HYPERLINK \l "_Toc123886439" </w:instrText>
      </w:r>
      <w:r>
        <w:fldChar w:fldCharType="separate"/>
      </w:r>
      <w:r>
        <w:rPr>
          <w:rStyle w:val="60"/>
          <w:b/>
          <w:sz w:val="24"/>
        </w:rPr>
        <w:t>10 评价结论</w:t>
      </w:r>
      <w:r>
        <w:rPr>
          <w:b/>
          <w:sz w:val="24"/>
        </w:rPr>
        <w:tab/>
      </w:r>
      <w:r>
        <w:rPr>
          <w:b/>
          <w:sz w:val="24"/>
        </w:rPr>
        <w:fldChar w:fldCharType="begin"/>
      </w:r>
      <w:r>
        <w:rPr>
          <w:b/>
          <w:sz w:val="24"/>
        </w:rPr>
        <w:instrText xml:space="preserve"> PAGEREF _Toc123886439 \h </w:instrText>
      </w:r>
      <w:r>
        <w:rPr>
          <w:b/>
          <w:sz w:val="24"/>
        </w:rPr>
        <w:fldChar w:fldCharType="separate"/>
      </w:r>
      <w:r>
        <w:rPr>
          <w:b/>
          <w:sz w:val="24"/>
        </w:rPr>
        <w:t>191</w:t>
      </w:r>
      <w:r>
        <w:rPr>
          <w:b/>
          <w:sz w:val="24"/>
        </w:rPr>
        <w:fldChar w:fldCharType="end"/>
      </w:r>
      <w:r>
        <w:rPr>
          <w:b/>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"_Toc123886440" </w:instrText>
      </w:r>
      <w:r>
        <w:fldChar w:fldCharType="separate"/>
      </w:r>
      <w:r>
        <w:rPr>
          <w:rStyle w:val="60"/>
          <w:sz w:val="24"/>
        </w:rPr>
        <w:t>10.1 项目概况</w:t>
      </w:r>
      <w:r>
        <w:rPr>
          <w:sz w:val="24"/>
        </w:rPr>
        <w:tab/>
      </w:r>
      <w:r>
        <w:rPr>
          <w:sz w:val="24"/>
        </w:rPr>
        <w:fldChar w:fldCharType="begin"/>
      </w:r>
      <w:r>
        <w:rPr>
          <w:sz w:val="24"/>
        </w:rPr>
        <w:instrText xml:space="preserve"> PAGEREF _Toc123886440 \h </w:instrText>
      </w:r>
      <w:r>
        <w:rPr>
          <w:sz w:val="24"/>
        </w:rPr>
        <w:fldChar w:fldCharType="separate"/>
      </w:r>
      <w:r>
        <w:rPr>
          <w:sz w:val="24"/>
        </w:rPr>
        <w:t>191</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"_Toc123886441" </w:instrText>
      </w:r>
      <w:r>
        <w:fldChar w:fldCharType="separate"/>
      </w:r>
      <w:r>
        <w:rPr>
          <w:rStyle w:val="60"/>
          <w:sz w:val="24"/>
        </w:rPr>
        <w:t>10.2 环境影响评价结论</w:t>
      </w:r>
      <w:r>
        <w:rPr>
          <w:sz w:val="24"/>
        </w:rPr>
        <w:tab/>
      </w:r>
      <w:r>
        <w:rPr>
          <w:sz w:val="24"/>
        </w:rPr>
        <w:fldChar w:fldCharType="begin"/>
      </w:r>
      <w:r>
        <w:rPr>
          <w:sz w:val="24"/>
        </w:rPr>
        <w:instrText xml:space="preserve"> PAGEREF _Toc123886441 \h </w:instrText>
      </w:r>
      <w:r>
        <w:rPr>
          <w:sz w:val="24"/>
        </w:rPr>
        <w:fldChar w:fldCharType="separate"/>
      </w:r>
      <w:r>
        <w:rPr>
          <w:sz w:val="24"/>
        </w:rPr>
        <w:t>191</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"_Toc123886442" </w:instrText>
      </w:r>
      <w:r>
        <w:fldChar w:fldCharType="separate"/>
      </w:r>
      <w:r>
        <w:rPr>
          <w:rStyle w:val="60"/>
          <w:sz w:val="24"/>
        </w:rPr>
        <w:t>10.3 污染物达标措施</w:t>
      </w:r>
      <w:r>
        <w:rPr>
          <w:sz w:val="24"/>
        </w:rPr>
        <w:tab/>
      </w:r>
      <w:r>
        <w:rPr>
          <w:sz w:val="24"/>
        </w:rPr>
        <w:fldChar w:fldCharType="begin"/>
      </w:r>
      <w:r>
        <w:rPr>
          <w:sz w:val="24"/>
        </w:rPr>
        <w:instrText xml:space="preserve"> PAGEREF _Toc123886442 \h </w:instrText>
      </w:r>
      <w:r>
        <w:rPr>
          <w:sz w:val="24"/>
        </w:rPr>
        <w:fldChar w:fldCharType="separate"/>
      </w:r>
      <w:r>
        <w:rPr>
          <w:sz w:val="24"/>
        </w:rPr>
        <w:t>192</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"_Toc123886443" </w:instrText>
      </w:r>
      <w:r>
        <w:fldChar w:fldCharType="separate"/>
      </w:r>
      <w:r>
        <w:rPr>
          <w:rStyle w:val="60"/>
          <w:sz w:val="24"/>
        </w:rPr>
        <w:t>10.4 环境影响分析结论</w:t>
      </w:r>
      <w:r>
        <w:rPr>
          <w:sz w:val="24"/>
        </w:rPr>
        <w:tab/>
      </w:r>
      <w:r>
        <w:rPr>
          <w:sz w:val="24"/>
        </w:rPr>
        <w:fldChar w:fldCharType="begin"/>
      </w:r>
      <w:r>
        <w:rPr>
          <w:sz w:val="24"/>
        </w:rPr>
        <w:instrText xml:space="preserve"> PAGEREF _Toc123886443 \h </w:instrText>
      </w:r>
      <w:r>
        <w:rPr>
          <w:sz w:val="24"/>
        </w:rPr>
        <w:fldChar w:fldCharType="separate"/>
      </w:r>
      <w:r>
        <w:rPr>
          <w:sz w:val="24"/>
        </w:rPr>
        <w:t>194</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"_Toc123886444" </w:instrText>
      </w:r>
      <w:r>
        <w:fldChar w:fldCharType="separate"/>
      </w:r>
      <w:r>
        <w:rPr>
          <w:rStyle w:val="60"/>
          <w:sz w:val="24"/>
        </w:rPr>
        <w:t>10.5与政策、规划的符合性</w:t>
      </w:r>
      <w:r>
        <w:rPr>
          <w:sz w:val="24"/>
        </w:rPr>
        <w:tab/>
      </w:r>
      <w:r>
        <w:rPr>
          <w:sz w:val="24"/>
        </w:rPr>
        <w:fldChar w:fldCharType="begin"/>
      </w:r>
      <w:r>
        <w:rPr>
          <w:sz w:val="24"/>
        </w:rPr>
        <w:instrText xml:space="preserve"> PAGEREF _Toc123886444 \h </w:instrText>
      </w:r>
      <w:r>
        <w:rPr>
          <w:sz w:val="24"/>
        </w:rPr>
        <w:fldChar w:fldCharType="separate"/>
      </w:r>
      <w:r>
        <w:rPr>
          <w:sz w:val="24"/>
        </w:rPr>
        <w:t>196</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"_Toc123886445" </w:instrText>
      </w:r>
      <w:r>
        <w:fldChar w:fldCharType="separate"/>
      </w:r>
      <w:r>
        <w:rPr>
          <w:rStyle w:val="60"/>
          <w:sz w:val="24"/>
        </w:rPr>
        <w:t>10.6 “三线一单”符合性分析</w:t>
      </w:r>
      <w:r>
        <w:rPr>
          <w:sz w:val="24"/>
        </w:rPr>
        <w:tab/>
      </w:r>
      <w:r>
        <w:rPr>
          <w:sz w:val="24"/>
        </w:rPr>
        <w:fldChar w:fldCharType="begin"/>
      </w:r>
      <w:r>
        <w:rPr>
          <w:sz w:val="24"/>
        </w:rPr>
        <w:instrText xml:space="preserve"> PAGEREF _Toc123886445 \h </w:instrText>
      </w:r>
      <w:r>
        <w:rPr>
          <w:sz w:val="24"/>
        </w:rPr>
        <w:fldChar w:fldCharType="separate"/>
      </w:r>
      <w:r>
        <w:rPr>
          <w:sz w:val="24"/>
        </w:rPr>
        <w:t>196</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"_Toc123886446" </w:instrText>
      </w:r>
      <w:r>
        <w:fldChar w:fldCharType="separate"/>
      </w:r>
      <w:r>
        <w:rPr>
          <w:rStyle w:val="60"/>
          <w:sz w:val="24"/>
        </w:rPr>
        <w:t>10.7 公众意见采纳情况</w:t>
      </w:r>
      <w:r>
        <w:rPr>
          <w:sz w:val="24"/>
        </w:rPr>
        <w:tab/>
      </w:r>
      <w:r>
        <w:rPr>
          <w:sz w:val="24"/>
        </w:rPr>
        <w:fldChar w:fldCharType="begin"/>
      </w:r>
      <w:r>
        <w:rPr>
          <w:sz w:val="24"/>
        </w:rPr>
        <w:instrText xml:space="preserve"> PAGEREF _Toc123886446 \h </w:instrText>
      </w:r>
      <w:r>
        <w:rPr>
          <w:sz w:val="24"/>
        </w:rPr>
        <w:fldChar w:fldCharType="separate"/>
      </w:r>
      <w:r>
        <w:rPr>
          <w:sz w:val="24"/>
        </w:rPr>
        <w:t>196</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"_Toc123886447" </w:instrText>
      </w:r>
      <w:r>
        <w:fldChar w:fldCharType="separate"/>
      </w:r>
      <w:r>
        <w:rPr>
          <w:rStyle w:val="60"/>
          <w:sz w:val="24"/>
        </w:rPr>
        <w:t>10.8 环境管理与监测计划</w:t>
      </w:r>
      <w:r>
        <w:rPr>
          <w:sz w:val="24"/>
        </w:rPr>
        <w:tab/>
      </w:r>
      <w:r>
        <w:rPr>
          <w:sz w:val="24"/>
        </w:rPr>
        <w:fldChar w:fldCharType="begin"/>
      </w:r>
      <w:r>
        <w:rPr>
          <w:sz w:val="24"/>
        </w:rPr>
        <w:instrText xml:space="preserve"> PAGEREF _Toc123886447 \h </w:instrText>
      </w:r>
      <w:r>
        <w:rPr>
          <w:sz w:val="24"/>
        </w:rPr>
        <w:fldChar w:fldCharType="separate"/>
      </w:r>
      <w:r>
        <w:rPr>
          <w:sz w:val="24"/>
        </w:rPr>
        <w:t>196</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"_Toc123886448" </w:instrText>
      </w:r>
      <w:r>
        <w:fldChar w:fldCharType="separate"/>
      </w:r>
      <w:r>
        <w:rPr>
          <w:rStyle w:val="60"/>
          <w:sz w:val="24"/>
        </w:rPr>
        <w:t>10.9 污染物排放总量控制</w:t>
      </w:r>
      <w:r>
        <w:rPr>
          <w:sz w:val="24"/>
        </w:rPr>
        <w:tab/>
      </w:r>
      <w:r>
        <w:rPr>
          <w:sz w:val="24"/>
        </w:rPr>
        <w:fldChar w:fldCharType="begin"/>
      </w:r>
      <w:r>
        <w:rPr>
          <w:sz w:val="24"/>
        </w:rPr>
        <w:instrText xml:space="preserve"> PAGEREF _Toc123886448 \h </w:instrText>
      </w:r>
      <w:r>
        <w:rPr>
          <w:sz w:val="24"/>
        </w:rPr>
        <w:fldChar w:fldCharType="separate"/>
      </w:r>
      <w:r>
        <w:rPr>
          <w:sz w:val="24"/>
        </w:rPr>
        <w:t>197</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Fonts w:eastAsiaTheme="minorEastAsia"/>
          <w:sz w:val="24"/>
        </w:rPr>
      </w:pPr>
      <w:r>
        <w:fldChar w:fldCharType="begin"/>
      </w:r>
      <w:r>
        <w:instrText xml:space="preserve"> HYPERLINK \l "_Toc123886449" </w:instrText>
      </w:r>
      <w:r>
        <w:fldChar w:fldCharType="separate"/>
      </w:r>
      <w:r>
        <w:rPr>
          <w:rStyle w:val="60"/>
          <w:sz w:val="24"/>
        </w:rPr>
        <w:t>10.10 总结论</w:t>
      </w:r>
      <w:r>
        <w:rPr>
          <w:sz w:val="24"/>
        </w:rPr>
        <w:tab/>
      </w:r>
      <w:r>
        <w:rPr>
          <w:sz w:val="24"/>
        </w:rPr>
        <w:fldChar w:fldCharType="begin"/>
      </w:r>
      <w:r>
        <w:rPr>
          <w:sz w:val="24"/>
        </w:rPr>
        <w:instrText xml:space="preserve"> PAGEREF _Toc123886449 \h </w:instrText>
      </w:r>
      <w:r>
        <w:rPr>
          <w:sz w:val="24"/>
        </w:rPr>
        <w:fldChar w:fldCharType="separate"/>
      </w:r>
      <w:r>
        <w:rPr>
          <w:sz w:val="24"/>
        </w:rPr>
        <w:t>197</w:t>
      </w:r>
      <w:r>
        <w:rPr>
          <w:sz w:val="24"/>
        </w:rPr>
        <w:fldChar w:fldCharType="end"/>
      </w:r>
      <w:r>
        <w:rPr>
          <w:sz w:val="24"/>
        </w:rPr>
        <w:fldChar w:fldCharType="end"/>
      </w:r>
    </w:p>
    <w:p>
      <w:pPr>
        <w:pStyle w:val="39"/>
        <w:keepNext w:val="0"/>
        <w:keepLines w:val="0"/>
        <w:pageBreakBefore w:val="0"/>
        <w:widowControl w:val="0"/>
        <w:tabs>
          <w:tab w:val="right" w:leader="dot" w:pos="8721"/>
        </w:tabs>
        <w:kinsoku/>
        <w:wordWrap/>
        <w:overflowPunct/>
        <w:topLinePunct w:val="0"/>
        <w:autoSpaceDE/>
        <w:autoSpaceDN/>
        <w:bidi w:val="0"/>
        <w:adjustRightInd/>
        <w:snapToGrid/>
        <w:spacing w:line="276" w:lineRule="auto"/>
        <w:textAlignment w:val="auto"/>
        <w:rPr>
          <w:rStyle w:val="60"/>
          <w:sz w:val="24"/>
        </w:rPr>
      </w:pPr>
      <w:r>
        <w:fldChar w:fldCharType="begin"/>
      </w:r>
      <w:r>
        <w:instrText xml:space="preserve"> HYPERLINK \l "_Toc123886450" </w:instrText>
      </w:r>
      <w:r>
        <w:fldChar w:fldCharType="separate"/>
      </w:r>
      <w:r>
        <w:rPr>
          <w:rStyle w:val="60"/>
          <w:sz w:val="24"/>
        </w:rPr>
        <w:t>10.11 建议</w:t>
      </w:r>
      <w:r>
        <w:rPr>
          <w:sz w:val="24"/>
        </w:rPr>
        <w:tab/>
      </w:r>
      <w:r>
        <w:rPr>
          <w:sz w:val="24"/>
        </w:rPr>
        <w:fldChar w:fldCharType="begin"/>
      </w:r>
      <w:r>
        <w:rPr>
          <w:sz w:val="24"/>
        </w:rPr>
        <w:instrText xml:space="preserve"> PAGEREF _Toc123886450 \h </w:instrText>
      </w:r>
      <w:r>
        <w:rPr>
          <w:sz w:val="24"/>
        </w:rPr>
        <w:fldChar w:fldCharType="separate"/>
      </w:r>
      <w:r>
        <w:rPr>
          <w:sz w:val="24"/>
        </w:rPr>
        <w:t>197</w:t>
      </w:r>
      <w:r>
        <w:rPr>
          <w:sz w:val="24"/>
        </w:rPr>
        <w:fldChar w:fldCharType="end"/>
      </w:r>
      <w:r>
        <w:rPr>
          <w:sz w:val="24"/>
        </w:rPr>
        <w:fldChar w:fldCharType="end"/>
      </w:r>
    </w:p>
    <w:p>
      <w:pPr>
        <w:widowControl/>
        <w:spacing w:line="312" w:lineRule="auto"/>
        <w:rPr>
          <w:rFonts w:eastAsiaTheme="minorEastAsia"/>
          <w:b/>
          <w:sz w:val="24"/>
        </w:rPr>
      </w:pPr>
      <w:r>
        <w:rPr>
          <w:rFonts w:hAnsiTheme="minorEastAsia" w:eastAsiaTheme="minorEastAsia"/>
          <w:b/>
          <w:sz w:val="24"/>
        </w:rPr>
        <w:t>附图</w:t>
      </w:r>
    </w:p>
    <w:p>
      <w:pPr>
        <w:widowControl/>
        <w:spacing w:line="312" w:lineRule="auto"/>
        <w:ind w:firstLine="480" w:firstLineChars="200"/>
        <w:rPr>
          <w:rFonts w:eastAsiaTheme="minorEastAsia"/>
          <w:sz w:val="24"/>
        </w:rPr>
      </w:pPr>
      <w:r>
        <w:rPr>
          <w:rFonts w:hAnsiTheme="minorEastAsia" w:eastAsiaTheme="minorEastAsia"/>
          <w:sz w:val="24"/>
        </w:rPr>
        <w:t>附图</w:t>
      </w:r>
      <w:r>
        <w:rPr>
          <w:rFonts w:eastAsiaTheme="minorEastAsia"/>
          <w:sz w:val="24"/>
        </w:rPr>
        <w:t xml:space="preserve">1  </w:t>
      </w:r>
      <w:r>
        <w:rPr>
          <w:rFonts w:hAnsiTheme="minorEastAsia" w:eastAsiaTheme="minorEastAsia"/>
          <w:sz w:val="24"/>
        </w:rPr>
        <w:t>项目地理位置示意图</w:t>
      </w:r>
    </w:p>
    <w:p>
      <w:pPr>
        <w:pStyle w:val="5"/>
        <w:adjustRightInd w:val="0"/>
        <w:snapToGrid w:val="0"/>
        <w:spacing w:after="0" w:line="312" w:lineRule="auto"/>
        <w:ind w:firstLine="480" w:firstLineChars="200"/>
        <w:rPr>
          <w:rFonts w:ascii="Times New Roman" w:cs="Times New Roman" w:hAnsiTheme="minorEastAsia"/>
          <w:sz w:val="24"/>
        </w:rPr>
      </w:pPr>
      <w:r>
        <w:rPr>
          <w:rFonts w:ascii="Times New Roman" w:cs="Times New Roman" w:hAnsiTheme="minorEastAsia"/>
          <w:sz w:val="24"/>
        </w:rPr>
        <w:t>附图</w:t>
      </w:r>
      <w:r>
        <w:rPr>
          <w:rFonts w:hint="eastAsia" w:ascii="Times New Roman" w:hAnsi="Times New Roman" w:cs="Times New Roman"/>
          <w:sz w:val="24"/>
        </w:rPr>
        <w:t>2</w:t>
      </w:r>
      <w:r>
        <w:rPr>
          <w:rFonts w:ascii="Times New Roman" w:hAnsi="Times New Roman" w:cs="Times New Roman"/>
          <w:sz w:val="24"/>
        </w:rPr>
        <w:t xml:space="preserve">  </w:t>
      </w:r>
      <w:r>
        <w:rPr>
          <w:rFonts w:ascii="Times New Roman" w:cs="Times New Roman" w:hAnsiTheme="minorEastAsia"/>
          <w:sz w:val="24"/>
        </w:rPr>
        <w:t>项目环境保护目标及大气评价范围图</w:t>
      </w:r>
    </w:p>
    <w:p>
      <w:pPr>
        <w:pStyle w:val="5"/>
        <w:adjustRightInd w:val="0"/>
        <w:snapToGrid w:val="0"/>
        <w:spacing w:after="0" w:line="312" w:lineRule="auto"/>
        <w:ind w:firstLine="480" w:firstLineChars="200"/>
        <w:rPr>
          <w:rFonts w:ascii="Times New Roman" w:hAnsi="Times New Roman" w:cs="Times New Roman"/>
          <w:sz w:val="24"/>
        </w:rPr>
      </w:pPr>
      <w:r>
        <w:rPr>
          <w:rFonts w:ascii="Times New Roman" w:cs="Times New Roman" w:hAnsiTheme="minorEastAsia"/>
          <w:sz w:val="24"/>
        </w:rPr>
        <w:t>附图</w:t>
      </w:r>
      <w:r>
        <w:rPr>
          <w:rFonts w:hint="eastAsia" w:ascii="Times New Roman" w:hAnsi="Times New Roman" w:cs="Times New Roman"/>
          <w:sz w:val="24"/>
          <w:lang w:val="en-US" w:eastAsia="zh-CN"/>
        </w:rPr>
        <w:t>3</w:t>
      </w:r>
      <w:r>
        <w:rPr>
          <w:rFonts w:ascii="Times New Roman" w:hAnsi="Times New Roman" w:cs="Times New Roman"/>
          <w:sz w:val="24"/>
        </w:rPr>
        <w:t xml:space="preserve">  </w:t>
      </w:r>
      <w:r>
        <w:rPr>
          <w:rFonts w:ascii="Times New Roman" w:cs="Times New Roman" w:hAnsiTheme="minorEastAsia"/>
          <w:sz w:val="24"/>
        </w:rPr>
        <w:t>项目评价范围图（地下水、声、生态、土壤）</w:t>
      </w:r>
    </w:p>
    <w:p>
      <w:pPr>
        <w:pStyle w:val="5"/>
        <w:adjustRightInd w:val="0"/>
        <w:snapToGrid w:val="0"/>
        <w:spacing w:after="0" w:line="312" w:lineRule="auto"/>
        <w:ind w:firstLine="480" w:firstLineChars="200"/>
        <w:rPr>
          <w:rFonts w:ascii="Times New Roman" w:hAnsi="Times New Roman" w:cs="Times New Roman"/>
          <w:sz w:val="24"/>
        </w:rPr>
      </w:pPr>
      <w:r>
        <w:rPr>
          <w:rFonts w:ascii="Times New Roman" w:cs="Times New Roman" w:hAnsiTheme="minorEastAsia"/>
          <w:sz w:val="24"/>
        </w:rPr>
        <w:t>附图</w:t>
      </w:r>
      <w:r>
        <w:rPr>
          <w:rFonts w:hint="eastAsia" w:ascii="Times New Roman" w:hAnsi="Times New Roman" w:cs="Times New Roman"/>
          <w:sz w:val="24"/>
        </w:rPr>
        <w:t>4</w:t>
      </w:r>
      <w:r>
        <w:rPr>
          <w:rFonts w:hint="eastAsia" w:ascii="Times New Roman" w:cs="Times New Roman" w:hAnsiTheme="minorEastAsia"/>
          <w:sz w:val="24"/>
        </w:rPr>
        <w:t xml:space="preserve">  </w:t>
      </w:r>
      <w:r>
        <w:rPr>
          <w:rFonts w:hAnsiTheme="minorEastAsia"/>
          <w:sz w:val="24"/>
        </w:rPr>
        <w:t>项目总平面布置图</w:t>
      </w:r>
    </w:p>
    <w:p>
      <w:pPr>
        <w:pStyle w:val="5"/>
        <w:adjustRightInd w:val="0"/>
        <w:snapToGrid w:val="0"/>
        <w:spacing w:after="0" w:line="312" w:lineRule="auto"/>
        <w:ind w:firstLine="480" w:firstLineChars="200"/>
        <w:rPr>
          <w:rFonts w:ascii="Times New Roman" w:hAnsi="Times New Roman" w:cs="Times New Roman"/>
          <w:sz w:val="24"/>
        </w:rPr>
      </w:pPr>
      <w:r>
        <w:rPr>
          <w:rFonts w:ascii="Times New Roman" w:cs="Times New Roman" w:hAnsiTheme="minorEastAsia"/>
          <w:sz w:val="24"/>
        </w:rPr>
        <w:t>附图</w:t>
      </w:r>
      <w:r>
        <w:rPr>
          <w:rFonts w:hint="eastAsia" w:ascii="Times New Roman" w:hAnsi="Times New Roman" w:cs="Times New Roman"/>
          <w:sz w:val="24"/>
        </w:rPr>
        <w:t xml:space="preserve">5  </w:t>
      </w:r>
      <w:r>
        <w:rPr>
          <w:rFonts w:hAnsiTheme="minorEastAsia"/>
          <w:sz w:val="24"/>
        </w:rPr>
        <w:t>项目环保设施及防渗分区图</w:t>
      </w:r>
    </w:p>
    <w:p>
      <w:pPr>
        <w:pStyle w:val="5"/>
        <w:adjustRightInd w:val="0"/>
        <w:snapToGrid w:val="0"/>
        <w:spacing w:after="0" w:line="312" w:lineRule="auto"/>
        <w:ind w:firstLine="480" w:firstLineChars="200"/>
        <w:rPr>
          <w:rFonts w:ascii="Times New Roman" w:hAnsi="Times New Roman" w:cs="Times New Roman"/>
          <w:sz w:val="24"/>
        </w:rPr>
      </w:pPr>
      <w:r>
        <w:rPr>
          <w:rFonts w:ascii="Times New Roman" w:cs="Times New Roman" w:hAnsiTheme="minorEastAsia"/>
          <w:sz w:val="24"/>
        </w:rPr>
        <w:t>附图</w:t>
      </w:r>
      <w:r>
        <w:rPr>
          <w:rFonts w:hint="eastAsia" w:ascii="Times New Roman" w:hAnsi="Times New Roman" w:cs="Times New Roman"/>
          <w:sz w:val="24"/>
        </w:rPr>
        <w:t xml:space="preserve">6  </w:t>
      </w:r>
      <w:r>
        <w:rPr>
          <w:rFonts w:ascii="Times New Roman" w:cs="Times New Roman" w:hAnsiTheme="minorEastAsia"/>
          <w:sz w:val="24"/>
        </w:rPr>
        <w:t>卫生环境防护距离包络示意图</w:t>
      </w:r>
    </w:p>
    <w:p>
      <w:pPr>
        <w:pStyle w:val="5"/>
        <w:adjustRightInd w:val="0"/>
        <w:snapToGrid w:val="0"/>
        <w:spacing w:after="0" w:line="312" w:lineRule="auto"/>
        <w:ind w:firstLine="480" w:firstLineChars="200"/>
        <w:rPr>
          <w:rFonts w:ascii="Times New Roman" w:hAnsi="Times New Roman" w:cs="Times New Roman"/>
          <w:sz w:val="24"/>
        </w:rPr>
      </w:pPr>
      <w:r>
        <w:rPr>
          <w:rFonts w:ascii="Times New Roman" w:cs="Times New Roman" w:hAnsiTheme="minorEastAsia"/>
          <w:sz w:val="24"/>
        </w:rPr>
        <w:t>附图</w:t>
      </w:r>
      <w:r>
        <w:rPr>
          <w:rFonts w:hint="eastAsia" w:ascii="Times New Roman" w:hAnsi="Times New Roman" w:cs="Times New Roman"/>
          <w:sz w:val="24"/>
        </w:rPr>
        <w:t xml:space="preserve">7  </w:t>
      </w:r>
      <w:r>
        <w:rPr>
          <w:rFonts w:ascii="Times New Roman" w:hAnsi="Times New Roman" w:cs="Times New Roman"/>
          <w:sz w:val="24"/>
        </w:rPr>
        <w:t>项目现状监测布点图</w:t>
      </w:r>
    </w:p>
    <w:p>
      <w:pPr>
        <w:pStyle w:val="5"/>
        <w:adjustRightInd w:val="0"/>
        <w:snapToGrid w:val="0"/>
        <w:spacing w:after="0" w:line="312" w:lineRule="auto"/>
        <w:ind w:firstLine="480" w:firstLineChars="200"/>
        <w:rPr>
          <w:rFonts w:ascii="Times New Roman" w:hAnsi="Times New Roman" w:cs="Times New Roman"/>
          <w:sz w:val="24"/>
        </w:rPr>
      </w:pPr>
      <w:r>
        <w:rPr>
          <w:rFonts w:ascii="Times New Roman" w:cs="Times New Roman" w:hAnsiTheme="minorEastAsia"/>
          <w:sz w:val="24"/>
        </w:rPr>
        <w:t>附图</w:t>
      </w:r>
      <w:r>
        <w:rPr>
          <w:rFonts w:hint="eastAsia" w:ascii="Times New Roman" w:hAnsi="Times New Roman" w:cs="Times New Roman"/>
          <w:sz w:val="24"/>
          <w:lang w:val="en-US" w:eastAsia="zh-CN"/>
        </w:rPr>
        <w:t>8</w:t>
      </w:r>
      <w:r>
        <w:rPr>
          <w:rFonts w:hint="eastAsia" w:ascii="Times New Roman" w:hAnsi="Times New Roman" w:cs="Times New Roman"/>
          <w:sz w:val="24"/>
        </w:rPr>
        <w:t xml:space="preserve">  </w:t>
      </w:r>
      <w:r>
        <w:rPr>
          <w:rFonts w:ascii="Times New Roman" w:hAnsi="Times New Roman" w:cs="Times New Roman"/>
          <w:sz w:val="24"/>
        </w:rPr>
        <w:t>项目</w:t>
      </w:r>
      <w:r>
        <w:rPr>
          <w:rFonts w:hint="eastAsia" w:ascii="Times New Roman" w:hAnsi="Times New Roman" w:cs="Times New Roman"/>
          <w:sz w:val="24"/>
          <w:lang w:val="en-US" w:eastAsia="zh-CN"/>
        </w:rPr>
        <w:t>雨污水管网</w:t>
      </w:r>
      <w:r>
        <w:rPr>
          <w:rFonts w:ascii="Times New Roman" w:hAnsi="Times New Roman" w:cs="Times New Roman"/>
          <w:sz w:val="24"/>
        </w:rPr>
        <w:t>图</w:t>
      </w:r>
    </w:p>
    <w:p>
      <w:pPr>
        <w:pStyle w:val="5"/>
        <w:adjustRightInd w:val="0"/>
        <w:snapToGrid w:val="0"/>
        <w:spacing w:after="0" w:line="312" w:lineRule="auto"/>
        <w:ind w:firstLine="0" w:firstLineChars="0"/>
        <w:rPr>
          <w:rFonts w:ascii="Times New Roman" w:hAnsi="Times New Roman" w:cs="Times New Roman"/>
          <w:b/>
          <w:sz w:val="24"/>
        </w:rPr>
      </w:pPr>
      <w:r>
        <w:rPr>
          <w:rFonts w:ascii="Times New Roman" w:cs="Times New Roman" w:hAnsiTheme="minorEastAsia"/>
          <w:b/>
          <w:sz w:val="24"/>
        </w:rPr>
        <w:t>附件</w:t>
      </w:r>
    </w:p>
    <w:p>
      <w:pPr>
        <w:pStyle w:val="5"/>
        <w:adjustRightInd w:val="0"/>
        <w:snapToGrid w:val="0"/>
        <w:spacing w:after="0" w:line="312" w:lineRule="auto"/>
        <w:ind w:firstLine="480" w:firstLineChars="200"/>
        <w:rPr>
          <w:rFonts w:ascii="Times New Roman" w:hAnsi="Times New Roman" w:cs="Times New Roman"/>
          <w:sz w:val="24"/>
        </w:rPr>
      </w:pPr>
      <w:r>
        <w:rPr>
          <w:rFonts w:ascii="Times New Roman" w:hAnsi="Times New Roman" w:cs="Times New Roman"/>
          <w:sz w:val="24"/>
        </w:rPr>
        <w:t>附件1  环评委托书</w:t>
      </w:r>
    </w:p>
    <w:p>
      <w:pPr>
        <w:pStyle w:val="5"/>
        <w:adjustRightInd w:val="0"/>
        <w:snapToGrid w:val="0"/>
        <w:spacing w:after="0" w:line="312" w:lineRule="auto"/>
        <w:ind w:firstLine="480" w:firstLineChars="200"/>
        <w:rPr>
          <w:rFonts w:ascii="Times New Roman" w:hAnsi="Times New Roman" w:cs="Times New Roman"/>
          <w:sz w:val="24"/>
        </w:rPr>
      </w:pPr>
      <w:r>
        <w:rPr>
          <w:rFonts w:ascii="Times New Roman" w:hAnsi="Times New Roman" w:cs="Times New Roman"/>
          <w:sz w:val="24"/>
        </w:rPr>
        <w:t>附件</w:t>
      </w:r>
      <w:r>
        <w:rPr>
          <w:rFonts w:hint="eastAsia" w:ascii="Times New Roman" w:hAnsi="Times New Roman" w:cs="Times New Roman"/>
          <w:sz w:val="24"/>
        </w:rPr>
        <w:t>2  营业执照</w:t>
      </w:r>
    </w:p>
    <w:p>
      <w:pPr>
        <w:pStyle w:val="5"/>
        <w:adjustRightInd w:val="0"/>
        <w:snapToGrid w:val="0"/>
        <w:spacing w:after="0" w:line="312" w:lineRule="auto"/>
        <w:ind w:firstLine="480" w:firstLineChars="200"/>
        <w:rPr>
          <w:rFonts w:ascii="Times New Roman" w:hAnsi="Times New Roman" w:cs="Times New Roman"/>
          <w:sz w:val="24"/>
        </w:rPr>
      </w:pPr>
      <w:r>
        <w:rPr>
          <w:rFonts w:ascii="Times New Roman" w:hAnsi="Times New Roman" w:cs="Times New Roman"/>
          <w:sz w:val="24"/>
        </w:rPr>
        <w:t>附件</w:t>
      </w:r>
      <w:r>
        <w:rPr>
          <w:rFonts w:hint="eastAsia" w:ascii="Times New Roman" w:hAnsi="Times New Roman" w:cs="Times New Roman"/>
          <w:sz w:val="24"/>
          <w:lang w:val="en-US" w:eastAsia="zh-CN"/>
        </w:rPr>
        <w:t>3</w:t>
      </w:r>
      <w:r>
        <w:rPr>
          <w:rFonts w:hint="eastAsia" w:ascii="Times New Roman" w:hAnsi="Times New Roman" w:cs="Times New Roman"/>
          <w:sz w:val="24"/>
        </w:rPr>
        <w:t xml:space="preserve">  发改备案文件</w:t>
      </w:r>
    </w:p>
    <w:p>
      <w:pPr>
        <w:pStyle w:val="5"/>
        <w:adjustRightInd w:val="0"/>
        <w:snapToGrid w:val="0"/>
        <w:spacing w:after="0" w:line="312" w:lineRule="auto"/>
        <w:ind w:firstLine="480" w:firstLineChars="200"/>
        <w:rPr>
          <w:rFonts w:ascii="Times New Roman" w:hAnsi="Times New Roman" w:cs="Times New Roman"/>
          <w:sz w:val="24"/>
        </w:rPr>
      </w:pPr>
      <w:r>
        <w:rPr>
          <w:rFonts w:ascii="Times New Roman" w:hAnsi="Times New Roman" w:cs="Times New Roman"/>
          <w:sz w:val="24"/>
        </w:rPr>
        <w:t>附件</w:t>
      </w:r>
      <w:r>
        <w:rPr>
          <w:rFonts w:hint="eastAsia" w:ascii="Times New Roman" w:hAnsi="Times New Roman" w:cs="Times New Roman"/>
          <w:sz w:val="24"/>
          <w:lang w:val="en-US" w:eastAsia="zh-CN"/>
        </w:rPr>
        <w:t>4</w:t>
      </w:r>
      <w:r>
        <w:rPr>
          <w:rFonts w:hint="eastAsia" w:ascii="Times New Roman" w:hAnsi="Times New Roman" w:cs="Times New Roman"/>
          <w:sz w:val="24"/>
        </w:rPr>
        <w:t xml:space="preserve">  项目不在生态红线内的证明</w:t>
      </w:r>
    </w:p>
    <w:p>
      <w:pPr>
        <w:pStyle w:val="5"/>
        <w:adjustRightInd w:val="0"/>
        <w:snapToGrid w:val="0"/>
        <w:spacing w:after="0" w:line="312" w:lineRule="auto"/>
        <w:ind w:firstLine="480" w:firstLineChars="200"/>
        <w:rPr>
          <w:rFonts w:hint="eastAsia" w:ascii="Times New Roman" w:hAnsi="Times New Roman" w:cs="Times New Roman"/>
          <w:sz w:val="24"/>
        </w:rPr>
      </w:pPr>
      <w:r>
        <w:rPr>
          <w:rFonts w:ascii="Times New Roman" w:hAnsi="Times New Roman" w:cs="Times New Roman"/>
          <w:sz w:val="24"/>
        </w:rPr>
        <w:t>附件</w:t>
      </w:r>
      <w:r>
        <w:rPr>
          <w:rFonts w:hint="eastAsia" w:ascii="Times New Roman" w:hAnsi="Times New Roman" w:cs="Times New Roman"/>
          <w:sz w:val="24"/>
          <w:lang w:val="en-US" w:eastAsia="zh-CN"/>
        </w:rPr>
        <w:t>5</w:t>
      </w:r>
      <w:r>
        <w:rPr>
          <w:rFonts w:hint="eastAsia" w:ascii="Times New Roman" w:hAnsi="Times New Roman" w:cs="Times New Roman"/>
          <w:sz w:val="24"/>
        </w:rPr>
        <w:t xml:space="preserve">  项目用地租赁合同</w:t>
      </w:r>
    </w:p>
    <w:p>
      <w:pPr>
        <w:pStyle w:val="5"/>
        <w:adjustRightInd w:val="0"/>
        <w:snapToGrid w:val="0"/>
        <w:spacing w:after="0" w:line="312" w:lineRule="auto"/>
        <w:ind w:firstLine="480" w:firstLineChars="200"/>
        <w:rPr>
          <w:rFonts w:ascii="Times New Roman" w:hAnsi="Times New Roman" w:cs="Times New Roman"/>
          <w:sz w:val="24"/>
        </w:rPr>
      </w:pPr>
      <w:r>
        <w:rPr>
          <w:rFonts w:ascii="Times New Roman" w:hAnsi="Times New Roman" w:cs="Times New Roman"/>
          <w:sz w:val="24"/>
        </w:rPr>
        <w:t>附件</w:t>
      </w:r>
      <w:r>
        <w:rPr>
          <w:rFonts w:hint="eastAsia" w:ascii="Times New Roman" w:hAnsi="Times New Roman" w:cs="Times New Roman"/>
          <w:sz w:val="24"/>
          <w:lang w:val="en-US" w:eastAsia="zh-CN"/>
        </w:rPr>
        <w:t>6</w:t>
      </w:r>
      <w:r>
        <w:rPr>
          <w:rFonts w:hint="eastAsia" w:ascii="Times New Roman" w:hAnsi="Times New Roman" w:cs="Times New Roman"/>
          <w:sz w:val="24"/>
        </w:rPr>
        <w:t xml:space="preserve">  项目设施农业用地备案申请表</w:t>
      </w:r>
    </w:p>
    <w:p>
      <w:pPr>
        <w:pStyle w:val="5"/>
        <w:adjustRightInd w:val="0"/>
        <w:snapToGrid w:val="0"/>
        <w:spacing w:after="0" w:line="312" w:lineRule="auto"/>
        <w:ind w:firstLine="480" w:firstLineChars="200"/>
        <w:rPr>
          <w:rFonts w:hint="default" w:ascii="Times New Roman" w:hAnsi="Times New Roman" w:cs="Times New Roman"/>
          <w:sz w:val="24"/>
          <w:lang w:val="en-US" w:eastAsia="zh-CN"/>
        </w:rPr>
      </w:pPr>
      <w:r>
        <w:rPr>
          <w:rFonts w:ascii="Times New Roman" w:hAnsi="Times New Roman" w:cs="Times New Roman"/>
          <w:sz w:val="24"/>
        </w:rPr>
        <w:t>附件</w:t>
      </w:r>
      <w:r>
        <w:rPr>
          <w:rFonts w:hint="eastAsia" w:ascii="Times New Roman" w:hAnsi="Times New Roman" w:cs="Times New Roman"/>
          <w:sz w:val="24"/>
          <w:lang w:val="en-US" w:eastAsia="zh-CN"/>
        </w:rPr>
        <w:t>7</w:t>
      </w:r>
      <w:r>
        <w:rPr>
          <w:rFonts w:hint="eastAsia" w:ascii="Times New Roman" w:hAnsi="Times New Roman" w:cs="Times New Roman"/>
          <w:sz w:val="24"/>
        </w:rPr>
        <w:t xml:space="preserve">  </w:t>
      </w:r>
      <w:r>
        <w:rPr>
          <w:rFonts w:hint="eastAsia" w:ascii="Times New Roman" w:hAnsi="Times New Roman" w:cs="Times New Roman"/>
          <w:sz w:val="24"/>
          <w:lang w:val="en-US" w:eastAsia="zh-CN"/>
        </w:rPr>
        <w:t>项目周边房屋租赁合同</w:t>
      </w:r>
    </w:p>
    <w:p>
      <w:pPr>
        <w:pStyle w:val="5"/>
        <w:adjustRightInd w:val="0"/>
        <w:snapToGrid w:val="0"/>
        <w:spacing w:after="0" w:line="312" w:lineRule="auto"/>
        <w:ind w:firstLine="480" w:firstLineChars="200"/>
        <w:rPr>
          <w:rFonts w:hint="eastAsia" w:ascii="Times New Roman" w:hAnsi="Times New Roman" w:cs="Times New Roman"/>
          <w:sz w:val="24"/>
          <w:lang w:val="en-US" w:eastAsia="zh-CN"/>
        </w:rPr>
      </w:pPr>
      <w:r>
        <w:rPr>
          <w:rFonts w:ascii="Times New Roman" w:hAnsi="Times New Roman" w:cs="Times New Roman"/>
          <w:sz w:val="24"/>
        </w:rPr>
        <w:t>附件</w:t>
      </w:r>
      <w:r>
        <w:rPr>
          <w:rFonts w:hint="eastAsia" w:ascii="Times New Roman" w:hAnsi="Times New Roman" w:cs="Times New Roman"/>
          <w:sz w:val="24"/>
          <w:lang w:val="en-US" w:eastAsia="zh-CN"/>
        </w:rPr>
        <w:t>8</w:t>
      </w:r>
      <w:r>
        <w:rPr>
          <w:rFonts w:hint="eastAsia" w:ascii="Times New Roman" w:hAnsi="Times New Roman" w:cs="Times New Roman"/>
          <w:sz w:val="24"/>
        </w:rPr>
        <w:t xml:space="preserve">  </w:t>
      </w:r>
      <w:r>
        <w:rPr>
          <w:rFonts w:hint="eastAsia" w:ascii="Times New Roman" w:hAnsi="Times New Roman" w:cs="Times New Roman"/>
          <w:sz w:val="24"/>
          <w:lang w:val="en-US" w:eastAsia="zh-CN"/>
        </w:rPr>
        <w:t>鸡粪外售协议及处置单位环评手续</w:t>
      </w:r>
    </w:p>
    <w:p>
      <w:pPr>
        <w:pStyle w:val="5"/>
        <w:adjustRightInd w:val="0"/>
        <w:snapToGrid w:val="0"/>
        <w:spacing w:after="0" w:line="312" w:lineRule="auto"/>
        <w:ind w:firstLine="480" w:firstLineChars="200"/>
        <w:rPr>
          <w:rFonts w:hint="default" w:ascii="Times New Roman" w:hAnsi="Times New Roman" w:cs="Times New Roman"/>
          <w:sz w:val="24"/>
          <w:lang w:val="en-US" w:eastAsia="zh-CN"/>
        </w:rPr>
      </w:pPr>
      <w:r>
        <w:rPr>
          <w:rFonts w:ascii="Times New Roman" w:hAnsi="Times New Roman" w:cs="Times New Roman"/>
          <w:sz w:val="24"/>
        </w:rPr>
        <w:t>附件</w:t>
      </w:r>
      <w:r>
        <w:rPr>
          <w:rFonts w:hint="eastAsia" w:ascii="Times New Roman" w:hAnsi="Times New Roman" w:cs="Times New Roman"/>
          <w:sz w:val="24"/>
          <w:lang w:val="en-US" w:eastAsia="zh-CN"/>
        </w:rPr>
        <w:t>9</w:t>
      </w:r>
      <w:r>
        <w:rPr>
          <w:rFonts w:hint="eastAsia" w:ascii="Times New Roman" w:hAnsi="Times New Roman" w:cs="Times New Roman"/>
          <w:sz w:val="24"/>
        </w:rPr>
        <w:t xml:space="preserve">  </w:t>
      </w:r>
      <w:r>
        <w:rPr>
          <w:rFonts w:hint="eastAsia" w:ascii="Times New Roman" w:hAnsi="Times New Roman" w:cs="Times New Roman"/>
          <w:sz w:val="24"/>
          <w:lang w:val="en-US" w:eastAsia="zh-CN"/>
        </w:rPr>
        <w:t>环境现状监测质保单</w:t>
      </w:r>
    </w:p>
    <w:p>
      <w:pPr>
        <w:pStyle w:val="5"/>
        <w:adjustRightInd w:val="0"/>
        <w:snapToGrid w:val="0"/>
        <w:spacing w:after="0" w:line="312" w:lineRule="auto"/>
        <w:ind w:firstLine="480" w:firstLineChars="200"/>
        <w:rPr>
          <w:rFonts w:hint="default" w:ascii="Times New Roman" w:hAnsi="Times New Roman" w:cs="Times New Roman"/>
          <w:sz w:val="24"/>
          <w:lang w:val="en-US" w:eastAsia="zh-CN"/>
        </w:rPr>
      </w:pPr>
      <w:r>
        <w:rPr>
          <w:rFonts w:ascii="Times New Roman" w:hAnsi="Times New Roman" w:cs="Times New Roman"/>
          <w:sz w:val="24"/>
        </w:rPr>
        <w:t>附件</w:t>
      </w:r>
      <w:r>
        <w:rPr>
          <w:rFonts w:hint="eastAsia" w:ascii="Times New Roman" w:hAnsi="Times New Roman" w:cs="Times New Roman"/>
          <w:sz w:val="24"/>
          <w:lang w:val="en-US" w:eastAsia="zh-CN"/>
        </w:rPr>
        <w:t>10</w:t>
      </w:r>
      <w:r>
        <w:rPr>
          <w:rFonts w:hint="eastAsia" w:ascii="Times New Roman" w:hAnsi="Times New Roman" w:cs="Times New Roman"/>
          <w:sz w:val="24"/>
        </w:rPr>
        <w:t xml:space="preserve">  </w:t>
      </w:r>
      <w:r>
        <w:rPr>
          <w:rFonts w:hint="eastAsia" w:ascii="Times New Roman" w:hAnsi="Times New Roman" w:cs="Times New Roman"/>
          <w:sz w:val="24"/>
          <w:lang w:val="en-US" w:eastAsia="zh-CN"/>
        </w:rPr>
        <w:t>专家评审意见及签到表</w:t>
      </w:r>
    </w:p>
    <w:p>
      <w:pPr>
        <w:pStyle w:val="5"/>
        <w:adjustRightInd w:val="0"/>
        <w:snapToGrid w:val="0"/>
        <w:spacing w:after="0" w:line="312" w:lineRule="auto"/>
        <w:ind w:firstLine="0" w:firstLineChars="0"/>
        <w:rPr>
          <w:rFonts w:ascii="Times New Roman" w:hAnsi="Times New Roman" w:cs="Times New Roman"/>
          <w:b/>
          <w:sz w:val="24"/>
        </w:rPr>
      </w:pPr>
      <w:r>
        <w:rPr>
          <w:rFonts w:ascii="Times New Roman" w:cs="Times New Roman" w:hAnsiTheme="minorEastAsia"/>
          <w:b/>
          <w:sz w:val="24"/>
        </w:rPr>
        <w:t>附表</w:t>
      </w:r>
    </w:p>
    <w:p>
      <w:pPr>
        <w:pStyle w:val="5"/>
        <w:adjustRightInd w:val="0"/>
        <w:snapToGrid w:val="0"/>
        <w:spacing w:after="0" w:line="312" w:lineRule="auto"/>
        <w:ind w:firstLine="480" w:firstLineChars="200"/>
        <w:rPr>
          <w:rFonts w:ascii="Times New Roman" w:hAnsi="Times New Roman" w:cs="Times New Roman"/>
          <w:sz w:val="24"/>
        </w:rPr>
      </w:pPr>
      <w:r>
        <w:rPr>
          <w:rFonts w:ascii="Times New Roman" w:cs="Times New Roman" w:hAnsiTheme="minorEastAsia"/>
          <w:sz w:val="24"/>
        </w:rPr>
        <w:t>附表</w:t>
      </w:r>
      <w:r>
        <w:rPr>
          <w:rFonts w:ascii="Times New Roman" w:hAnsi="Times New Roman" w:cs="Times New Roman"/>
          <w:sz w:val="24"/>
        </w:rPr>
        <w:t xml:space="preserve">1  </w:t>
      </w:r>
      <w:r>
        <w:rPr>
          <w:rFonts w:ascii="Times New Roman" w:cs="Times New Roman" w:hAnsiTheme="minorEastAsia"/>
          <w:sz w:val="24"/>
        </w:rPr>
        <w:t>建设项目大气环境影响评价自查表</w:t>
      </w:r>
    </w:p>
    <w:p>
      <w:pPr>
        <w:pStyle w:val="5"/>
        <w:adjustRightInd w:val="0"/>
        <w:snapToGrid w:val="0"/>
        <w:spacing w:after="0" w:line="312" w:lineRule="auto"/>
        <w:ind w:firstLine="480" w:firstLineChars="200"/>
        <w:rPr>
          <w:rFonts w:ascii="Times New Roman" w:cs="Times New Roman" w:hAnsiTheme="minorEastAsia"/>
          <w:sz w:val="24"/>
        </w:rPr>
      </w:pPr>
      <w:r>
        <w:rPr>
          <w:rFonts w:ascii="Times New Roman" w:cs="Times New Roman" w:hAnsiTheme="minorEastAsia"/>
          <w:sz w:val="24"/>
        </w:rPr>
        <w:t>附表</w:t>
      </w:r>
      <w:r>
        <w:rPr>
          <w:rFonts w:ascii="Times New Roman" w:hAnsi="Times New Roman" w:cs="Times New Roman"/>
          <w:sz w:val="24"/>
        </w:rPr>
        <w:t xml:space="preserve">2  </w:t>
      </w:r>
      <w:r>
        <w:rPr>
          <w:rFonts w:ascii="Times New Roman" w:cs="Times New Roman" w:hAnsiTheme="minorEastAsia"/>
          <w:sz w:val="24"/>
        </w:rPr>
        <w:t>建设项目地表水环境评价自查表</w:t>
      </w:r>
    </w:p>
    <w:p>
      <w:pPr>
        <w:pStyle w:val="5"/>
        <w:adjustRightInd w:val="0"/>
        <w:snapToGrid w:val="0"/>
        <w:spacing w:after="0" w:line="312" w:lineRule="auto"/>
        <w:ind w:firstLine="480" w:firstLineChars="200"/>
        <w:rPr>
          <w:rFonts w:ascii="Times New Roman" w:cs="Times New Roman" w:hAnsiTheme="minorEastAsia"/>
          <w:sz w:val="24"/>
        </w:rPr>
      </w:pPr>
      <w:r>
        <w:rPr>
          <w:rFonts w:hint="eastAsia" w:ascii="Times New Roman" w:cs="Times New Roman" w:hAnsiTheme="minorEastAsia"/>
          <w:sz w:val="24"/>
        </w:rPr>
        <w:t>附表3  建设项目环境风险评价自查表</w:t>
      </w:r>
    </w:p>
    <w:p>
      <w:pPr>
        <w:pStyle w:val="5"/>
        <w:adjustRightInd w:val="0"/>
        <w:snapToGrid w:val="0"/>
        <w:spacing w:after="0" w:line="312" w:lineRule="auto"/>
        <w:ind w:firstLine="480" w:firstLineChars="200"/>
        <w:rPr>
          <w:rFonts w:ascii="Times New Roman" w:hAnsi="Times New Roman" w:cs="Times New Roman"/>
          <w:sz w:val="24"/>
        </w:rPr>
      </w:pPr>
      <w:r>
        <w:rPr>
          <w:rFonts w:ascii="Times New Roman" w:cs="Times New Roman" w:hAnsiTheme="minorEastAsia"/>
          <w:sz w:val="24"/>
        </w:rPr>
        <w:t>附表</w:t>
      </w:r>
      <w:r>
        <w:rPr>
          <w:rFonts w:hint="eastAsia" w:ascii="Times New Roman" w:hAnsi="Times New Roman" w:cs="Times New Roman"/>
          <w:sz w:val="24"/>
        </w:rPr>
        <w:t xml:space="preserve">4  </w:t>
      </w:r>
      <w:r>
        <w:rPr>
          <w:rFonts w:ascii="Times New Roman" w:hAnsi="Times New Roman" w:cs="Times New Roman"/>
          <w:sz w:val="24"/>
        </w:rPr>
        <w:t>土壤环境影响评价自查表</w:t>
      </w:r>
    </w:p>
    <w:p>
      <w:pPr>
        <w:pStyle w:val="5"/>
        <w:adjustRightInd w:val="0"/>
        <w:snapToGrid w:val="0"/>
        <w:spacing w:after="0" w:line="312" w:lineRule="auto"/>
        <w:ind w:firstLine="480" w:firstLineChars="200"/>
        <w:rPr>
          <w:rFonts w:ascii="Times New Roman" w:hAnsi="Times New Roman" w:cs="Times New Roman"/>
          <w:sz w:val="24"/>
        </w:rPr>
      </w:pPr>
      <w:r>
        <w:rPr>
          <w:rFonts w:ascii="Times New Roman" w:cs="Times New Roman" w:hAnsiTheme="minorEastAsia"/>
          <w:sz w:val="24"/>
        </w:rPr>
        <w:t>附表</w:t>
      </w:r>
      <w:r>
        <w:rPr>
          <w:rFonts w:hint="eastAsia" w:ascii="Times New Roman" w:hAnsi="Times New Roman" w:cs="Times New Roman"/>
          <w:sz w:val="24"/>
        </w:rPr>
        <w:t>5  声</w:t>
      </w:r>
      <w:r>
        <w:rPr>
          <w:rFonts w:ascii="Times New Roman" w:hAnsi="Times New Roman" w:cs="Times New Roman"/>
          <w:sz w:val="24"/>
        </w:rPr>
        <w:t>环境影响评价自查表</w:t>
      </w:r>
    </w:p>
    <w:p>
      <w:pPr>
        <w:pStyle w:val="5"/>
        <w:adjustRightInd w:val="0"/>
        <w:snapToGrid w:val="0"/>
        <w:spacing w:after="0" w:line="312" w:lineRule="auto"/>
        <w:ind w:firstLine="480" w:firstLineChars="200"/>
        <w:rPr>
          <w:rFonts w:ascii="Times New Roman" w:hAnsi="Times New Roman" w:cs="Times New Roman"/>
          <w:sz w:val="24"/>
        </w:rPr>
      </w:pPr>
      <w:r>
        <w:rPr>
          <w:rFonts w:ascii="Times New Roman" w:cs="Times New Roman" w:hAnsiTheme="minorEastAsia"/>
          <w:sz w:val="24"/>
        </w:rPr>
        <w:t>附表</w:t>
      </w:r>
      <w:r>
        <w:rPr>
          <w:rFonts w:hint="eastAsia" w:ascii="Times New Roman" w:hAnsi="Times New Roman" w:cs="Times New Roman"/>
          <w:sz w:val="24"/>
        </w:rPr>
        <w:t xml:space="preserve">6  </w:t>
      </w:r>
      <w:r>
        <w:rPr>
          <w:rFonts w:ascii="Times New Roman" w:cs="Times New Roman" w:hAnsiTheme="minorEastAsia"/>
          <w:sz w:val="24"/>
        </w:rPr>
        <w:t>建设项目环评审批基础信息表</w:t>
      </w:r>
    </w:p>
    <w:p/>
    <w:p>
      <w:pPr>
        <w:pStyle w:val="4"/>
        <w:pageBreakBefore/>
        <w:numPr>
          <w:ilvl w:val="0"/>
          <w:numId w:val="0"/>
        </w:numPr>
        <w:spacing w:beforeLines="0" w:line="360" w:lineRule="auto"/>
        <w:ind w:firstLine="480" w:firstLineChars="200"/>
        <w:jc w:val="center"/>
        <w:rPr>
          <w:rFonts w:eastAsiaTheme="majorEastAsia"/>
          <w:b w:val="0"/>
          <w:bCs w:val="0"/>
          <w:kern w:val="2"/>
          <w:sz w:val="24"/>
          <w:szCs w:val="24"/>
        </w:rPr>
        <w:sectPr>
          <w:footerReference r:id="rId10" w:type="first"/>
          <w:headerReference r:id="rId7" w:type="default"/>
          <w:footerReference r:id="rId9" w:type="default"/>
          <w:headerReference r:id="rId8" w:type="even"/>
          <w:pgSz w:w="11907" w:h="16840"/>
          <w:pgMar w:top="1701" w:right="1588" w:bottom="1985" w:left="1588" w:header="851" w:footer="1134" w:gutter="0"/>
          <w:pgBorders>
            <w:top w:val="none" w:sz="0" w:space="0"/>
            <w:left w:val="none" w:sz="0" w:space="0"/>
            <w:bottom w:val="none" w:sz="0" w:space="0"/>
            <w:right w:val="none" w:sz="0" w:space="0"/>
          </w:pgBorders>
          <w:pgNumType w:fmt="upperRoman" w:start="1"/>
          <w:cols w:space="720" w:num="1"/>
          <w:titlePg/>
          <w:docGrid w:linePitch="312" w:charSpace="0"/>
        </w:sectPr>
      </w:pPr>
    </w:p>
    <w:p>
      <w:pPr>
        <w:pStyle w:val="4"/>
        <w:pageBreakBefore/>
        <w:numPr>
          <w:ilvl w:val="0"/>
          <w:numId w:val="0"/>
        </w:numPr>
        <w:spacing w:beforeLines="0" w:line="360" w:lineRule="auto"/>
        <w:ind w:firstLine="480" w:firstLineChars="200"/>
        <w:jc w:val="center"/>
        <w:rPr>
          <w:rFonts w:eastAsia="宋体"/>
        </w:rPr>
      </w:pPr>
      <w:r>
        <w:rPr>
          <w:rFonts w:eastAsiaTheme="majorEastAsia"/>
          <w:b w:val="0"/>
          <w:bCs w:val="0"/>
          <w:kern w:val="2"/>
          <w:sz w:val="24"/>
          <w:szCs w:val="24"/>
        </w:rPr>
        <w:fldChar w:fldCharType="end"/>
      </w:r>
      <w:bookmarkStart w:id="10" w:name="_Toc123886388"/>
      <w:r>
        <w:rPr>
          <w:rFonts w:eastAsia="宋体"/>
        </w:rPr>
        <w:t>1 概述</w:t>
      </w:r>
      <w:bookmarkEnd w:id="3"/>
      <w:bookmarkEnd w:id="4"/>
      <w:bookmarkEnd w:id="5"/>
      <w:bookmarkEnd w:id="6"/>
      <w:bookmarkEnd w:id="7"/>
      <w:bookmarkEnd w:id="8"/>
      <w:bookmarkEnd w:id="9"/>
      <w:bookmarkEnd w:id="10"/>
    </w:p>
    <w:p>
      <w:pPr>
        <w:pStyle w:val="6"/>
        <w:numPr>
          <w:ilvl w:val="0"/>
          <w:numId w:val="0"/>
        </w:numPr>
        <w:rPr>
          <w:rFonts w:ascii="Times New Roman" w:hAnsi="Times New Roman" w:eastAsia="宋体"/>
          <w:szCs w:val="30"/>
        </w:rPr>
      </w:pPr>
      <w:bookmarkStart w:id="11" w:name="_Toc123886389"/>
      <w:bookmarkStart w:id="12" w:name="_Toc26762"/>
      <w:bookmarkStart w:id="13" w:name="_Toc18973"/>
      <w:bookmarkStart w:id="14" w:name="_Toc3340"/>
      <w:bookmarkStart w:id="15" w:name="_Toc517522233"/>
      <w:bookmarkStart w:id="16" w:name="_Toc19356"/>
      <w:bookmarkStart w:id="17" w:name="_Toc3401"/>
      <w:bookmarkStart w:id="18" w:name="_Toc9963"/>
      <w:r>
        <w:rPr>
          <w:rFonts w:ascii="Times New Roman" w:hAnsi="Times New Roman" w:eastAsia="宋体"/>
          <w:szCs w:val="30"/>
        </w:rPr>
        <w:t>1.1 项目由来</w:t>
      </w:r>
      <w:bookmarkEnd w:id="11"/>
    </w:p>
    <w:bookmarkEnd w:id="12"/>
    <w:bookmarkEnd w:id="13"/>
    <w:bookmarkEnd w:id="14"/>
    <w:bookmarkEnd w:id="15"/>
    <w:bookmarkEnd w:id="16"/>
    <w:bookmarkEnd w:id="17"/>
    <w:bookmarkEnd w:id="18"/>
    <w:p>
      <w:pPr>
        <w:pStyle w:val="215"/>
        <w:rPr>
          <w:rFonts w:ascii="宋体" w:hAnsi="宋体"/>
          <w:szCs w:val="24"/>
        </w:rPr>
      </w:pPr>
      <w:r>
        <w:rPr>
          <w:rFonts w:hint="eastAsia" w:ascii="宋体" w:hAnsi="宋体"/>
          <w:szCs w:val="24"/>
        </w:rPr>
        <w:t>建设社会主义新农村是我国现代化进程中的重大历史任务，而推进现代农业建设，是社会主义新农村建设的产业支撑。党中央和国务院在《关于推进社会主义新农村建设的若干意见》中明确指出要积极推进农业结构调整，大力发展畜牧业，扩大畜禽良种补贴规模，推广健康养殖方式，安排专项投入支持标准化畜禽小区建设试点。当前，各地都在认真贯彻中央精神，不断加大对畜牧业的扶持力度。</w:t>
      </w:r>
    </w:p>
    <w:p>
      <w:pPr>
        <w:pStyle w:val="215"/>
        <w:rPr>
          <w:rFonts w:ascii="宋体" w:hAnsi="宋体"/>
          <w:szCs w:val="24"/>
        </w:rPr>
      </w:pPr>
      <w:r>
        <w:rPr>
          <w:rFonts w:hint="eastAsia" w:ascii="宋体" w:hAnsi="宋体"/>
          <w:szCs w:val="24"/>
        </w:rPr>
        <w:t>随着我国经济的发展，科技的进步，蛋鸡养殖业得到了快速发展，工厂化、规模化蛋鸡养殖逐渐成为潮流。养殖厂的选址、设计到引种、饲料、管理、出栏；从饮水供应、饲料使用到兽药使用、防疫治病；到产品加工、运输、销售全部都要推行良好操作规范，实行标准化生产。</w:t>
      </w:r>
    </w:p>
    <w:p>
      <w:pPr>
        <w:pStyle w:val="215"/>
        <w:rPr>
          <w:szCs w:val="24"/>
        </w:rPr>
      </w:pPr>
      <w:r>
        <w:rPr>
          <w:rFonts w:hint="eastAsia" w:ascii="宋体" w:hAnsi="宋体"/>
          <w:szCs w:val="24"/>
        </w:rPr>
        <w:t>按照“科学养殖、集中发展”的思路，结合现代化农业规模种植基地建设，</w:t>
      </w:r>
      <w:r>
        <w:rPr>
          <w:rFonts w:hint="eastAsia"/>
        </w:rPr>
        <w:t>湖南安发原生态农业旅游开发有限公司选址于</w:t>
      </w:r>
      <w:r>
        <w:rPr>
          <w:rFonts w:hint="eastAsia" w:hAnsi="宋体"/>
        </w:rPr>
        <w:t>衡阳县台源镇建设</w:t>
      </w:r>
      <w:r>
        <w:rPr>
          <w:rFonts w:hint="eastAsia"/>
          <w:bCs/>
        </w:rPr>
        <w:t>蛋鸡养殖基地，采用现代化的养殖工艺、现代化的设施装备、现代化产业体系和现代化经营模式进行产业化生产</w:t>
      </w:r>
      <w:r>
        <w:rPr>
          <w:rFonts w:hint="eastAsia" w:ascii="宋体" w:hAnsi="宋体"/>
          <w:szCs w:val="24"/>
        </w:rPr>
        <w:t>。</w:t>
      </w:r>
    </w:p>
    <w:p>
      <w:pPr>
        <w:pStyle w:val="215"/>
        <w:rPr>
          <w:bCs/>
        </w:rPr>
      </w:pPr>
      <w:r>
        <w:rPr>
          <w:rFonts w:hint="eastAsia"/>
        </w:rPr>
        <w:t>湖南安发原生态农业旅游开发有限公司目前在衡阳县台源镇建设台源</w:t>
      </w:r>
      <w:r>
        <w:rPr>
          <w:rFonts w:hint="eastAsia"/>
          <w:bCs/>
        </w:rPr>
        <w:t>蛋鸡养殖一场和二场2个项目，本项目为其中的</w:t>
      </w:r>
      <w:r>
        <w:rPr>
          <w:rFonts w:hint="eastAsia"/>
        </w:rPr>
        <w:t>台源</w:t>
      </w:r>
      <w:r>
        <w:rPr>
          <w:rFonts w:hint="eastAsia"/>
          <w:bCs/>
        </w:rPr>
        <w:t>蛋鸡养殖二场项目。</w:t>
      </w:r>
      <w:r>
        <w:rPr>
          <w:rFonts w:hint="eastAsia"/>
        </w:rPr>
        <w:t>台源</w:t>
      </w:r>
      <w:r>
        <w:rPr>
          <w:rFonts w:hint="eastAsia"/>
          <w:bCs/>
        </w:rPr>
        <w:t>蛋鸡养殖一场项目位于衡阳县</w:t>
      </w:r>
      <w:r>
        <w:rPr>
          <w:rFonts w:hint="eastAsia"/>
        </w:rPr>
        <w:t>台源镇前进村财冲组和东湖寺村近丝塘组，占地</w:t>
      </w:r>
      <w:r>
        <w:rPr>
          <w:rFonts w:hint="eastAsia"/>
          <w:szCs w:val="24"/>
          <w:lang w:val="en-US" w:eastAsia="zh-CN"/>
        </w:rPr>
        <w:t>189.8</w:t>
      </w:r>
      <w:r>
        <w:rPr>
          <w:szCs w:val="24"/>
        </w:rPr>
        <w:t>亩，养殖规</w:t>
      </w:r>
      <w:r>
        <w:rPr>
          <w:bCs/>
        </w:rPr>
        <w:t>模为年存栏蛋鸡60万羽；</w:t>
      </w:r>
      <w:r>
        <w:rPr>
          <w:rFonts w:hint="eastAsia"/>
          <w:bCs/>
        </w:rPr>
        <w:t>台源蛋鸡养殖二场（即本项目</w:t>
      </w:r>
      <w:r>
        <w:rPr>
          <w:rFonts w:hint="eastAsia"/>
          <w:bCs/>
          <w:lang w:eastAsia="zh-CN"/>
        </w:rPr>
        <w:t>，</w:t>
      </w:r>
      <w:r>
        <w:rPr>
          <w:rFonts w:hint="eastAsia"/>
          <w:bCs/>
          <w:lang w:val="en-US" w:eastAsia="zh-CN"/>
        </w:rPr>
        <w:t>包括</w:t>
      </w:r>
      <w:r>
        <w:rPr>
          <w:rFonts w:hint="eastAsia"/>
          <w:bCs/>
        </w:rPr>
        <w:t>台源蛋鸡养殖</w:t>
      </w:r>
      <w:r>
        <w:rPr>
          <w:rFonts w:hint="eastAsia"/>
          <w:bCs/>
          <w:lang w:val="en-US" w:eastAsia="zh-CN"/>
        </w:rPr>
        <w:t>基地（南场）和</w:t>
      </w:r>
      <w:r>
        <w:rPr>
          <w:rFonts w:hint="eastAsia"/>
          <w:bCs/>
        </w:rPr>
        <w:t>台源蛋鸡养殖</w:t>
      </w:r>
      <w:r>
        <w:rPr>
          <w:rFonts w:hint="eastAsia"/>
          <w:bCs/>
          <w:lang w:val="en-US" w:eastAsia="zh-CN"/>
        </w:rPr>
        <w:t>基地（东场）</w:t>
      </w:r>
      <w:r>
        <w:rPr>
          <w:rFonts w:hint="eastAsia"/>
          <w:bCs/>
        </w:rPr>
        <w:t>）</w:t>
      </w:r>
      <w:r>
        <w:rPr>
          <w:bCs/>
        </w:rPr>
        <w:t>位于</w:t>
      </w:r>
      <w:r>
        <w:rPr>
          <w:rFonts w:hint="eastAsia"/>
          <w:bCs/>
        </w:rPr>
        <w:t>衡阳县台源镇紫霞村、前进村，占地约</w:t>
      </w:r>
      <w:r>
        <w:rPr>
          <w:rFonts w:hint="eastAsia"/>
          <w:bCs/>
          <w:lang w:val="en-US" w:eastAsia="zh-CN"/>
        </w:rPr>
        <w:t>32.96</w:t>
      </w:r>
      <w:r>
        <w:rPr>
          <w:bCs/>
        </w:rPr>
        <w:t>亩，养殖规模为年存栏蛋鸡60万羽。</w:t>
      </w:r>
    </w:p>
    <w:p>
      <w:pPr>
        <w:pStyle w:val="215"/>
        <w:rPr>
          <w:bCs/>
        </w:rPr>
      </w:pPr>
      <w:r>
        <w:rPr>
          <w:rFonts w:hint="eastAsia"/>
          <w:bCs/>
        </w:rPr>
        <w:t>湖南安发原生态农业旅游开发有限公司台源蛋鸡养殖二场建设项目位于衡阳县台源镇紫霞村、前进村，项目总投资1.5亿元，占地约</w:t>
      </w:r>
      <w:r>
        <w:rPr>
          <w:rFonts w:hint="eastAsia"/>
          <w:bCs/>
          <w:lang w:val="en-US" w:eastAsia="zh-CN"/>
        </w:rPr>
        <w:t>32.96</w:t>
      </w:r>
      <w:r>
        <w:rPr>
          <w:bCs/>
        </w:rPr>
        <w:t>亩，其中</w:t>
      </w:r>
      <w:r>
        <w:rPr>
          <w:rFonts w:hint="eastAsia"/>
          <w:bCs/>
        </w:rPr>
        <w:t>蛋鸡舍</w:t>
      </w:r>
      <w:r>
        <w:rPr>
          <w:bCs/>
        </w:rPr>
        <w:t>占地</w:t>
      </w:r>
      <w:r>
        <w:rPr>
          <w:rFonts w:hint="eastAsia"/>
          <w:bCs/>
          <w:lang w:val="en-US" w:eastAsia="zh-CN"/>
        </w:rPr>
        <w:t>16.32</w:t>
      </w:r>
      <w:r>
        <w:rPr>
          <w:rFonts w:hint="eastAsia"/>
          <w:bCs/>
        </w:rPr>
        <w:t>亩，蛋库占地</w:t>
      </w:r>
      <w:r>
        <w:rPr>
          <w:rFonts w:hint="eastAsia"/>
          <w:bCs/>
          <w:lang w:val="en-US" w:eastAsia="zh-CN"/>
        </w:rPr>
        <w:t>4.5</w:t>
      </w:r>
      <w:r>
        <w:rPr>
          <w:rFonts w:hint="eastAsia"/>
          <w:bCs/>
        </w:rPr>
        <w:t>亩，</w:t>
      </w:r>
      <w:r>
        <w:rPr>
          <w:rFonts w:hint="eastAsia"/>
          <w:bCs/>
          <w:lang w:val="en-US" w:eastAsia="zh-CN"/>
        </w:rPr>
        <w:t>粪便暂存间</w:t>
      </w:r>
      <w:r>
        <w:rPr>
          <w:rFonts w:hint="eastAsia"/>
          <w:bCs/>
        </w:rPr>
        <w:t>占地</w:t>
      </w:r>
      <w:r>
        <w:rPr>
          <w:rFonts w:hint="eastAsia"/>
          <w:bCs/>
          <w:lang w:val="en-US" w:eastAsia="zh-CN"/>
        </w:rPr>
        <w:t>2.37</w:t>
      </w:r>
      <w:r>
        <w:rPr>
          <w:rFonts w:hint="eastAsia"/>
          <w:bCs/>
        </w:rPr>
        <w:t>亩，最终形成年养殖</w:t>
      </w:r>
      <w:r>
        <w:rPr>
          <w:rFonts w:hint="eastAsia"/>
          <w:bCs/>
          <w:lang w:val="en-US" w:eastAsia="zh-CN"/>
        </w:rPr>
        <w:t>蛋鸡</w:t>
      </w:r>
      <w:r>
        <w:rPr>
          <w:bCs/>
        </w:rPr>
        <w:t>60</w:t>
      </w:r>
      <w:r>
        <w:rPr>
          <w:rFonts w:hint="eastAsia"/>
          <w:bCs/>
        </w:rPr>
        <w:t>万羽，鸡蛋</w:t>
      </w:r>
      <w:r>
        <w:rPr>
          <w:rFonts w:hint="eastAsia" w:hAnsi="宋体"/>
        </w:rPr>
        <w:t>18342.126</w:t>
      </w:r>
      <w:r>
        <w:rPr>
          <w:rFonts w:hint="eastAsia" w:hAnsi="宋体"/>
          <w:color w:val="auto"/>
        </w:rPr>
        <w:t>万枚</w:t>
      </w:r>
      <w:r>
        <w:rPr>
          <w:rFonts w:hint="eastAsia"/>
          <w:bCs/>
          <w:color w:val="auto"/>
        </w:rPr>
        <w:t>的生产规模</w:t>
      </w:r>
      <w:r>
        <w:rPr>
          <w:rFonts w:hint="eastAsia"/>
          <w:bCs/>
        </w:rPr>
        <w:t>。项目于2022年10月31日</w:t>
      </w:r>
      <w:r>
        <w:rPr>
          <w:rFonts w:hint="eastAsia"/>
          <w:bCs/>
          <w:lang w:val="en-US" w:eastAsia="zh-CN"/>
        </w:rPr>
        <w:t>取得</w:t>
      </w:r>
      <w:r>
        <w:rPr>
          <w:rFonts w:hint="eastAsia"/>
          <w:bCs/>
        </w:rPr>
        <w:t>衡阳县发展和改革局</w:t>
      </w:r>
      <w:r>
        <w:rPr>
          <w:rFonts w:hint="eastAsia"/>
          <w:bCs/>
          <w:lang w:val="en-US" w:eastAsia="zh-CN"/>
        </w:rPr>
        <w:t>关于本项目的</w:t>
      </w:r>
      <w:r>
        <w:rPr>
          <w:rFonts w:hint="eastAsia"/>
          <w:bCs/>
        </w:rPr>
        <w:t>备案</w:t>
      </w:r>
      <w:r>
        <w:rPr>
          <w:rFonts w:hint="eastAsia"/>
          <w:bCs/>
          <w:lang w:val="en-US" w:eastAsia="zh-CN"/>
        </w:rPr>
        <w:t>证明</w:t>
      </w:r>
      <w:r>
        <w:rPr>
          <w:rFonts w:hint="eastAsia"/>
          <w:bCs/>
        </w:rPr>
        <w:t>（项目编码：2020-430421-01-03-02454，详见附件</w:t>
      </w:r>
      <w:r>
        <w:rPr>
          <w:rFonts w:hint="eastAsia"/>
          <w:bCs/>
          <w:lang w:val="en-US" w:eastAsia="zh-CN"/>
        </w:rPr>
        <w:t>3</w:t>
      </w:r>
      <w:r>
        <w:rPr>
          <w:rFonts w:hint="eastAsia"/>
          <w:bCs/>
        </w:rPr>
        <w:t>）。</w:t>
      </w:r>
    </w:p>
    <w:p>
      <w:pPr>
        <w:spacing w:line="360" w:lineRule="auto"/>
        <w:ind w:firstLine="480" w:firstLineChars="200"/>
        <w:rPr>
          <w:sz w:val="24"/>
        </w:rPr>
      </w:pPr>
      <w:r>
        <w:rPr>
          <w:sz w:val="24"/>
        </w:rPr>
        <w:t>根据《建设项目环境保护管理条例》（国务院第</w:t>
      </w:r>
      <w:r>
        <w:rPr>
          <w:rFonts w:hint="eastAsia"/>
          <w:sz w:val="24"/>
        </w:rPr>
        <w:t>682号令</w:t>
      </w:r>
      <w:r>
        <w:rPr>
          <w:sz w:val="24"/>
        </w:rPr>
        <w:t>）、建设项目环境影响评价分类管理名录（生态环境部令第44号）以及《关于修改＜建设项目环境影响评价分类管理名录＞部分内容的决定》（生态环境部令第1号）等有关文件的规定</w:t>
      </w:r>
      <w:r>
        <w:rPr>
          <w:rFonts w:hint="eastAsia" w:eastAsiaTheme="minorEastAsia"/>
          <w:sz w:val="24"/>
        </w:rPr>
        <w:t>，本项目蛋鸡养殖场建成后养殖规模为蛋鸡60万羽，结合《畜禽养殖业污染物排放标准》（GB18596-2001），30只蛋鸡折算成1头猪，折合成生猪数量为20000头，属于“一、畜牧类中 1：畜禽养殖场、养殖小区。年出栏生猪5000头（其他畜禽种类折合猪的养殖规模）及以上或涉及环境敏感区的”类别，应编制报告书。为此，2022年11月</w:t>
      </w:r>
      <w:r>
        <w:rPr>
          <w:rFonts w:hint="eastAsia"/>
          <w:sz w:val="24"/>
        </w:rPr>
        <w:t>湖南安发原生态农业旅游开发有限公司委托湖南鑫煜环保科技有限公司承担本项目的环境影响评价工作。我公司接受委托后，立即组织相关技术人员进行现场踏勘、类比调查、收集相关资料，在此基础上，按照国家对建设项目环境影响评价的有关规定和有关环保政策、技术规范，编制了本项目环境影响报告书，报请审查。</w:t>
      </w:r>
    </w:p>
    <w:p>
      <w:pPr>
        <w:pStyle w:val="6"/>
        <w:numPr>
          <w:ilvl w:val="0"/>
          <w:numId w:val="0"/>
        </w:numPr>
        <w:rPr>
          <w:rFonts w:ascii="Times New Roman" w:hAnsi="Times New Roman" w:eastAsia="宋体"/>
          <w:szCs w:val="30"/>
        </w:rPr>
      </w:pPr>
      <w:bookmarkStart w:id="19" w:name="_Toc123886390"/>
      <w:r>
        <w:rPr>
          <w:rFonts w:ascii="Times New Roman" w:hAnsi="Times New Roman" w:eastAsia="宋体"/>
          <w:szCs w:val="30"/>
        </w:rPr>
        <w:t>1.</w:t>
      </w:r>
      <w:r>
        <w:rPr>
          <w:rFonts w:hint="eastAsia" w:ascii="Times New Roman" w:hAnsi="Times New Roman" w:eastAsia="宋体"/>
          <w:szCs w:val="30"/>
        </w:rPr>
        <w:t>2</w:t>
      </w:r>
      <w:r>
        <w:rPr>
          <w:rFonts w:ascii="Times New Roman" w:hAnsi="Times New Roman" w:eastAsia="宋体"/>
          <w:szCs w:val="30"/>
        </w:rPr>
        <w:t xml:space="preserve"> 项目特点</w:t>
      </w:r>
      <w:bookmarkEnd w:id="19"/>
    </w:p>
    <w:p>
      <w:pPr>
        <w:spacing w:line="360" w:lineRule="auto"/>
        <w:ind w:firstLine="480" w:firstLineChars="200"/>
        <w:rPr>
          <w:sz w:val="24"/>
        </w:rPr>
      </w:pPr>
      <w:r>
        <w:rPr>
          <w:sz w:val="24"/>
        </w:rPr>
        <w:t>根据现场调查，项目所在地不在生活饮用水水源保护区范围；不涉及风景名胜区、自然保护区；不属于城市和城镇居民区等人口集中地区；不属于国家或地方法律、法规规定需特殊保护的其它区域。</w:t>
      </w:r>
    </w:p>
    <w:p>
      <w:pPr>
        <w:spacing w:line="360" w:lineRule="auto"/>
        <w:ind w:firstLine="480" w:firstLineChars="200"/>
        <w:rPr>
          <w:sz w:val="24"/>
        </w:rPr>
      </w:pPr>
      <w:r>
        <w:rPr>
          <w:sz w:val="24"/>
        </w:rPr>
        <w:t>从项目周围环境状况和周边村民居住区分布情况看，本项目选址符合《畜禽养殖业污染防治技术规范》（HJ/T81-2001）、《畜禽养殖产地环境评价规范》（HJ568-2010）和《畜禽养殖业污染治理工程技术规范》（HJ</w:t>
      </w:r>
      <w:r>
        <w:rPr>
          <w:rFonts w:hint="eastAsia"/>
          <w:sz w:val="24"/>
        </w:rPr>
        <w:t xml:space="preserve"> </w:t>
      </w:r>
      <w:r>
        <w:rPr>
          <w:sz w:val="24"/>
        </w:rPr>
        <w:t>497-2009）中的选址要求。</w:t>
      </w:r>
    </w:p>
    <w:p>
      <w:pPr>
        <w:spacing w:line="360" w:lineRule="auto"/>
        <w:ind w:firstLine="480" w:firstLineChars="200"/>
        <w:rPr>
          <w:sz w:val="24"/>
        </w:rPr>
      </w:pPr>
      <w:r>
        <w:rPr>
          <w:sz w:val="24"/>
        </w:rPr>
        <w:t>项目施工和生产运营过程中将产生一定量的废水、废气、噪声和固体废物，根据建设项目排放的主要污染因子以及场址的地理位置、气象因素，环评重点为</w:t>
      </w:r>
      <w:r>
        <w:rPr>
          <w:rFonts w:hint="eastAsia"/>
          <w:sz w:val="24"/>
        </w:rPr>
        <w:t>养殖过程中恶臭、病死鸡及病疫防治过程产生的少量医疗废物的处置</w:t>
      </w:r>
      <w:r>
        <w:rPr>
          <w:rFonts w:hint="eastAsia"/>
          <w:sz w:val="24"/>
          <w:lang w:val="en-US" w:eastAsia="zh-CN"/>
        </w:rPr>
        <w:t>等</w:t>
      </w:r>
      <w:r>
        <w:rPr>
          <w:rFonts w:hint="eastAsia"/>
          <w:sz w:val="24"/>
        </w:rPr>
        <w:t>对环境的影响。</w:t>
      </w:r>
    </w:p>
    <w:p>
      <w:pPr>
        <w:pStyle w:val="6"/>
        <w:numPr>
          <w:ilvl w:val="0"/>
          <w:numId w:val="0"/>
        </w:numPr>
        <w:spacing w:before="0" w:after="0" w:line="360" w:lineRule="auto"/>
        <w:rPr>
          <w:rFonts w:ascii="Times New Roman" w:hAnsi="Times New Roman" w:eastAsia="宋体"/>
          <w:szCs w:val="30"/>
        </w:rPr>
      </w:pPr>
      <w:bookmarkStart w:id="20" w:name="_Toc123886391"/>
      <w:r>
        <w:rPr>
          <w:rFonts w:ascii="Times New Roman" w:hAnsi="Times New Roman" w:eastAsia="宋体"/>
          <w:szCs w:val="30"/>
        </w:rPr>
        <w:t>1.</w:t>
      </w:r>
      <w:r>
        <w:rPr>
          <w:rFonts w:hint="eastAsia" w:ascii="Times New Roman" w:hAnsi="Times New Roman" w:eastAsia="宋体"/>
          <w:szCs w:val="30"/>
        </w:rPr>
        <w:t xml:space="preserve">3 </w:t>
      </w:r>
      <w:r>
        <w:rPr>
          <w:rFonts w:ascii="Times New Roman" w:hAnsi="Times New Roman" w:eastAsia="宋体"/>
          <w:szCs w:val="30"/>
        </w:rPr>
        <w:t>环境影响评价工作过程</w:t>
      </w:r>
      <w:bookmarkEnd w:id="20"/>
    </w:p>
    <w:p>
      <w:pPr>
        <w:spacing w:line="360" w:lineRule="auto"/>
        <w:ind w:firstLine="480" w:firstLineChars="200"/>
        <w:rPr>
          <w:sz w:val="24"/>
        </w:rPr>
      </w:pPr>
      <w:r>
        <w:rPr>
          <w:sz w:val="24"/>
        </w:rPr>
        <w:t>根据《中华人民共和国环境保护法》（201</w:t>
      </w:r>
      <w:r>
        <w:rPr>
          <w:rFonts w:hint="eastAsia"/>
          <w:sz w:val="24"/>
        </w:rPr>
        <w:t>5年1月1日实施</w:t>
      </w:r>
      <w:r>
        <w:rPr>
          <w:sz w:val="24"/>
        </w:rPr>
        <w:t>）、《中华人民共和国环境影响评价法》（201</w:t>
      </w:r>
      <w:r>
        <w:rPr>
          <w:rFonts w:hint="eastAsia"/>
          <w:sz w:val="24"/>
        </w:rPr>
        <w:t>8</w:t>
      </w:r>
      <w:r>
        <w:rPr>
          <w:sz w:val="24"/>
        </w:rPr>
        <w:t>年</w:t>
      </w:r>
      <w:r>
        <w:rPr>
          <w:rFonts w:hint="eastAsia"/>
          <w:sz w:val="24"/>
        </w:rPr>
        <w:t>12</w:t>
      </w:r>
      <w:r>
        <w:rPr>
          <w:sz w:val="24"/>
        </w:rPr>
        <w:t>月</w:t>
      </w:r>
      <w:r>
        <w:rPr>
          <w:rFonts w:hint="eastAsia"/>
          <w:sz w:val="24"/>
        </w:rPr>
        <w:t>29</w:t>
      </w:r>
      <w:r>
        <w:rPr>
          <w:sz w:val="24"/>
        </w:rPr>
        <w:t>日修</w:t>
      </w:r>
      <w:r>
        <w:rPr>
          <w:rFonts w:hint="eastAsia"/>
          <w:sz w:val="24"/>
        </w:rPr>
        <w:t>订并施行</w:t>
      </w:r>
      <w:r>
        <w:rPr>
          <w:sz w:val="24"/>
        </w:rPr>
        <w:t>）、《建设项目环境影响评价分类管理名录（生态环境部令第44号，2017年9月1日起施行）以及《关于修改＜建设项目环境影响评价分类管理名录＞部分内容的决定》（生态环境部令第1号）</w:t>
      </w:r>
      <w:r>
        <w:rPr>
          <w:bCs/>
          <w:sz w:val="24"/>
        </w:rPr>
        <w:t>的相关规定</w:t>
      </w:r>
      <w:r>
        <w:rPr>
          <w:sz w:val="24"/>
        </w:rPr>
        <w:t>，本</w:t>
      </w:r>
      <w:r>
        <w:rPr>
          <w:rFonts w:hint="eastAsia"/>
          <w:sz w:val="24"/>
        </w:rPr>
        <w:t>项目应编制环境影响报告书。</w:t>
      </w:r>
    </w:p>
    <w:p>
      <w:pPr>
        <w:pStyle w:val="212"/>
        <w:ind w:firstLine="480"/>
        <w:jc w:val="both"/>
      </w:pPr>
      <w:r>
        <w:rPr>
          <w:rFonts w:hint="eastAsia"/>
        </w:rPr>
        <w:t>本次环境影响评价工作按照总纲要求分为三个阶段，即前期准备、调研和工作方案阶段，分析论证和预测评价阶段和环境影响评价文件编制阶段。本次评价过程首先在研究相关文件，包括国家和地方有关环境保护的法律法规、政策、标准、相关规划、工程技术文件的基础上，进行了初步工程分析，开展初步的环境状况调查；根据相关要求及项目特点进行了环境影响因素识别与评价因子筛选，明确了评价重点和环境保护目标，确定工作等级、评价范围和评价标准，同时制定了工作方案；然后进行评价范围内的环境状况调查、监测与评价，建设项目工程分析，之后进行各环境要素环境影响预测与评价、各专题环境影响分析与评价，最后提出环境保护措施，进行技术经济论证，给出建设项目环境可行性的评价结论。</w:t>
      </w:r>
    </w:p>
    <w:p>
      <w:pPr>
        <w:pStyle w:val="212"/>
        <w:ind w:firstLine="480"/>
        <w:jc w:val="both"/>
      </w:pPr>
      <w:r>
        <w:rPr>
          <w:rFonts w:hint="eastAsia"/>
        </w:rPr>
        <w:t>根据《建设项目环境影响评价技术导则  总纲》（</w:t>
      </w:r>
      <w:r>
        <w:t>HJ 2.1-2016</w:t>
      </w:r>
      <w:r>
        <w:rPr>
          <w:rFonts w:hint="eastAsia"/>
        </w:rPr>
        <w:t>）等相关技术规范的要求，本项目环境影响评价的工作过程及程序见图</w:t>
      </w:r>
      <w:r>
        <w:t>1</w:t>
      </w:r>
      <w:r>
        <w:rPr>
          <w:rFonts w:hint="eastAsia"/>
        </w:rPr>
        <w:t>.3</w:t>
      </w:r>
      <w:r>
        <w:t>-1</w:t>
      </w:r>
      <w:r>
        <w:rPr>
          <w:rFonts w:hint="eastAsia"/>
        </w:rPr>
        <w:t>。</w:t>
      </w:r>
    </w:p>
    <w:p>
      <w:pPr>
        <w:pStyle w:val="212"/>
        <w:ind w:firstLine="480"/>
        <w:jc w:val="both"/>
      </w:pPr>
      <w:r>
        <w:drawing>
          <wp:inline distT="0" distB="0" distL="0" distR="0">
            <wp:extent cx="4692650" cy="4824730"/>
            <wp:effectExtent l="0" t="0" r="6350" b="1270"/>
            <wp:docPr id="14" name="图片 43" descr="C752]T2ETGS@Q34]PP5BK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3" descr="C752]T2ETGS@Q34]PP5BKAF"/>
                    <pic:cNvPicPr>
                      <a:picLocks noChangeAspect="1" noChangeArrowheads="1"/>
                    </pic:cNvPicPr>
                  </pic:nvPicPr>
                  <pic:blipFill>
                    <a:blip r:embed="rId19" cstate="print"/>
                    <a:srcRect l="3024" t="6531" r="4320" b="3469"/>
                    <a:stretch>
                      <a:fillRect/>
                    </a:stretch>
                  </pic:blipFill>
                  <pic:spPr>
                    <a:xfrm>
                      <a:off x="0" y="0"/>
                      <a:ext cx="4692650" cy="4824730"/>
                    </a:xfrm>
                    <a:prstGeom prst="rect">
                      <a:avLst/>
                    </a:prstGeom>
                    <a:noFill/>
                    <a:ln w="9525">
                      <a:noFill/>
                      <a:miter lim="800000"/>
                      <a:headEnd/>
                      <a:tailEnd/>
                    </a:ln>
                  </pic:spPr>
                </pic:pic>
              </a:graphicData>
            </a:graphic>
          </wp:inline>
        </w:drawing>
      </w:r>
    </w:p>
    <w:p>
      <w:pPr>
        <w:pStyle w:val="5"/>
        <w:spacing w:afterLines="50" w:line="360" w:lineRule="auto"/>
        <w:ind w:firstLine="0" w:firstLineChars="0"/>
        <w:jc w:val="center"/>
        <w:rPr>
          <w:rFonts w:ascii="Times New Roman" w:hAnsi="Times New Roman" w:cs="Times New Roman"/>
          <w:b/>
          <w:kern w:val="0"/>
          <w:szCs w:val="21"/>
        </w:rPr>
      </w:pPr>
      <w:r>
        <w:rPr>
          <w:rFonts w:hint="eastAsia" w:ascii="Times New Roman" w:hAnsi="Times New Roman" w:cs="Times New Roman"/>
          <w:b/>
          <w:kern w:val="0"/>
          <w:szCs w:val="21"/>
        </w:rPr>
        <w:t>图</w:t>
      </w:r>
      <w:r>
        <w:rPr>
          <w:rFonts w:ascii="Times New Roman" w:hAnsi="Times New Roman" w:cs="Times New Roman"/>
          <w:b/>
          <w:kern w:val="0"/>
          <w:szCs w:val="21"/>
        </w:rPr>
        <w:t>1.</w:t>
      </w:r>
      <w:r>
        <w:rPr>
          <w:rFonts w:hint="eastAsia" w:ascii="Times New Roman" w:hAnsi="Times New Roman" w:cs="Times New Roman"/>
          <w:b/>
          <w:kern w:val="0"/>
          <w:szCs w:val="21"/>
        </w:rPr>
        <w:t>3</w:t>
      </w:r>
      <w:r>
        <w:rPr>
          <w:rFonts w:ascii="Times New Roman" w:hAnsi="Times New Roman" w:cs="Times New Roman"/>
          <w:b/>
          <w:kern w:val="0"/>
          <w:szCs w:val="21"/>
        </w:rPr>
        <w:t xml:space="preserve">-1  </w:t>
      </w:r>
      <w:r>
        <w:rPr>
          <w:rFonts w:hint="eastAsia" w:ascii="Times New Roman" w:hAnsi="Times New Roman" w:cs="Times New Roman"/>
          <w:b/>
          <w:kern w:val="0"/>
          <w:szCs w:val="21"/>
        </w:rPr>
        <w:t>建设项目环境影响评价工作程序图</w:t>
      </w:r>
    </w:p>
    <w:p>
      <w:pPr>
        <w:pStyle w:val="5"/>
        <w:spacing w:after="0"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同时，建设单位依据《环境影响评价公众参与办法》（生态环境部令第4号）进行公众参与。</w:t>
      </w:r>
    </w:p>
    <w:p>
      <w:pPr>
        <w:pStyle w:val="6"/>
        <w:numPr>
          <w:ilvl w:val="0"/>
          <w:numId w:val="0"/>
        </w:numPr>
        <w:spacing w:before="0" w:after="0" w:line="360" w:lineRule="auto"/>
        <w:rPr>
          <w:rFonts w:ascii="Times New Roman" w:hAnsi="Times New Roman" w:eastAsia="宋体"/>
          <w:szCs w:val="30"/>
        </w:rPr>
      </w:pPr>
      <w:bookmarkStart w:id="21" w:name="_Toc123886392"/>
      <w:r>
        <w:rPr>
          <w:rFonts w:ascii="Times New Roman" w:hAnsi="Times New Roman" w:eastAsia="宋体"/>
          <w:szCs w:val="30"/>
        </w:rPr>
        <w:t>1.</w:t>
      </w:r>
      <w:r>
        <w:rPr>
          <w:rFonts w:hint="eastAsia" w:ascii="Times New Roman" w:hAnsi="Times New Roman" w:eastAsia="宋体"/>
          <w:szCs w:val="30"/>
        </w:rPr>
        <w:t>4 分析判断相关情况</w:t>
      </w:r>
      <w:bookmarkEnd w:id="21"/>
    </w:p>
    <w:p>
      <w:pPr>
        <w:pStyle w:val="7"/>
        <w:adjustRightInd w:val="0"/>
        <w:snapToGrid w:val="0"/>
        <w:spacing w:before="0" w:after="0" w:line="360" w:lineRule="auto"/>
        <w:jc w:val="left"/>
        <w:rPr>
          <w:sz w:val="24"/>
          <w:szCs w:val="24"/>
        </w:rPr>
      </w:pPr>
      <w:r>
        <w:rPr>
          <w:rFonts w:hint="eastAsia"/>
          <w:sz w:val="24"/>
          <w:szCs w:val="24"/>
        </w:rPr>
        <w:t>1.4.1 产业政策符合性</w:t>
      </w:r>
    </w:p>
    <w:p>
      <w:pPr>
        <w:pStyle w:val="215"/>
        <w:rPr>
          <w:rFonts w:hAnsiTheme="minorEastAsia" w:eastAsiaTheme="minorEastAsia"/>
        </w:rPr>
      </w:pPr>
      <w:r>
        <w:rPr>
          <w:rFonts w:hint="eastAsia"/>
          <w:szCs w:val="24"/>
        </w:rPr>
        <w:t>本项目为规模化禽类养殖，属于农林牧渔业，对照《产业结构调整指导目录（</w:t>
      </w:r>
      <w:r>
        <w:rPr>
          <w:szCs w:val="24"/>
        </w:rPr>
        <w:t>2019</w:t>
      </w:r>
      <w:r>
        <w:rPr>
          <w:rFonts w:hint="eastAsia"/>
          <w:szCs w:val="24"/>
        </w:rPr>
        <w:t>年本）》（</w:t>
      </w:r>
      <w:r>
        <w:rPr>
          <w:szCs w:val="24"/>
        </w:rPr>
        <w:t>2021</w:t>
      </w:r>
      <w:r>
        <w:rPr>
          <w:rFonts w:hint="eastAsia"/>
          <w:szCs w:val="24"/>
        </w:rPr>
        <w:t>修改单），属于鼓励类第一条第四款畜禽标准化规模养殖技术开发与应用。综上，该项目符合国家产业政策</w:t>
      </w:r>
      <w:r>
        <w:rPr>
          <w:rFonts w:hAnsiTheme="minorEastAsia" w:eastAsiaTheme="minorEastAsia"/>
        </w:rPr>
        <w:t>。</w:t>
      </w:r>
    </w:p>
    <w:p>
      <w:pPr>
        <w:pStyle w:val="7"/>
        <w:adjustRightInd w:val="0"/>
        <w:snapToGrid w:val="0"/>
        <w:spacing w:before="0" w:after="0" w:line="360" w:lineRule="auto"/>
        <w:jc w:val="left"/>
        <w:rPr>
          <w:sz w:val="24"/>
          <w:szCs w:val="24"/>
        </w:rPr>
      </w:pPr>
      <w:r>
        <w:rPr>
          <w:rFonts w:hint="eastAsia"/>
          <w:sz w:val="24"/>
          <w:szCs w:val="24"/>
        </w:rPr>
        <w:t>1.4.2 国家行业相关政策符合性分析</w:t>
      </w:r>
    </w:p>
    <w:p>
      <w:pPr>
        <w:pStyle w:val="215"/>
        <w:ind w:firstLine="482"/>
        <w:rPr>
          <w:b/>
          <w:bCs/>
          <w:szCs w:val="24"/>
        </w:rPr>
      </w:pPr>
      <w:r>
        <w:rPr>
          <w:rFonts w:hint="eastAsia"/>
          <w:b/>
          <w:bCs/>
          <w:szCs w:val="24"/>
        </w:rPr>
        <w:t>1、与《农业部关于加快推进畜禽标准化规模养殖的意见》（农牧发[2010]6号）、《国务院关于促进畜牧业持续健康发展的意见》相符性分析</w:t>
      </w:r>
    </w:p>
    <w:p>
      <w:pPr>
        <w:pStyle w:val="215"/>
        <w:ind w:firstLine="482"/>
        <w:rPr>
          <w:bCs/>
          <w:szCs w:val="24"/>
        </w:rPr>
      </w:pPr>
      <w:r>
        <w:rPr>
          <w:rFonts w:hint="eastAsia"/>
          <w:b/>
          <w:bCs/>
          <w:szCs w:val="24"/>
        </w:rPr>
        <w:t>《</w:t>
      </w:r>
      <w:r>
        <w:rPr>
          <w:rFonts w:hint="eastAsia"/>
          <w:bCs/>
          <w:szCs w:val="24"/>
        </w:rPr>
        <w:t>农业部关于加快推进畜禽标准化规模养殖的意见》（农牧发[2010]6号）指出发展畜禽标准化规模养殖，是加快生产方式转变，建设现代畜牧业的重要内容。《意见》提出的目标：力争到 2015 年，全国畜禽规模养殖比重在现有基础上再提高 10-15 个百分点，其中标准化规模养殖比重占规模养殖场的 50%，畜禽标准化规模养殖场的排泄物实现达标排放或资源化利用，重大动物疫病防控能力显著增强，畜产品质量安全水平明显提升。要求大力推行畜禽标准化生产，达到“六化”，即：畜禽良种化，养殖设施化，生产规范化，防疫制度化，粪污处理无害化和监管常态化。</w:t>
      </w:r>
    </w:p>
    <w:p>
      <w:pPr>
        <w:pStyle w:val="215"/>
        <w:rPr>
          <w:bCs/>
          <w:szCs w:val="24"/>
        </w:rPr>
      </w:pPr>
      <w:r>
        <w:rPr>
          <w:rFonts w:hint="eastAsia"/>
          <w:bCs/>
          <w:szCs w:val="24"/>
        </w:rPr>
        <w:t>《国务院关于促进畜牧业持续健康发展的意见》明确提出要求推进畜禽健康养殖，加快畜牧业增长方式转变。把转变畜牧业增长方式作为建设现代畜牧业的重要内容，同时要求建立健全畜禽良种繁育、饲草饲料生产和动物疫病防控三大体系。一是加大畜牧业结构调整，优化畜产品区域布局；二是加快科技进步，推进健康养殖；三是大力发展产业化经营，提高养殖户组织化程度。</w:t>
      </w:r>
    </w:p>
    <w:p>
      <w:pPr>
        <w:pStyle w:val="215"/>
        <w:rPr>
          <w:bCs/>
          <w:szCs w:val="24"/>
        </w:rPr>
      </w:pPr>
      <w:r>
        <w:rPr>
          <w:rFonts w:hint="eastAsia"/>
          <w:bCs/>
          <w:szCs w:val="24"/>
        </w:rPr>
        <w:t>本项目为蛋鸡规模化养殖项目，与《农业部关于加快推进畜禽标准化规模养殖的意见》（农牧发[2010]6号）、《国务院关于促进畜牧业持续健康发展的意见》等国家产业政策及相关政策要求相符。</w:t>
      </w:r>
    </w:p>
    <w:p>
      <w:pPr>
        <w:pStyle w:val="215"/>
        <w:ind w:firstLine="482"/>
        <w:rPr>
          <w:b/>
          <w:bCs/>
          <w:szCs w:val="24"/>
        </w:rPr>
      </w:pPr>
      <w:r>
        <w:rPr>
          <w:rFonts w:hint="eastAsia"/>
          <w:b/>
          <w:bCs/>
          <w:szCs w:val="24"/>
        </w:rPr>
        <w:t>2、与《国务院办公厅关于加快推进畜禽养殖废弃物资源化利用的意见》相符性分析</w:t>
      </w:r>
    </w:p>
    <w:p>
      <w:pPr>
        <w:pStyle w:val="215"/>
        <w:rPr>
          <w:bCs/>
          <w:szCs w:val="24"/>
        </w:rPr>
      </w:pPr>
      <w:r>
        <w:rPr>
          <w:rFonts w:hint="eastAsia"/>
          <w:bCs/>
          <w:szCs w:val="24"/>
        </w:rPr>
        <w:t>《国务院办公厅关于加快推进畜禽养殖废弃物资源化利用的意见》（国办发[2017]48号）指出新建或改扩建畜禽规模养殖场，应突出养分综合利用，配套与养殖规模和处理工艺相适应的粪污消纳用地，配备必要的粪污收集、贮存、处理、利用设施。</w:t>
      </w:r>
    </w:p>
    <w:p>
      <w:pPr>
        <w:pStyle w:val="215"/>
        <w:rPr>
          <w:rFonts w:hint="eastAsia" w:eastAsia="宋体"/>
          <w:lang w:eastAsia="zh-CN"/>
        </w:rPr>
      </w:pPr>
      <w:r>
        <w:rPr>
          <w:rFonts w:hint="eastAsia"/>
          <w:bCs/>
          <w:szCs w:val="24"/>
        </w:rPr>
        <w:t>本项目为新建畜禽规模养殖场，项目配套建设了相应的粪污收集、贮存等设施</w:t>
      </w:r>
      <w:r>
        <w:rPr>
          <w:rFonts w:hint="eastAsia"/>
          <w:bCs/>
          <w:szCs w:val="24"/>
          <w:lang w:eastAsia="zh-CN"/>
        </w:rPr>
        <w:t>。</w:t>
      </w:r>
      <w:r>
        <w:t>鸡舍中设置自动清粪系统，鸡粪日产日清。项目每栋鸡舍自动化清粪，鸡粪不落地，</w:t>
      </w:r>
      <w:r>
        <w:rPr>
          <w:rFonts w:hint="eastAsia"/>
        </w:rPr>
        <w:t>并</w:t>
      </w:r>
      <w:r>
        <w:t>配套建设</w:t>
      </w:r>
      <w:r>
        <w:rPr>
          <w:rFonts w:hint="eastAsia"/>
        </w:rPr>
        <w:t>鸡粪收集室</w:t>
      </w:r>
      <w:r>
        <w:t>作为</w:t>
      </w:r>
      <w:r>
        <w:rPr>
          <w:rFonts w:hint="eastAsia"/>
        </w:rPr>
        <w:t>鸡粪</w:t>
      </w:r>
      <w:r>
        <w:t>临时贮存场所</w:t>
      </w:r>
      <w:r>
        <w:rPr>
          <w:rFonts w:hint="eastAsia"/>
        </w:rPr>
        <w:t>，</w:t>
      </w:r>
      <w:r>
        <w:rPr>
          <w:rFonts w:hint="eastAsia"/>
          <w:color w:val="000000"/>
        </w:rPr>
        <w:t>正常情况下，鸡粪采用自动干清粪清掏排出鸡舍后，</w:t>
      </w:r>
      <w:r>
        <w:rPr>
          <w:rFonts w:hint="eastAsia"/>
          <w:bCs/>
          <w:szCs w:val="24"/>
          <w:lang w:val="en-US" w:eastAsia="zh-CN"/>
        </w:rPr>
        <w:t>部分</w:t>
      </w:r>
      <w:r>
        <w:rPr>
          <w:rFonts w:hint="eastAsia"/>
          <w:color w:val="000000"/>
        </w:rPr>
        <w:t>直接拉走</w:t>
      </w:r>
      <w:r>
        <w:rPr>
          <w:rFonts w:hint="eastAsia"/>
          <w:bCs/>
          <w:szCs w:val="24"/>
          <w:lang w:val="en-US" w:eastAsia="zh-CN"/>
        </w:rPr>
        <w:t>依托</w:t>
      </w:r>
      <w:r>
        <w:rPr>
          <w:rFonts w:hint="eastAsia"/>
        </w:rPr>
        <w:t>台源</w:t>
      </w:r>
      <w:r>
        <w:rPr>
          <w:rFonts w:hint="eastAsia"/>
          <w:bCs/>
        </w:rPr>
        <w:t>蛋鸡养殖</w:t>
      </w:r>
      <w:r>
        <w:rPr>
          <w:rFonts w:hint="eastAsia"/>
          <w:bCs/>
          <w:lang w:val="en-US" w:eastAsia="zh-CN"/>
        </w:rPr>
        <w:t>一场</w:t>
      </w:r>
      <w:r>
        <w:rPr>
          <w:rFonts w:hint="eastAsia"/>
          <w:szCs w:val="21"/>
        </w:rPr>
        <w:t>好氧发酵罐</w:t>
      </w:r>
      <w:r>
        <w:rPr>
          <w:rFonts w:hint="eastAsia"/>
          <w:szCs w:val="21"/>
          <w:lang w:val="en-US" w:eastAsia="zh-CN"/>
        </w:rPr>
        <w:t>制有机肥；剩余部分则</w:t>
      </w:r>
      <w:r>
        <w:rPr>
          <w:rFonts w:hint="eastAsia"/>
          <w:color w:val="000000"/>
        </w:rPr>
        <w:t>直接拉走</w:t>
      </w:r>
      <w:r>
        <w:rPr>
          <w:rFonts w:hint="eastAsia"/>
          <w:szCs w:val="21"/>
          <w:lang w:val="en-US" w:eastAsia="zh-CN"/>
        </w:rPr>
        <w:t>外售衡阳县沛科生态科技有限责任公司制有机肥</w:t>
      </w:r>
      <w:r>
        <w:rPr>
          <w:rFonts w:hint="eastAsia"/>
          <w:color w:val="000000"/>
        </w:rPr>
        <w:t>，在</w:t>
      </w:r>
      <w:r>
        <w:rPr>
          <w:rFonts w:hint="eastAsia"/>
          <w:szCs w:val="21"/>
          <w:lang w:val="en-US" w:eastAsia="zh-CN"/>
        </w:rPr>
        <w:t>衡阳县沛科生态科技有限责任公司</w:t>
      </w:r>
      <w:r>
        <w:rPr>
          <w:rFonts w:hint="eastAsia"/>
          <w:color w:val="000000"/>
        </w:rPr>
        <w:t>进行发酵预处理，不在本厂区进行预处理，在鸡粪收集室内堆存时间很短</w:t>
      </w:r>
      <w:r>
        <w:rPr>
          <w:rFonts w:hint="eastAsia"/>
          <w:color w:val="000000"/>
          <w:lang w:eastAsia="zh-CN"/>
        </w:rPr>
        <w:t>。</w:t>
      </w:r>
      <w:r>
        <w:rPr>
          <w:rFonts w:hint="eastAsia"/>
        </w:rPr>
        <w:t>采取雨污分流，废水经处理后</w:t>
      </w:r>
      <w:r>
        <w:rPr>
          <w:rFonts w:hint="eastAsia"/>
          <w:lang w:eastAsia="zh-CN"/>
        </w:rPr>
        <w:t>用于周边种植基地灌溉，不外排</w:t>
      </w:r>
      <w:r>
        <w:rPr>
          <w:bCs/>
          <w:snapToGrid w:val="0"/>
          <w:kern w:val="0"/>
        </w:rPr>
        <w:t>，实现了养殖场粪污资源化利用的目</w:t>
      </w:r>
      <w:r>
        <w:rPr>
          <w:rFonts w:hint="eastAsia"/>
          <w:bCs/>
          <w:snapToGrid w:val="0"/>
          <w:kern w:val="0"/>
        </w:rPr>
        <w:t>的</w:t>
      </w:r>
      <w:r>
        <w:rPr>
          <w:rFonts w:hint="eastAsia"/>
          <w:bCs/>
          <w:snapToGrid w:val="0"/>
          <w:kern w:val="0"/>
          <w:lang w:eastAsia="zh-CN"/>
        </w:rPr>
        <w:t>。</w:t>
      </w:r>
    </w:p>
    <w:p>
      <w:pPr>
        <w:pStyle w:val="215"/>
        <w:rPr>
          <w:bCs/>
          <w:szCs w:val="24"/>
        </w:rPr>
      </w:pPr>
      <w:r>
        <w:rPr>
          <w:rFonts w:hint="eastAsia"/>
          <w:color w:val="000000"/>
          <w:lang w:val="en-US" w:eastAsia="zh-CN"/>
        </w:rPr>
        <w:t>综上，</w:t>
      </w:r>
      <w:r>
        <w:rPr>
          <w:bCs/>
          <w:snapToGrid w:val="0"/>
          <w:kern w:val="0"/>
        </w:rPr>
        <w:t>本项目建设</w:t>
      </w:r>
      <w:r>
        <w:rPr>
          <w:rFonts w:hint="eastAsia"/>
          <w:bCs/>
          <w:szCs w:val="24"/>
        </w:rPr>
        <w:t>与《国务院办公厅关于加快推进畜禽养殖废弃物资源化利用的意见》（国办发[2017]48号）政策要求相符合。</w:t>
      </w:r>
    </w:p>
    <w:p>
      <w:pPr>
        <w:pStyle w:val="7"/>
        <w:adjustRightInd w:val="0"/>
        <w:snapToGrid w:val="0"/>
        <w:spacing w:before="0" w:after="0" w:line="360" w:lineRule="auto"/>
        <w:jc w:val="left"/>
        <w:rPr>
          <w:sz w:val="24"/>
          <w:szCs w:val="24"/>
        </w:rPr>
      </w:pPr>
      <w:r>
        <w:rPr>
          <w:rFonts w:hint="eastAsia"/>
          <w:sz w:val="24"/>
          <w:szCs w:val="24"/>
        </w:rPr>
        <w:t>1.4.3 地方行业相关政策文件符合性</w:t>
      </w:r>
    </w:p>
    <w:p>
      <w:pPr>
        <w:autoSpaceDE w:val="0"/>
        <w:autoSpaceDN w:val="0"/>
        <w:adjustRightInd w:val="0"/>
        <w:spacing w:line="360" w:lineRule="auto"/>
        <w:ind w:firstLine="482" w:firstLineChars="200"/>
        <w:rPr>
          <w:rFonts w:hAnsiTheme="minorEastAsia" w:eastAsiaTheme="minorEastAsia"/>
          <w:b/>
          <w:bCs/>
          <w:kern w:val="0"/>
          <w:sz w:val="24"/>
        </w:rPr>
      </w:pPr>
      <w:r>
        <w:rPr>
          <w:rFonts w:hint="eastAsia" w:hAnsiTheme="minorEastAsia" w:eastAsiaTheme="minorEastAsia"/>
          <w:b/>
          <w:bCs/>
          <w:kern w:val="0"/>
          <w:sz w:val="24"/>
        </w:rPr>
        <w:t>1、</w:t>
      </w:r>
      <w:r>
        <w:rPr>
          <w:rFonts w:hAnsiTheme="minorEastAsia" w:eastAsiaTheme="minorEastAsia"/>
          <w:b/>
          <w:bCs/>
          <w:kern w:val="0"/>
          <w:sz w:val="24"/>
        </w:rPr>
        <w:t>与</w:t>
      </w:r>
      <w:r>
        <w:rPr>
          <w:rFonts w:hint="eastAsia" w:hAnsiTheme="minorEastAsia" w:eastAsiaTheme="minorEastAsia"/>
          <w:b/>
          <w:bCs/>
          <w:kern w:val="0"/>
          <w:sz w:val="24"/>
        </w:rPr>
        <w:t>《湖南省人民政府办公厅关于加快转型升级推进现代畜牧业发展的意见》的符合性</w:t>
      </w:r>
    </w:p>
    <w:p>
      <w:pPr>
        <w:pStyle w:val="215"/>
        <w:rPr>
          <w:rFonts w:hAnsiTheme="minorEastAsia" w:eastAsiaTheme="minorEastAsia"/>
          <w:bCs/>
        </w:rPr>
      </w:pPr>
      <w:r>
        <w:rPr>
          <w:rFonts w:hint="eastAsia" w:hAnsiTheme="minorEastAsia" w:eastAsiaTheme="minorEastAsia"/>
          <w:bCs/>
        </w:rPr>
        <w:t>《湖南省人民政府办公厅关于加快转型升级推进现代畜牧业发展的意见》（湘湘政办发[2016]27号）</w:t>
      </w:r>
      <w:r>
        <w:rPr>
          <w:rFonts w:hint="eastAsia"/>
        </w:rPr>
        <w:t>提出“湘江长沙综合枢纽库区湘江干流两岸1000米，长沙综合枢纽库区以外湘江干流两岸500米内，洞庭湖内湖沿岸1000米、集中供水地下水源周边1000米以及地表水饮用水水源取水口上游1000米、下游100米范围内及城乡居民重要饮用水源保护区、自然保护区的核心区及缓冲区、风景名胜区，统一划</w:t>
      </w:r>
      <w:r>
        <w:rPr>
          <w:rFonts w:hint="eastAsia" w:hAnsiTheme="minorEastAsia" w:eastAsiaTheme="minorEastAsia"/>
          <w:bCs/>
        </w:rPr>
        <w:t>定为禁养区。禁养区内不得新建畜禽规模养殖场，已有规模养殖场要依法限期退出”。</w:t>
      </w:r>
      <w:r>
        <w:rPr>
          <w:rFonts w:hAnsiTheme="minorEastAsia" w:eastAsiaTheme="minorEastAsia"/>
          <w:bCs/>
        </w:rPr>
        <w:t>根据</w:t>
      </w:r>
      <w:r>
        <w:rPr>
          <w:rFonts w:hint="eastAsia" w:hAnsiTheme="minorEastAsia" w:eastAsiaTheme="minorEastAsia"/>
          <w:bCs/>
        </w:rPr>
        <w:t>衡阳市生态环境局衡阳县分局及衡阳县农业农村局</w:t>
      </w:r>
      <w:r>
        <w:rPr>
          <w:rFonts w:hAnsiTheme="minorEastAsia" w:eastAsiaTheme="minorEastAsia"/>
          <w:bCs/>
        </w:rPr>
        <w:t>颁发的《</w:t>
      </w:r>
      <w:r>
        <w:rPr>
          <w:rFonts w:hint="eastAsia" w:hAnsiTheme="minorEastAsia" w:eastAsiaTheme="minorEastAsia"/>
          <w:bCs/>
        </w:rPr>
        <w:t>衡阳县畜禽养殖禁养区划定技术方案</w:t>
      </w:r>
      <w:r>
        <w:rPr>
          <w:rFonts w:hAnsiTheme="minorEastAsia" w:eastAsiaTheme="minorEastAsia"/>
          <w:bCs/>
        </w:rPr>
        <w:t>》（</w:t>
      </w:r>
      <w:r>
        <w:rPr>
          <w:rFonts w:hint="eastAsia" w:hAnsiTheme="minorEastAsia" w:eastAsiaTheme="minorEastAsia"/>
          <w:bCs/>
        </w:rPr>
        <w:t>正式稿</w:t>
      </w:r>
      <w:r>
        <w:rPr>
          <w:rFonts w:hAnsiTheme="minorEastAsia" w:eastAsiaTheme="minorEastAsia"/>
          <w:bCs/>
        </w:rPr>
        <w:t>）内容，</w:t>
      </w:r>
      <w:r>
        <w:t>项目选址不属于《</w:t>
      </w:r>
      <w:r>
        <w:rPr>
          <w:rFonts w:hint="eastAsia"/>
        </w:rPr>
        <w:t>衡阳县畜禽养殖禁养区划定技术方案</w:t>
      </w:r>
      <w:r>
        <w:t>》（</w:t>
      </w:r>
      <w:r>
        <w:rPr>
          <w:rFonts w:hint="eastAsia"/>
        </w:rPr>
        <w:t>正式稿</w:t>
      </w:r>
      <w:r>
        <w:t>）的一级禁养区、二级禁养区，属于《</w:t>
      </w:r>
      <w:r>
        <w:rPr>
          <w:rFonts w:hint="eastAsia"/>
        </w:rPr>
        <w:t>衡阳县畜禽养殖禁养区划定技术方案</w:t>
      </w:r>
      <w:r>
        <w:t>》（</w:t>
      </w:r>
      <w:r>
        <w:rPr>
          <w:rFonts w:hint="eastAsia"/>
        </w:rPr>
        <w:t>正式稿</w:t>
      </w:r>
      <w:r>
        <w:t>）的适养区。</w:t>
      </w:r>
    </w:p>
    <w:p>
      <w:pPr>
        <w:pStyle w:val="215"/>
        <w:rPr>
          <w:rFonts w:hint="eastAsia"/>
        </w:rPr>
      </w:pPr>
      <w:r>
        <w:rPr>
          <w:rFonts w:hint="eastAsia"/>
        </w:rPr>
        <w:t>文件提出“加大规模养殖场粪污综合利用设施改造，实行干湿分离、雨污分流，着力推进畜禽粪污统一收集、处理和利用。组织开展畜禽粪便综合利用创建活动，大力推广农牧循环、沼气利用、有机肥加工等养殖废弃物资源化利用措施，优先支持符合条件的畜禽规模养殖场建设大中型沼气工程，促进畜禽养殖污染减量化排放、无害化处理、资源化利用。推广应用养殖场养殖废水净化技术，鼓励养殖企业进行综合利用技术改造，做到循环利用”。</w:t>
      </w:r>
    </w:p>
    <w:p>
      <w:pPr>
        <w:pStyle w:val="215"/>
      </w:pPr>
      <w:r>
        <w:rPr>
          <w:rFonts w:hint="eastAsia"/>
        </w:rPr>
        <w:t>本项目病死鸡经收集后暂存于</w:t>
      </w:r>
      <w:r>
        <w:rPr>
          <w:rFonts w:hint="eastAsia"/>
          <w:lang w:val="en-US" w:eastAsia="zh-CN"/>
        </w:rPr>
        <w:t>冷柜</w:t>
      </w:r>
      <w:r>
        <w:rPr>
          <w:rFonts w:hint="eastAsia"/>
        </w:rPr>
        <w:t>中，定期由畜禽无害化资质单位清运处置；采取雨污分流，废水经处理后</w:t>
      </w:r>
      <w:r>
        <w:rPr>
          <w:rFonts w:hint="eastAsia"/>
          <w:lang w:eastAsia="zh-CN"/>
        </w:rPr>
        <w:t>用于周边种植基地灌溉，不外排；</w:t>
      </w:r>
      <w:r>
        <w:rPr>
          <w:rFonts w:hint="eastAsia"/>
          <w:color w:val="000000"/>
        </w:rPr>
        <w:t>鸡粪采用自动干清粪清掏排出鸡舍后，</w:t>
      </w:r>
      <w:r>
        <w:rPr>
          <w:rFonts w:hint="eastAsia"/>
          <w:bCs/>
          <w:szCs w:val="24"/>
          <w:lang w:val="en-US" w:eastAsia="zh-CN"/>
        </w:rPr>
        <w:t>部分</w:t>
      </w:r>
      <w:r>
        <w:rPr>
          <w:rFonts w:hint="eastAsia"/>
          <w:color w:val="000000"/>
        </w:rPr>
        <w:t>直接拉走</w:t>
      </w:r>
      <w:r>
        <w:rPr>
          <w:rFonts w:hint="eastAsia"/>
          <w:bCs/>
          <w:szCs w:val="24"/>
          <w:lang w:val="en-US" w:eastAsia="zh-CN"/>
        </w:rPr>
        <w:t>依托</w:t>
      </w:r>
      <w:r>
        <w:rPr>
          <w:rFonts w:hint="eastAsia"/>
        </w:rPr>
        <w:t>台源</w:t>
      </w:r>
      <w:r>
        <w:rPr>
          <w:rFonts w:hint="eastAsia"/>
          <w:bCs/>
        </w:rPr>
        <w:t>蛋鸡养殖</w:t>
      </w:r>
      <w:r>
        <w:rPr>
          <w:rFonts w:hint="eastAsia"/>
          <w:bCs/>
          <w:lang w:val="en-US" w:eastAsia="zh-CN"/>
        </w:rPr>
        <w:t>一场</w:t>
      </w:r>
      <w:r>
        <w:rPr>
          <w:rFonts w:hint="eastAsia"/>
          <w:szCs w:val="21"/>
        </w:rPr>
        <w:t>好氧发酵罐</w:t>
      </w:r>
      <w:r>
        <w:rPr>
          <w:rFonts w:hint="eastAsia"/>
          <w:szCs w:val="21"/>
          <w:lang w:val="en-US" w:eastAsia="zh-CN"/>
        </w:rPr>
        <w:t>制有机肥；剩余部分则</w:t>
      </w:r>
      <w:r>
        <w:rPr>
          <w:rFonts w:hint="eastAsia"/>
          <w:color w:val="000000"/>
        </w:rPr>
        <w:t>直接拉走</w:t>
      </w:r>
      <w:r>
        <w:rPr>
          <w:rFonts w:hint="eastAsia"/>
          <w:szCs w:val="21"/>
          <w:lang w:val="en-US" w:eastAsia="zh-CN"/>
        </w:rPr>
        <w:t>外售衡阳县沛科生态科技有限责任公司制有机肥</w:t>
      </w:r>
      <w:r>
        <w:rPr>
          <w:rFonts w:hint="eastAsia"/>
          <w:color w:val="000000"/>
          <w:lang w:eastAsia="zh-CN"/>
        </w:rPr>
        <w:t>，</w:t>
      </w:r>
      <w:r>
        <w:rPr>
          <w:rFonts w:hint="eastAsia"/>
          <w:color w:val="000000"/>
        </w:rPr>
        <w:t>在</w:t>
      </w:r>
      <w:r>
        <w:rPr>
          <w:rFonts w:hint="eastAsia"/>
          <w:szCs w:val="21"/>
          <w:lang w:val="en-US" w:eastAsia="zh-CN"/>
        </w:rPr>
        <w:t>衡阳县沛科生态科技有限责任公司</w:t>
      </w:r>
      <w:r>
        <w:rPr>
          <w:rFonts w:hint="eastAsia"/>
          <w:color w:val="000000"/>
        </w:rPr>
        <w:t>进行发酵预处理，不在本厂区进行预处理，在鸡粪收集室内堆存时间很短</w:t>
      </w:r>
      <w:r>
        <w:rPr>
          <w:bCs/>
          <w:snapToGrid w:val="0"/>
          <w:kern w:val="0"/>
        </w:rPr>
        <w:t>，实现了养殖场粪污资源化利用的目</w:t>
      </w:r>
      <w:r>
        <w:rPr>
          <w:rFonts w:hint="eastAsia"/>
          <w:bCs/>
          <w:snapToGrid w:val="0"/>
          <w:kern w:val="0"/>
        </w:rPr>
        <w:t>的</w:t>
      </w:r>
      <w:r>
        <w:rPr>
          <w:rFonts w:hint="eastAsia"/>
        </w:rPr>
        <w:t>。</w:t>
      </w:r>
    </w:p>
    <w:p>
      <w:pPr>
        <w:pStyle w:val="215"/>
        <w:rPr>
          <w:rFonts w:hAnsiTheme="minorEastAsia" w:eastAsiaTheme="minorEastAsia"/>
          <w:bCs/>
        </w:rPr>
      </w:pPr>
      <w:r>
        <w:rPr>
          <w:rFonts w:hint="eastAsia"/>
        </w:rPr>
        <w:t>综上，本项目符合《湖南省人民政府办公厅关于加快转型升级推进现代畜牧业发展的意见》的相关要求。</w:t>
      </w:r>
    </w:p>
    <w:p>
      <w:pPr>
        <w:spacing w:line="360" w:lineRule="auto"/>
        <w:ind w:firstLine="482" w:firstLineChars="200"/>
        <w:rPr>
          <w:b/>
          <w:sz w:val="24"/>
        </w:rPr>
      </w:pPr>
      <w:r>
        <w:rPr>
          <w:rFonts w:hint="eastAsia"/>
          <w:b/>
          <w:sz w:val="24"/>
        </w:rPr>
        <w:t>2、</w:t>
      </w:r>
      <w:r>
        <w:rPr>
          <w:b/>
          <w:sz w:val="24"/>
        </w:rPr>
        <w:t>与《</w:t>
      </w:r>
      <w:r>
        <w:rPr>
          <w:rFonts w:hint="eastAsia"/>
          <w:b/>
          <w:sz w:val="24"/>
        </w:rPr>
        <w:t>湖南省畜禽规模养殖污染防治规定</w:t>
      </w:r>
      <w:r>
        <w:rPr>
          <w:b/>
          <w:sz w:val="24"/>
        </w:rPr>
        <w:t>》符合性</w:t>
      </w:r>
    </w:p>
    <w:p>
      <w:pPr>
        <w:pStyle w:val="215"/>
      </w:pPr>
      <w:r>
        <w:rPr>
          <w:rFonts w:hint="eastAsia"/>
        </w:rPr>
        <w:t>根据湖南省人民政府办公厅关于印发《湖南省畜禽规模养殖污染防治规定》的通知（湘政办发〔2017〕29 号），新建、改建、扩建畜禽养殖场、养殖小区要实施雨污分流，建设必要的畜禽养殖废弃物资源化利用和无害化处理设施。”</w:t>
      </w:r>
    </w:p>
    <w:p>
      <w:pPr>
        <w:pStyle w:val="215"/>
      </w:pPr>
      <w:r>
        <w:rPr>
          <w:rFonts w:hint="eastAsia"/>
        </w:rPr>
        <w:t>本项目病死鸡经收集后暂存于</w:t>
      </w:r>
      <w:r>
        <w:rPr>
          <w:rFonts w:hint="eastAsia"/>
          <w:lang w:val="en-US" w:eastAsia="zh-CN"/>
        </w:rPr>
        <w:t>冷柜</w:t>
      </w:r>
      <w:r>
        <w:rPr>
          <w:rFonts w:hint="eastAsia"/>
        </w:rPr>
        <w:t>中，定期由畜禽无害化资质单位清运处置；采取雨污分流，废水经处理后</w:t>
      </w:r>
      <w:r>
        <w:rPr>
          <w:rFonts w:hint="eastAsia"/>
          <w:lang w:eastAsia="zh-CN"/>
        </w:rPr>
        <w:t>用于周边种植基地灌溉，不外排；</w:t>
      </w:r>
      <w:r>
        <w:rPr>
          <w:rFonts w:hint="eastAsia"/>
          <w:color w:val="000000"/>
        </w:rPr>
        <w:t>鸡粪采用自动干清粪清掏排出鸡舍后，</w:t>
      </w:r>
      <w:r>
        <w:rPr>
          <w:rFonts w:hint="eastAsia"/>
          <w:bCs/>
          <w:szCs w:val="24"/>
          <w:lang w:val="en-US" w:eastAsia="zh-CN"/>
        </w:rPr>
        <w:t>部分</w:t>
      </w:r>
      <w:r>
        <w:rPr>
          <w:rFonts w:hint="eastAsia"/>
          <w:color w:val="000000"/>
        </w:rPr>
        <w:t>直接拉走</w:t>
      </w:r>
      <w:r>
        <w:rPr>
          <w:rFonts w:hint="eastAsia"/>
          <w:bCs/>
          <w:szCs w:val="24"/>
          <w:lang w:val="en-US" w:eastAsia="zh-CN"/>
        </w:rPr>
        <w:t>依托</w:t>
      </w:r>
      <w:r>
        <w:rPr>
          <w:rFonts w:hint="eastAsia"/>
        </w:rPr>
        <w:t>台源</w:t>
      </w:r>
      <w:r>
        <w:rPr>
          <w:rFonts w:hint="eastAsia"/>
          <w:bCs/>
        </w:rPr>
        <w:t>蛋鸡养殖</w:t>
      </w:r>
      <w:r>
        <w:rPr>
          <w:rFonts w:hint="eastAsia"/>
          <w:bCs/>
          <w:lang w:val="en-US" w:eastAsia="zh-CN"/>
        </w:rPr>
        <w:t>一场</w:t>
      </w:r>
      <w:r>
        <w:rPr>
          <w:rFonts w:hint="eastAsia"/>
          <w:szCs w:val="21"/>
        </w:rPr>
        <w:t>好氧发酵罐</w:t>
      </w:r>
      <w:r>
        <w:rPr>
          <w:rFonts w:hint="eastAsia"/>
          <w:szCs w:val="21"/>
          <w:lang w:val="en-US" w:eastAsia="zh-CN"/>
        </w:rPr>
        <w:t>制有机肥；剩余部分则</w:t>
      </w:r>
      <w:r>
        <w:rPr>
          <w:rFonts w:hint="eastAsia"/>
          <w:color w:val="000000"/>
        </w:rPr>
        <w:t>直接拉走</w:t>
      </w:r>
      <w:r>
        <w:rPr>
          <w:rFonts w:hint="eastAsia"/>
          <w:szCs w:val="21"/>
          <w:lang w:val="en-US" w:eastAsia="zh-CN"/>
        </w:rPr>
        <w:t>外售衡阳县沛科生态科技有限责任公司制有机肥</w:t>
      </w:r>
      <w:r>
        <w:rPr>
          <w:rFonts w:hint="eastAsia"/>
          <w:color w:val="000000"/>
          <w:lang w:eastAsia="zh-CN"/>
        </w:rPr>
        <w:t>，</w:t>
      </w:r>
      <w:r>
        <w:rPr>
          <w:rFonts w:hint="eastAsia"/>
          <w:color w:val="000000"/>
        </w:rPr>
        <w:t>在</w:t>
      </w:r>
      <w:r>
        <w:rPr>
          <w:rFonts w:hint="eastAsia"/>
          <w:szCs w:val="21"/>
          <w:lang w:val="en-US" w:eastAsia="zh-CN"/>
        </w:rPr>
        <w:t>衡阳县沛科生态科技有限责任公司</w:t>
      </w:r>
      <w:r>
        <w:rPr>
          <w:rFonts w:hint="eastAsia"/>
          <w:color w:val="000000"/>
        </w:rPr>
        <w:t>进行发酵预处理，不在本厂区进行预处理，在鸡粪收集室内堆存时间很短</w:t>
      </w:r>
      <w:r>
        <w:rPr>
          <w:bCs/>
          <w:snapToGrid w:val="0"/>
          <w:kern w:val="0"/>
        </w:rPr>
        <w:t>，实现了养殖场粪污资源化利用的目</w:t>
      </w:r>
      <w:r>
        <w:rPr>
          <w:rFonts w:hint="eastAsia"/>
          <w:bCs/>
          <w:snapToGrid w:val="0"/>
          <w:kern w:val="0"/>
        </w:rPr>
        <w:t>的</w:t>
      </w:r>
      <w:r>
        <w:rPr>
          <w:rFonts w:hint="eastAsia"/>
        </w:rPr>
        <w:t>。</w:t>
      </w:r>
    </w:p>
    <w:p>
      <w:pPr>
        <w:pStyle w:val="215"/>
        <w:rPr>
          <w:b/>
        </w:rPr>
      </w:pPr>
      <w:r>
        <w:rPr>
          <w:rFonts w:hint="eastAsia"/>
        </w:rPr>
        <w:t>综上，本项目符合《湖南省畜禽规模养殖污染防治规定》的相关要求。</w:t>
      </w:r>
    </w:p>
    <w:p>
      <w:pPr>
        <w:pStyle w:val="215"/>
        <w:ind w:firstLine="482"/>
      </w:pPr>
      <w:r>
        <w:rPr>
          <w:rFonts w:hint="eastAsia"/>
          <w:b/>
        </w:rPr>
        <w:t>3、与《湖南省人民政府办公厅关于加快推进畜禽养殖废弃物资源化利用的实施意见》符合性</w:t>
      </w:r>
    </w:p>
    <w:p>
      <w:pPr>
        <w:pStyle w:val="215"/>
      </w:pPr>
      <w:r>
        <w:rPr>
          <w:rFonts w:hint="eastAsia"/>
        </w:rPr>
        <w:t>《湖南省人民政府办公厅关于加快推进畜禽养殖废弃物资源化利用的实施意见》（湘政办发〔2017〕68号）提出“严格落实畜禽养殖场主体责任。畜禽规模养殖场要严格按照《中华人民共和国环境保护法》、《畜禽规模养殖污染防治条例》等法律法规要求，牢固树立环保意识，切实履行环境保护第一主体责任，建设与养殖规模相应的粪便收集、贮存及处理设施并保持正常运转，或者委托第三方进行废弃物处理和资源化利用。实施畜禽规模养殖场分类管理，需申领排污许可证的畜禽规模养殖场，要及时依法申领排污许可证，并按证排污。要定期将畜禽养殖废弃物产生、排放和综合利用等情况报当地畜牧和环保主管部门备案。”</w:t>
      </w:r>
    </w:p>
    <w:p>
      <w:pPr>
        <w:pStyle w:val="215"/>
      </w:pPr>
      <w:r>
        <w:rPr>
          <w:rFonts w:hint="eastAsia"/>
        </w:rPr>
        <w:t>本项目病死鸡经收集后暂存于</w:t>
      </w:r>
      <w:r>
        <w:rPr>
          <w:rFonts w:hint="eastAsia"/>
          <w:lang w:val="en-US" w:eastAsia="zh-CN"/>
        </w:rPr>
        <w:t>冷柜</w:t>
      </w:r>
      <w:r>
        <w:rPr>
          <w:rFonts w:hint="eastAsia"/>
        </w:rPr>
        <w:t>中，定期由畜禽无害化资质单位清运处置；采取雨污分流，废水经处理后</w:t>
      </w:r>
      <w:r>
        <w:rPr>
          <w:rFonts w:hint="eastAsia"/>
          <w:lang w:eastAsia="zh-CN"/>
        </w:rPr>
        <w:t>用于周边种植基地灌溉，不外排；</w:t>
      </w:r>
      <w:r>
        <w:rPr>
          <w:rFonts w:hint="eastAsia"/>
          <w:color w:val="000000"/>
        </w:rPr>
        <w:t>鸡粪采用自动干清粪清掏排出鸡舍后，</w:t>
      </w:r>
      <w:r>
        <w:rPr>
          <w:rFonts w:hint="eastAsia"/>
          <w:bCs/>
          <w:szCs w:val="24"/>
          <w:lang w:val="en-US" w:eastAsia="zh-CN"/>
        </w:rPr>
        <w:t>部分</w:t>
      </w:r>
      <w:r>
        <w:rPr>
          <w:rFonts w:hint="eastAsia"/>
          <w:color w:val="000000"/>
        </w:rPr>
        <w:t>直接拉走</w:t>
      </w:r>
      <w:r>
        <w:rPr>
          <w:rFonts w:hint="eastAsia"/>
          <w:bCs/>
          <w:szCs w:val="24"/>
          <w:lang w:val="en-US" w:eastAsia="zh-CN"/>
        </w:rPr>
        <w:t>依托</w:t>
      </w:r>
      <w:r>
        <w:rPr>
          <w:rFonts w:hint="eastAsia"/>
        </w:rPr>
        <w:t>台源</w:t>
      </w:r>
      <w:r>
        <w:rPr>
          <w:rFonts w:hint="eastAsia"/>
          <w:bCs/>
        </w:rPr>
        <w:t>蛋鸡养殖</w:t>
      </w:r>
      <w:r>
        <w:rPr>
          <w:rFonts w:hint="eastAsia"/>
          <w:bCs/>
          <w:lang w:val="en-US" w:eastAsia="zh-CN"/>
        </w:rPr>
        <w:t>一场</w:t>
      </w:r>
      <w:r>
        <w:rPr>
          <w:rFonts w:hint="eastAsia"/>
          <w:szCs w:val="21"/>
        </w:rPr>
        <w:t>好氧发酵罐</w:t>
      </w:r>
      <w:r>
        <w:rPr>
          <w:rFonts w:hint="eastAsia"/>
          <w:szCs w:val="21"/>
          <w:lang w:val="en-US" w:eastAsia="zh-CN"/>
        </w:rPr>
        <w:t>制有机肥；剩余部分则</w:t>
      </w:r>
      <w:r>
        <w:rPr>
          <w:rFonts w:hint="eastAsia"/>
          <w:color w:val="000000"/>
        </w:rPr>
        <w:t>直接拉走</w:t>
      </w:r>
      <w:r>
        <w:rPr>
          <w:rFonts w:hint="eastAsia"/>
          <w:szCs w:val="21"/>
          <w:lang w:val="en-US" w:eastAsia="zh-CN"/>
        </w:rPr>
        <w:t>外售衡阳县沛科生态科技有限责任公司制有机肥</w:t>
      </w:r>
      <w:r>
        <w:rPr>
          <w:rFonts w:hint="eastAsia"/>
          <w:color w:val="000000"/>
          <w:lang w:eastAsia="zh-CN"/>
        </w:rPr>
        <w:t>，</w:t>
      </w:r>
      <w:r>
        <w:rPr>
          <w:rFonts w:hint="eastAsia"/>
          <w:color w:val="000000"/>
        </w:rPr>
        <w:t>在</w:t>
      </w:r>
      <w:r>
        <w:rPr>
          <w:rFonts w:hint="eastAsia"/>
          <w:szCs w:val="21"/>
          <w:lang w:val="en-US" w:eastAsia="zh-CN"/>
        </w:rPr>
        <w:t>衡阳县沛科生态科技有限责任公司</w:t>
      </w:r>
      <w:r>
        <w:rPr>
          <w:rFonts w:hint="eastAsia"/>
          <w:color w:val="000000"/>
        </w:rPr>
        <w:t>进行发酵预处理，不在本厂区进行预处理，在鸡粪收集室内堆存时间很短</w:t>
      </w:r>
      <w:r>
        <w:rPr>
          <w:bCs/>
          <w:snapToGrid w:val="0"/>
          <w:kern w:val="0"/>
        </w:rPr>
        <w:t>，实现了养殖场粪污资源化利用的目</w:t>
      </w:r>
      <w:r>
        <w:rPr>
          <w:rFonts w:hint="eastAsia"/>
          <w:bCs/>
          <w:snapToGrid w:val="0"/>
          <w:kern w:val="0"/>
        </w:rPr>
        <w:t>的</w:t>
      </w:r>
      <w:r>
        <w:rPr>
          <w:rFonts w:hint="eastAsia"/>
        </w:rPr>
        <w:t>。</w:t>
      </w:r>
    </w:p>
    <w:p>
      <w:pPr>
        <w:pStyle w:val="215"/>
      </w:pPr>
      <w:r>
        <w:rPr>
          <w:rFonts w:hint="eastAsia"/>
        </w:rPr>
        <w:t>综上，本项目符合《湖南省人民政府办公厅关于加快推进畜禽养殖废弃物资源化利用的实施意见》的相关要求。</w:t>
      </w:r>
    </w:p>
    <w:p>
      <w:pPr>
        <w:pStyle w:val="215"/>
        <w:ind w:firstLine="482"/>
        <w:rPr>
          <w:b/>
        </w:rPr>
      </w:pPr>
      <w:r>
        <w:rPr>
          <w:rFonts w:hint="eastAsia"/>
          <w:b/>
        </w:rPr>
        <w:t>4、</w:t>
      </w:r>
      <w:r>
        <w:rPr>
          <w:rFonts w:hint="eastAsia"/>
          <w:b/>
          <w:color w:val="000000" w:themeColor="text1"/>
        </w:rPr>
        <w:t>与《</w:t>
      </w:r>
      <w:r>
        <w:rPr>
          <w:rFonts w:ascii="宋体" w:hAnsi="宋体" w:cs="宋体"/>
          <w:b/>
          <w:color w:val="000000" w:themeColor="text1"/>
          <w:spacing w:val="-6"/>
        </w:rPr>
        <w:t>湖南省人民政府办公厅关于建立病死畜禽无害化处理机制的实施意见</w:t>
      </w:r>
      <w:r>
        <w:rPr>
          <w:rFonts w:hint="eastAsia"/>
          <w:b/>
          <w:color w:val="000000" w:themeColor="text1"/>
        </w:rPr>
        <w:t>》</w:t>
      </w:r>
      <w:r>
        <w:rPr>
          <w:rFonts w:hint="eastAsia"/>
          <w:b/>
        </w:rPr>
        <w:t>符合性</w:t>
      </w:r>
    </w:p>
    <w:p>
      <w:pPr>
        <w:pStyle w:val="215"/>
      </w:pPr>
      <w:r>
        <w:rPr>
          <w:rFonts w:hint="eastAsia"/>
          <w:color w:val="000000" w:themeColor="text1"/>
        </w:rPr>
        <w:t>《</w:t>
      </w:r>
      <w:r>
        <w:rPr>
          <w:rFonts w:ascii="宋体" w:hAnsi="宋体" w:cs="宋体"/>
          <w:color w:val="000000" w:themeColor="text1"/>
          <w:spacing w:val="-6"/>
        </w:rPr>
        <w:t>湖南省人民政府办公厅关于建立病死畜禽无害化处理机制的实施意见</w:t>
      </w:r>
      <w:r>
        <w:rPr>
          <w:rFonts w:hint="eastAsia"/>
          <w:color w:val="000000" w:themeColor="text1"/>
        </w:rPr>
        <w:t>》</w:t>
      </w:r>
      <w:r>
        <w:rPr>
          <w:rFonts w:hint="eastAsia"/>
        </w:rPr>
        <w:t>（湘政办发〔2015〕103号）提出“强化生产经营者主体责任。从事畜禽饲养、屠宰、经营、运输的单位和个人是病死畜禽无害化处理的第一责任人，负有对病死畜禽及时进行无害化处理并向当地畜牧兽医部门报告畜禽死亡及处理情况的义务。任何单位和个人不得抛弃、收购、贩卖、屠宰、加工病死畜禽。大型养殖场、屠宰场、活畜禽交易市场要配备病死畜禽无害化处理设施，实现自主处理。”</w:t>
      </w:r>
    </w:p>
    <w:p>
      <w:pPr>
        <w:pStyle w:val="215"/>
        <w:rPr>
          <w:color w:val="000000" w:themeColor="text1"/>
        </w:rPr>
      </w:pPr>
      <w:r>
        <w:rPr>
          <w:rFonts w:hint="eastAsia"/>
        </w:rPr>
        <w:t>本项目病死鸡经收集后暂存于</w:t>
      </w:r>
      <w:r>
        <w:rPr>
          <w:rFonts w:hint="eastAsia"/>
          <w:lang w:val="en-US" w:eastAsia="zh-CN"/>
        </w:rPr>
        <w:t>冷柜</w:t>
      </w:r>
      <w:r>
        <w:rPr>
          <w:rFonts w:hint="eastAsia"/>
        </w:rPr>
        <w:t>中，定期由畜禽无害化资质单位清运处置。综上，本项目符合</w:t>
      </w:r>
      <w:r>
        <w:rPr>
          <w:rFonts w:hint="eastAsia"/>
          <w:color w:val="000000" w:themeColor="text1"/>
        </w:rPr>
        <w:t>《</w:t>
      </w:r>
      <w:r>
        <w:rPr>
          <w:rFonts w:ascii="宋体" w:hAnsi="宋体" w:cs="宋体"/>
          <w:color w:val="000000" w:themeColor="text1"/>
          <w:spacing w:val="-6"/>
        </w:rPr>
        <w:t>湖南省人民政府办公厅关于建立病死畜禽无害化处理机制的实施意见</w:t>
      </w:r>
      <w:r>
        <w:rPr>
          <w:rFonts w:hint="eastAsia"/>
          <w:color w:val="000000" w:themeColor="text1"/>
        </w:rPr>
        <w:t>》的相关要求。</w:t>
      </w:r>
    </w:p>
    <w:p>
      <w:pPr>
        <w:pStyle w:val="215"/>
        <w:ind w:firstLine="482"/>
        <w:rPr>
          <w:b/>
          <w:color w:val="000000" w:themeColor="text1"/>
        </w:rPr>
      </w:pPr>
      <w:r>
        <w:rPr>
          <w:rFonts w:hint="eastAsia"/>
          <w:b/>
          <w:color w:val="000000" w:themeColor="text1"/>
        </w:rPr>
        <w:t>5、与《衡阳市人民政府办公室衡阳市</w:t>
      </w:r>
      <w:r>
        <w:rPr>
          <w:rFonts w:hint="eastAsia"/>
          <w:b/>
        </w:rPr>
        <w:t>畜禽养殖废弃物资源化利用实施方案</w:t>
      </w:r>
      <w:r>
        <w:rPr>
          <w:rFonts w:hint="eastAsia"/>
          <w:b/>
          <w:color w:val="000000" w:themeColor="text1"/>
        </w:rPr>
        <w:t>》符合性</w:t>
      </w:r>
    </w:p>
    <w:p>
      <w:pPr>
        <w:pStyle w:val="215"/>
        <w:rPr>
          <w:color w:val="000000" w:themeColor="text1"/>
        </w:rPr>
      </w:pPr>
      <w:r>
        <w:rPr>
          <w:rFonts w:hint="eastAsia"/>
          <w:color w:val="000000" w:themeColor="text1"/>
        </w:rPr>
        <w:t>《衡阳市人民政府办公室衡阳市</w:t>
      </w:r>
      <w:r>
        <w:rPr>
          <w:rFonts w:hint="eastAsia"/>
        </w:rPr>
        <w:t>畜禽养殖废弃物资源化利用实施方案</w:t>
      </w:r>
      <w:r>
        <w:rPr>
          <w:rFonts w:hint="eastAsia"/>
          <w:color w:val="000000" w:themeColor="text1"/>
        </w:rPr>
        <w:t>》（衡政办发[2018]8号）提出“养殖业主职责：承担畜禽养殖污染防治的主体责任，落实各级政府规定的畜禽养殖污染防治义务，依法接受有关主管部门的监督检查。”</w:t>
      </w:r>
    </w:p>
    <w:p>
      <w:pPr>
        <w:pStyle w:val="215"/>
      </w:pPr>
      <w:r>
        <w:rPr>
          <w:rFonts w:hint="eastAsia"/>
        </w:rPr>
        <w:t>本项目病死鸡经收集后暂存于</w:t>
      </w:r>
      <w:r>
        <w:rPr>
          <w:rFonts w:hint="eastAsia"/>
          <w:lang w:val="en-US" w:eastAsia="zh-CN"/>
        </w:rPr>
        <w:t>冷柜</w:t>
      </w:r>
      <w:r>
        <w:rPr>
          <w:rFonts w:hint="eastAsia"/>
        </w:rPr>
        <w:t>中，定期由畜禽无害化资质单位清运处置；采取雨污分流，废水经处理后</w:t>
      </w:r>
      <w:r>
        <w:rPr>
          <w:rFonts w:hint="eastAsia"/>
          <w:lang w:eastAsia="zh-CN"/>
        </w:rPr>
        <w:t>用于周边种植基地灌溉，不外排；</w:t>
      </w:r>
      <w:r>
        <w:rPr>
          <w:rFonts w:hint="eastAsia"/>
          <w:color w:val="000000"/>
        </w:rPr>
        <w:t>鸡粪采用自动干清粪清掏排出鸡舍后，</w:t>
      </w:r>
      <w:r>
        <w:rPr>
          <w:rFonts w:hint="eastAsia"/>
          <w:bCs/>
          <w:szCs w:val="24"/>
          <w:lang w:val="en-US" w:eastAsia="zh-CN"/>
        </w:rPr>
        <w:t>部分</w:t>
      </w:r>
      <w:r>
        <w:rPr>
          <w:rFonts w:hint="eastAsia"/>
          <w:color w:val="000000"/>
        </w:rPr>
        <w:t>直接拉走</w:t>
      </w:r>
      <w:r>
        <w:rPr>
          <w:rFonts w:hint="eastAsia"/>
          <w:bCs/>
          <w:szCs w:val="24"/>
          <w:lang w:val="en-US" w:eastAsia="zh-CN"/>
        </w:rPr>
        <w:t>依托</w:t>
      </w:r>
      <w:r>
        <w:rPr>
          <w:rFonts w:hint="eastAsia"/>
        </w:rPr>
        <w:t>台源</w:t>
      </w:r>
      <w:r>
        <w:rPr>
          <w:rFonts w:hint="eastAsia"/>
          <w:bCs/>
        </w:rPr>
        <w:t>蛋鸡养殖</w:t>
      </w:r>
      <w:r>
        <w:rPr>
          <w:rFonts w:hint="eastAsia"/>
          <w:bCs/>
          <w:lang w:val="en-US" w:eastAsia="zh-CN"/>
        </w:rPr>
        <w:t>一场</w:t>
      </w:r>
      <w:r>
        <w:rPr>
          <w:rFonts w:hint="eastAsia"/>
          <w:szCs w:val="21"/>
        </w:rPr>
        <w:t>好氧发酵罐</w:t>
      </w:r>
      <w:r>
        <w:rPr>
          <w:rFonts w:hint="eastAsia"/>
          <w:szCs w:val="21"/>
          <w:lang w:val="en-US" w:eastAsia="zh-CN"/>
        </w:rPr>
        <w:t>制有机肥；剩余部分则</w:t>
      </w:r>
      <w:r>
        <w:rPr>
          <w:rFonts w:hint="eastAsia"/>
          <w:color w:val="000000"/>
        </w:rPr>
        <w:t>直接拉走</w:t>
      </w:r>
      <w:r>
        <w:rPr>
          <w:rFonts w:hint="eastAsia"/>
          <w:szCs w:val="21"/>
          <w:lang w:val="en-US" w:eastAsia="zh-CN"/>
        </w:rPr>
        <w:t>外售衡阳县沛科生态科技有限责任公司制有机肥</w:t>
      </w:r>
      <w:r>
        <w:rPr>
          <w:rFonts w:hint="eastAsia"/>
          <w:color w:val="000000"/>
          <w:lang w:eastAsia="zh-CN"/>
        </w:rPr>
        <w:t>，</w:t>
      </w:r>
      <w:r>
        <w:rPr>
          <w:rFonts w:hint="eastAsia"/>
          <w:color w:val="000000"/>
        </w:rPr>
        <w:t>在</w:t>
      </w:r>
      <w:r>
        <w:rPr>
          <w:rFonts w:hint="eastAsia"/>
          <w:szCs w:val="21"/>
          <w:lang w:val="en-US" w:eastAsia="zh-CN"/>
        </w:rPr>
        <w:t>衡阳县沛科生态科技有限责任公司</w:t>
      </w:r>
      <w:r>
        <w:rPr>
          <w:rFonts w:hint="eastAsia"/>
          <w:color w:val="000000"/>
        </w:rPr>
        <w:t>进行发酵预处理，不在本厂区进行预处理，在鸡粪收集室内堆存时间很短</w:t>
      </w:r>
      <w:r>
        <w:rPr>
          <w:bCs/>
          <w:snapToGrid w:val="0"/>
          <w:kern w:val="0"/>
        </w:rPr>
        <w:t>，实现了养殖场粪污资源化利用的目</w:t>
      </w:r>
      <w:r>
        <w:rPr>
          <w:rFonts w:hint="eastAsia"/>
          <w:bCs/>
          <w:snapToGrid w:val="0"/>
          <w:kern w:val="0"/>
        </w:rPr>
        <w:t>的</w:t>
      </w:r>
      <w:r>
        <w:rPr>
          <w:rFonts w:hint="eastAsia"/>
        </w:rPr>
        <w:t>。</w:t>
      </w:r>
    </w:p>
    <w:p>
      <w:pPr>
        <w:pStyle w:val="215"/>
        <w:rPr>
          <w:b/>
          <w:bCs/>
          <w:szCs w:val="24"/>
        </w:rPr>
      </w:pPr>
      <w:r>
        <w:rPr>
          <w:rFonts w:hint="eastAsia"/>
        </w:rPr>
        <w:t>综上，本项目符合《</w:t>
      </w:r>
      <w:r>
        <w:rPr>
          <w:rFonts w:hint="eastAsia"/>
          <w:color w:val="000000" w:themeColor="text1"/>
        </w:rPr>
        <w:t>衡阳市人民政府办公室衡阳市</w:t>
      </w:r>
      <w:r>
        <w:rPr>
          <w:rFonts w:hint="eastAsia"/>
        </w:rPr>
        <w:t>畜禽养殖废弃物资源化利用实施方案》</w:t>
      </w:r>
      <w:r>
        <w:rPr>
          <w:rFonts w:hint="eastAsia"/>
          <w:color w:val="000000" w:themeColor="text1"/>
        </w:rPr>
        <w:t>的相关要求。</w:t>
      </w:r>
    </w:p>
    <w:p>
      <w:pPr>
        <w:pStyle w:val="7"/>
        <w:adjustRightInd w:val="0"/>
        <w:snapToGrid w:val="0"/>
        <w:spacing w:before="0" w:after="0" w:line="360" w:lineRule="auto"/>
        <w:jc w:val="left"/>
        <w:rPr>
          <w:sz w:val="24"/>
          <w:szCs w:val="24"/>
        </w:rPr>
      </w:pPr>
      <w:r>
        <w:rPr>
          <w:rFonts w:hint="eastAsia"/>
          <w:sz w:val="24"/>
          <w:szCs w:val="24"/>
        </w:rPr>
        <w:t>1.4.4 技术政策、规范符合性分析</w:t>
      </w:r>
    </w:p>
    <w:p>
      <w:pPr>
        <w:pStyle w:val="215"/>
        <w:ind w:firstLine="482"/>
        <w:rPr>
          <w:szCs w:val="24"/>
        </w:rPr>
      </w:pPr>
      <w:r>
        <w:rPr>
          <w:rFonts w:hint="eastAsia"/>
          <w:b/>
          <w:bCs/>
          <w:szCs w:val="24"/>
        </w:rPr>
        <w:t>1、与生态环境部办公厅关于印发《关于做好畜禽规模养殖项目环境影响评价管理工作的通知》（环办环评[2018]31号）相符性</w:t>
      </w:r>
    </w:p>
    <w:p>
      <w:pPr>
        <w:pStyle w:val="215"/>
        <w:rPr>
          <w:szCs w:val="24"/>
        </w:rPr>
      </w:pPr>
      <w:r>
        <w:rPr>
          <w:rFonts w:hint="eastAsia"/>
          <w:szCs w:val="24"/>
        </w:rPr>
        <w:t>本项目与生态环境部办公厅关于印发《关于做好畜禽规模养殖项目环境影响评价管理工作的通知》相符性分析如下：</w:t>
      </w:r>
    </w:p>
    <w:p>
      <w:pPr>
        <w:pStyle w:val="246"/>
        <w:spacing w:beforeLines="50" w:line="240" w:lineRule="auto"/>
        <w:rPr>
          <w:rFonts w:eastAsiaTheme="minorEastAsia"/>
          <w:sz w:val="21"/>
          <w:szCs w:val="21"/>
        </w:rPr>
      </w:pPr>
      <w:r>
        <w:rPr>
          <w:rFonts w:eastAsiaTheme="minorEastAsia"/>
          <w:sz w:val="21"/>
          <w:szCs w:val="21"/>
        </w:rPr>
        <w:t>表</w:t>
      </w:r>
      <w:r>
        <w:rPr>
          <w:rFonts w:hint="eastAsia" w:eastAsiaTheme="minorEastAsia"/>
          <w:sz w:val="21"/>
          <w:szCs w:val="21"/>
        </w:rPr>
        <w:t>1.4-1  项目与畜禽规模养殖项目环境影响评价管理工作相符性分析</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77"/>
        <w:gridCol w:w="3568"/>
        <w:gridCol w:w="9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97" w:hRule="atLeast"/>
          <w:jc w:val="center"/>
        </w:trPr>
        <w:tc>
          <w:tcPr>
            <w:tcW w:w="2501" w:type="pct"/>
            <w:vAlign w:val="center"/>
          </w:tcPr>
          <w:p>
            <w:pPr>
              <w:jc w:val="center"/>
              <w:rPr>
                <w:b/>
                <w:szCs w:val="21"/>
              </w:rPr>
            </w:pPr>
            <w:r>
              <w:rPr>
                <w:b/>
                <w:szCs w:val="21"/>
              </w:rPr>
              <w:t>条文</w:t>
            </w:r>
          </w:p>
        </w:tc>
        <w:tc>
          <w:tcPr>
            <w:tcW w:w="1993" w:type="pct"/>
            <w:vAlign w:val="center"/>
          </w:tcPr>
          <w:p>
            <w:pPr>
              <w:jc w:val="center"/>
              <w:rPr>
                <w:b/>
                <w:szCs w:val="21"/>
              </w:rPr>
            </w:pPr>
            <w:r>
              <w:rPr>
                <w:b/>
                <w:szCs w:val="21"/>
              </w:rPr>
              <w:t>本项目情况</w:t>
            </w:r>
          </w:p>
        </w:tc>
        <w:tc>
          <w:tcPr>
            <w:tcW w:w="504" w:type="pct"/>
            <w:vAlign w:val="center"/>
          </w:tcPr>
          <w:p>
            <w:pPr>
              <w:jc w:val="center"/>
              <w:rPr>
                <w:b/>
                <w:szCs w:val="21"/>
              </w:rPr>
            </w:pPr>
            <w:r>
              <w:rPr>
                <w:b/>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1" w:type="pct"/>
            <w:vAlign w:val="center"/>
          </w:tcPr>
          <w:p>
            <w:pPr>
              <w:jc w:val="center"/>
              <w:rPr>
                <w:szCs w:val="21"/>
              </w:rPr>
            </w:pPr>
            <w:r>
              <w:rPr>
                <w:rFonts w:hint="eastAsia"/>
                <w:szCs w:val="21"/>
              </w:rPr>
              <w:t>选址应避开当地划定的禁止养殖区域，并与区域主体功能区规划、环境功能区划、土地利用规划、城乡规划、畜牧业发展规划、畜禽养殖污染防治规划等规划相协调。当地未划定禁止养殖区域的，应避开饮用水水源保护区、风景名胜区、自然保护区的核心区和缓冲区、村镇人口集中区域，以及法律、法规规定的禁止养殖区域</w:t>
            </w:r>
          </w:p>
        </w:tc>
        <w:tc>
          <w:tcPr>
            <w:tcW w:w="1993" w:type="pct"/>
            <w:vAlign w:val="center"/>
          </w:tcPr>
          <w:p>
            <w:pPr>
              <w:jc w:val="center"/>
              <w:rPr>
                <w:szCs w:val="21"/>
              </w:rPr>
            </w:pPr>
            <w:r>
              <w:rPr>
                <w:rFonts w:hint="eastAsia"/>
                <w:szCs w:val="21"/>
              </w:rPr>
              <w:t>本项目养殖区域属于适养区范围，与区域主体功能区规划、环境功能区划、土地利用规划、城乡规划、畜牧业发展规划、畜禽养殖污染防治规划等规划相协调</w:t>
            </w:r>
          </w:p>
        </w:tc>
        <w:tc>
          <w:tcPr>
            <w:tcW w:w="504" w:type="pct"/>
            <w:vAlign w:val="center"/>
          </w:tcPr>
          <w:p>
            <w:pPr>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1" w:type="pct"/>
            <w:vAlign w:val="center"/>
          </w:tcPr>
          <w:p>
            <w:pPr>
              <w:jc w:val="center"/>
              <w:rPr>
                <w:szCs w:val="21"/>
              </w:rPr>
            </w:pPr>
            <w:r>
              <w:rPr>
                <w:rFonts w:hint="eastAsia"/>
                <w:szCs w:val="21"/>
              </w:rPr>
              <w:t>畜禽养殖区及畜禽粪污贮存、处理和畜禽尸体无害化处理等产生恶臭影响的设施，应位于养殖场区主导风向的下风向位置，并尽量远离周边环境保护目标</w:t>
            </w:r>
          </w:p>
        </w:tc>
        <w:tc>
          <w:tcPr>
            <w:tcW w:w="1993" w:type="pct"/>
            <w:vAlign w:val="center"/>
          </w:tcPr>
          <w:p>
            <w:pPr>
              <w:jc w:val="center"/>
              <w:rPr>
                <w:szCs w:val="21"/>
              </w:rPr>
            </w:pPr>
            <w:r>
              <w:rPr>
                <w:rFonts w:hint="eastAsia"/>
                <w:szCs w:val="21"/>
                <w:lang w:val="en-US" w:eastAsia="zh-CN"/>
              </w:rPr>
              <w:t>项目</w:t>
            </w:r>
            <w:r>
              <w:rPr>
                <w:rFonts w:hint="eastAsia"/>
                <w:szCs w:val="21"/>
              </w:rPr>
              <w:t>粪便处理设施（即</w:t>
            </w:r>
            <w:r>
              <w:rPr>
                <w:rFonts w:hint="eastAsia"/>
                <w:szCs w:val="21"/>
                <w:lang w:val="en-US" w:eastAsia="zh-CN"/>
              </w:rPr>
              <w:t>鸡粪收集室</w:t>
            </w:r>
            <w:r>
              <w:rPr>
                <w:rFonts w:hint="eastAsia"/>
                <w:szCs w:val="21"/>
              </w:rPr>
              <w:t>）</w:t>
            </w:r>
            <w:r>
              <w:rPr>
                <w:rFonts w:hint="eastAsia"/>
                <w:szCs w:val="21"/>
                <w:lang w:val="en-US" w:eastAsia="zh-CN"/>
              </w:rPr>
              <w:t>位于</w:t>
            </w:r>
            <w:r>
              <w:rPr>
                <w:rFonts w:hint="eastAsia"/>
                <w:szCs w:val="21"/>
              </w:rPr>
              <w:t>养殖场区主导风侧风向</w:t>
            </w:r>
            <w:r>
              <w:rPr>
                <w:rFonts w:hint="eastAsia"/>
                <w:szCs w:val="21"/>
                <w:lang w:eastAsia="zh-CN"/>
              </w:rPr>
              <w:t>；</w:t>
            </w:r>
            <w:r>
              <w:rPr>
                <w:rFonts w:hint="eastAsia"/>
                <w:color w:val="000000"/>
                <w:lang w:val="en-US" w:eastAsia="zh-CN"/>
              </w:rPr>
              <w:t>鸡粪</w:t>
            </w:r>
            <w:r>
              <w:rPr>
                <w:rFonts w:hint="eastAsia"/>
                <w:color w:val="000000"/>
              </w:rPr>
              <w:t>在鸡粪收集室内堆存时间很短</w:t>
            </w:r>
            <w:r>
              <w:rPr>
                <w:rFonts w:hint="eastAsia"/>
                <w:color w:val="000000"/>
                <w:lang w:eastAsia="zh-CN"/>
              </w:rPr>
              <w:t>，</w:t>
            </w:r>
            <w:r>
              <w:rPr>
                <w:rFonts w:hint="eastAsia"/>
                <w:szCs w:val="21"/>
              </w:rPr>
              <w:t>并且其位置远离周边敏感区，因此符合相应的要求</w:t>
            </w:r>
          </w:p>
        </w:tc>
        <w:tc>
          <w:tcPr>
            <w:tcW w:w="504" w:type="pct"/>
            <w:vAlign w:val="center"/>
          </w:tcPr>
          <w:p>
            <w:pPr>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1" w:type="pct"/>
            <w:vAlign w:val="center"/>
          </w:tcPr>
          <w:p>
            <w:pPr>
              <w:jc w:val="center"/>
              <w:rPr>
                <w:szCs w:val="21"/>
              </w:rPr>
            </w:pPr>
            <w:r>
              <w:rPr>
                <w:rFonts w:hint="eastAsia"/>
                <w:szCs w:val="21"/>
              </w:rPr>
              <w:t>计算大气环境防护距离，作为养殖场选址以及周边规划控制的依据，减轻对周围环境保护目标的不利影响</w:t>
            </w:r>
          </w:p>
        </w:tc>
        <w:tc>
          <w:tcPr>
            <w:tcW w:w="1993" w:type="pct"/>
            <w:vAlign w:val="center"/>
          </w:tcPr>
          <w:p>
            <w:pPr>
              <w:jc w:val="center"/>
              <w:rPr>
                <w:szCs w:val="21"/>
              </w:rPr>
            </w:pPr>
            <w:r>
              <w:rPr>
                <w:rFonts w:hint="eastAsia"/>
                <w:szCs w:val="21"/>
              </w:rPr>
              <w:t>对大气环境进行评价分析，根据评价结果无需设置大气环境防护距离</w:t>
            </w:r>
          </w:p>
        </w:tc>
        <w:tc>
          <w:tcPr>
            <w:tcW w:w="504" w:type="pct"/>
            <w:vAlign w:val="center"/>
          </w:tcPr>
          <w:p>
            <w:pPr>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1" w:type="pct"/>
            <w:vAlign w:val="center"/>
          </w:tcPr>
          <w:p>
            <w:pPr>
              <w:jc w:val="center"/>
              <w:rPr>
                <w:szCs w:val="21"/>
              </w:rPr>
            </w:pPr>
            <w:r>
              <w:rPr>
                <w:rFonts w:hint="eastAsia"/>
                <w:szCs w:val="21"/>
              </w:rPr>
              <w:t>项目环评应以农业绿色发展为导向，优化工艺，通过采取优化饲料配方、提高饲养技术等措施，从源头减少粪污的产生量。鼓励采取干清粪方式，采取水泡粪工艺的应最大限度降低用水量。场区应采取雨污分离措施，防止雨水进入粪污收集系统</w:t>
            </w:r>
          </w:p>
        </w:tc>
        <w:tc>
          <w:tcPr>
            <w:tcW w:w="1993" w:type="pct"/>
            <w:vAlign w:val="center"/>
          </w:tcPr>
          <w:p>
            <w:pPr>
              <w:jc w:val="center"/>
              <w:rPr>
                <w:szCs w:val="21"/>
              </w:rPr>
            </w:pPr>
            <w:r>
              <w:rPr>
                <w:rFonts w:hint="eastAsia"/>
                <w:szCs w:val="21"/>
              </w:rPr>
              <w:t>本项目饲料采用低氮饲喂的方式，可从源头减少恶臭产生量。养殖场采取干清粪方式，厂内设置雨污分流</w:t>
            </w:r>
          </w:p>
        </w:tc>
        <w:tc>
          <w:tcPr>
            <w:tcW w:w="504" w:type="pct"/>
            <w:vAlign w:val="center"/>
          </w:tcPr>
          <w:p>
            <w:pPr>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1" w:type="pct"/>
            <w:vAlign w:val="center"/>
          </w:tcPr>
          <w:p>
            <w:pPr>
              <w:jc w:val="center"/>
              <w:rPr>
                <w:szCs w:val="21"/>
              </w:rPr>
            </w:pPr>
            <w:r>
              <w:rPr>
                <w:rFonts w:hint="eastAsia"/>
                <w:szCs w:val="21"/>
              </w:rPr>
              <w:t>项目环评应结合地域、畜种、规模等特点以及地方相关部门制定的畜禽粪污综合利用目标等要求，加强畜禽养殖粪污资源化利用，因地制宜选择经济高效适用的处理利用模式，采取粪污全量收集还田利用、污水肥料化利用、粪便垫料回用、异位发酵床、粪污专业化能源利用等模式处理利用畜禽粪污，促进畜禽规模养殖项目</w:t>
            </w:r>
            <w:r>
              <w:rPr>
                <w:rFonts w:hint="eastAsia" w:asciiTheme="majorEastAsia" w:hAnsiTheme="majorEastAsia" w:eastAsiaTheme="majorEastAsia" w:cstheme="majorEastAsia"/>
                <w:szCs w:val="21"/>
              </w:rPr>
              <w:t>“种养结合”</w:t>
            </w:r>
            <w:r>
              <w:rPr>
                <w:rFonts w:hint="eastAsia"/>
                <w:szCs w:val="21"/>
              </w:rPr>
              <w:t>绿色发展</w:t>
            </w:r>
          </w:p>
        </w:tc>
        <w:tc>
          <w:tcPr>
            <w:tcW w:w="1993" w:type="pct"/>
            <w:vAlign w:val="center"/>
          </w:tcPr>
          <w:p>
            <w:pPr>
              <w:jc w:val="center"/>
              <w:rPr>
                <w:szCs w:val="21"/>
              </w:rPr>
            </w:pPr>
            <w:r>
              <w:rPr>
                <w:rFonts w:hint="eastAsia"/>
              </w:rPr>
              <w:t>采取雨污分流，废水经处理后</w:t>
            </w:r>
            <w:r>
              <w:rPr>
                <w:rFonts w:hint="eastAsia"/>
                <w:lang w:eastAsia="zh-CN"/>
              </w:rPr>
              <w:t>用于周边种植基地灌溉，不外排；</w:t>
            </w:r>
            <w:r>
              <w:rPr>
                <w:rFonts w:hint="eastAsia"/>
                <w:color w:val="000000"/>
              </w:rPr>
              <w:t>鸡粪采用自动干清粪清掏排出鸡舍后，</w:t>
            </w:r>
            <w:r>
              <w:rPr>
                <w:rFonts w:hint="eastAsia"/>
                <w:bCs/>
                <w:szCs w:val="24"/>
                <w:lang w:val="en-US" w:eastAsia="zh-CN"/>
              </w:rPr>
              <w:t>部分</w:t>
            </w:r>
            <w:r>
              <w:rPr>
                <w:rFonts w:hint="eastAsia"/>
                <w:color w:val="000000"/>
              </w:rPr>
              <w:t>直接拉走</w:t>
            </w:r>
            <w:r>
              <w:rPr>
                <w:rFonts w:hint="eastAsia"/>
                <w:bCs/>
                <w:szCs w:val="24"/>
                <w:lang w:val="en-US" w:eastAsia="zh-CN"/>
              </w:rPr>
              <w:t>依托</w:t>
            </w:r>
            <w:r>
              <w:rPr>
                <w:rFonts w:hint="eastAsia"/>
              </w:rPr>
              <w:t>台源</w:t>
            </w:r>
            <w:r>
              <w:rPr>
                <w:rFonts w:hint="eastAsia"/>
                <w:bCs/>
              </w:rPr>
              <w:t>蛋鸡养殖</w:t>
            </w:r>
            <w:r>
              <w:rPr>
                <w:rFonts w:hint="eastAsia"/>
                <w:bCs/>
                <w:lang w:val="en-US" w:eastAsia="zh-CN"/>
              </w:rPr>
              <w:t>一场</w:t>
            </w:r>
            <w:r>
              <w:rPr>
                <w:rFonts w:hint="eastAsia"/>
                <w:szCs w:val="21"/>
              </w:rPr>
              <w:t>好氧发酵罐</w:t>
            </w:r>
            <w:r>
              <w:rPr>
                <w:rFonts w:hint="eastAsia"/>
                <w:szCs w:val="21"/>
                <w:lang w:val="en-US" w:eastAsia="zh-CN"/>
              </w:rPr>
              <w:t>制有机肥；剩余部分则</w:t>
            </w:r>
            <w:r>
              <w:rPr>
                <w:rFonts w:hint="eastAsia"/>
                <w:color w:val="000000"/>
              </w:rPr>
              <w:t>直接拉走</w:t>
            </w:r>
            <w:r>
              <w:rPr>
                <w:rFonts w:hint="eastAsia"/>
                <w:szCs w:val="21"/>
                <w:lang w:val="en-US" w:eastAsia="zh-CN"/>
              </w:rPr>
              <w:t>外售衡阳县沛科生态科技有限责任公司制有机肥</w:t>
            </w:r>
            <w:r>
              <w:rPr>
                <w:rFonts w:hint="eastAsia"/>
                <w:color w:val="000000"/>
                <w:lang w:eastAsia="zh-CN"/>
              </w:rPr>
              <w:t>，</w:t>
            </w:r>
            <w:r>
              <w:rPr>
                <w:rFonts w:hint="eastAsia"/>
                <w:color w:val="000000"/>
              </w:rPr>
              <w:t>在</w:t>
            </w:r>
            <w:r>
              <w:rPr>
                <w:rFonts w:hint="eastAsia"/>
                <w:szCs w:val="21"/>
                <w:lang w:val="en-US" w:eastAsia="zh-CN"/>
              </w:rPr>
              <w:t>衡阳县沛科生态科技有限责任公司</w:t>
            </w:r>
            <w:r>
              <w:rPr>
                <w:rFonts w:hint="eastAsia"/>
                <w:color w:val="000000"/>
              </w:rPr>
              <w:t>进行发酵预处理，不在本厂区进行预处理，在鸡粪收集室内堆存时间很短</w:t>
            </w:r>
            <w:r>
              <w:rPr>
                <w:rFonts w:hint="eastAsia"/>
                <w:szCs w:val="21"/>
              </w:rPr>
              <w:t>。因此符合相应的要求</w:t>
            </w:r>
          </w:p>
        </w:tc>
        <w:tc>
          <w:tcPr>
            <w:tcW w:w="504" w:type="pct"/>
            <w:vAlign w:val="center"/>
          </w:tcPr>
          <w:p>
            <w:pPr>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1" w:type="pct"/>
            <w:vAlign w:val="center"/>
          </w:tcPr>
          <w:p>
            <w:pPr>
              <w:jc w:val="center"/>
              <w:rPr>
                <w:szCs w:val="21"/>
              </w:rPr>
            </w:pPr>
            <w:r>
              <w:rPr>
                <w:rFonts w:hint="eastAsia"/>
                <w:szCs w:val="21"/>
              </w:rPr>
              <w:t>项目环评应强化对粪污的治理措施，加强畜禽养殖粪污资源化利用过程中的污染控制，推进粪污资源的良性利用，应对无法资源化利用的粪污采取治理措施确保达标排放。畜禽规模养殖项目应配套建设与养殖规模相匹配的雨污分离设施，以及粪污贮存、处理和利用设施等，委托满足相关环保要求的第三方代为利用或者处理的，可不自行建设粪污处理或利用设施</w:t>
            </w:r>
          </w:p>
        </w:tc>
        <w:tc>
          <w:tcPr>
            <w:tcW w:w="1993" w:type="pct"/>
            <w:vAlign w:val="center"/>
          </w:tcPr>
          <w:p>
            <w:pPr>
              <w:jc w:val="center"/>
              <w:rPr>
                <w:szCs w:val="21"/>
              </w:rPr>
            </w:pPr>
            <w:r>
              <w:rPr>
                <w:rFonts w:hint="eastAsia"/>
                <w:szCs w:val="21"/>
              </w:rPr>
              <w:t>项目设置粪污的收集系统及贮存设施</w:t>
            </w:r>
            <w:r>
              <w:rPr>
                <w:rFonts w:hint="eastAsia"/>
                <w:color w:val="000000"/>
              </w:rPr>
              <w:t>，</w:t>
            </w:r>
            <w:r>
              <w:rPr>
                <w:rFonts w:hint="eastAsia"/>
                <w:color w:val="000000"/>
                <w:lang w:val="en-US" w:eastAsia="zh-CN"/>
              </w:rPr>
              <w:t>鸡粪</w:t>
            </w:r>
            <w:r>
              <w:rPr>
                <w:rFonts w:hint="eastAsia"/>
                <w:color w:val="000000"/>
              </w:rPr>
              <w:t>在鸡粪收集室内堆存时间很短</w:t>
            </w:r>
            <w:r>
              <w:rPr>
                <w:rFonts w:hint="eastAsia"/>
                <w:szCs w:val="21"/>
              </w:rPr>
              <w:t>；污粪区进行雨污分流，雨水沿屋檐落至鸡舍外雨水沟，雨水通过雨水沟直接排出场外；鸡舍均建设有除臭设施；医疗废物及等危废设置有危废暂存间，医疗废物交由有资质单位处置，病死鸡暂存于病死鸡暂存间内的冷冻冰柜中，</w:t>
            </w:r>
            <w:r>
              <w:rPr>
                <w:rFonts w:hint="eastAsia"/>
                <w:szCs w:val="21"/>
                <w:lang w:val="en-US" w:eastAsia="zh-CN"/>
              </w:rPr>
              <w:t>委托</w:t>
            </w:r>
            <w:r>
              <w:rPr>
                <w:rFonts w:hint="eastAsia"/>
                <w:szCs w:val="21"/>
              </w:rPr>
              <w:t>有资质的</w:t>
            </w:r>
            <w:r>
              <w:rPr>
                <w:rFonts w:hint="eastAsia"/>
                <w:szCs w:val="21"/>
                <w:lang w:val="en-US" w:eastAsia="zh-CN"/>
              </w:rPr>
              <w:t>单位</w:t>
            </w:r>
            <w:r>
              <w:rPr>
                <w:rFonts w:hint="eastAsia"/>
                <w:szCs w:val="21"/>
              </w:rPr>
              <w:t>无害化处理；本项目鸡舍、危废暂存间、</w:t>
            </w:r>
            <w:r>
              <w:rPr>
                <w:rFonts w:hint="eastAsia"/>
                <w:szCs w:val="21"/>
                <w:lang w:val="en-US" w:eastAsia="zh-CN"/>
              </w:rPr>
              <w:t>污水处理站</w:t>
            </w:r>
            <w:r>
              <w:rPr>
                <w:rFonts w:hint="eastAsia"/>
                <w:szCs w:val="21"/>
              </w:rPr>
              <w:t>、污水沟等防渗要求为重点防渗。因此符合相应的要求</w:t>
            </w:r>
          </w:p>
        </w:tc>
        <w:tc>
          <w:tcPr>
            <w:tcW w:w="504" w:type="pct"/>
            <w:vAlign w:val="center"/>
          </w:tcPr>
          <w:p>
            <w:pPr>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1" w:type="pct"/>
            <w:vAlign w:val="center"/>
          </w:tcPr>
          <w:p>
            <w:pPr>
              <w:jc w:val="center"/>
              <w:rPr>
                <w:szCs w:val="21"/>
              </w:rPr>
            </w:pPr>
            <w:r>
              <w:rPr>
                <w:rFonts w:hint="eastAsia"/>
                <w:szCs w:val="21"/>
              </w:rPr>
              <w:t>项目环评应明确畜禽粪污贮存、处理和利用措施。贮存池应采取有效的防雨、防渗和防溢流措施，防止畜禽粪污污染地下水。贮存池总有效容积应根据贮存期确定。进行资源化利用的畜禽粪污须处理并达到畜禽粪便还田、无害化处理等技术规范要求。畜禽规模养殖项目配套建设沼气工程的，应充分考虑沼气制备及贮存过程中的环境风险，制定环境风险防范措施及应急预案</w:t>
            </w:r>
          </w:p>
        </w:tc>
        <w:tc>
          <w:tcPr>
            <w:tcW w:w="1993" w:type="pct"/>
            <w:vAlign w:val="center"/>
          </w:tcPr>
          <w:p>
            <w:pPr>
              <w:jc w:val="center"/>
              <w:rPr>
                <w:szCs w:val="21"/>
              </w:rPr>
            </w:pPr>
            <w:r>
              <w:rPr>
                <w:rFonts w:hint="eastAsia"/>
                <w:szCs w:val="21"/>
              </w:rPr>
              <w:t>项目设置粪污的收集系统及贮存设施；污粪区进行雨污分流，雨水沿屋檐落至鸡舍外雨水沟，雨水通过雨水沟直接排出场外；同时</w:t>
            </w:r>
            <w:r>
              <w:t>每栋鸡舍自动化清粪，鸡粪不落地，</w:t>
            </w:r>
            <w:r>
              <w:rPr>
                <w:rFonts w:hint="eastAsia"/>
              </w:rPr>
              <w:t>并</w:t>
            </w:r>
            <w:r>
              <w:t>配套建设</w:t>
            </w:r>
            <w:r>
              <w:rPr>
                <w:rFonts w:hint="eastAsia"/>
              </w:rPr>
              <w:t>鸡粪收集室</w:t>
            </w:r>
            <w:r>
              <w:t>作为</w:t>
            </w:r>
            <w:r>
              <w:rPr>
                <w:rFonts w:hint="eastAsia"/>
              </w:rPr>
              <w:t>鸡粪</w:t>
            </w:r>
            <w:r>
              <w:t>临时贮存场所</w:t>
            </w:r>
            <w:r>
              <w:rPr>
                <w:rFonts w:hint="eastAsia"/>
                <w:szCs w:val="21"/>
              </w:rPr>
              <w:t>。因此符合相应的要求</w:t>
            </w:r>
          </w:p>
        </w:tc>
        <w:tc>
          <w:tcPr>
            <w:tcW w:w="504" w:type="pct"/>
            <w:vAlign w:val="center"/>
          </w:tcPr>
          <w:p>
            <w:pPr>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1" w:type="pct"/>
            <w:vAlign w:val="center"/>
          </w:tcPr>
          <w:p>
            <w:pPr>
              <w:jc w:val="center"/>
              <w:rPr>
                <w:szCs w:val="21"/>
              </w:rPr>
            </w:pPr>
            <w:r>
              <w:rPr>
                <w:rFonts w:hint="eastAsia"/>
                <w:szCs w:val="21"/>
              </w:rPr>
              <w:t>畜禽养殖粪污作为肥料还田利用的，应明确畜禽养殖场与还田利用的林地、农田之间的输送系统及环境管理措施，严格控制肥水输送沿途的弃、撒和跑冒滴漏，防止进入外部水体</w:t>
            </w:r>
          </w:p>
        </w:tc>
        <w:tc>
          <w:tcPr>
            <w:tcW w:w="1993" w:type="pct"/>
            <w:vAlign w:val="center"/>
          </w:tcPr>
          <w:p>
            <w:pPr>
              <w:jc w:val="center"/>
              <w:rPr>
                <w:szCs w:val="21"/>
              </w:rPr>
            </w:pPr>
            <w:r>
              <w:rPr>
                <w:rFonts w:hint="eastAsia"/>
                <w:szCs w:val="21"/>
              </w:rPr>
              <w:t>本项目污水采用地埋管道输送，雨水为明渠。定期巡逻，检查跑冒滴漏情况。因此符合相应的要求</w:t>
            </w:r>
          </w:p>
        </w:tc>
        <w:tc>
          <w:tcPr>
            <w:tcW w:w="504" w:type="pct"/>
            <w:vAlign w:val="center"/>
          </w:tcPr>
          <w:p>
            <w:pPr>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501" w:type="pct"/>
            <w:vAlign w:val="center"/>
          </w:tcPr>
          <w:p>
            <w:pPr>
              <w:jc w:val="center"/>
              <w:rPr>
                <w:szCs w:val="21"/>
              </w:rPr>
            </w:pPr>
            <w:r>
              <w:rPr>
                <w:rFonts w:hint="eastAsia"/>
                <w:szCs w:val="21"/>
              </w:rPr>
              <w:t>依据相关法律法规和技术规范，制定明确的病死畜禽处理、处置方案，及时处理病死畜禽</w:t>
            </w:r>
          </w:p>
        </w:tc>
        <w:tc>
          <w:tcPr>
            <w:tcW w:w="1993" w:type="pct"/>
            <w:vAlign w:val="center"/>
          </w:tcPr>
          <w:p>
            <w:pPr>
              <w:jc w:val="center"/>
              <w:rPr>
                <w:color w:val="FF0000"/>
                <w:szCs w:val="21"/>
              </w:rPr>
            </w:pPr>
            <w:r>
              <w:rPr>
                <w:rFonts w:hint="eastAsia"/>
                <w:szCs w:val="21"/>
              </w:rPr>
              <w:t>病死鸡暂存于病死鸡暂存间内的冷冻冰柜中，并立即联系有资质的公司进行收集并集中无害化处理。因此符合相应的要求</w:t>
            </w:r>
          </w:p>
        </w:tc>
        <w:tc>
          <w:tcPr>
            <w:tcW w:w="504" w:type="pct"/>
            <w:vAlign w:val="center"/>
          </w:tcPr>
          <w:p>
            <w:pPr>
              <w:jc w:val="center"/>
              <w:rPr>
                <w:szCs w:val="21"/>
              </w:rPr>
            </w:pPr>
            <w:r>
              <w:rPr>
                <w:szCs w:val="21"/>
              </w:rPr>
              <w:t>符合</w:t>
            </w:r>
          </w:p>
        </w:tc>
      </w:tr>
    </w:tbl>
    <w:p>
      <w:pPr>
        <w:pStyle w:val="215"/>
        <w:ind w:firstLine="482"/>
        <w:rPr>
          <w:b/>
          <w:szCs w:val="24"/>
        </w:rPr>
      </w:pPr>
      <w:r>
        <w:rPr>
          <w:rFonts w:hint="eastAsia"/>
          <w:b/>
          <w:szCs w:val="24"/>
        </w:rPr>
        <w:t>2、与农业部办公厅关于印发《畜禽粪污土地承载力测算技术指南（试行）》的通知相符性</w:t>
      </w:r>
    </w:p>
    <w:p>
      <w:pPr>
        <w:pStyle w:val="215"/>
        <w:rPr>
          <w:szCs w:val="24"/>
        </w:rPr>
      </w:pPr>
      <w:r>
        <w:rPr>
          <w:rFonts w:hint="eastAsia"/>
          <w:szCs w:val="24"/>
        </w:rPr>
        <w:t>该指南主要用于区域畜禽粪污土地承载力和畜禽规模养殖场粪污消纳配套土地面积的测算，根据该文件的适用范围可知，该指南适用于区域畜禽粪污土地承载力和畜禽规模养殖场粪污消纳配套土地面积的测算。本项目由于采用干清粪工艺。故本项目用于农灌的废水主要为少量鸡舍冲洗水</w:t>
      </w:r>
      <w:r>
        <w:rPr>
          <w:rFonts w:hint="eastAsia"/>
          <w:szCs w:val="24"/>
          <w:lang w:eastAsia="zh-CN"/>
        </w:rPr>
        <w:t>、</w:t>
      </w:r>
      <w:r>
        <w:rPr>
          <w:rFonts w:hint="eastAsia"/>
          <w:szCs w:val="24"/>
          <w:lang w:val="en-US" w:eastAsia="zh-CN"/>
        </w:rPr>
        <w:t>喷淋抑尘废水</w:t>
      </w:r>
      <w:r>
        <w:rPr>
          <w:rFonts w:hint="eastAsia"/>
          <w:szCs w:val="24"/>
        </w:rPr>
        <w:t>与生活污水所组成的综合废水。根据指南的适用范围可知，本项目并不适用该指南。</w:t>
      </w:r>
    </w:p>
    <w:p>
      <w:pPr>
        <w:pStyle w:val="215"/>
        <w:ind w:firstLine="482"/>
        <w:rPr>
          <w:b/>
          <w:szCs w:val="24"/>
        </w:rPr>
      </w:pPr>
      <w:r>
        <w:rPr>
          <w:rFonts w:hint="eastAsia"/>
          <w:b/>
          <w:szCs w:val="24"/>
        </w:rPr>
        <w:t>3、与《畜禽规模养殖污染防治条例》的符合性</w:t>
      </w:r>
    </w:p>
    <w:p>
      <w:pPr>
        <w:pStyle w:val="215"/>
        <w:rPr>
          <w:szCs w:val="24"/>
        </w:rPr>
      </w:pPr>
      <w:r>
        <w:rPr>
          <w:szCs w:val="24"/>
        </w:rPr>
        <w:t>本项目与《畜禽规模养殖污染防治条例》（国务院令第643号）相符性分析见表1.</w:t>
      </w:r>
      <w:r>
        <w:rPr>
          <w:rFonts w:hint="eastAsia"/>
          <w:szCs w:val="24"/>
        </w:rPr>
        <w:t>4-2。</w:t>
      </w:r>
    </w:p>
    <w:p>
      <w:pPr>
        <w:pStyle w:val="246"/>
        <w:spacing w:beforeLines="50" w:line="240" w:lineRule="auto"/>
        <w:rPr>
          <w:rFonts w:eastAsiaTheme="minorEastAsia"/>
          <w:sz w:val="21"/>
          <w:szCs w:val="21"/>
        </w:rPr>
      </w:pPr>
      <w:r>
        <w:rPr>
          <w:rFonts w:eastAsiaTheme="minorEastAsia"/>
          <w:sz w:val="21"/>
          <w:szCs w:val="21"/>
        </w:rPr>
        <w:t>表</w:t>
      </w:r>
      <w:r>
        <w:rPr>
          <w:rFonts w:hint="eastAsia" w:eastAsiaTheme="minorEastAsia"/>
          <w:sz w:val="21"/>
          <w:szCs w:val="21"/>
        </w:rPr>
        <w:t>1.4-2  与与《畜禽规模养殖污染防治条例》相符性分析</w:t>
      </w:r>
    </w:p>
    <w:tbl>
      <w:tblPr>
        <w:tblStyle w:val="4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59"/>
        <w:gridCol w:w="3514"/>
        <w:gridCol w:w="3432"/>
        <w:gridCol w:w="104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9" w:type="dxa"/>
            <w:vAlign w:val="center"/>
          </w:tcPr>
          <w:p>
            <w:pPr>
              <w:jc w:val="center"/>
              <w:rPr>
                <w:b/>
                <w:szCs w:val="21"/>
              </w:rPr>
            </w:pPr>
            <w:r>
              <w:rPr>
                <w:b/>
                <w:szCs w:val="21"/>
              </w:rPr>
              <w:t>类别</w:t>
            </w:r>
          </w:p>
        </w:tc>
        <w:tc>
          <w:tcPr>
            <w:tcW w:w="3514" w:type="dxa"/>
            <w:vAlign w:val="center"/>
          </w:tcPr>
          <w:p>
            <w:pPr>
              <w:jc w:val="center"/>
              <w:rPr>
                <w:b/>
                <w:szCs w:val="21"/>
              </w:rPr>
            </w:pPr>
            <w:r>
              <w:rPr>
                <w:b/>
                <w:szCs w:val="21"/>
              </w:rPr>
              <w:t>国务院令第643号</w:t>
            </w:r>
          </w:p>
        </w:tc>
        <w:tc>
          <w:tcPr>
            <w:tcW w:w="3432" w:type="dxa"/>
            <w:vAlign w:val="center"/>
          </w:tcPr>
          <w:p>
            <w:pPr>
              <w:jc w:val="center"/>
              <w:rPr>
                <w:b/>
                <w:szCs w:val="21"/>
              </w:rPr>
            </w:pPr>
            <w:r>
              <w:rPr>
                <w:b/>
                <w:szCs w:val="21"/>
              </w:rPr>
              <w:t>本项目建设条件</w:t>
            </w:r>
          </w:p>
        </w:tc>
        <w:tc>
          <w:tcPr>
            <w:tcW w:w="1042" w:type="dxa"/>
            <w:vAlign w:val="center"/>
          </w:tcPr>
          <w:p>
            <w:pPr>
              <w:jc w:val="center"/>
              <w:rPr>
                <w:b/>
                <w:szCs w:val="21"/>
              </w:rPr>
            </w:pPr>
            <w:r>
              <w:rPr>
                <w:b/>
                <w:szCs w:val="21"/>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9" w:type="dxa"/>
            <w:vAlign w:val="center"/>
          </w:tcPr>
          <w:p>
            <w:pPr>
              <w:jc w:val="center"/>
              <w:rPr>
                <w:szCs w:val="21"/>
              </w:rPr>
            </w:pPr>
            <w:r>
              <w:rPr>
                <w:szCs w:val="21"/>
              </w:rPr>
              <w:t>预防</w:t>
            </w:r>
          </w:p>
        </w:tc>
        <w:tc>
          <w:tcPr>
            <w:tcW w:w="3514" w:type="dxa"/>
            <w:vAlign w:val="center"/>
          </w:tcPr>
          <w:p>
            <w:pPr>
              <w:pStyle w:val="282"/>
              <w:keepNext/>
              <w:adjustRightInd/>
              <w:spacing w:before="0" w:after="0"/>
              <w:jc w:val="left"/>
              <w:rPr>
                <w:rFonts w:ascii="Times New Roman" w:hAnsi="Times New Roman" w:cs="Times New Roman"/>
                <w:color w:val="auto"/>
                <w:sz w:val="21"/>
                <w:szCs w:val="21"/>
              </w:rPr>
            </w:pPr>
            <w:r>
              <w:rPr>
                <w:rFonts w:ascii="Times New Roman" w:hAnsi="Times New Roman" w:cs="Times New Roman"/>
                <w:color w:val="auto"/>
                <w:sz w:val="21"/>
                <w:szCs w:val="21"/>
              </w:rPr>
              <w:t>1、禁止在下列区域内建设畜禽养殖场、养殖小区：</w:t>
            </w:r>
          </w:p>
          <w:p>
            <w:pPr>
              <w:pStyle w:val="282"/>
              <w:keepNext/>
              <w:adjustRightInd/>
              <w:spacing w:before="0" w:after="0"/>
              <w:jc w:val="left"/>
              <w:rPr>
                <w:rFonts w:ascii="Times New Roman" w:hAnsi="Times New Roman" w:cs="Times New Roman"/>
                <w:color w:val="auto"/>
                <w:sz w:val="21"/>
                <w:szCs w:val="21"/>
              </w:rPr>
            </w:pPr>
            <w:r>
              <w:rPr>
                <w:rFonts w:ascii="Times New Roman" w:hAnsi="Times New Roman" w:cs="Times New Roman"/>
                <w:color w:val="auto"/>
                <w:sz w:val="21"/>
                <w:szCs w:val="21"/>
              </w:rPr>
              <w:t>（一）饮用水水源保护区，风景名胜区；</w:t>
            </w:r>
          </w:p>
          <w:p>
            <w:pPr>
              <w:pStyle w:val="282"/>
              <w:keepNext/>
              <w:adjustRightInd/>
              <w:spacing w:before="0" w:after="0"/>
              <w:jc w:val="left"/>
              <w:rPr>
                <w:rFonts w:ascii="Times New Roman" w:hAnsi="Times New Roman" w:cs="Times New Roman"/>
                <w:color w:val="auto"/>
                <w:sz w:val="21"/>
                <w:szCs w:val="21"/>
              </w:rPr>
            </w:pPr>
            <w:r>
              <w:rPr>
                <w:rFonts w:ascii="Times New Roman" w:hAnsi="Times New Roman" w:cs="Times New Roman"/>
                <w:color w:val="auto"/>
                <w:sz w:val="21"/>
                <w:szCs w:val="21"/>
              </w:rPr>
              <w:t>（二）自然保护区的核心区和缓冲区；</w:t>
            </w:r>
          </w:p>
          <w:p>
            <w:pPr>
              <w:pStyle w:val="282"/>
              <w:keepNext/>
              <w:adjustRightInd/>
              <w:spacing w:before="0" w:after="0"/>
              <w:jc w:val="left"/>
              <w:rPr>
                <w:rFonts w:ascii="Times New Roman" w:hAnsi="Times New Roman" w:cs="Times New Roman"/>
                <w:color w:val="auto"/>
                <w:sz w:val="21"/>
                <w:szCs w:val="21"/>
              </w:rPr>
            </w:pPr>
            <w:r>
              <w:rPr>
                <w:rFonts w:ascii="Times New Roman" w:hAnsi="Times New Roman" w:cs="Times New Roman"/>
                <w:color w:val="auto"/>
                <w:sz w:val="21"/>
                <w:szCs w:val="21"/>
              </w:rPr>
              <w:t>（三）城镇居民区、文化教育科学研究区等人口集中区域；</w:t>
            </w:r>
          </w:p>
          <w:p>
            <w:pPr>
              <w:pStyle w:val="282"/>
              <w:keepNext/>
              <w:adjustRightInd/>
              <w:spacing w:before="0" w:after="0"/>
              <w:jc w:val="left"/>
              <w:rPr>
                <w:rFonts w:ascii="Times New Roman" w:hAnsi="Times New Roman" w:cs="Times New Roman"/>
                <w:color w:val="auto"/>
                <w:sz w:val="21"/>
                <w:szCs w:val="21"/>
              </w:rPr>
            </w:pPr>
            <w:r>
              <w:rPr>
                <w:rFonts w:ascii="Times New Roman" w:hAnsi="Times New Roman" w:cs="Times New Roman"/>
                <w:color w:val="auto"/>
                <w:sz w:val="21"/>
                <w:szCs w:val="21"/>
              </w:rPr>
              <w:t>（四）法律、法规规定的其他禁止养殖区域。</w:t>
            </w:r>
          </w:p>
          <w:p>
            <w:pPr>
              <w:pStyle w:val="282"/>
              <w:keepNext/>
              <w:adjustRightInd/>
              <w:spacing w:before="0" w:after="0"/>
              <w:jc w:val="left"/>
              <w:rPr>
                <w:rFonts w:ascii="Times New Roman" w:hAnsi="Times New Roman" w:cs="Times New Roman"/>
                <w:color w:val="auto"/>
                <w:sz w:val="21"/>
                <w:szCs w:val="21"/>
              </w:rPr>
            </w:pPr>
            <w:r>
              <w:rPr>
                <w:rFonts w:ascii="Times New Roman" w:hAnsi="Times New Roman" w:cs="Times New Roman"/>
                <w:color w:val="auto"/>
                <w:sz w:val="21"/>
                <w:szCs w:val="21"/>
              </w:rPr>
              <w:t>2、新建、改建、扩建畜禽养殖场、养殖小区，应当符合畜牧业发展规划、畜禽养殖污染防治规划，满足动物防疫条件，并进行环境影响评价。对环境可能造成重大影响的大型畜禽养殖场、养殖小区，应当编制环境影响报告书。</w:t>
            </w:r>
          </w:p>
          <w:p>
            <w:pPr>
              <w:pStyle w:val="282"/>
              <w:keepNext/>
              <w:adjustRightInd/>
              <w:spacing w:before="0" w:after="0"/>
              <w:jc w:val="center"/>
              <w:rPr>
                <w:rFonts w:ascii="Times New Roman" w:hAnsi="Times New Roman" w:cs="Times New Roman"/>
                <w:color w:val="auto"/>
                <w:sz w:val="21"/>
                <w:szCs w:val="21"/>
              </w:rPr>
            </w:pPr>
            <w:r>
              <w:rPr>
                <w:rFonts w:ascii="Times New Roman" w:hAnsi="Times New Roman" w:cs="Times New Roman"/>
                <w:color w:val="auto"/>
                <w:sz w:val="21"/>
                <w:szCs w:val="21"/>
              </w:rPr>
              <w:t>3、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已经委托他人对畜禽养殖废弃物代为综合利用和无害化处理的，可以不自行建设综合利用和无害化处理设施。</w:t>
            </w:r>
          </w:p>
          <w:p>
            <w:pPr>
              <w:jc w:val="center"/>
              <w:rPr>
                <w:szCs w:val="21"/>
              </w:rPr>
            </w:pPr>
            <w:r>
              <w:rPr>
                <w:szCs w:val="21"/>
              </w:rPr>
              <w:t>4、从事畜禽养殖活动，应当采取科学的饲养方式和废弃物处理工艺等有效措施，减少畜禽养殖废弃物的产生量和向环境的排放量。</w:t>
            </w:r>
          </w:p>
        </w:tc>
        <w:tc>
          <w:tcPr>
            <w:tcW w:w="3432" w:type="dxa"/>
            <w:vAlign w:val="center"/>
          </w:tcPr>
          <w:p>
            <w:pPr>
              <w:jc w:val="center"/>
              <w:rPr>
                <w:rFonts w:eastAsiaTheme="minorEastAsia"/>
                <w:bCs/>
                <w:kern w:val="0"/>
                <w:szCs w:val="21"/>
              </w:rPr>
            </w:pPr>
            <w:r>
              <w:rPr>
                <w:rFonts w:eastAsiaTheme="minorEastAsia"/>
                <w:bCs/>
                <w:kern w:val="0"/>
                <w:szCs w:val="21"/>
              </w:rPr>
              <w:t>1、（一）本项目不处于生活饮用水水源保护区、风景名胜区；</w:t>
            </w:r>
          </w:p>
          <w:p>
            <w:pPr>
              <w:jc w:val="center"/>
              <w:rPr>
                <w:rFonts w:eastAsiaTheme="minorEastAsia"/>
                <w:bCs/>
                <w:kern w:val="0"/>
                <w:szCs w:val="21"/>
              </w:rPr>
            </w:pPr>
            <w:r>
              <w:rPr>
                <w:rFonts w:eastAsiaTheme="minorEastAsia"/>
                <w:bCs/>
                <w:kern w:val="0"/>
                <w:szCs w:val="21"/>
              </w:rPr>
              <w:t>（二）本项目不处于自然保护区的核心区及缓冲区。</w:t>
            </w:r>
          </w:p>
          <w:p>
            <w:pPr>
              <w:jc w:val="center"/>
              <w:rPr>
                <w:rFonts w:eastAsiaTheme="minorEastAsia"/>
                <w:bCs/>
                <w:kern w:val="0"/>
                <w:szCs w:val="21"/>
              </w:rPr>
            </w:pPr>
            <w:r>
              <w:rPr>
                <w:rFonts w:eastAsiaTheme="minorEastAsia"/>
                <w:bCs/>
                <w:kern w:val="0"/>
                <w:szCs w:val="21"/>
              </w:rPr>
              <w:t>（三）本项目不处于城市和城镇居民区，包括文教科研区、医疗区、商业区、工业区、游览区等人口集中地区。</w:t>
            </w:r>
          </w:p>
          <w:p>
            <w:pPr>
              <w:jc w:val="center"/>
              <w:rPr>
                <w:rFonts w:eastAsiaTheme="minorEastAsia"/>
                <w:bCs/>
                <w:kern w:val="0"/>
                <w:szCs w:val="21"/>
              </w:rPr>
            </w:pPr>
            <w:r>
              <w:rPr>
                <w:rFonts w:eastAsiaTheme="minorEastAsia"/>
                <w:bCs/>
                <w:kern w:val="0"/>
                <w:szCs w:val="21"/>
              </w:rPr>
              <w:t>（四）本项目不处于国家或地方法律、法规规定需特殊保护的其他区域。</w:t>
            </w:r>
          </w:p>
          <w:p>
            <w:pPr>
              <w:jc w:val="center"/>
              <w:rPr>
                <w:rFonts w:eastAsiaTheme="minorEastAsia"/>
                <w:bCs/>
                <w:kern w:val="0"/>
                <w:szCs w:val="21"/>
              </w:rPr>
            </w:pPr>
            <w:r>
              <w:rPr>
                <w:rFonts w:eastAsiaTheme="minorEastAsia"/>
                <w:bCs/>
                <w:kern w:val="0"/>
                <w:szCs w:val="21"/>
              </w:rPr>
              <w:t>2、本项目属于新建项目，项目符合畜牧业发展规划、畜禽养殖污染防治规划，满足动物防疫条件，已委托环评单位进行环境影响评价工作，编制环境影响评价报告书。</w:t>
            </w:r>
          </w:p>
          <w:p>
            <w:pPr>
              <w:jc w:val="center"/>
              <w:rPr>
                <w:rFonts w:eastAsiaTheme="minorEastAsia"/>
                <w:bCs/>
                <w:kern w:val="0"/>
                <w:szCs w:val="21"/>
              </w:rPr>
            </w:pPr>
            <w:r>
              <w:rPr>
                <w:rFonts w:eastAsiaTheme="minorEastAsia"/>
                <w:bCs/>
                <w:kern w:val="0"/>
                <w:szCs w:val="21"/>
              </w:rPr>
              <w:t>3、</w:t>
            </w:r>
            <w:r>
              <w:rPr>
                <w:rFonts w:hint="eastAsia" w:eastAsiaTheme="minorEastAsia"/>
                <w:bCs/>
                <w:kern w:val="0"/>
                <w:szCs w:val="21"/>
              </w:rPr>
              <w:t>本项目病死鸡经收集后暂存于</w:t>
            </w:r>
            <w:r>
              <w:rPr>
                <w:rFonts w:hint="eastAsia" w:eastAsiaTheme="minorEastAsia"/>
                <w:bCs/>
                <w:kern w:val="0"/>
                <w:szCs w:val="21"/>
                <w:lang w:val="en-US" w:eastAsia="zh-CN"/>
              </w:rPr>
              <w:t>冷柜</w:t>
            </w:r>
            <w:r>
              <w:rPr>
                <w:rFonts w:hint="eastAsia" w:eastAsiaTheme="minorEastAsia"/>
                <w:bCs/>
                <w:kern w:val="0"/>
                <w:szCs w:val="21"/>
              </w:rPr>
              <w:t>中，定期由畜禽无害化资质单位清运处置；</w:t>
            </w:r>
            <w:r>
              <w:rPr>
                <w:rFonts w:hint="eastAsia"/>
              </w:rPr>
              <w:t>采取雨污分流，废水经处理后</w:t>
            </w:r>
            <w:r>
              <w:rPr>
                <w:rFonts w:hint="eastAsia"/>
                <w:lang w:eastAsia="zh-CN"/>
              </w:rPr>
              <w:t>用于周边种植基地灌溉，不外排；</w:t>
            </w:r>
            <w:r>
              <w:rPr>
                <w:rFonts w:hint="eastAsia"/>
                <w:color w:val="000000"/>
              </w:rPr>
              <w:t>鸡粪采用自动干清粪清掏排出鸡舍后，</w:t>
            </w:r>
            <w:r>
              <w:rPr>
                <w:rFonts w:hint="eastAsia"/>
                <w:bCs/>
                <w:szCs w:val="24"/>
                <w:lang w:val="en-US" w:eastAsia="zh-CN"/>
              </w:rPr>
              <w:t>部分</w:t>
            </w:r>
            <w:r>
              <w:rPr>
                <w:rFonts w:hint="eastAsia"/>
                <w:color w:val="000000"/>
              </w:rPr>
              <w:t>直接拉走</w:t>
            </w:r>
            <w:r>
              <w:rPr>
                <w:rFonts w:hint="eastAsia"/>
                <w:bCs/>
                <w:szCs w:val="24"/>
                <w:lang w:val="en-US" w:eastAsia="zh-CN"/>
              </w:rPr>
              <w:t>依托</w:t>
            </w:r>
            <w:r>
              <w:rPr>
                <w:rFonts w:hint="eastAsia"/>
              </w:rPr>
              <w:t>台源</w:t>
            </w:r>
            <w:r>
              <w:rPr>
                <w:rFonts w:hint="eastAsia"/>
                <w:bCs/>
              </w:rPr>
              <w:t>蛋鸡养殖</w:t>
            </w:r>
            <w:r>
              <w:rPr>
                <w:rFonts w:hint="eastAsia"/>
                <w:bCs/>
                <w:lang w:val="en-US" w:eastAsia="zh-CN"/>
              </w:rPr>
              <w:t>一场</w:t>
            </w:r>
            <w:r>
              <w:rPr>
                <w:rFonts w:hint="eastAsia"/>
                <w:szCs w:val="21"/>
              </w:rPr>
              <w:t>好氧发酵罐</w:t>
            </w:r>
            <w:r>
              <w:rPr>
                <w:rFonts w:hint="eastAsia"/>
                <w:szCs w:val="21"/>
                <w:lang w:val="en-US" w:eastAsia="zh-CN"/>
              </w:rPr>
              <w:t>制有机肥；剩余部分则</w:t>
            </w:r>
            <w:r>
              <w:rPr>
                <w:rFonts w:hint="eastAsia"/>
                <w:color w:val="000000"/>
              </w:rPr>
              <w:t>直接拉走</w:t>
            </w:r>
            <w:r>
              <w:rPr>
                <w:rFonts w:hint="eastAsia"/>
                <w:szCs w:val="21"/>
                <w:lang w:val="en-US" w:eastAsia="zh-CN"/>
              </w:rPr>
              <w:t>外售衡阳县沛科生态科技有限责任公司制有机肥</w:t>
            </w:r>
            <w:r>
              <w:rPr>
                <w:rFonts w:hint="eastAsia"/>
                <w:color w:val="000000"/>
                <w:lang w:eastAsia="zh-CN"/>
              </w:rPr>
              <w:t>，</w:t>
            </w:r>
            <w:r>
              <w:rPr>
                <w:rFonts w:hint="eastAsia"/>
                <w:color w:val="000000"/>
              </w:rPr>
              <w:t>在</w:t>
            </w:r>
            <w:r>
              <w:rPr>
                <w:rFonts w:hint="eastAsia"/>
                <w:szCs w:val="21"/>
                <w:lang w:val="en-US" w:eastAsia="zh-CN"/>
              </w:rPr>
              <w:t>衡阳县沛科生态科技有限责任公司</w:t>
            </w:r>
            <w:r>
              <w:rPr>
                <w:rFonts w:hint="eastAsia"/>
                <w:color w:val="000000"/>
              </w:rPr>
              <w:t>进行发酵预处理，不在本厂区进行预处理，在鸡粪收集室内堆存时间很短</w:t>
            </w:r>
            <w:r>
              <w:rPr>
                <w:rFonts w:eastAsiaTheme="minorEastAsia"/>
                <w:bCs/>
                <w:kern w:val="0"/>
                <w:szCs w:val="21"/>
              </w:rPr>
              <w:t>。</w:t>
            </w:r>
          </w:p>
          <w:p>
            <w:pPr>
              <w:jc w:val="center"/>
              <w:rPr>
                <w:szCs w:val="21"/>
              </w:rPr>
            </w:pPr>
            <w:r>
              <w:rPr>
                <w:rFonts w:eastAsiaTheme="minorEastAsia"/>
                <w:bCs/>
                <w:kern w:val="0"/>
                <w:szCs w:val="21"/>
              </w:rPr>
              <w:t>4、</w:t>
            </w:r>
            <w:r>
              <w:rPr>
                <w:rFonts w:hint="eastAsia" w:eastAsiaTheme="minorEastAsia"/>
                <w:bCs/>
                <w:kern w:val="0"/>
                <w:szCs w:val="21"/>
              </w:rPr>
              <w:t>鸡粪采取带式自动清粪方式，日产日清，鸡舍定期喷洒生物处理液除臭；加强鸡舍通风；优化饲料配方，提高饲养技术，合理调配饲料，饲料中添加EM菌；加强场区内绿化管理，种植较高大的绿色植物</w:t>
            </w:r>
          </w:p>
        </w:tc>
        <w:tc>
          <w:tcPr>
            <w:tcW w:w="1042" w:type="dxa"/>
            <w:vAlign w:val="center"/>
          </w:tcPr>
          <w:p>
            <w:pPr>
              <w:jc w:val="center"/>
              <w:rPr>
                <w:szCs w:val="21"/>
              </w:rPr>
            </w:pPr>
            <w:r>
              <w:rPr>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9" w:type="dxa"/>
            <w:vAlign w:val="center"/>
          </w:tcPr>
          <w:p>
            <w:pPr>
              <w:pStyle w:val="246"/>
              <w:spacing w:before="0" w:line="240" w:lineRule="auto"/>
              <w:rPr>
                <w:rFonts w:eastAsiaTheme="minorEastAsia"/>
                <w:b w:val="0"/>
                <w:sz w:val="21"/>
                <w:szCs w:val="21"/>
              </w:rPr>
            </w:pPr>
            <w:r>
              <w:rPr>
                <w:rFonts w:hint="eastAsia" w:eastAsiaTheme="minorEastAsia"/>
                <w:b w:val="0"/>
                <w:sz w:val="21"/>
                <w:szCs w:val="21"/>
              </w:rPr>
              <w:t>综合利用与治理</w:t>
            </w:r>
          </w:p>
        </w:tc>
        <w:tc>
          <w:tcPr>
            <w:tcW w:w="3514" w:type="dxa"/>
            <w:vAlign w:val="center"/>
          </w:tcPr>
          <w:p>
            <w:pPr>
              <w:pStyle w:val="246"/>
              <w:rPr>
                <w:rFonts w:eastAsiaTheme="minorEastAsia"/>
                <w:b w:val="0"/>
                <w:sz w:val="21"/>
                <w:szCs w:val="21"/>
              </w:rPr>
            </w:pPr>
            <w:r>
              <w:rPr>
                <w:rFonts w:hint="eastAsia" w:eastAsiaTheme="minorEastAsia"/>
                <w:b w:val="0"/>
                <w:sz w:val="21"/>
                <w:szCs w:val="21"/>
              </w:rPr>
              <w:t>1、国家鼓励和支持采取粪肥还田、制取沼气、制造有机肥等方法，对畜禽养殖废弃物进行综合利用。</w:t>
            </w:r>
          </w:p>
          <w:p>
            <w:pPr>
              <w:pStyle w:val="246"/>
              <w:rPr>
                <w:rFonts w:eastAsiaTheme="minorEastAsia"/>
                <w:b w:val="0"/>
                <w:sz w:val="21"/>
                <w:szCs w:val="21"/>
              </w:rPr>
            </w:pPr>
            <w:r>
              <w:rPr>
                <w:rFonts w:hint="eastAsia" w:eastAsiaTheme="minorEastAsia"/>
                <w:b w:val="0"/>
                <w:sz w:val="21"/>
                <w:szCs w:val="21"/>
              </w:rPr>
              <w:t>2、国家鼓励和支持采取种植和养殖相结合的方式消纳利用畜禽养殖废弃物，促进畜禽粪便、污水等废弃物就地就近利用。</w:t>
            </w:r>
          </w:p>
          <w:p>
            <w:pPr>
              <w:pStyle w:val="246"/>
              <w:rPr>
                <w:rFonts w:eastAsiaTheme="minorEastAsia"/>
                <w:b w:val="0"/>
                <w:sz w:val="21"/>
                <w:szCs w:val="21"/>
              </w:rPr>
            </w:pPr>
            <w:r>
              <w:rPr>
                <w:rFonts w:hint="eastAsia" w:eastAsiaTheme="minorEastAsia"/>
                <w:b w:val="0"/>
                <w:sz w:val="21"/>
                <w:szCs w:val="21"/>
              </w:rPr>
              <w:t>3、国家鼓励和支持沼气制取、有机肥生产等废弃物综合利用以及沼渣沼液输送和施用、沼气发电等相关配套设施建设。</w:t>
            </w:r>
          </w:p>
          <w:p>
            <w:pPr>
              <w:pStyle w:val="246"/>
              <w:rPr>
                <w:rFonts w:eastAsiaTheme="minorEastAsia"/>
                <w:b w:val="0"/>
                <w:sz w:val="21"/>
                <w:szCs w:val="21"/>
              </w:rPr>
            </w:pPr>
            <w:r>
              <w:rPr>
                <w:rFonts w:hint="eastAsia" w:eastAsiaTheme="minorEastAsia"/>
                <w:b w:val="0"/>
                <w:sz w:val="21"/>
                <w:szCs w:val="21"/>
              </w:rPr>
              <w:t>4、将畜禽粪便、污水、沼渣、沼液等用作肥料的，应当与土地的消纳能力相适应，并采取有效措施，消除可能引起传染病的微生物，防止污染环境和传播疫病。</w:t>
            </w:r>
          </w:p>
          <w:p>
            <w:pPr>
              <w:pStyle w:val="246"/>
              <w:rPr>
                <w:rFonts w:eastAsiaTheme="minorEastAsia"/>
                <w:b w:val="0"/>
                <w:sz w:val="21"/>
                <w:szCs w:val="21"/>
              </w:rPr>
            </w:pPr>
            <w:r>
              <w:rPr>
                <w:rFonts w:hint="eastAsia" w:eastAsiaTheme="minorEastAsia"/>
                <w:b w:val="0"/>
                <w:sz w:val="21"/>
                <w:szCs w:val="21"/>
              </w:rPr>
              <w:t>5、从事畜禽养殖活动和畜禽养殖废弃物处理活动，应当及时对畜禽粪便、畜禽尸体、污水等进行收集、贮存、清运，防止恶臭和畜禽养殖废弃物渗出、泄漏。</w:t>
            </w:r>
          </w:p>
          <w:p>
            <w:pPr>
              <w:pStyle w:val="246"/>
              <w:rPr>
                <w:rFonts w:eastAsiaTheme="minorEastAsia"/>
                <w:b w:val="0"/>
                <w:sz w:val="21"/>
                <w:szCs w:val="21"/>
              </w:rPr>
            </w:pPr>
            <w:r>
              <w:rPr>
                <w:rFonts w:hint="eastAsia" w:eastAsiaTheme="minorEastAsia"/>
                <w:b w:val="0"/>
                <w:sz w:val="21"/>
                <w:szCs w:val="21"/>
              </w:rPr>
              <w:t>6、向环境排放经过处理的畜禽养殖废弃物，应当符合国家和地方规定的污染物排放标准和总量控制指标。畜禽养殖废弃物未经处理，不得直接向环境排放。</w:t>
            </w:r>
          </w:p>
          <w:p>
            <w:pPr>
              <w:pStyle w:val="246"/>
              <w:rPr>
                <w:rFonts w:eastAsiaTheme="minorEastAsia"/>
                <w:b w:val="0"/>
                <w:sz w:val="21"/>
                <w:szCs w:val="21"/>
              </w:rPr>
            </w:pPr>
            <w:r>
              <w:rPr>
                <w:rFonts w:hint="eastAsia" w:eastAsiaTheme="minorEastAsia"/>
                <w:b w:val="0"/>
                <w:sz w:val="21"/>
                <w:szCs w:val="21"/>
              </w:rPr>
              <w:t>7、染疫畜禽以及染疫畜禽排泄物、染疫畜禽产品、病死或者死因不明的畜禽尸体等病害畜禽养殖废弃物，应当按照有关法律、法规和国务院农牧主管部门的规定，进行深埋、化制、焚烧等无害化处理，不得随意处置。</w:t>
            </w:r>
          </w:p>
          <w:p>
            <w:pPr>
              <w:pStyle w:val="246"/>
              <w:rPr>
                <w:rFonts w:eastAsiaTheme="minorEastAsia"/>
                <w:b w:val="0"/>
                <w:sz w:val="21"/>
                <w:szCs w:val="21"/>
              </w:rPr>
            </w:pPr>
            <w:r>
              <w:rPr>
                <w:rFonts w:hint="eastAsia" w:eastAsiaTheme="minorEastAsia"/>
                <w:b w:val="0"/>
                <w:sz w:val="21"/>
                <w:szCs w:val="21"/>
              </w:rPr>
              <w:t>8、畜禽养殖场、养殖小区应当定期将畜禽养殖品种、规模以及畜禽养殖废弃物的产生、排放和综合利用等情况，报县级人民政府环境保护主管部门备案。环境保护主管部门应当定期将备案情况抄送同级农牧主管部门。</w:t>
            </w:r>
          </w:p>
          <w:p>
            <w:pPr>
              <w:pStyle w:val="246"/>
              <w:spacing w:before="0" w:line="240" w:lineRule="auto"/>
              <w:rPr>
                <w:rFonts w:eastAsiaTheme="minorEastAsia"/>
                <w:b w:val="0"/>
                <w:sz w:val="21"/>
                <w:szCs w:val="21"/>
              </w:rPr>
            </w:pPr>
            <w:r>
              <w:rPr>
                <w:rFonts w:hint="eastAsia" w:eastAsiaTheme="minorEastAsia"/>
                <w:b w:val="0"/>
                <w:sz w:val="21"/>
                <w:szCs w:val="21"/>
              </w:rPr>
              <w:t>9、对污染严重的畜禽养殖密集区域，市、县人民政府应当制定综合整治方案，采取组织建设畜禽养殖废弃物综合利用和无害化处理设施、有计划搬迁或者关闭畜禽养殖场所等措施，对畜禽养殖污染进行治理。</w:t>
            </w:r>
          </w:p>
          <w:p>
            <w:pPr>
              <w:pStyle w:val="246"/>
              <w:spacing w:before="0" w:line="240" w:lineRule="auto"/>
              <w:rPr>
                <w:rFonts w:eastAsiaTheme="minorEastAsia"/>
                <w:b w:val="0"/>
                <w:sz w:val="21"/>
                <w:szCs w:val="21"/>
              </w:rPr>
            </w:pPr>
            <w:r>
              <w:rPr>
                <w:rFonts w:hint="eastAsia" w:eastAsiaTheme="minorEastAsia"/>
                <w:b w:val="0"/>
                <w:sz w:val="21"/>
                <w:szCs w:val="21"/>
              </w:rPr>
              <w:t>10、畜牧业发展规划、土地利用总体规划、城乡规划调整以及划定禁止养殖区域，或者因对污染严重的畜禽养殖密集区域进行综合整治，确需关闭或者搬迁现有畜禽养殖场所，致使畜禽养殖者遭受经济损失的，由县级以上地方人民政府依法予以补偿</w:t>
            </w:r>
          </w:p>
        </w:tc>
        <w:tc>
          <w:tcPr>
            <w:tcW w:w="3432" w:type="dxa"/>
            <w:vAlign w:val="center"/>
          </w:tcPr>
          <w:p>
            <w:pPr>
              <w:pStyle w:val="246"/>
              <w:spacing w:before="0" w:line="240" w:lineRule="auto"/>
              <w:rPr>
                <w:rFonts w:eastAsiaTheme="minorEastAsia"/>
                <w:b w:val="0"/>
                <w:sz w:val="21"/>
                <w:szCs w:val="21"/>
              </w:rPr>
            </w:pPr>
            <w:r>
              <w:rPr>
                <w:rFonts w:hint="eastAsia" w:eastAsiaTheme="minorEastAsia"/>
                <w:b w:val="0"/>
                <w:sz w:val="21"/>
                <w:szCs w:val="21"/>
              </w:rPr>
              <w:t>1、本项目鸡粪采用自动干清粪清掏排出鸡舍后，部分直接拉走依托台源蛋鸡养殖一场好氧发酵罐制有机肥；剩余部分则直接拉走外售衡阳县沛科生态科技有限责任公司制有机肥，在衡阳县沛科生态科技有限责任公司进行发酵预处理，不在本厂区进行预处理，在鸡粪收集室内堆存时间很短。</w:t>
            </w:r>
          </w:p>
          <w:p>
            <w:pPr>
              <w:pStyle w:val="246"/>
              <w:spacing w:before="0" w:line="240" w:lineRule="auto"/>
              <w:rPr>
                <w:rFonts w:eastAsiaTheme="minorEastAsia"/>
                <w:b w:val="0"/>
                <w:sz w:val="21"/>
                <w:szCs w:val="21"/>
              </w:rPr>
            </w:pPr>
            <w:r>
              <w:rPr>
                <w:rFonts w:hint="eastAsia" w:eastAsiaTheme="minorEastAsia"/>
                <w:b w:val="0"/>
                <w:sz w:val="21"/>
                <w:szCs w:val="21"/>
              </w:rPr>
              <w:t>2、本项目废水经处理后</w:t>
            </w:r>
            <w:r>
              <w:rPr>
                <w:rFonts w:hint="eastAsia" w:eastAsiaTheme="minorEastAsia"/>
                <w:b w:val="0"/>
                <w:sz w:val="21"/>
                <w:szCs w:val="21"/>
                <w:lang w:eastAsia="zh-CN"/>
              </w:rPr>
              <w:t>用于周边种植基地灌溉，不外排</w:t>
            </w:r>
            <w:r>
              <w:rPr>
                <w:rFonts w:hint="eastAsia" w:eastAsiaTheme="minorEastAsia"/>
                <w:b w:val="0"/>
                <w:sz w:val="21"/>
                <w:szCs w:val="21"/>
              </w:rPr>
              <w:t>。</w:t>
            </w:r>
          </w:p>
          <w:p>
            <w:pPr>
              <w:pStyle w:val="246"/>
              <w:spacing w:before="0" w:line="240" w:lineRule="auto"/>
              <w:rPr>
                <w:rFonts w:eastAsiaTheme="minorEastAsia"/>
                <w:b w:val="0"/>
                <w:sz w:val="21"/>
                <w:szCs w:val="21"/>
              </w:rPr>
            </w:pPr>
            <w:r>
              <w:rPr>
                <w:rFonts w:hint="eastAsia" w:eastAsiaTheme="minorEastAsia"/>
                <w:b w:val="0"/>
                <w:sz w:val="21"/>
                <w:szCs w:val="21"/>
                <w:lang w:val="en-US" w:eastAsia="zh-CN"/>
              </w:rPr>
              <w:t>3</w:t>
            </w:r>
            <w:r>
              <w:rPr>
                <w:rFonts w:hint="eastAsia" w:eastAsiaTheme="minorEastAsia"/>
                <w:b w:val="0"/>
                <w:sz w:val="21"/>
                <w:szCs w:val="21"/>
              </w:rPr>
              <w:t>、本项目污水通过管道及时收集，进入污水处理设施处理，粪便采用干清粪的方式进行清理，病死鸡经收集后暂存于</w:t>
            </w:r>
            <w:r>
              <w:rPr>
                <w:rFonts w:hint="eastAsia" w:eastAsiaTheme="minorEastAsia"/>
                <w:b w:val="0"/>
                <w:sz w:val="21"/>
                <w:szCs w:val="21"/>
                <w:lang w:val="en-US" w:eastAsia="zh-CN"/>
              </w:rPr>
              <w:t>冷柜</w:t>
            </w:r>
            <w:r>
              <w:rPr>
                <w:rFonts w:hint="eastAsia" w:eastAsiaTheme="minorEastAsia"/>
                <w:b w:val="0"/>
                <w:sz w:val="21"/>
                <w:szCs w:val="21"/>
              </w:rPr>
              <w:t>中，定期由畜禽无害化资质单位清运处置。各处理设施均采用了防渗、防漏措施。</w:t>
            </w:r>
          </w:p>
          <w:p>
            <w:pPr>
              <w:pStyle w:val="246"/>
              <w:spacing w:before="0" w:line="240" w:lineRule="auto"/>
              <w:rPr>
                <w:rFonts w:eastAsiaTheme="minorEastAsia"/>
                <w:b w:val="0"/>
                <w:sz w:val="21"/>
                <w:szCs w:val="21"/>
              </w:rPr>
            </w:pPr>
            <w:r>
              <w:rPr>
                <w:rFonts w:hint="eastAsia" w:eastAsiaTheme="minorEastAsia"/>
                <w:b w:val="0"/>
                <w:sz w:val="21"/>
                <w:szCs w:val="21"/>
                <w:lang w:val="en-US" w:eastAsia="zh-CN"/>
              </w:rPr>
              <w:t>4</w:t>
            </w:r>
            <w:r>
              <w:rPr>
                <w:rFonts w:hint="eastAsia" w:eastAsiaTheme="minorEastAsia"/>
                <w:b w:val="0"/>
                <w:sz w:val="21"/>
                <w:szCs w:val="21"/>
              </w:rPr>
              <w:t>、本项目废水合理处置、废气达标排放，总量控制指标符合衡阳县要求。</w:t>
            </w:r>
          </w:p>
          <w:p>
            <w:pPr>
              <w:pStyle w:val="246"/>
              <w:spacing w:before="0" w:line="240" w:lineRule="auto"/>
              <w:rPr>
                <w:rFonts w:eastAsiaTheme="minorEastAsia"/>
                <w:b w:val="0"/>
                <w:sz w:val="21"/>
                <w:szCs w:val="21"/>
              </w:rPr>
            </w:pPr>
            <w:r>
              <w:rPr>
                <w:rFonts w:hint="eastAsia" w:eastAsiaTheme="minorEastAsia"/>
                <w:b w:val="0"/>
                <w:sz w:val="21"/>
                <w:szCs w:val="21"/>
                <w:lang w:val="en-US" w:eastAsia="zh-CN"/>
              </w:rPr>
              <w:t>5</w:t>
            </w:r>
            <w:r>
              <w:rPr>
                <w:rFonts w:hint="eastAsia" w:eastAsiaTheme="minorEastAsia"/>
                <w:b w:val="0"/>
                <w:sz w:val="21"/>
                <w:szCs w:val="21"/>
              </w:rPr>
              <w:t>、本项目病死鸡经收集后暂存于</w:t>
            </w:r>
            <w:r>
              <w:rPr>
                <w:rFonts w:hint="eastAsia" w:eastAsiaTheme="minorEastAsia"/>
                <w:b w:val="0"/>
                <w:sz w:val="21"/>
                <w:szCs w:val="21"/>
                <w:lang w:eastAsia="zh-CN"/>
              </w:rPr>
              <w:t>冷柜</w:t>
            </w:r>
            <w:r>
              <w:rPr>
                <w:rFonts w:hint="eastAsia" w:eastAsiaTheme="minorEastAsia"/>
                <w:b w:val="0"/>
                <w:sz w:val="21"/>
                <w:szCs w:val="21"/>
              </w:rPr>
              <w:t>中，定期由畜禽无害化资质单位清运处置。</w:t>
            </w:r>
          </w:p>
          <w:p>
            <w:pPr>
              <w:pStyle w:val="246"/>
              <w:spacing w:before="0" w:line="240" w:lineRule="auto"/>
              <w:rPr>
                <w:rFonts w:eastAsiaTheme="minorEastAsia"/>
                <w:b w:val="0"/>
                <w:sz w:val="21"/>
                <w:szCs w:val="21"/>
              </w:rPr>
            </w:pPr>
            <w:r>
              <w:rPr>
                <w:rFonts w:hint="eastAsia" w:eastAsiaTheme="minorEastAsia"/>
                <w:b w:val="0"/>
                <w:sz w:val="21"/>
                <w:szCs w:val="21"/>
                <w:lang w:val="en-US" w:eastAsia="zh-CN"/>
              </w:rPr>
              <w:t>6</w:t>
            </w:r>
            <w:r>
              <w:rPr>
                <w:rFonts w:hint="eastAsia" w:eastAsiaTheme="minorEastAsia"/>
                <w:b w:val="0"/>
                <w:sz w:val="21"/>
                <w:szCs w:val="21"/>
              </w:rPr>
              <w:t>、本项目目前正编制环境影响评价文件，该文件将交由环保部门备案，之后会开展环保验收，报环保部门备案。</w:t>
            </w:r>
          </w:p>
          <w:p>
            <w:pPr>
              <w:pStyle w:val="246"/>
              <w:spacing w:before="0" w:line="240" w:lineRule="auto"/>
              <w:rPr>
                <w:rFonts w:eastAsiaTheme="minorEastAsia"/>
                <w:b w:val="0"/>
                <w:sz w:val="21"/>
                <w:szCs w:val="21"/>
              </w:rPr>
            </w:pPr>
            <w:r>
              <w:rPr>
                <w:rFonts w:hint="eastAsia" w:eastAsiaTheme="minorEastAsia"/>
                <w:b w:val="0"/>
                <w:sz w:val="21"/>
                <w:szCs w:val="21"/>
                <w:lang w:val="en-US" w:eastAsia="zh-CN"/>
              </w:rPr>
              <w:t>7</w:t>
            </w:r>
            <w:r>
              <w:rPr>
                <w:rFonts w:hint="eastAsia" w:eastAsiaTheme="minorEastAsia"/>
                <w:b w:val="0"/>
                <w:sz w:val="21"/>
                <w:szCs w:val="21"/>
              </w:rPr>
              <w:t>、衡阳县人民政府已经对该区域内不符合要求的养殖场进行了补偿关闭处理。</w:t>
            </w:r>
          </w:p>
          <w:p>
            <w:pPr>
              <w:pStyle w:val="246"/>
              <w:spacing w:before="0" w:line="240" w:lineRule="auto"/>
              <w:rPr>
                <w:rFonts w:eastAsiaTheme="minorEastAsia"/>
                <w:b w:val="0"/>
                <w:sz w:val="21"/>
                <w:szCs w:val="21"/>
              </w:rPr>
            </w:pPr>
            <w:r>
              <w:rPr>
                <w:rFonts w:hint="eastAsia" w:eastAsiaTheme="minorEastAsia"/>
                <w:b w:val="0"/>
                <w:sz w:val="21"/>
                <w:szCs w:val="21"/>
                <w:lang w:val="en-US" w:eastAsia="zh-CN"/>
              </w:rPr>
              <w:t>8</w:t>
            </w:r>
            <w:r>
              <w:rPr>
                <w:rFonts w:hint="eastAsia" w:eastAsiaTheme="minorEastAsia"/>
                <w:b w:val="0"/>
                <w:sz w:val="21"/>
                <w:szCs w:val="21"/>
              </w:rPr>
              <w:t>、根据衡阳市生态环境局衡阳县分局及衡阳县农业农村局颁发的《衡阳县畜禽养殖禁养区划定技术方案》（正式稿）内容，项目选址不属于《衡阳县畜禽养殖禁养区划定技术方案》（正式稿）的一级禁养区、二级禁养区，属于《衡阳县畜禽养殖禁养区划定技术方案》（正式稿）的适养区，项目不在养殖密集区，本项目不在拆迁范围之内</w:t>
            </w:r>
          </w:p>
        </w:tc>
        <w:tc>
          <w:tcPr>
            <w:tcW w:w="1042" w:type="dxa"/>
            <w:vAlign w:val="center"/>
          </w:tcPr>
          <w:p>
            <w:pPr>
              <w:pStyle w:val="246"/>
              <w:spacing w:before="0" w:line="240" w:lineRule="auto"/>
              <w:rPr>
                <w:rFonts w:eastAsiaTheme="minorEastAsia"/>
                <w:b w:val="0"/>
                <w:sz w:val="21"/>
                <w:szCs w:val="21"/>
              </w:rPr>
            </w:pPr>
            <w:r>
              <w:rPr>
                <w:rFonts w:hint="eastAsia" w:eastAsiaTheme="minorEastAsia"/>
                <w:b w:val="0"/>
                <w:sz w:val="21"/>
                <w:szCs w:val="21"/>
              </w:rPr>
              <w:t>符合</w:t>
            </w:r>
          </w:p>
        </w:tc>
      </w:tr>
    </w:tbl>
    <w:p>
      <w:pPr>
        <w:pStyle w:val="215"/>
        <w:rPr>
          <w:rFonts w:eastAsiaTheme="minorEastAsia"/>
        </w:rPr>
      </w:pPr>
      <w:r>
        <w:rPr>
          <w:rFonts w:hint="eastAsia" w:eastAsiaTheme="minorEastAsia"/>
        </w:rPr>
        <w:t>综上分析可知，本项目场址及环保治理设施建设要求与《畜禽规模养殖污染防治条例》（国务院令第643号）相关要求相符。</w:t>
      </w:r>
    </w:p>
    <w:p>
      <w:pPr>
        <w:spacing w:line="360" w:lineRule="auto"/>
        <w:ind w:firstLine="422" w:firstLineChars="200"/>
        <w:rPr>
          <w:rFonts w:hAnsiTheme="minorEastAsia" w:eastAsiaTheme="minorEastAsia"/>
          <w:b/>
          <w:bCs/>
          <w:kern w:val="0"/>
          <w:sz w:val="24"/>
        </w:rPr>
      </w:pPr>
      <w:r>
        <w:rPr>
          <w:rFonts w:hint="eastAsia"/>
          <w:b/>
        </w:rPr>
        <w:t>4、</w:t>
      </w:r>
      <w:r>
        <w:rPr>
          <w:rFonts w:hint="eastAsia"/>
          <w:b/>
          <w:sz w:val="24"/>
        </w:rPr>
        <w:t>与《畜禽养殖业污染治理工程技术规范》符合性分析</w:t>
      </w:r>
    </w:p>
    <w:p>
      <w:pPr>
        <w:pStyle w:val="215"/>
      </w:pPr>
      <w:r>
        <w:rPr>
          <w:rFonts w:hint="eastAsia"/>
        </w:rPr>
        <w:t>本项目与《畜禽养殖业污染治理工程技术规范》（HJ 497-2009）符合性分析见表1.4-3。</w:t>
      </w:r>
    </w:p>
    <w:p>
      <w:pPr>
        <w:pStyle w:val="246"/>
        <w:spacing w:beforeLines="50" w:line="240" w:lineRule="auto"/>
        <w:rPr>
          <w:rFonts w:eastAsiaTheme="minorEastAsia"/>
          <w:sz w:val="21"/>
          <w:szCs w:val="21"/>
        </w:rPr>
      </w:pPr>
      <w:r>
        <w:rPr>
          <w:rFonts w:eastAsiaTheme="minorEastAsia"/>
          <w:sz w:val="21"/>
          <w:szCs w:val="21"/>
        </w:rPr>
        <w:t>表</w:t>
      </w:r>
      <w:r>
        <w:rPr>
          <w:rFonts w:hint="eastAsia" w:eastAsiaTheme="minorEastAsia"/>
          <w:sz w:val="21"/>
          <w:szCs w:val="21"/>
        </w:rPr>
        <w:t xml:space="preserve">1.4-3  </w:t>
      </w:r>
      <w:r>
        <w:rPr>
          <w:rFonts w:eastAsiaTheme="minorEastAsia"/>
          <w:sz w:val="21"/>
          <w:szCs w:val="21"/>
        </w:rPr>
        <w:t>项目与《</w:t>
      </w:r>
      <w:r>
        <w:rPr>
          <w:rFonts w:hint="eastAsia" w:eastAsiaTheme="minorEastAsia"/>
          <w:sz w:val="21"/>
          <w:szCs w:val="21"/>
        </w:rPr>
        <w:t>畜禽养殖业污染治理工程技术规范</w:t>
      </w:r>
      <w:r>
        <w:rPr>
          <w:rFonts w:eastAsiaTheme="minorEastAsia"/>
          <w:sz w:val="21"/>
          <w:szCs w:val="21"/>
        </w:rPr>
        <w:t>》的符合性分析</w:t>
      </w:r>
    </w:p>
    <w:tbl>
      <w:tblPr>
        <w:tblStyle w:val="47"/>
        <w:tblW w:w="8947"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3969"/>
        <w:gridCol w:w="3063"/>
        <w:gridCol w:w="95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59" w:type="dxa"/>
            <w:vAlign w:val="center"/>
          </w:tcPr>
          <w:p>
            <w:pPr>
              <w:pStyle w:val="154"/>
              <w:rPr>
                <w:b/>
                <w:caps/>
              </w:rPr>
            </w:pPr>
            <w:r>
              <w:rPr>
                <w:b/>
                <w:caps/>
              </w:rPr>
              <w:t>规范</w:t>
            </w:r>
          </w:p>
        </w:tc>
        <w:tc>
          <w:tcPr>
            <w:tcW w:w="3969" w:type="dxa"/>
            <w:vAlign w:val="center"/>
          </w:tcPr>
          <w:p>
            <w:pPr>
              <w:pStyle w:val="154"/>
              <w:rPr>
                <w:b/>
                <w:caps/>
              </w:rPr>
            </w:pPr>
            <w:r>
              <w:rPr>
                <w:b/>
                <w:caps/>
              </w:rPr>
              <w:t>规范要求</w:t>
            </w:r>
          </w:p>
        </w:tc>
        <w:tc>
          <w:tcPr>
            <w:tcW w:w="3063" w:type="dxa"/>
            <w:vAlign w:val="center"/>
          </w:tcPr>
          <w:p>
            <w:pPr>
              <w:pStyle w:val="154"/>
              <w:rPr>
                <w:b/>
                <w:caps/>
              </w:rPr>
            </w:pPr>
            <w:r>
              <w:rPr>
                <w:b/>
                <w:caps/>
              </w:rPr>
              <w:t>本项目情况</w:t>
            </w:r>
          </w:p>
        </w:tc>
        <w:tc>
          <w:tcPr>
            <w:tcW w:w="956" w:type="dxa"/>
            <w:vAlign w:val="center"/>
          </w:tcPr>
          <w:p>
            <w:pPr>
              <w:pStyle w:val="154"/>
              <w:rPr>
                <w:b/>
                <w:caps/>
              </w:rPr>
            </w:pPr>
            <w:r>
              <w:rPr>
                <w:b/>
                <w:caps/>
              </w:rPr>
              <w:t>符合性分析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59" w:type="dxa"/>
            <w:vAlign w:val="center"/>
          </w:tcPr>
          <w:p>
            <w:pPr>
              <w:pStyle w:val="154"/>
              <w:rPr>
                <w:caps/>
              </w:rPr>
            </w:pPr>
            <w:r>
              <w:rPr>
                <w:caps/>
              </w:rPr>
              <w:t>选址</w:t>
            </w:r>
          </w:p>
          <w:p>
            <w:pPr>
              <w:pStyle w:val="154"/>
              <w:rPr>
                <w:caps/>
              </w:rPr>
            </w:pPr>
            <w:r>
              <w:rPr>
                <w:caps/>
              </w:rPr>
              <w:t>要求</w:t>
            </w:r>
          </w:p>
        </w:tc>
        <w:tc>
          <w:tcPr>
            <w:tcW w:w="3969" w:type="dxa"/>
            <w:vAlign w:val="center"/>
          </w:tcPr>
          <w:p>
            <w:pPr>
              <w:pStyle w:val="154"/>
              <w:rPr>
                <w:caps/>
              </w:rPr>
            </w:pPr>
            <w:r>
              <w:t>禁止在下列区域内建设畜禽养殖场：a、生活饮用水水源保护区、风景名胜区、自然保护区的核心区及缓冲区；b、城市和城镇居民区，包括文教科研区、医疗区、商业区、工业区、游览区等人口集中地区；c、县级人民政府依法划定的禁养区域；d、国家或地方法律、法规规定需要特殊保护的其它区域。e、新建、改建、扩建的畜禽养殖场选址应避开上述禁建区域，在禁建区域附近建设的，应设在上述禁建区域常年主导风向的下风向或侧风向处，场界与禁建区域边界的最小距离不得小于500m</w:t>
            </w:r>
          </w:p>
        </w:tc>
        <w:tc>
          <w:tcPr>
            <w:tcW w:w="3063" w:type="dxa"/>
            <w:vAlign w:val="center"/>
          </w:tcPr>
          <w:p>
            <w:pPr>
              <w:pStyle w:val="154"/>
              <w:rPr>
                <w:caps/>
              </w:rPr>
            </w:pPr>
            <w:r>
              <w:t>本项目属新建养殖场。不涉及a、生活饮用水水源保护区、风景名胜区、自然保护区的核心区及缓冲区；b、城市和城镇居民区，包括文教科研区、医疗区、商业区、工业区、游览区等人口集中地区；c、县级人民政府依法划定的禁养区域；d、国家或地方法律、法规规定需要特殊保护的其它区域</w:t>
            </w:r>
          </w:p>
        </w:tc>
        <w:tc>
          <w:tcPr>
            <w:tcW w:w="956" w:type="dxa"/>
            <w:vAlign w:val="center"/>
          </w:tcPr>
          <w:p>
            <w:pPr>
              <w:pStyle w:val="154"/>
              <w:rPr>
                <w:caps/>
              </w:rPr>
            </w:pPr>
            <w:r>
              <w:rPr>
                <w:caps/>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59" w:type="dxa"/>
            <w:vAlign w:val="center"/>
          </w:tcPr>
          <w:p>
            <w:pPr>
              <w:pStyle w:val="154"/>
              <w:rPr>
                <w:caps/>
              </w:rPr>
            </w:pPr>
            <w:r>
              <w:t>粪污收集</w:t>
            </w:r>
          </w:p>
        </w:tc>
        <w:tc>
          <w:tcPr>
            <w:tcW w:w="3969" w:type="dxa"/>
            <w:vAlign w:val="center"/>
          </w:tcPr>
          <w:p>
            <w:pPr>
              <w:pStyle w:val="154"/>
            </w:pPr>
            <w:r>
              <w:t>新建、改建、扩建的畜禽养殖场宜采用干清粪工艺。现有采用水冲粪、水泡粪清粪工艺的养殖场，应逐步改为干清粪工艺；畜禽粪污应日产日清；畜禽养殖场应建立排水系统，并实行雨污分流</w:t>
            </w:r>
          </w:p>
        </w:tc>
        <w:tc>
          <w:tcPr>
            <w:tcW w:w="3063" w:type="dxa"/>
            <w:vAlign w:val="center"/>
          </w:tcPr>
          <w:p>
            <w:pPr>
              <w:pStyle w:val="154"/>
              <w:rPr>
                <w:rFonts w:hint="eastAsia" w:eastAsiaTheme="minorEastAsia"/>
                <w:lang w:eastAsia="zh-CN"/>
              </w:rPr>
            </w:pPr>
            <w:r>
              <w:t>本项目属新建养殖场。生产过程采用干清粪工艺；畜禽粪污日产日清；畜禽养殖场建立排水系统，实施雨污分流，</w:t>
            </w:r>
            <w:r>
              <w:rPr>
                <w:rFonts w:hint="eastAsia" w:eastAsiaTheme="minorEastAsia"/>
                <w:b w:val="0"/>
                <w:sz w:val="21"/>
                <w:szCs w:val="21"/>
              </w:rPr>
              <w:t>废水经处理后</w:t>
            </w:r>
            <w:r>
              <w:rPr>
                <w:rFonts w:hint="eastAsia" w:eastAsiaTheme="minorEastAsia"/>
                <w:b w:val="0"/>
                <w:sz w:val="21"/>
                <w:szCs w:val="21"/>
                <w:lang w:eastAsia="zh-CN"/>
              </w:rPr>
              <w:t>用于周边种植基地灌溉，不外排</w:t>
            </w:r>
          </w:p>
        </w:tc>
        <w:tc>
          <w:tcPr>
            <w:tcW w:w="956" w:type="dxa"/>
            <w:vAlign w:val="center"/>
          </w:tcPr>
          <w:p>
            <w:pPr>
              <w:pStyle w:val="154"/>
              <w:rPr>
                <w:caps/>
              </w:rPr>
            </w:pPr>
            <w:r>
              <w:rPr>
                <w:caps/>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59" w:type="dxa"/>
            <w:vAlign w:val="center"/>
          </w:tcPr>
          <w:p>
            <w:pPr>
              <w:pStyle w:val="154"/>
            </w:pPr>
            <w:r>
              <w:t>畜禽粪便的贮存</w:t>
            </w:r>
          </w:p>
        </w:tc>
        <w:tc>
          <w:tcPr>
            <w:tcW w:w="3969" w:type="dxa"/>
            <w:vAlign w:val="center"/>
          </w:tcPr>
          <w:p>
            <w:pPr>
              <w:pStyle w:val="154"/>
            </w:pPr>
            <w:r>
              <w:t>贮存设施的位置必须远离各类功能地表水体（距离不得小于400m），并应设在养殖场生产及生活管理区的常年主导风向的下风向或侧风向处</w:t>
            </w:r>
          </w:p>
        </w:tc>
        <w:tc>
          <w:tcPr>
            <w:tcW w:w="3063" w:type="dxa"/>
            <w:vAlign w:val="center"/>
          </w:tcPr>
          <w:p>
            <w:pPr>
              <w:pStyle w:val="154"/>
            </w:pPr>
            <w:r>
              <w:t>项目每栋鸡舍自动化清粪，鸡粪不落地，</w:t>
            </w:r>
            <w:r>
              <w:rPr>
                <w:rFonts w:hint="eastAsia"/>
              </w:rPr>
              <w:t>并</w:t>
            </w:r>
            <w:r>
              <w:t>配套建设</w:t>
            </w:r>
            <w:r>
              <w:rPr>
                <w:rFonts w:hint="eastAsia"/>
              </w:rPr>
              <w:t>鸡粪收集室</w:t>
            </w:r>
            <w:r>
              <w:t>作为</w:t>
            </w:r>
            <w:r>
              <w:rPr>
                <w:rFonts w:hint="eastAsia"/>
              </w:rPr>
              <w:t>鸡粪</w:t>
            </w:r>
            <w:r>
              <w:t>临时贮存场所</w:t>
            </w:r>
            <w:r>
              <w:rPr>
                <w:rFonts w:hint="eastAsia"/>
                <w:lang w:eastAsia="zh-CN"/>
              </w:rPr>
              <w:t>，</w:t>
            </w:r>
            <w:r>
              <w:rPr>
                <w:rFonts w:hint="eastAsia"/>
                <w:lang w:val="en-US" w:eastAsia="zh-CN"/>
              </w:rPr>
              <w:t>日产日清，</w:t>
            </w:r>
            <w:r>
              <w:rPr>
                <w:rFonts w:hint="eastAsia"/>
                <w:color w:val="000000"/>
              </w:rPr>
              <w:t>在鸡粪收集室内堆存时间很短</w:t>
            </w:r>
            <w:r>
              <w:t>，并设在养殖场生产及生活管理区的常年主导风向的侧风向处</w:t>
            </w:r>
          </w:p>
        </w:tc>
        <w:tc>
          <w:tcPr>
            <w:tcW w:w="956" w:type="dxa"/>
            <w:vAlign w:val="center"/>
          </w:tcPr>
          <w:p>
            <w:pPr>
              <w:pStyle w:val="154"/>
              <w:rPr>
                <w:caps/>
              </w:rPr>
            </w:pPr>
            <w:r>
              <w:rPr>
                <w:caps/>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59" w:type="dxa"/>
            <w:vAlign w:val="center"/>
          </w:tcPr>
          <w:p>
            <w:pPr>
              <w:pStyle w:val="154"/>
            </w:pPr>
            <w:r>
              <w:t>粪污处理基本工艺模式</w:t>
            </w:r>
          </w:p>
        </w:tc>
        <w:tc>
          <w:tcPr>
            <w:tcW w:w="3969" w:type="dxa"/>
            <w:vAlign w:val="center"/>
          </w:tcPr>
          <w:p>
            <w:pPr>
              <w:pStyle w:val="154"/>
            </w:pPr>
            <w:r>
              <w:t>存栏（以猪计）10000头及以上的，宜采用6.2.4模式Ⅲ处理工艺</w:t>
            </w:r>
            <w:r>
              <w:rPr>
                <w:rFonts w:hint="eastAsia"/>
              </w:rPr>
              <w:t>（沉淀+固液分离+水解酸化+A/O+消毒）</w:t>
            </w:r>
          </w:p>
        </w:tc>
        <w:tc>
          <w:tcPr>
            <w:tcW w:w="3063" w:type="dxa"/>
            <w:vAlign w:val="center"/>
          </w:tcPr>
          <w:p>
            <w:pPr>
              <w:pStyle w:val="154"/>
              <w:rPr>
                <w:color w:val="FF0000"/>
              </w:rPr>
            </w:pPr>
            <w:r>
              <w:t>本项目采用干清粪方式，</w:t>
            </w:r>
            <w:r>
              <w:rPr>
                <w:rFonts w:hint="eastAsia"/>
              </w:rPr>
              <w:t>废水经</w:t>
            </w:r>
            <w:r>
              <w:rPr>
                <w:rFonts w:hint="eastAsia"/>
                <w:lang w:val="en-US" w:eastAsia="zh-CN"/>
              </w:rPr>
              <w:t>污水处理站</w:t>
            </w:r>
            <w:r>
              <w:rPr>
                <w:rFonts w:hint="eastAsia"/>
              </w:rPr>
              <w:t>处理后用于种植基地</w:t>
            </w:r>
            <w:r>
              <w:rPr>
                <w:rFonts w:hint="eastAsia"/>
                <w:lang w:val="en-US" w:eastAsia="zh-CN"/>
              </w:rPr>
              <w:t>灌溉</w:t>
            </w:r>
            <w:r>
              <w:rPr>
                <w:rFonts w:hint="eastAsia"/>
              </w:rPr>
              <w:t>，故</w:t>
            </w:r>
            <w:r>
              <w:t>满足相关要求</w:t>
            </w:r>
          </w:p>
        </w:tc>
        <w:tc>
          <w:tcPr>
            <w:tcW w:w="956" w:type="dxa"/>
            <w:vAlign w:val="center"/>
          </w:tcPr>
          <w:p>
            <w:pPr>
              <w:pStyle w:val="154"/>
              <w:rPr>
                <w:caps/>
              </w:rPr>
            </w:pPr>
            <w:r>
              <w:rPr>
                <w:caps/>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959" w:type="dxa"/>
            <w:vAlign w:val="center"/>
          </w:tcPr>
          <w:p>
            <w:pPr>
              <w:pStyle w:val="154"/>
            </w:pPr>
            <w:r>
              <w:t>病死畜禽尸体处置</w:t>
            </w:r>
          </w:p>
        </w:tc>
        <w:tc>
          <w:tcPr>
            <w:tcW w:w="3969" w:type="dxa"/>
            <w:vAlign w:val="center"/>
          </w:tcPr>
          <w:p>
            <w:pPr>
              <w:pStyle w:val="154"/>
            </w:pPr>
            <w:r>
              <w:t>病死畜禽尸体应及时处理，不得随意丢弃，不得出售或作为饲料再利用。畜禽尸体的处理与处置应符合HJ/T81-2001的规定</w:t>
            </w:r>
          </w:p>
        </w:tc>
        <w:tc>
          <w:tcPr>
            <w:tcW w:w="3063" w:type="dxa"/>
            <w:vAlign w:val="center"/>
          </w:tcPr>
          <w:p>
            <w:pPr>
              <w:pStyle w:val="154"/>
            </w:pPr>
            <w:r>
              <w:rPr>
                <w:rFonts w:hint="eastAsia"/>
              </w:rPr>
              <w:t>本项目病死鸡经收集后暂存于</w:t>
            </w:r>
            <w:r>
              <w:rPr>
                <w:rFonts w:hint="eastAsia"/>
                <w:lang w:eastAsia="zh-CN"/>
              </w:rPr>
              <w:t>冷柜</w:t>
            </w:r>
            <w:r>
              <w:rPr>
                <w:rFonts w:hint="eastAsia"/>
              </w:rPr>
              <w:t>中，定期由畜禽无害化资质单位清运处置，其处置满足</w:t>
            </w:r>
            <w:r>
              <w:t>HJ/T81-2001的规定</w:t>
            </w:r>
          </w:p>
        </w:tc>
        <w:tc>
          <w:tcPr>
            <w:tcW w:w="956" w:type="dxa"/>
            <w:vAlign w:val="center"/>
          </w:tcPr>
          <w:p>
            <w:pPr>
              <w:pStyle w:val="154"/>
              <w:rPr>
                <w:caps/>
              </w:rPr>
            </w:pPr>
            <w:r>
              <w:rPr>
                <w:caps/>
              </w:rPr>
              <w:t>符合</w:t>
            </w:r>
          </w:p>
        </w:tc>
      </w:tr>
    </w:tbl>
    <w:p>
      <w:pPr>
        <w:pStyle w:val="215"/>
      </w:pPr>
      <w:r>
        <w:rPr>
          <w:rFonts w:hint="eastAsia" w:eastAsiaTheme="minorEastAsia"/>
        </w:rPr>
        <w:t>综上分析可知，</w:t>
      </w:r>
      <w:r>
        <w:rPr>
          <w:rFonts w:hint="eastAsia"/>
          <w:lang w:val="zh-CN"/>
        </w:rPr>
        <w:t>本项目符合《畜禽养殖业污染治理工程技术规范》（HJ 497-2009）的相关要求</w:t>
      </w:r>
      <w:r>
        <w:rPr>
          <w:rFonts w:hint="eastAsia"/>
        </w:rPr>
        <w:t>。</w:t>
      </w:r>
    </w:p>
    <w:p>
      <w:pPr>
        <w:pStyle w:val="215"/>
        <w:ind w:firstLine="482"/>
        <w:rPr>
          <w:rFonts w:eastAsiaTheme="minorEastAsia"/>
          <w:b/>
          <w:bCs/>
        </w:rPr>
      </w:pPr>
      <w:r>
        <w:rPr>
          <w:rFonts w:hint="eastAsia" w:eastAsiaTheme="minorEastAsia"/>
          <w:b/>
          <w:bCs/>
        </w:rPr>
        <w:t>5</w:t>
      </w:r>
      <w:r>
        <w:rPr>
          <w:rFonts w:eastAsiaTheme="minorEastAsia"/>
          <w:b/>
          <w:bCs/>
        </w:rPr>
        <w:t>、</w:t>
      </w:r>
      <w:r>
        <w:rPr>
          <w:b/>
        </w:rPr>
        <w:t>与《畜禽养殖业污染防治技术规范》</w:t>
      </w:r>
      <w:r>
        <w:rPr>
          <w:b/>
          <w:bCs/>
        </w:rPr>
        <w:t>（HJ/T81-2001）</w:t>
      </w:r>
      <w:r>
        <w:rPr>
          <w:b/>
        </w:rPr>
        <w:t>符合性分析</w:t>
      </w:r>
    </w:p>
    <w:p>
      <w:pPr>
        <w:pStyle w:val="215"/>
      </w:pPr>
      <w:r>
        <w:t>本项目与《畜禽养殖业污染防治技术规范》（HJ/T81-2001）相符性分析见表1.4-4。</w:t>
      </w:r>
    </w:p>
    <w:p>
      <w:pPr>
        <w:pStyle w:val="246"/>
        <w:spacing w:beforeLines="50" w:line="240" w:lineRule="auto"/>
        <w:rPr>
          <w:rFonts w:eastAsiaTheme="minorEastAsia"/>
          <w:sz w:val="21"/>
          <w:szCs w:val="21"/>
        </w:rPr>
      </w:pPr>
      <w:r>
        <w:rPr>
          <w:rFonts w:eastAsiaTheme="minorEastAsia"/>
          <w:sz w:val="21"/>
          <w:szCs w:val="21"/>
        </w:rPr>
        <w:t>表1.4-4  项目与《畜禽养殖业污染防治技术规范》（HJ/T81-2001）的符合性分析</w:t>
      </w:r>
    </w:p>
    <w:tbl>
      <w:tblPr>
        <w:tblStyle w:val="47"/>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30"/>
        <w:gridCol w:w="4098"/>
        <w:gridCol w:w="3117"/>
        <w:gridCol w:w="90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64" w:type="pct"/>
            <w:vAlign w:val="center"/>
          </w:tcPr>
          <w:p>
            <w:pPr>
              <w:pStyle w:val="154"/>
              <w:rPr>
                <w:rFonts w:cs="Times New Roman"/>
                <w:b/>
                <w:caps/>
              </w:rPr>
            </w:pPr>
            <w:r>
              <w:rPr>
                <w:rFonts w:cs="Times New Roman"/>
                <w:b/>
                <w:caps/>
              </w:rPr>
              <w:t>规范</w:t>
            </w:r>
          </w:p>
        </w:tc>
        <w:tc>
          <w:tcPr>
            <w:tcW w:w="2290" w:type="pct"/>
            <w:vAlign w:val="center"/>
          </w:tcPr>
          <w:p>
            <w:pPr>
              <w:pStyle w:val="154"/>
              <w:rPr>
                <w:rFonts w:cs="Times New Roman"/>
                <w:b/>
                <w:caps/>
              </w:rPr>
            </w:pPr>
            <w:r>
              <w:rPr>
                <w:rFonts w:cs="Times New Roman"/>
                <w:b/>
                <w:caps/>
              </w:rPr>
              <w:t>规范要求</w:t>
            </w:r>
          </w:p>
        </w:tc>
        <w:tc>
          <w:tcPr>
            <w:tcW w:w="1742" w:type="pct"/>
            <w:vAlign w:val="center"/>
          </w:tcPr>
          <w:p>
            <w:pPr>
              <w:pStyle w:val="154"/>
              <w:rPr>
                <w:rFonts w:cs="Times New Roman"/>
                <w:b/>
                <w:caps/>
              </w:rPr>
            </w:pPr>
            <w:r>
              <w:rPr>
                <w:rFonts w:cs="Times New Roman"/>
                <w:b/>
                <w:caps/>
              </w:rPr>
              <w:t>本项目情况</w:t>
            </w:r>
          </w:p>
        </w:tc>
        <w:tc>
          <w:tcPr>
            <w:tcW w:w="504" w:type="pct"/>
            <w:vAlign w:val="center"/>
          </w:tcPr>
          <w:p>
            <w:pPr>
              <w:pStyle w:val="154"/>
              <w:rPr>
                <w:rFonts w:cs="Times New Roman"/>
                <w:b/>
                <w:caps/>
              </w:rPr>
            </w:pPr>
            <w:r>
              <w:rPr>
                <w:rFonts w:cs="Times New Roman"/>
                <w:b/>
                <w:caps/>
              </w:rPr>
              <w:t>符合性分析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64" w:type="pct"/>
            <w:vAlign w:val="center"/>
          </w:tcPr>
          <w:p>
            <w:pPr>
              <w:pStyle w:val="154"/>
              <w:rPr>
                <w:rFonts w:cs="Times New Roman"/>
                <w:caps/>
              </w:rPr>
            </w:pPr>
            <w:r>
              <w:rPr>
                <w:rFonts w:cs="Times New Roman"/>
                <w:caps/>
              </w:rPr>
              <w:t>选址要求</w:t>
            </w:r>
          </w:p>
        </w:tc>
        <w:tc>
          <w:tcPr>
            <w:tcW w:w="2290" w:type="pct"/>
            <w:vAlign w:val="center"/>
          </w:tcPr>
          <w:p>
            <w:pPr>
              <w:keepNext/>
              <w:jc w:val="center"/>
              <w:rPr>
                <w:szCs w:val="21"/>
              </w:rPr>
            </w:pPr>
            <w:r>
              <w:rPr>
                <w:szCs w:val="21"/>
              </w:rPr>
              <w:t>3.1禁止在下列区域内建设畜禽养殖场；</w:t>
            </w:r>
          </w:p>
          <w:p>
            <w:pPr>
              <w:keepNext/>
              <w:jc w:val="center"/>
              <w:rPr>
                <w:szCs w:val="21"/>
              </w:rPr>
            </w:pPr>
            <w:r>
              <w:rPr>
                <w:szCs w:val="21"/>
              </w:rPr>
              <w:t>3.1.1生活饮用水水源保护区、风景名胜区、自然保护区的核心区及缓冲区；</w:t>
            </w:r>
          </w:p>
          <w:p>
            <w:pPr>
              <w:keepNext/>
              <w:jc w:val="center"/>
              <w:rPr>
                <w:szCs w:val="21"/>
              </w:rPr>
            </w:pPr>
            <w:r>
              <w:rPr>
                <w:szCs w:val="21"/>
              </w:rPr>
              <w:t>3.1.2城市和城镇居民区。包括文教科研区、医疗区、商业区、工业区、游览区等人口集中地区；</w:t>
            </w:r>
          </w:p>
          <w:p>
            <w:pPr>
              <w:keepNext/>
              <w:jc w:val="center"/>
              <w:rPr>
                <w:szCs w:val="21"/>
              </w:rPr>
            </w:pPr>
            <w:r>
              <w:rPr>
                <w:szCs w:val="21"/>
              </w:rPr>
              <w:t>31.3县级人民政府依法划定的禁养区域；</w:t>
            </w:r>
          </w:p>
          <w:p>
            <w:pPr>
              <w:keepNext/>
              <w:jc w:val="center"/>
              <w:rPr>
                <w:szCs w:val="21"/>
              </w:rPr>
            </w:pPr>
            <w:r>
              <w:rPr>
                <w:szCs w:val="21"/>
              </w:rPr>
              <w:t>3.1.4国家或地力法律、法规规定需特殊保护的其它区域。</w:t>
            </w:r>
          </w:p>
          <w:p>
            <w:pPr>
              <w:pStyle w:val="154"/>
              <w:rPr>
                <w:rFonts w:cs="Times New Roman"/>
                <w:caps/>
              </w:rPr>
            </w:pPr>
            <w:r>
              <w:t>3.2新建、改建、扩建的畜禽养殖场选址应避开3.1规定的禁建区域。在禁建区域附近建设的，应设在3.1规定的的禁建区域常年主导风向的下风向或侧风向处，场界与禁建区域边界的最小距离不得小于500m。</w:t>
            </w:r>
          </w:p>
        </w:tc>
        <w:tc>
          <w:tcPr>
            <w:tcW w:w="1742" w:type="pct"/>
            <w:vAlign w:val="center"/>
          </w:tcPr>
          <w:p>
            <w:pPr>
              <w:pStyle w:val="154"/>
              <w:rPr>
                <w:rFonts w:cs="Times New Roman"/>
                <w:caps/>
              </w:rPr>
            </w:pPr>
            <w:r>
              <w:rPr>
                <w:rFonts w:hint="eastAsia" w:cs="Times New Roman" w:eastAsiaTheme="majorEastAsia"/>
                <w:bCs/>
                <w:kern w:val="0"/>
              </w:rPr>
              <w:t>本项目选址不处于生活饮用水水源保护区、风景名胜区、自然保护区的核心区及缓冲区、城市和城镇居民区、县级人民政府依法划定的禁养区域、国家或地力法律、法规规定需特殊保护的其它区域。</w:t>
            </w:r>
            <w:r>
              <w:rPr>
                <w:rFonts w:cs="Times New Roman" w:eastAsiaTheme="majorEastAsia"/>
                <w:bCs/>
                <w:kern w:val="0"/>
              </w:rPr>
              <w:t>项目不涉及上述禁建区，与上述禁养建区距离也大于500m</w:t>
            </w:r>
          </w:p>
        </w:tc>
        <w:tc>
          <w:tcPr>
            <w:tcW w:w="504" w:type="pct"/>
            <w:vAlign w:val="center"/>
          </w:tcPr>
          <w:p>
            <w:pPr>
              <w:pStyle w:val="154"/>
              <w:rPr>
                <w:rFonts w:cs="Times New Roman"/>
                <w:caps/>
              </w:rPr>
            </w:pPr>
            <w:r>
              <w:rPr>
                <w:rFonts w:cs="Times New Roman"/>
                <w:caps/>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64" w:type="pct"/>
            <w:vAlign w:val="center"/>
          </w:tcPr>
          <w:p>
            <w:pPr>
              <w:pStyle w:val="154"/>
              <w:rPr>
                <w:rFonts w:cs="Times New Roman"/>
                <w:caps/>
              </w:rPr>
            </w:pPr>
            <w:r>
              <w:rPr>
                <w:rFonts w:cs="Times New Roman"/>
                <w:caps/>
              </w:rPr>
              <w:t>厂区布局与清粪工艺</w:t>
            </w:r>
          </w:p>
        </w:tc>
        <w:tc>
          <w:tcPr>
            <w:tcW w:w="2290" w:type="pct"/>
            <w:vAlign w:val="center"/>
          </w:tcPr>
          <w:p>
            <w:pPr>
              <w:pStyle w:val="154"/>
              <w:rPr>
                <w:rFonts w:cs="Times New Roman"/>
                <w:caps/>
              </w:rPr>
            </w:pPr>
            <w:r>
              <w:rPr>
                <w:rFonts w:hint="eastAsia" w:cs="Times New Roman"/>
                <w:caps/>
              </w:rPr>
              <w:t>4.1</w:t>
            </w:r>
            <w:r>
              <w:rPr>
                <w:rFonts w:cs="Times New Roman"/>
                <w:caps/>
              </w:rPr>
              <w:t>新建、改建、扩建的畜禽养殖场应实现生产区、生活管理区的隔离，粪便污水处理设施畜禽尸体焚烧炉应设置在养殖场的生产区、生活管理区的常年主导风向的下风向和侧风向处</w:t>
            </w:r>
            <w:r>
              <w:t>。</w:t>
            </w:r>
          </w:p>
          <w:p>
            <w:pPr>
              <w:autoSpaceDE w:val="0"/>
              <w:autoSpaceDN w:val="0"/>
              <w:adjustRightInd w:val="0"/>
              <w:jc w:val="center"/>
              <w:rPr>
                <w:caps/>
              </w:rPr>
            </w:pPr>
            <w:r>
              <w:rPr>
                <w:rFonts w:hint="eastAsia"/>
                <w:kern w:val="0"/>
                <w:szCs w:val="21"/>
              </w:rPr>
              <w:t>4.2</w:t>
            </w:r>
            <w:r>
              <w:rPr>
                <w:kern w:val="0"/>
                <w:szCs w:val="21"/>
              </w:rPr>
              <w:t>养殖场的排水系统应实现雨水和污水收集系统分离，在场区内外设置的污水收集输送系统不得采取明沟布设</w:t>
            </w:r>
            <w:r>
              <w:rPr>
                <w:szCs w:val="21"/>
              </w:rPr>
              <w:t>。</w:t>
            </w:r>
          </w:p>
          <w:p>
            <w:pPr>
              <w:autoSpaceDE w:val="0"/>
              <w:autoSpaceDN w:val="0"/>
              <w:adjustRightInd w:val="0"/>
              <w:jc w:val="center"/>
              <w:rPr>
                <w:caps/>
              </w:rPr>
            </w:pPr>
            <w:r>
              <w:rPr>
                <w:rFonts w:hint="eastAsia"/>
                <w:kern w:val="0"/>
                <w:szCs w:val="21"/>
              </w:rPr>
              <w:t>4.3</w:t>
            </w:r>
            <w:r>
              <w:rPr>
                <w:kern w:val="0"/>
                <w:szCs w:val="21"/>
              </w:rPr>
              <w:t>新建、改建、扩建的畜禽养殖场应采取干清粪工艺，采取有效措施将粪及时、单独清出，不可与尿、污水混合排出，并将产生的粪渣及时运至贮存或处理场所，实现日产日清</w:t>
            </w:r>
            <w:r>
              <w:rPr>
                <w:szCs w:val="21"/>
              </w:rPr>
              <w:t>。采用水冲粪、水泡粪湿法清粪工艺的养殖场，要逐步改为干法清粪工艺。</w:t>
            </w:r>
          </w:p>
        </w:tc>
        <w:tc>
          <w:tcPr>
            <w:tcW w:w="1742" w:type="pct"/>
            <w:vAlign w:val="center"/>
          </w:tcPr>
          <w:p>
            <w:pPr>
              <w:pStyle w:val="154"/>
              <w:rPr>
                <w:rFonts w:cs="Times New Roman" w:eastAsiaTheme="majorEastAsia"/>
                <w:bCs/>
                <w:kern w:val="0"/>
              </w:rPr>
            </w:pPr>
            <w:r>
              <w:rPr>
                <w:rFonts w:hint="eastAsia" w:cs="Times New Roman" w:eastAsiaTheme="majorEastAsia"/>
                <w:bCs/>
                <w:kern w:val="0"/>
              </w:rPr>
              <w:t>1、本项目生产区和生活区隔离，污粪处理</w:t>
            </w:r>
            <w:r>
              <w:rPr>
                <w:rFonts w:hint="eastAsia" w:cs="Times New Roman" w:eastAsiaTheme="majorEastAsia"/>
                <w:bCs/>
                <w:kern w:val="0"/>
                <w:lang w:val="en-US" w:eastAsia="zh-CN"/>
              </w:rPr>
              <w:t>设置在养殖场生产区和生活区的</w:t>
            </w:r>
            <w:r>
              <w:rPr>
                <w:rFonts w:hint="eastAsia" w:cs="Times New Roman" w:eastAsiaTheme="majorEastAsia"/>
                <w:bCs/>
                <w:kern w:val="0"/>
              </w:rPr>
              <w:t>常年主导</w:t>
            </w:r>
            <w:r>
              <w:rPr>
                <w:rFonts w:hint="eastAsia" w:cs="Times New Roman" w:eastAsiaTheme="majorEastAsia"/>
                <w:bCs/>
                <w:kern w:val="0"/>
                <w:lang w:val="en-US" w:eastAsia="zh-CN"/>
              </w:rPr>
              <w:t>风向的</w:t>
            </w:r>
            <w:r>
              <w:rPr>
                <w:rFonts w:hint="eastAsia" w:cs="Times New Roman" w:eastAsiaTheme="majorEastAsia"/>
                <w:bCs/>
                <w:kern w:val="0"/>
              </w:rPr>
              <w:t>侧风向；</w:t>
            </w:r>
          </w:p>
          <w:p>
            <w:pPr>
              <w:pStyle w:val="154"/>
            </w:pPr>
            <w:r>
              <w:rPr>
                <w:rFonts w:hint="eastAsia" w:cs="Times New Roman" w:eastAsiaTheme="majorEastAsia"/>
                <w:bCs/>
                <w:kern w:val="0"/>
              </w:rPr>
              <w:t>2、</w:t>
            </w:r>
            <w:r>
              <w:rPr>
                <w:rFonts w:hint="eastAsia"/>
              </w:rPr>
              <w:t>养殖场采用雨污分流，污水收集措施采用暗管收集；</w:t>
            </w:r>
          </w:p>
          <w:p>
            <w:pPr>
              <w:pStyle w:val="154"/>
              <w:rPr>
                <w:rFonts w:cs="Times New Roman" w:eastAsiaTheme="majorEastAsia"/>
                <w:bCs/>
                <w:kern w:val="0"/>
              </w:rPr>
            </w:pPr>
            <w:r>
              <w:rPr>
                <w:rFonts w:hint="eastAsia"/>
              </w:rPr>
              <w:t>3、</w:t>
            </w:r>
            <w:r>
              <w:t>本项目采用干清粪工艺，日产日清</w:t>
            </w:r>
          </w:p>
        </w:tc>
        <w:tc>
          <w:tcPr>
            <w:tcW w:w="504" w:type="pct"/>
            <w:vAlign w:val="center"/>
          </w:tcPr>
          <w:p>
            <w:pPr>
              <w:pStyle w:val="154"/>
              <w:rPr>
                <w:rFonts w:cs="Times New Roman"/>
                <w:caps/>
              </w:rPr>
            </w:pPr>
            <w:r>
              <w:rPr>
                <w:rFonts w:cs="Times New Roman"/>
                <w:caps/>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64" w:type="pct"/>
            <w:vAlign w:val="center"/>
          </w:tcPr>
          <w:p>
            <w:pPr>
              <w:autoSpaceDE w:val="0"/>
              <w:autoSpaceDN w:val="0"/>
              <w:adjustRightInd w:val="0"/>
              <w:jc w:val="center"/>
              <w:rPr>
                <w:caps/>
              </w:rPr>
            </w:pPr>
            <w:r>
              <w:rPr>
                <w:kern w:val="0"/>
                <w:szCs w:val="21"/>
              </w:rPr>
              <w:t>畜禽粪便的贮</w:t>
            </w:r>
            <w:r>
              <w:rPr>
                <w:kern w:val="0"/>
              </w:rPr>
              <w:t>存</w:t>
            </w:r>
          </w:p>
        </w:tc>
        <w:tc>
          <w:tcPr>
            <w:tcW w:w="2290" w:type="pct"/>
            <w:vAlign w:val="center"/>
          </w:tcPr>
          <w:p>
            <w:pPr>
              <w:autoSpaceDE w:val="0"/>
              <w:autoSpaceDN w:val="0"/>
              <w:adjustRightInd w:val="0"/>
              <w:jc w:val="center"/>
              <w:rPr>
                <w:caps/>
              </w:rPr>
            </w:pPr>
            <w:r>
              <w:rPr>
                <w:rFonts w:hint="eastAsia"/>
                <w:kern w:val="0"/>
                <w:szCs w:val="21"/>
              </w:rPr>
              <w:t>5.1</w:t>
            </w:r>
            <w:r>
              <w:rPr>
                <w:kern w:val="0"/>
                <w:szCs w:val="21"/>
              </w:rPr>
              <w:t>畜禽养殖场产生的畜禽粪便应设置专门的贮存设施，其恶臭及污染物排放应符合《畜禽养殖业污染物排放标准》。</w:t>
            </w:r>
          </w:p>
          <w:p>
            <w:pPr>
              <w:autoSpaceDE w:val="0"/>
              <w:autoSpaceDN w:val="0"/>
              <w:adjustRightInd w:val="0"/>
              <w:jc w:val="center"/>
              <w:rPr>
                <w:kern w:val="0"/>
                <w:szCs w:val="21"/>
              </w:rPr>
            </w:pPr>
            <w:r>
              <w:rPr>
                <w:rFonts w:hint="eastAsia"/>
                <w:kern w:val="0"/>
                <w:szCs w:val="21"/>
              </w:rPr>
              <w:t>5.2</w:t>
            </w:r>
            <w:r>
              <w:rPr>
                <w:kern w:val="0"/>
                <w:szCs w:val="21"/>
              </w:rPr>
              <w:t>贮存设施的位置必须远离各功能地表水体（距离不得小于400m），并应设置在养殖场生产、生活管理区的常年主导风向的下风向或侧风向。</w:t>
            </w:r>
          </w:p>
          <w:p>
            <w:pPr>
              <w:autoSpaceDE w:val="0"/>
              <w:autoSpaceDN w:val="0"/>
              <w:adjustRightInd w:val="0"/>
              <w:jc w:val="center"/>
              <w:rPr>
                <w:kern w:val="0"/>
                <w:szCs w:val="21"/>
              </w:rPr>
            </w:pPr>
            <w:r>
              <w:rPr>
                <w:rFonts w:hint="eastAsia"/>
                <w:kern w:val="0"/>
                <w:szCs w:val="21"/>
              </w:rPr>
              <w:t>5.3</w:t>
            </w:r>
            <w:r>
              <w:rPr>
                <w:kern w:val="0"/>
                <w:szCs w:val="21"/>
              </w:rPr>
              <w:t>贮存设施应采取有效的防渗处理工艺，防止畜禽粪便污染地下水</w:t>
            </w:r>
            <w:r>
              <w:rPr>
                <w:rFonts w:hint="eastAsia"/>
                <w:kern w:val="0"/>
                <w:szCs w:val="21"/>
              </w:rPr>
              <w:t>。</w:t>
            </w:r>
          </w:p>
          <w:p>
            <w:pPr>
              <w:autoSpaceDE w:val="0"/>
              <w:autoSpaceDN w:val="0"/>
              <w:adjustRightInd w:val="0"/>
              <w:jc w:val="center"/>
              <w:rPr>
                <w:kern w:val="0"/>
                <w:szCs w:val="21"/>
              </w:rPr>
            </w:pPr>
            <w:r>
              <w:rPr>
                <w:rFonts w:hint="eastAsia"/>
                <w:kern w:val="0"/>
                <w:szCs w:val="21"/>
              </w:rPr>
              <w:t>5.4对于种养结合的养殖场，畜禽粪便贮存设施的总容积不得低于当地农林作物生产用肥的最大间隔时间内本养殖场所产生粪便的总量。</w:t>
            </w:r>
          </w:p>
          <w:p>
            <w:pPr>
              <w:autoSpaceDE w:val="0"/>
              <w:autoSpaceDN w:val="0"/>
              <w:adjustRightInd w:val="0"/>
              <w:jc w:val="center"/>
              <w:rPr>
                <w:caps/>
              </w:rPr>
            </w:pPr>
            <w:r>
              <w:rPr>
                <w:rFonts w:hint="eastAsia"/>
                <w:kern w:val="0"/>
                <w:szCs w:val="21"/>
              </w:rPr>
              <w:t>55贮存设施应采取设置顶盖等防止降雨（水）进入的措施。</w:t>
            </w:r>
          </w:p>
        </w:tc>
        <w:tc>
          <w:tcPr>
            <w:tcW w:w="1742" w:type="pct"/>
            <w:vAlign w:val="center"/>
          </w:tcPr>
          <w:p>
            <w:pPr>
              <w:autoSpaceDE w:val="0"/>
              <w:autoSpaceDN w:val="0"/>
              <w:adjustRightInd w:val="0"/>
              <w:jc w:val="center"/>
              <w:rPr>
                <w:caps/>
              </w:rPr>
            </w:pPr>
            <w:r>
              <w:rPr>
                <w:rFonts w:hint="eastAsia"/>
                <w:color w:val="000000"/>
                <w:lang w:val="en-US" w:eastAsia="zh-CN"/>
              </w:rPr>
              <w:t>项目</w:t>
            </w:r>
            <w:r>
              <w:rPr>
                <w:rFonts w:hint="eastAsia"/>
                <w:color w:val="000000"/>
              </w:rPr>
              <w:t>鸡粪采用自动干清粪清掏排出鸡舍后，</w:t>
            </w:r>
            <w:r>
              <w:rPr>
                <w:rFonts w:hint="eastAsia"/>
                <w:bCs/>
                <w:szCs w:val="24"/>
                <w:lang w:val="en-US" w:eastAsia="zh-CN"/>
              </w:rPr>
              <w:t>部分</w:t>
            </w:r>
            <w:r>
              <w:rPr>
                <w:rFonts w:hint="eastAsia"/>
                <w:color w:val="000000"/>
              </w:rPr>
              <w:t>直接拉走</w:t>
            </w:r>
            <w:r>
              <w:rPr>
                <w:rFonts w:hint="eastAsia"/>
                <w:bCs/>
                <w:szCs w:val="24"/>
                <w:lang w:val="en-US" w:eastAsia="zh-CN"/>
              </w:rPr>
              <w:t>依托</w:t>
            </w:r>
            <w:r>
              <w:rPr>
                <w:rFonts w:hint="eastAsia"/>
              </w:rPr>
              <w:t>台源</w:t>
            </w:r>
            <w:r>
              <w:rPr>
                <w:rFonts w:hint="eastAsia"/>
                <w:bCs/>
              </w:rPr>
              <w:t>蛋鸡养殖</w:t>
            </w:r>
            <w:r>
              <w:rPr>
                <w:rFonts w:hint="eastAsia"/>
                <w:bCs/>
                <w:lang w:val="en-US" w:eastAsia="zh-CN"/>
              </w:rPr>
              <w:t>一场</w:t>
            </w:r>
            <w:r>
              <w:rPr>
                <w:rFonts w:hint="eastAsia"/>
                <w:szCs w:val="21"/>
              </w:rPr>
              <w:t>好氧发酵罐</w:t>
            </w:r>
            <w:r>
              <w:rPr>
                <w:rFonts w:hint="eastAsia"/>
                <w:szCs w:val="21"/>
                <w:lang w:val="en-US" w:eastAsia="zh-CN"/>
              </w:rPr>
              <w:t>制有机肥；剩余部分则</w:t>
            </w:r>
            <w:r>
              <w:rPr>
                <w:rFonts w:hint="eastAsia"/>
                <w:color w:val="000000"/>
              </w:rPr>
              <w:t>直接拉走</w:t>
            </w:r>
            <w:r>
              <w:rPr>
                <w:rFonts w:hint="eastAsia"/>
                <w:szCs w:val="21"/>
                <w:lang w:val="en-US" w:eastAsia="zh-CN"/>
              </w:rPr>
              <w:t>外售衡阳县沛科生态科技有限责任公司制有机肥</w:t>
            </w:r>
            <w:r>
              <w:rPr>
                <w:rFonts w:hint="eastAsia"/>
                <w:color w:val="000000"/>
                <w:lang w:eastAsia="zh-CN"/>
              </w:rPr>
              <w:t>，</w:t>
            </w:r>
            <w:r>
              <w:rPr>
                <w:rFonts w:hint="eastAsia"/>
                <w:color w:val="000000"/>
              </w:rPr>
              <w:t>在</w:t>
            </w:r>
            <w:r>
              <w:rPr>
                <w:rFonts w:hint="eastAsia"/>
                <w:szCs w:val="21"/>
                <w:lang w:val="en-US" w:eastAsia="zh-CN"/>
              </w:rPr>
              <w:t>衡阳县沛科生态科技有限责任公司</w:t>
            </w:r>
            <w:r>
              <w:rPr>
                <w:rFonts w:hint="eastAsia"/>
                <w:color w:val="000000"/>
              </w:rPr>
              <w:t>进行发酵预处理，不在本厂区进行预处理，在鸡粪收集室内堆存时间很短</w:t>
            </w:r>
          </w:p>
        </w:tc>
        <w:tc>
          <w:tcPr>
            <w:tcW w:w="504" w:type="pct"/>
            <w:vAlign w:val="center"/>
          </w:tcPr>
          <w:p>
            <w:pPr>
              <w:pStyle w:val="154"/>
              <w:rPr>
                <w:rFonts w:cs="Times New Roman"/>
                <w:caps/>
              </w:rPr>
            </w:pPr>
            <w:r>
              <w:rPr>
                <w:rFonts w:cs="Times New Roman"/>
                <w:caps/>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trPr>
        <w:tc>
          <w:tcPr>
            <w:tcW w:w="464" w:type="pct"/>
            <w:vAlign w:val="center"/>
          </w:tcPr>
          <w:p>
            <w:pPr>
              <w:pStyle w:val="154"/>
              <w:rPr>
                <w:rFonts w:cs="Times New Roman"/>
                <w:caps/>
              </w:rPr>
            </w:pPr>
            <w:r>
              <w:rPr>
                <w:rFonts w:cs="Times New Roman"/>
                <w:caps/>
              </w:rPr>
              <w:t>污水处理</w:t>
            </w:r>
          </w:p>
        </w:tc>
        <w:tc>
          <w:tcPr>
            <w:tcW w:w="2290" w:type="pct"/>
            <w:vAlign w:val="center"/>
          </w:tcPr>
          <w:p>
            <w:pPr>
              <w:keepNext/>
              <w:jc w:val="center"/>
              <w:rPr>
                <w:szCs w:val="21"/>
              </w:rPr>
            </w:pPr>
            <w:r>
              <w:rPr>
                <w:szCs w:val="21"/>
              </w:rPr>
              <w:t>6.1畜禽养殖过程中产生的污水应坚持种养结合的原则，经无害化处理后应尽量充分还田，实现污水资源化利用。</w:t>
            </w:r>
          </w:p>
          <w:p>
            <w:pPr>
              <w:keepNext/>
              <w:jc w:val="center"/>
              <w:rPr>
                <w:szCs w:val="21"/>
              </w:rPr>
            </w:pPr>
            <w:r>
              <w:rPr>
                <w:szCs w:val="21"/>
              </w:rPr>
              <w:t>6.2畜禽污水经治理后向环境中排放，应符合《畜禽养殖业污染物排放标准》的规定，有地方排放标准的应执行地方排放标准。污旱作为灌溉用水排入农田前，必须采取有效措施进行净化处理（包括机械的、物理的、化学的和生物学的），并须符合《农田灌溉水质标准》（GB5084-92）的要求。6.2.1在畜禽养殖场与还田利用的农田之间应建立有效的污水输送网络。通过车载或管道形式将处理（置）后的污水输送至农田，要加强管理，严格控制污水输送沿途的弃、撒和跑、冒、滴、漏。6.2.2畜禽养殖场污水排入农田前必须进行侦处理（采用格棚、厌氧、沉淀等工艺流程）。并应配套设置田间储存池，以解决农田在非施肥期间的污水出路问题，田间储存池的总容积不得低于当地农林作物生产用肥的应大间隔时间内畜禽养殖场排放污水的总量。</w:t>
            </w:r>
          </w:p>
          <w:p>
            <w:pPr>
              <w:keepNext/>
              <w:jc w:val="center"/>
              <w:rPr>
                <w:szCs w:val="21"/>
              </w:rPr>
            </w:pPr>
            <w:r>
              <w:rPr>
                <w:szCs w:val="21"/>
              </w:rPr>
              <w:t>6.3对没有充足土地悄纳污水的畜禽养殖场，可根据当地实际情况选用下列综合利用措施：63.1经过生物发酵后，可浓缩制成商品液体有机肥料。6.3.2进行沼气发酵，对沼渣、沼液应尽可能实现综合利用、同时要避免产生新的污染。沼渣及时清运至粪便贮存场所；沼液尽可能进行还田利用，不能还田利用并需外排的要进行进一步净化处理。达到排放标准。沼气发酵产物应符合《粪便无害化卫生标准》(GB7959-87)。6.3.3制取其它生物能源或进行其它类型的资源回收综合利用。要避免二次污染．并应它符合《畜禽养殖业污染物排放标准》的规定。</w:t>
            </w:r>
          </w:p>
          <w:p>
            <w:pPr>
              <w:keepNext/>
              <w:jc w:val="center"/>
              <w:rPr>
                <w:szCs w:val="21"/>
              </w:rPr>
            </w:pPr>
            <w:r>
              <w:rPr>
                <w:szCs w:val="21"/>
              </w:rPr>
              <w:t>6.4污水的净化处理应根据养殖种类养殖规模、清粪方式和当无的自然之理条件。选择合理、适用的污水净化处理工艺和技术路线。尽可能采用自然生物处理的方法。达到回用标准或排放标准。</w:t>
            </w:r>
          </w:p>
          <w:p>
            <w:pPr>
              <w:autoSpaceDE w:val="0"/>
              <w:autoSpaceDN w:val="0"/>
              <w:adjustRightInd w:val="0"/>
              <w:jc w:val="center"/>
              <w:rPr>
                <w:caps/>
              </w:rPr>
            </w:pPr>
            <w:r>
              <w:rPr>
                <w:szCs w:val="21"/>
              </w:rPr>
              <w:t>6</w:t>
            </w:r>
            <w:r>
              <w:rPr>
                <w:rFonts w:hint="eastAsia"/>
                <w:szCs w:val="21"/>
              </w:rPr>
              <w:t>.</w:t>
            </w:r>
            <w:r>
              <w:rPr>
                <w:szCs w:val="21"/>
              </w:rPr>
              <w:t>5污水的消毒处理提倡采用非氯化的消毒措施，要注意防止产生二次污染物</w:t>
            </w:r>
            <w:r>
              <w:rPr>
                <w:kern w:val="0"/>
                <w:szCs w:val="21"/>
              </w:rPr>
              <w:t>。</w:t>
            </w:r>
          </w:p>
        </w:tc>
        <w:tc>
          <w:tcPr>
            <w:tcW w:w="1742" w:type="pct"/>
            <w:vAlign w:val="center"/>
          </w:tcPr>
          <w:p>
            <w:pPr>
              <w:pStyle w:val="154"/>
              <w:rPr>
                <w:rFonts w:cs="Times New Roman"/>
                <w:caps/>
              </w:rPr>
            </w:pPr>
            <w:r>
              <w:rPr>
                <w:rFonts w:hint="eastAsia" w:cs="Times New Roman"/>
                <w:caps/>
              </w:rPr>
              <w:t>本项目采用种养结合模式，</w:t>
            </w:r>
            <w:r>
              <w:rPr>
                <w:rFonts w:hint="eastAsia" w:cs="Times New Roman"/>
                <w:caps/>
                <w:lang w:eastAsia="zh-CN"/>
              </w:rPr>
              <w:t>废水经污水处理站处理后用于种植基地灌溉，不外排；</w:t>
            </w:r>
            <w:r>
              <w:rPr>
                <w:rFonts w:hint="eastAsia"/>
                <w:color w:val="000000"/>
              </w:rPr>
              <w:t>鸡粪采用自动干清粪清掏排出鸡舍后，</w:t>
            </w:r>
            <w:r>
              <w:rPr>
                <w:rFonts w:hint="eastAsia"/>
                <w:bCs/>
                <w:szCs w:val="24"/>
                <w:lang w:val="en-US" w:eastAsia="zh-CN"/>
              </w:rPr>
              <w:t>部分</w:t>
            </w:r>
            <w:r>
              <w:rPr>
                <w:rFonts w:hint="eastAsia"/>
                <w:color w:val="000000"/>
              </w:rPr>
              <w:t>直接拉走</w:t>
            </w:r>
            <w:r>
              <w:rPr>
                <w:rFonts w:hint="eastAsia"/>
                <w:bCs/>
                <w:szCs w:val="24"/>
                <w:lang w:val="en-US" w:eastAsia="zh-CN"/>
              </w:rPr>
              <w:t>依托</w:t>
            </w:r>
            <w:r>
              <w:rPr>
                <w:rFonts w:hint="eastAsia"/>
              </w:rPr>
              <w:t>台源</w:t>
            </w:r>
            <w:r>
              <w:rPr>
                <w:rFonts w:hint="eastAsia"/>
                <w:bCs/>
              </w:rPr>
              <w:t>蛋鸡养殖</w:t>
            </w:r>
            <w:r>
              <w:rPr>
                <w:rFonts w:hint="eastAsia"/>
                <w:bCs/>
                <w:lang w:val="en-US" w:eastAsia="zh-CN"/>
              </w:rPr>
              <w:t>一场</w:t>
            </w:r>
            <w:r>
              <w:rPr>
                <w:rFonts w:hint="eastAsia"/>
                <w:szCs w:val="21"/>
              </w:rPr>
              <w:t>好氧发酵罐</w:t>
            </w:r>
            <w:r>
              <w:rPr>
                <w:rFonts w:hint="eastAsia"/>
                <w:szCs w:val="21"/>
                <w:lang w:val="en-US" w:eastAsia="zh-CN"/>
              </w:rPr>
              <w:t>制有机肥；剩余部分则</w:t>
            </w:r>
            <w:r>
              <w:rPr>
                <w:rFonts w:hint="eastAsia"/>
                <w:color w:val="000000"/>
              </w:rPr>
              <w:t>直接拉走</w:t>
            </w:r>
            <w:r>
              <w:rPr>
                <w:rFonts w:hint="eastAsia"/>
                <w:szCs w:val="21"/>
                <w:lang w:val="en-US" w:eastAsia="zh-CN"/>
              </w:rPr>
              <w:t>外售衡阳县沛科生态科技有限责任公司制有机肥</w:t>
            </w:r>
            <w:r>
              <w:rPr>
                <w:rFonts w:hint="eastAsia"/>
                <w:color w:val="000000"/>
                <w:lang w:eastAsia="zh-CN"/>
              </w:rPr>
              <w:t>，</w:t>
            </w:r>
            <w:r>
              <w:rPr>
                <w:rFonts w:hint="eastAsia"/>
                <w:color w:val="000000"/>
              </w:rPr>
              <w:t>在</w:t>
            </w:r>
            <w:r>
              <w:rPr>
                <w:rFonts w:hint="eastAsia"/>
                <w:szCs w:val="21"/>
                <w:lang w:val="en-US" w:eastAsia="zh-CN"/>
              </w:rPr>
              <w:t>衡阳县沛科生态科技有限责任公司</w:t>
            </w:r>
            <w:r>
              <w:rPr>
                <w:rFonts w:hint="eastAsia"/>
                <w:color w:val="000000"/>
              </w:rPr>
              <w:t>进行发酵预处理，不在本厂区进行预处理，在鸡粪收集室内堆存时间很短</w:t>
            </w:r>
            <w:r>
              <w:rPr>
                <w:rFonts w:hint="eastAsia" w:cs="Times New Roman"/>
                <w:caps/>
              </w:rPr>
              <w:t>。期间会定期查看管道，防治出现跑冒滴漏的现象。本项目采用干清粪方式，污水处理工艺符合相关要求不易产生二次污染物。6.3、6.5本项目不涉及</w:t>
            </w:r>
          </w:p>
        </w:tc>
        <w:tc>
          <w:tcPr>
            <w:tcW w:w="504" w:type="pct"/>
            <w:vAlign w:val="center"/>
          </w:tcPr>
          <w:p>
            <w:pPr>
              <w:pStyle w:val="154"/>
              <w:rPr>
                <w:rFonts w:cs="Times New Roman"/>
                <w:caps/>
              </w:rPr>
            </w:pPr>
            <w:r>
              <w:rPr>
                <w:rFonts w:cs="Times New Roman"/>
                <w:caps/>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64" w:type="pct"/>
            <w:vAlign w:val="center"/>
          </w:tcPr>
          <w:p>
            <w:pPr>
              <w:pStyle w:val="154"/>
              <w:rPr>
                <w:rFonts w:cs="Times New Roman"/>
                <w:caps/>
              </w:rPr>
            </w:pPr>
            <w:r>
              <w:rPr>
                <w:rFonts w:cs="Times New Roman"/>
                <w:caps/>
              </w:rPr>
              <w:t>固体粪肥的处理利用</w:t>
            </w:r>
          </w:p>
        </w:tc>
        <w:tc>
          <w:tcPr>
            <w:tcW w:w="2290" w:type="pct"/>
            <w:vAlign w:val="center"/>
          </w:tcPr>
          <w:p>
            <w:pPr>
              <w:keepNext/>
              <w:jc w:val="center"/>
              <w:rPr>
                <w:szCs w:val="21"/>
              </w:rPr>
            </w:pPr>
            <w:r>
              <w:rPr>
                <w:kern w:val="0"/>
                <w:szCs w:val="21"/>
              </w:rPr>
              <w:t>畜禽粪便必须经无害化处理，并且必须符合《粪便无害化卫生标准》后，才能进行土地利用，禁止未经处理的畜禽粪便直接</w:t>
            </w:r>
            <w:r>
              <w:rPr>
                <w:szCs w:val="21"/>
              </w:rPr>
              <w:t>7.1土地利用7.1.1畜禽粪便必须经过无害化处理，并且须符合《粪便无害化卫生标准》后，才能进行土地利用。禁止未经处理的畜禽粪便直接拖入农田。7.1.2经过处理的粪肥作为土地的肥料或土壤调节剂来满足作物生长的需要，其用量不能超过作物当年生长所需养分的需求量。在确定粪肥的最佳使用量时需要对土壤肥力和类肥肥效进行测试评价，井应符合当地环境容散的要求。7.1.3对环降雨区、坡地及沙质容易产生径流和渗透性较强的土壤，不适宜施用粪肥或粪肥使用量过高易使粪肥流失引起地表水或地下水污染时，应禁止或暂停使用粪肥。</w:t>
            </w:r>
          </w:p>
          <w:p>
            <w:pPr>
              <w:autoSpaceDE w:val="0"/>
              <w:autoSpaceDN w:val="0"/>
              <w:adjustRightInd w:val="0"/>
              <w:jc w:val="center"/>
              <w:rPr>
                <w:kern w:val="0"/>
                <w:szCs w:val="21"/>
              </w:rPr>
            </w:pPr>
            <w:r>
              <w:rPr>
                <w:szCs w:val="21"/>
              </w:rPr>
              <w:t>7.2对没有充足土地消纳利用粪肥的大中型畜禽养殖场和养殖小区，应建立集中处理市禽粪便的有机肥厂或处理（置）机制。7.2.1固体粪肥的堆制可采用高温好氧发酵或其它适用技术和方法，以杀死其中的病原菌和蛔虫卵。缩短知堆制时间，实现无害化。7.2.2高温好氧堆制法分自然堆制发酵法和机械强化发酵法，根据市场的具体情况选用</w:t>
            </w:r>
            <w:r>
              <w:rPr>
                <w:kern w:val="0"/>
                <w:szCs w:val="21"/>
              </w:rPr>
              <w:t>施入农田</w:t>
            </w:r>
          </w:p>
        </w:tc>
        <w:tc>
          <w:tcPr>
            <w:tcW w:w="1742" w:type="pct"/>
            <w:vAlign w:val="center"/>
          </w:tcPr>
          <w:p>
            <w:pPr>
              <w:pStyle w:val="146"/>
              <w:jc w:val="center"/>
              <w:rPr>
                <w:rFonts w:hint="default" w:ascii="Times New Roman" w:cs="Times New Roman"/>
                <w:color w:val="auto"/>
                <w:sz w:val="21"/>
                <w:szCs w:val="21"/>
                <w:lang w:val="en-US"/>
              </w:rPr>
            </w:pPr>
            <w:r>
              <w:rPr>
                <w:rFonts w:ascii="Times New Roman" w:hAnsi="Times New Roman" w:eastAsia="宋体" w:cs="Times New Roman"/>
                <w:color w:val="auto"/>
                <w:kern w:val="0"/>
                <w:sz w:val="21"/>
                <w:szCs w:val="21"/>
                <w:lang w:val="en-US" w:eastAsia="zh-CN" w:bidi="ar-SA"/>
              </w:rPr>
              <w:t>本项目</w:t>
            </w:r>
            <w:r>
              <w:rPr>
                <w:rFonts w:hint="eastAsia" w:ascii="Times New Roman" w:hAnsi="Times New Roman" w:eastAsia="宋体" w:cs="Times New Roman"/>
                <w:color w:val="auto"/>
                <w:kern w:val="0"/>
                <w:sz w:val="21"/>
                <w:szCs w:val="21"/>
                <w:lang w:val="en-US" w:eastAsia="zh-CN" w:bidi="ar-SA"/>
              </w:rPr>
              <w:t>鸡粪采用自动干清粪清掏排出鸡舍后，部分直接拉走依托台源蛋鸡养殖一场好氧发酵罐制有机肥；剩余部分则直接拉走外售衡阳县沛科生态科技有限责任公司制有机肥，在衡阳县沛科生态科技有限责任公司进行发酵预处理，不在本厂区进行预处理，在鸡粪收集室内堆存时间很短</w:t>
            </w:r>
            <w:r>
              <w:rPr>
                <w:rFonts w:hint="eastAsia" w:ascii="Times New Roman" w:eastAsia="宋体" w:cs="Times New Roman"/>
                <w:color w:val="auto"/>
                <w:kern w:val="0"/>
                <w:sz w:val="21"/>
                <w:szCs w:val="21"/>
                <w:lang w:val="en-US" w:eastAsia="zh-CN" w:bidi="ar-SA"/>
              </w:rPr>
              <w:t>。鸡粪无害化处置后符合《粪便无害化卫生标准》</w:t>
            </w:r>
          </w:p>
        </w:tc>
        <w:tc>
          <w:tcPr>
            <w:tcW w:w="504" w:type="pct"/>
            <w:vAlign w:val="center"/>
          </w:tcPr>
          <w:p>
            <w:pPr>
              <w:pStyle w:val="154"/>
              <w:rPr>
                <w:rFonts w:cs="Times New Roman"/>
                <w:caps/>
              </w:rPr>
            </w:pPr>
            <w:r>
              <w:rPr>
                <w:rFonts w:cs="Times New Roman"/>
                <w:caps/>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64" w:type="pct"/>
            <w:vAlign w:val="center"/>
          </w:tcPr>
          <w:p>
            <w:pPr>
              <w:autoSpaceDE w:val="0"/>
              <w:autoSpaceDN w:val="0"/>
              <w:adjustRightInd w:val="0"/>
              <w:jc w:val="center"/>
              <w:rPr>
                <w:caps/>
              </w:rPr>
            </w:pPr>
            <w:r>
              <w:rPr>
                <w:kern w:val="0"/>
                <w:szCs w:val="21"/>
              </w:rPr>
              <w:t>饲料和饲养管</w:t>
            </w:r>
            <w:r>
              <w:rPr>
                <w:kern w:val="0"/>
              </w:rPr>
              <w:t>理</w:t>
            </w:r>
          </w:p>
        </w:tc>
        <w:tc>
          <w:tcPr>
            <w:tcW w:w="2290" w:type="pct"/>
            <w:vAlign w:val="center"/>
          </w:tcPr>
          <w:p>
            <w:pPr>
              <w:keepNext/>
              <w:jc w:val="center"/>
              <w:rPr>
                <w:szCs w:val="21"/>
              </w:rPr>
            </w:pPr>
            <w:r>
              <w:rPr>
                <w:szCs w:val="21"/>
              </w:rPr>
              <w:t>8.1畜禽养殖饲料应采用合理配方，如理想蛋白质体系配力等，提高蛋白质及其它营养的吸收效率，减少氮的排放量和粪的产生量。</w:t>
            </w:r>
          </w:p>
          <w:p>
            <w:pPr>
              <w:keepNext/>
              <w:jc w:val="center"/>
              <w:rPr>
                <w:szCs w:val="21"/>
              </w:rPr>
            </w:pPr>
            <w:r>
              <w:rPr>
                <w:szCs w:val="21"/>
              </w:rPr>
              <w:t>8.2提倡使用微生物制剂、酶制剂和植物提取液等活性物质，减少污染物排放和恶臭气体的产生。</w:t>
            </w:r>
          </w:p>
          <w:p>
            <w:pPr>
              <w:autoSpaceDE w:val="0"/>
              <w:autoSpaceDN w:val="0"/>
              <w:adjustRightInd w:val="0"/>
              <w:jc w:val="center"/>
              <w:rPr>
                <w:kern w:val="0"/>
                <w:szCs w:val="21"/>
              </w:rPr>
            </w:pPr>
            <w:r>
              <w:rPr>
                <w:szCs w:val="21"/>
              </w:rPr>
              <w:t>8.3养殖场场区、畜禽舍、器械等消毒应采用环境友好的消毒剂和消需措施（包括紫外、臭氧、双氧水等方法），防止产生氯代有机物及其它的二次污染物</w:t>
            </w:r>
          </w:p>
        </w:tc>
        <w:tc>
          <w:tcPr>
            <w:tcW w:w="1742" w:type="pct"/>
            <w:vAlign w:val="center"/>
          </w:tcPr>
          <w:p>
            <w:pPr>
              <w:pStyle w:val="146"/>
              <w:jc w:val="center"/>
              <w:rPr>
                <w:rFonts w:ascii="Times New Roman" w:eastAsia="宋体" w:cs="Times New Roman"/>
                <w:caps/>
                <w:color w:val="auto"/>
                <w:kern w:val="2"/>
                <w:sz w:val="21"/>
                <w:szCs w:val="21"/>
              </w:rPr>
            </w:pPr>
            <w:r>
              <w:rPr>
                <w:rFonts w:hint="eastAsia" w:ascii="Times New Roman" w:eastAsia="宋体" w:cs="Times New Roman"/>
                <w:caps/>
                <w:color w:val="auto"/>
                <w:kern w:val="2"/>
                <w:sz w:val="21"/>
                <w:szCs w:val="21"/>
              </w:rPr>
              <w:t>本项目采用配置饲料，减少恶臭气体排放、氮排放和鸡粪产生量等。本项目消毒采用聚维酮碘溶液、稀戊二醛溶液消毒，无氯代有机物及其它二次污染。</w:t>
            </w:r>
          </w:p>
        </w:tc>
        <w:tc>
          <w:tcPr>
            <w:tcW w:w="504" w:type="pct"/>
            <w:vAlign w:val="center"/>
          </w:tcPr>
          <w:p>
            <w:pPr>
              <w:pStyle w:val="154"/>
              <w:rPr>
                <w:rFonts w:cs="Times New Roman"/>
                <w:caps/>
              </w:rPr>
            </w:pPr>
            <w:r>
              <w:rPr>
                <w:rFonts w:cs="Times New Roman"/>
                <w:caps/>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trPr>
        <w:tc>
          <w:tcPr>
            <w:tcW w:w="464" w:type="pct"/>
            <w:vAlign w:val="center"/>
          </w:tcPr>
          <w:p>
            <w:pPr>
              <w:autoSpaceDE w:val="0"/>
              <w:autoSpaceDN w:val="0"/>
              <w:adjustRightInd w:val="0"/>
              <w:jc w:val="center"/>
              <w:rPr>
                <w:kern w:val="0"/>
                <w:szCs w:val="21"/>
              </w:rPr>
            </w:pPr>
            <w:r>
              <w:rPr>
                <w:kern w:val="0"/>
                <w:szCs w:val="21"/>
              </w:rPr>
              <w:t>病死畜禽尸体的处理与处置</w:t>
            </w:r>
          </w:p>
        </w:tc>
        <w:tc>
          <w:tcPr>
            <w:tcW w:w="2290" w:type="pct"/>
            <w:vAlign w:val="center"/>
          </w:tcPr>
          <w:p>
            <w:pPr>
              <w:keepNext/>
              <w:jc w:val="center"/>
              <w:rPr>
                <w:szCs w:val="21"/>
              </w:rPr>
            </w:pPr>
            <w:r>
              <w:rPr>
                <w:szCs w:val="21"/>
              </w:rPr>
              <w:t>9.1病死畜禽尸体要及时处理，严禁随意丢弃，严禁出售或作为饲料再利用。</w:t>
            </w:r>
          </w:p>
          <w:p>
            <w:pPr>
              <w:keepNext/>
              <w:jc w:val="center"/>
              <w:rPr>
                <w:szCs w:val="21"/>
              </w:rPr>
            </w:pPr>
            <w:r>
              <w:rPr>
                <w:szCs w:val="21"/>
              </w:rPr>
              <w:t>9.2病死畜禽尸体处理应采用焚烧炉焚烧的方法。在养殖场比较集中的地区，应集中设置焚烧设施。同时焚烧产生的烟气应采取有效的净化措施。防止烟尘、一氧化碳、恶臭等对周围大气环境的污染。</w:t>
            </w:r>
          </w:p>
          <w:p>
            <w:pPr>
              <w:autoSpaceDE w:val="0"/>
              <w:autoSpaceDN w:val="0"/>
              <w:adjustRightInd w:val="0"/>
              <w:jc w:val="center"/>
              <w:rPr>
                <w:kern w:val="0"/>
                <w:szCs w:val="21"/>
              </w:rPr>
            </w:pPr>
            <w:r>
              <w:rPr>
                <w:szCs w:val="21"/>
              </w:rPr>
              <w:t>9.3不具备焚烧条件的养殖场应设置两个以上安全填埋井，填埋井应为混凝土结构，探度大于2m，直径1m，井口加盖密封。进行填埋时，在每次投入畜禽尸体后，应覆盖一层厚度大于10cm的熟石灰。井填满后，须用粘土坟埋压实并封口。</w:t>
            </w:r>
          </w:p>
        </w:tc>
        <w:tc>
          <w:tcPr>
            <w:tcW w:w="1742" w:type="pct"/>
            <w:vAlign w:val="center"/>
          </w:tcPr>
          <w:p>
            <w:pPr>
              <w:pStyle w:val="146"/>
              <w:jc w:val="center"/>
              <w:rPr>
                <w:rFonts w:ascii="Times New Roman" w:eastAsia="宋体" w:cs="Times New Roman"/>
                <w:caps/>
                <w:color w:val="auto"/>
                <w:kern w:val="2"/>
                <w:sz w:val="21"/>
                <w:szCs w:val="21"/>
              </w:rPr>
            </w:pPr>
            <w:r>
              <w:rPr>
                <w:rFonts w:hint="eastAsia" w:ascii="Times New Roman" w:eastAsia="宋体" w:cs="Times New Roman"/>
                <w:caps/>
                <w:color w:val="auto"/>
                <w:kern w:val="2"/>
                <w:sz w:val="21"/>
                <w:szCs w:val="21"/>
              </w:rPr>
              <w:t>本项目病死鸡经收集后暂存于</w:t>
            </w:r>
            <w:r>
              <w:rPr>
                <w:rFonts w:hint="eastAsia" w:ascii="Times New Roman" w:eastAsia="宋体" w:cs="Times New Roman"/>
                <w:caps/>
                <w:color w:val="auto"/>
                <w:kern w:val="2"/>
                <w:sz w:val="21"/>
                <w:szCs w:val="21"/>
                <w:lang w:eastAsia="zh-CN"/>
              </w:rPr>
              <w:t>冷柜</w:t>
            </w:r>
            <w:r>
              <w:rPr>
                <w:rFonts w:hint="eastAsia" w:ascii="Times New Roman" w:eastAsia="宋体" w:cs="Times New Roman"/>
                <w:caps/>
                <w:color w:val="auto"/>
                <w:kern w:val="2"/>
                <w:sz w:val="21"/>
                <w:szCs w:val="21"/>
              </w:rPr>
              <w:t>中，定期由畜禽无害化资质单位清运处置</w:t>
            </w:r>
          </w:p>
        </w:tc>
        <w:tc>
          <w:tcPr>
            <w:tcW w:w="504" w:type="pct"/>
            <w:vAlign w:val="center"/>
          </w:tcPr>
          <w:p>
            <w:pPr>
              <w:pStyle w:val="154"/>
              <w:rPr>
                <w:rFonts w:cs="Times New Roman"/>
                <w:caps/>
              </w:rPr>
            </w:pPr>
            <w:r>
              <w:rPr>
                <w:rFonts w:cs="Times New Roman"/>
                <w:caps/>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64" w:type="pct"/>
            <w:vAlign w:val="center"/>
          </w:tcPr>
          <w:p>
            <w:pPr>
              <w:autoSpaceDE w:val="0"/>
              <w:autoSpaceDN w:val="0"/>
              <w:adjustRightInd w:val="0"/>
              <w:jc w:val="center"/>
              <w:rPr>
                <w:kern w:val="0"/>
                <w:szCs w:val="21"/>
              </w:rPr>
            </w:pPr>
            <w:r>
              <w:rPr>
                <w:kern w:val="0"/>
                <w:szCs w:val="21"/>
              </w:rPr>
              <w:t>畜禽养殖场排放污染屋的监测</w:t>
            </w:r>
          </w:p>
        </w:tc>
        <w:tc>
          <w:tcPr>
            <w:tcW w:w="2290" w:type="pct"/>
            <w:vAlign w:val="center"/>
          </w:tcPr>
          <w:p>
            <w:pPr>
              <w:keepNext/>
              <w:jc w:val="center"/>
              <w:rPr>
                <w:szCs w:val="21"/>
              </w:rPr>
            </w:pPr>
            <w:r>
              <w:rPr>
                <w:szCs w:val="21"/>
              </w:rPr>
              <w:t>10.1畜禽养殖场位安装水表，对用水实行计量管理。</w:t>
            </w:r>
          </w:p>
          <w:p>
            <w:pPr>
              <w:keepNext/>
              <w:jc w:val="center"/>
              <w:rPr>
                <w:szCs w:val="21"/>
              </w:rPr>
            </w:pPr>
            <w:r>
              <w:rPr>
                <w:szCs w:val="21"/>
              </w:rPr>
              <w:t>10.2畜禽养殖场每年应至少两次定期向当地环境保护行政主管部门报告污水处理设施和粪便处理设施的运行情况。提交排放污水、废气、恶臭一级粪肥无害化指标的监测报告。</w:t>
            </w:r>
          </w:p>
          <w:p>
            <w:pPr>
              <w:keepNext/>
              <w:jc w:val="center"/>
              <w:rPr>
                <w:szCs w:val="21"/>
              </w:rPr>
            </w:pPr>
            <w:r>
              <w:rPr>
                <w:szCs w:val="21"/>
              </w:rPr>
              <w:t>10.3对粪便污水处理设施的水质应定期进行监测，确保达标排放</w:t>
            </w:r>
          </w:p>
          <w:p>
            <w:pPr>
              <w:autoSpaceDE w:val="0"/>
              <w:autoSpaceDN w:val="0"/>
              <w:adjustRightInd w:val="0"/>
              <w:jc w:val="center"/>
              <w:rPr>
                <w:kern w:val="0"/>
                <w:szCs w:val="21"/>
              </w:rPr>
            </w:pPr>
            <w:r>
              <w:rPr>
                <w:szCs w:val="21"/>
              </w:rPr>
              <w:t>10.4排污口应设置国家环境保护总局统一规定的排污口标志。</w:t>
            </w:r>
          </w:p>
        </w:tc>
        <w:tc>
          <w:tcPr>
            <w:tcW w:w="1742" w:type="pct"/>
            <w:vAlign w:val="center"/>
          </w:tcPr>
          <w:p>
            <w:pPr>
              <w:pStyle w:val="146"/>
              <w:jc w:val="center"/>
              <w:rPr>
                <w:rFonts w:ascii="Times New Roman" w:eastAsia="宋体" w:cs="Times New Roman"/>
                <w:caps/>
                <w:color w:val="auto"/>
                <w:kern w:val="2"/>
                <w:sz w:val="21"/>
                <w:szCs w:val="21"/>
              </w:rPr>
            </w:pPr>
            <w:r>
              <w:rPr>
                <w:rFonts w:ascii="Times New Roman" w:eastAsia="宋体" w:cs="Times New Roman"/>
                <w:caps/>
                <w:color w:val="auto"/>
                <w:kern w:val="2"/>
                <w:sz w:val="21"/>
                <w:szCs w:val="21"/>
              </w:rPr>
              <w:t>项目拟按要求安装水表，项目拟对废气、废水进行定期监测并定期检查环保设施运行情况，及时报送环境保护行政主管部门</w:t>
            </w:r>
          </w:p>
        </w:tc>
        <w:tc>
          <w:tcPr>
            <w:tcW w:w="504" w:type="pct"/>
            <w:vAlign w:val="center"/>
          </w:tcPr>
          <w:p>
            <w:pPr>
              <w:pStyle w:val="154"/>
              <w:rPr>
                <w:rFonts w:cs="Times New Roman"/>
                <w:caps/>
              </w:rPr>
            </w:pPr>
            <w:r>
              <w:rPr>
                <w:rFonts w:cs="Times New Roman"/>
                <w:caps/>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trPr>
        <w:tc>
          <w:tcPr>
            <w:tcW w:w="464" w:type="pct"/>
            <w:vAlign w:val="center"/>
          </w:tcPr>
          <w:p>
            <w:pPr>
              <w:autoSpaceDE w:val="0"/>
              <w:autoSpaceDN w:val="0"/>
              <w:adjustRightInd w:val="0"/>
              <w:jc w:val="center"/>
              <w:rPr>
                <w:kern w:val="0"/>
                <w:szCs w:val="21"/>
              </w:rPr>
            </w:pPr>
            <w:r>
              <w:rPr>
                <w:kern w:val="0"/>
                <w:szCs w:val="21"/>
              </w:rPr>
              <w:t>其他</w:t>
            </w:r>
          </w:p>
        </w:tc>
        <w:tc>
          <w:tcPr>
            <w:tcW w:w="2290" w:type="pct"/>
            <w:vAlign w:val="center"/>
          </w:tcPr>
          <w:p>
            <w:pPr>
              <w:keepNext/>
              <w:jc w:val="center"/>
              <w:rPr>
                <w:szCs w:val="21"/>
              </w:rPr>
            </w:pPr>
            <w:r>
              <w:rPr>
                <w:szCs w:val="21"/>
              </w:rPr>
              <w:t>养殖场防疫、化验等产生的危险废水和固体废弃物应按国家的有关规定进行处理</w:t>
            </w:r>
          </w:p>
        </w:tc>
        <w:tc>
          <w:tcPr>
            <w:tcW w:w="1742" w:type="pct"/>
            <w:vAlign w:val="center"/>
          </w:tcPr>
          <w:p>
            <w:pPr>
              <w:pStyle w:val="146"/>
              <w:jc w:val="center"/>
              <w:rPr>
                <w:rFonts w:ascii="Times New Roman" w:eastAsia="宋体" w:cs="Times New Roman"/>
                <w:caps/>
                <w:color w:val="auto"/>
                <w:kern w:val="2"/>
                <w:sz w:val="21"/>
                <w:szCs w:val="21"/>
              </w:rPr>
            </w:pPr>
            <w:r>
              <w:rPr>
                <w:rFonts w:ascii="Times New Roman" w:hAnsi="Times New Roman" w:eastAsia="宋体" w:cs="Times New Roman"/>
                <w:color w:val="auto"/>
                <w:kern w:val="2"/>
                <w:sz w:val="21"/>
                <w:szCs w:val="21"/>
                <w:lang w:val="en-US" w:eastAsia="zh-CN" w:bidi="ar-SA"/>
              </w:rPr>
              <w:t>本项目防疫、化验等产生的废水和固废进行专门处理，满足国家有关规定</w:t>
            </w:r>
          </w:p>
        </w:tc>
        <w:tc>
          <w:tcPr>
            <w:tcW w:w="504" w:type="pct"/>
            <w:vAlign w:val="center"/>
          </w:tcPr>
          <w:p>
            <w:pPr>
              <w:pStyle w:val="154"/>
              <w:rPr>
                <w:rFonts w:cs="Times New Roman"/>
                <w:caps/>
              </w:rPr>
            </w:pPr>
            <w:r>
              <w:rPr>
                <w:rFonts w:cs="Times New Roman"/>
                <w:caps/>
              </w:rPr>
              <w:t>符合</w:t>
            </w:r>
          </w:p>
        </w:tc>
      </w:tr>
    </w:tbl>
    <w:p>
      <w:pPr>
        <w:pStyle w:val="215"/>
      </w:pPr>
      <w:r>
        <w:t>综上所述，项目符合《畜禽养殖业污染防治技术规范》（HJ/T81-2001）中相关要求。</w:t>
      </w:r>
    </w:p>
    <w:p>
      <w:pPr>
        <w:pStyle w:val="215"/>
        <w:ind w:firstLine="482"/>
        <w:rPr>
          <w:b/>
        </w:rPr>
      </w:pPr>
      <w:r>
        <w:rPr>
          <w:rFonts w:hint="eastAsia"/>
          <w:b/>
        </w:rPr>
        <w:t>6、与</w:t>
      </w:r>
      <w:r>
        <w:rPr>
          <w:b/>
        </w:rPr>
        <w:t>《畜禽粪便无害化处理技术规范》（GB/T36195-2018）的相符性分析</w:t>
      </w:r>
    </w:p>
    <w:p>
      <w:pPr>
        <w:pStyle w:val="215"/>
      </w:pPr>
      <w:r>
        <w:t>本项目</w:t>
      </w:r>
      <w:r>
        <w:rPr>
          <w:rFonts w:hint="eastAsia"/>
        </w:rPr>
        <w:t>鸡粪采用自动干清粪清掏排出鸡舍后，部分直接拉走依托台源蛋鸡养殖一场好氧发酵罐制有机肥；剩余部分则直接拉走外售衡阳县沛科生态科技有限责任公司制有机肥，在衡阳县沛科生态科技有限责任公司进行发酵预处理，不在本厂区进行预处理，在鸡粪收集室内堆存时间很短</w:t>
      </w:r>
      <w:r>
        <w:t>。对照《畜禽粪便无害化处理技术规范》（GB/T36195-2018），本项目鸡粪处理工艺、效果及处理设施建设要求与该规范相符性分析如表1.</w:t>
      </w:r>
      <w:r>
        <w:rPr>
          <w:rFonts w:hint="eastAsia"/>
        </w:rPr>
        <w:t>4-5</w:t>
      </w:r>
      <w:r>
        <w:t>所示。</w:t>
      </w:r>
    </w:p>
    <w:p>
      <w:pPr>
        <w:pStyle w:val="246"/>
        <w:spacing w:beforeLines="50" w:line="240" w:lineRule="auto"/>
        <w:rPr>
          <w:rFonts w:eastAsiaTheme="minorEastAsia"/>
          <w:sz w:val="21"/>
          <w:szCs w:val="21"/>
        </w:rPr>
      </w:pPr>
      <w:r>
        <w:rPr>
          <w:rFonts w:eastAsiaTheme="minorEastAsia"/>
          <w:sz w:val="21"/>
          <w:szCs w:val="21"/>
        </w:rPr>
        <w:t>表1.4-</w:t>
      </w:r>
      <w:r>
        <w:rPr>
          <w:rFonts w:hint="eastAsia" w:eastAsiaTheme="minorEastAsia"/>
          <w:sz w:val="21"/>
          <w:szCs w:val="21"/>
        </w:rPr>
        <w:t>5</w:t>
      </w:r>
      <w:r>
        <w:rPr>
          <w:rFonts w:eastAsiaTheme="minorEastAsia"/>
          <w:sz w:val="21"/>
          <w:szCs w:val="21"/>
        </w:rPr>
        <w:t xml:space="preserve">  项目与</w:t>
      </w:r>
      <w:r>
        <w:rPr>
          <w:rFonts w:hint="eastAsia" w:eastAsiaTheme="minorEastAsia"/>
          <w:sz w:val="21"/>
          <w:szCs w:val="21"/>
        </w:rPr>
        <w:t>《畜禽粪便无害化处理技术规范》</w:t>
      </w:r>
      <w:r>
        <w:rPr>
          <w:rFonts w:eastAsiaTheme="minorEastAsia"/>
          <w:sz w:val="21"/>
          <w:szCs w:val="21"/>
        </w:rPr>
        <w:t>的符合性分析</w:t>
      </w:r>
    </w:p>
    <w:tbl>
      <w:tblPr>
        <w:tblStyle w:val="47"/>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30"/>
        <w:gridCol w:w="4098"/>
        <w:gridCol w:w="3117"/>
        <w:gridCol w:w="90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64" w:type="pct"/>
            <w:vAlign w:val="center"/>
          </w:tcPr>
          <w:p>
            <w:pPr>
              <w:pStyle w:val="154"/>
              <w:rPr>
                <w:rFonts w:cs="Times New Roman"/>
                <w:b/>
                <w:caps/>
              </w:rPr>
            </w:pPr>
            <w:r>
              <w:rPr>
                <w:rFonts w:cs="Times New Roman"/>
                <w:b/>
                <w:caps/>
              </w:rPr>
              <w:t>类别</w:t>
            </w:r>
          </w:p>
        </w:tc>
        <w:tc>
          <w:tcPr>
            <w:tcW w:w="2290" w:type="pct"/>
            <w:vAlign w:val="center"/>
          </w:tcPr>
          <w:p>
            <w:pPr>
              <w:pStyle w:val="154"/>
              <w:rPr>
                <w:rFonts w:cs="Times New Roman"/>
                <w:b/>
                <w:caps/>
              </w:rPr>
            </w:pPr>
            <w:r>
              <w:rPr>
                <w:rFonts w:cs="Times New Roman"/>
                <w:b/>
                <w:caps/>
              </w:rPr>
              <w:t>规范要求</w:t>
            </w:r>
          </w:p>
        </w:tc>
        <w:tc>
          <w:tcPr>
            <w:tcW w:w="1742" w:type="pct"/>
            <w:vAlign w:val="center"/>
          </w:tcPr>
          <w:p>
            <w:pPr>
              <w:pStyle w:val="154"/>
              <w:rPr>
                <w:rFonts w:cs="Times New Roman"/>
                <w:b/>
                <w:caps/>
              </w:rPr>
            </w:pPr>
            <w:r>
              <w:rPr>
                <w:rFonts w:cs="Times New Roman"/>
                <w:b/>
                <w:caps/>
              </w:rPr>
              <w:t>本项目情况</w:t>
            </w:r>
          </w:p>
        </w:tc>
        <w:tc>
          <w:tcPr>
            <w:tcW w:w="504" w:type="pct"/>
            <w:vAlign w:val="center"/>
          </w:tcPr>
          <w:p>
            <w:pPr>
              <w:pStyle w:val="154"/>
              <w:rPr>
                <w:rFonts w:cs="Times New Roman"/>
                <w:b/>
                <w:caps/>
              </w:rPr>
            </w:pPr>
            <w:r>
              <w:rPr>
                <w:rFonts w:cs="Times New Roman"/>
                <w:b/>
                <w:caps/>
              </w:rPr>
              <w:t>符合性分析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64" w:type="pct"/>
            <w:vAlign w:val="center"/>
          </w:tcPr>
          <w:p>
            <w:pPr>
              <w:pStyle w:val="154"/>
              <w:rPr>
                <w:rFonts w:cs="Times New Roman"/>
                <w:caps/>
              </w:rPr>
            </w:pPr>
            <w:r>
              <w:t>基本要求</w:t>
            </w:r>
          </w:p>
        </w:tc>
        <w:tc>
          <w:tcPr>
            <w:tcW w:w="2290" w:type="pct"/>
            <w:vAlign w:val="center"/>
          </w:tcPr>
          <w:p>
            <w:pPr>
              <w:keepNext/>
              <w:jc w:val="center"/>
              <w:rPr>
                <w:szCs w:val="21"/>
              </w:rPr>
            </w:pPr>
            <w:r>
              <w:rPr>
                <w:szCs w:val="21"/>
              </w:rPr>
              <w:t>4.1新建、扩建和改建畜禽养殖场和养殖小区应设置粪污处理区，建设畜禽粪便处理设施；没有粪污处理设施的应补建。</w:t>
            </w:r>
          </w:p>
          <w:p>
            <w:pPr>
              <w:keepNext/>
              <w:jc w:val="center"/>
              <w:rPr>
                <w:szCs w:val="21"/>
              </w:rPr>
            </w:pPr>
            <w:r>
              <w:rPr>
                <w:szCs w:val="21"/>
              </w:rPr>
              <w:t>4.2畜禽养殖场、养殖小区的粪污处理区布局应按照《畜禽场场区设计技术规范》（NY/T682）的规定执行。</w:t>
            </w:r>
          </w:p>
          <w:p>
            <w:pPr>
              <w:keepNext/>
              <w:jc w:val="center"/>
              <w:rPr>
                <w:szCs w:val="21"/>
              </w:rPr>
            </w:pPr>
            <w:r>
              <w:rPr>
                <w:szCs w:val="21"/>
              </w:rPr>
              <w:t>4.3畜禽粪便处理应坚持减量化、资源化和无害化的原则。</w:t>
            </w:r>
          </w:p>
          <w:p>
            <w:pPr>
              <w:keepNext/>
              <w:jc w:val="center"/>
              <w:rPr>
                <w:szCs w:val="21"/>
              </w:rPr>
            </w:pPr>
            <w:r>
              <w:rPr>
                <w:szCs w:val="21"/>
              </w:rPr>
              <w:t>4.4畜禽粪便处理过程应满足安全和卫生要求，避免二次污染发生。</w:t>
            </w:r>
          </w:p>
          <w:p>
            <w:pPr>
              <w:pStyle w:val="154"/>
              <w:rPr>
                <w:rFonts w:cs="Times New Roman"/>
                <w:caps/>
              </w:rPr>
            </w:pPr>
            <w:r>
              <w:t>4.5发生重大疫情时应按照国家兽医防疫有关规定处置</w:t>
            </w:r>
          </w:p>
        </w:tc>
        <w:tc>
          <w:tcPr>
            <w:tcW w:w="1742" w:type="pct"/>
            <w:vAlign w:val="center"/>
          </w:tcPr>
          <w:p>
            <w:pPr>
              <w:keepNext/>
              <w:jc w:val="center"/>
              <w:rPr>
                <w:szCs w:val="21"/>
              </w:rPr>
            </w:pPr>
            <w:r>
              <w:rPr>
                <w:szCs w:val="21"/>
              </w:rPr>
              <w:t>4.1本项目属新建养殖小区，</w:t>
            </w:r>
            <w:r>
              <w:rPr>
                <w:rFonts w:hint="eastAsia"/>
                <w:szCs w:val="21"/>
              </w:rPr>
              <w:t>配套建设了相应的粪污收集、贮存等设施</w:t>
            </w:r>
            <w:r>
              <w:rPr>
                <w:szCs w:val="21"/>
              </w:rPr>
              <w:t>。</w:t>
            </w:r>
          </w:p>
          <w:p>
            <w:pPr>
              <w:keepNext/>
              <w:jc w:val="center"/>
              <w:rPr>
                <w:szCs w:val="21"/>
              </w:rPr>
            </w:pPr>
            <w:r>
              <w:rPr>
                <w:szCs w:val="21"/>
              </w:rPr>
              <w:t>4.2本项目粪污处理区布局按照NY/T682的规定执行。</w:t>
            </w:r>
          </w:p>
          <w:p>
            <w:pPr>
              <w:keepNext/>
              <w:jc w:val="center"/>
              <w:rPr>
                <w:szCs w:val="21"/>
              </w:rPr>
            </w:pPr>
            <w:r>
              <w:rPr>
                <w:szCs w:val="21"/>
              </w:rPr>
              <w:t>4.3本项目畜禽粪便处理坚持减量化、资源化和无害化的原则。</w:t>
            </w:r>
          </w:p>
          <w:p>
            <w:pPr>
              <w:keepNext/>
              <w:jc w:val="center"/>
              <w:rPr>
                <w:szCs w:val="21"/>
              </w:rPr>
            </w:pPr>
            <w:r>
              <w:rPr>
                <w:szCs w:val="21"/>
              </w:rPr>
              <w:t>4.4本项目畜禽粪便处理过程应满足安全和卫生要求。</w:t>
            </w:r>
          </w:p>
          <w:p>
            <w:pPr>
              <w:pStyle w:val="154"/>
              <w:rPr>
                <w:rFonts w:cs="Times New Roman"/>
                <w:caps/>
              </w:rPr>
            </w:pPr>
            <w:r>
              <w:t>4.5本项目制定应急预案，发生重大疫情时按照国家兽医防疫有关规定处置</w:t>
            </w:r>
          </w:p>
        </w:tc>
        <w:tc>
          <w:tcPr>
            <w:tcW w:w="504" w:type="pct"/>
            <w:vAlign w:val="center"/>
          </w:tcPr>
          <w:p>
            <w:pPr>
              <w:pStyle w:val="154"/>
              <w:rPr>
                <w:rFonts w:cs="Times New Roman"/>
                <w:caps/>
              </w:rPr>
            </w:pPr>
            <w:r>
              <w:rPr>
                <w:rFonts w:cs="Times New Roman"/>
                <w:caps/>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64" w:type="pct"/>
            <w:vAlign w:val="center"/>
          </w:tcPr>
          <w:p>
            <w:pPr>
              <w:pStyle w:val="154"/>
              <w:rPr>
                <w:rFonts w:cs="Times New Roman"/>
                <w:caps/>
              </w:rPr>
            </w:pPr>
            <w:r>
              <w:t>粪便处理场选址及布局</w:t>
            </w:r>
          </w:p>
        </w:tc>
        <w:tc>
          <w:tcPr>
            <w:tcW w:w="2290" w:type="pct"/>
            <w:vAlign w:val="center"/>
          </w:tcPr>
          <w:p>
            <w:pPr>
              <w:keepNext/>
              <w:jc w:val="center"/>
              <w:rPr>
                <w:szCs w:val="21"/>
              </w:rPr>
            </w:pPr>
            <w:r>
              <w:rPr>
                <w:szCs w:val="21"/>
              </w:rPr>
              <w:t>5.1不应在下列区域内建设畜禽粪便处理场：a）生活饮用水水源保护区、风景名胜区、自然保护区的核心区及缓冲区；b）城市和城镇居民区，包括文教科研、医疗、商业和工业等人口集中地区；c）县级及县级以上人民政府依法划定的禁养区域；d）国家或地方法律、法规规定需特殊保护的其他区域。</w:t>
            </w:r>
          </w:p>
          <w:p>
            <w:pPr>
              <w:keepNext/>
              <w:jc w:val="center"/>
              <w:rPr>
                <w:szCs w:val="21"/>
              </w:rPr>
            </w:pPr>
            <w:r>
              <w:rPr>
                <w:szCs w:val="21"/>
              </w:rPr>
              <w:t>5.2在禁建区域附近建设畜禽粪便处理场，应设在5.1规定的禁建区域常年主导风向的下风向或侧下风向处，场界与禁建区域边界的最小距离不应小于3km。</w:t>
            </w:r>
          </w:p>
          <w:p>
            <w:pPr>
              <w:keepNext/>
              <w:jc w:val="center"/>
              <w:rPr>
                <w:szCs w:val="21"/>
              </w:rPr>
            </w:pPr>
            <w:r>
              <w:rPr>
                <w:szCs w:val="21"/>
              </w:rPr>
              <w:t>5.3集中建立的畜禽粪便处理场与畜禽养殖区域的最小距离应大于2km。</w:t>
            </w:r>
          </w:p>
          <w:p>
            <w:pPr>
              <w:keepNext/>
              <w:jc w:val="center"/>
              <w:rPr>
                <w:szCs w:val="21"/>
              </w:rPr>
            </w:pPr>
            <w:r>
              <w:rPr>
                <w:szCs w:val="21"/>
              </w:rPr>
              <w:t>5.4畜禽粪便处理场地应距离功能地表水体400m以上。</w:t>
            </w:r>
          </w:p>
          <w:p>
            <w:pPr>
              <w:autoSpaceDE w:val="0"/>
              <w:autoSpaceDN w:val="0"/>
              <w:adjustRightInd w:val="0"/>
              <w:jc w:val="center"/>
              <w:rPr>
                <w:caps/>
              </w:rPr>
            </w:pPr>
            <w:r>
              <w:rPr>
                <w:szCs w:val="21"/>
              </w:rPr>
              <w:t>5.5畜禽粪便处理场区应采取地面硬化、防渗漏、防径流和雨污分流等措施</w:t>
            </w:r>
          </w:p>
        </w:tc>
        <w:tc>
          <w:tcPr>
            <w:tcW w:w="1742" w:type="pct"/>
            <w:vAlign w:val="center"/>
          </w:tcPr>
          <w:p>
            <w:pPr>
              <w:pStyle w:val="154"/>
              <w:rPr>
                <w:rFonts w:cs="Times New Roman" w:eastAsiaTheme="majorEastAsia"/>
                <w:bCs/>
                <w:kern w:val="0"/>
              </w:rPr>
            </w:pPr>
            <w:r>
              <w:rPr>
                <w:rFonts w:hint="eastAsia" w:cs="Times New Roman" w:eastAsiaTheme="majorEastAsia"/>
                <w:bCs/>
                <w:kern w:val="0"/>
              </w:rPr>
              <w:t>5.1本项目位于台源镇紫霞村、前进村。畜禽粪便处理场不涉及a）生活饮用水水源保护区、风景名胜区、自然保护区的核心区及缓冲区；</w:t>
            </w:r>
            <w:r>
              <w:t>b）城市和城镇居民区，包括文教科研、医疗、商业和工业等人口集中地区；c）县级及县级以上人民政府依法划定的禁养区域；d）国家或地方法律、法规规定需特殊保护的其他区域</w:t>
            </w:r>
            <w:r>
              <w:rPr>
                <w:rFonts w:hint="eastAsia" w:cs="Times New Roman" w:eastAsiaTheme="majorEastAsia"/>
                <w:bCs/>
                <w:kern w:val="0"/>
              </w:rPr>
              <w:t>。</w:t>
            </w:r>
          </w:p>
          <w:p>
            <w:pPr>
              <w:pStyle w:val="154"/>
              <w:rPr>
                <w:rFonts w:cs="Times New Roman" w:eastAsiaTheme="majorEastAsia"/>
                <w:bCs/>
                <w:kern w:val="0"/>
              </w:rPr>
            </w:pPr>
            <w:r>
              <w:rPr>
                <w:rFonts w:hint="eastAsia" w:cs="Times New Roman" w:eastAsiaTheme="majorEastAsia"/>
                <w:bCs/>
                <w:kern w:val="0"/>
              </w:rPr>
              <w:t>5.2根据文件4.1的要求“新建、扩建和改建畜禽养殖场和养殖小区应设置粪污处理区，建设畜禽粪便处理设施；没有粪污处理设施的应补建”，</w:t>
            </w:r>
            <w:r>
              <w:rPr>
                <w:rFonts w:hint="eastAsia"/>
                <w:bCs/>
                <w:szCs w:val="24"/>
              </w:rPr>
              <w:t>本项目为新建畜禽规模养殖场，项目配套建设了相应的粪污收集、贮存等设施</w:t>
            </w:r>
            <w:r>
              <w:rPr>
                <w:rFonts w:hint="eastAsia" w:cs="Times New Roman" w:eastAsiaTheme="majorEastAsia"/>
                <w:bCs/>
                <w:kern w:val="0"/>
              </w:rPr>
              <w:t>。</w:t>
            </w:r>
          </w:p>
          <w:p>
            <w:pPr>
              <w:pStyle w:val="154"/>
              <w:rPr>
                <w:rFonts w:cs="Times New Roman" w:eastAsiaTheme="majorEastAsia"/>
                <w:bCs/>
                <w:kern w:val="0"/>
              </w:rPr>
            </w:pPr>
            <w:r>
              <w:rPr>
                <w:rFonts w:hint="eastAsia" w:cs="Times New Roman" w:eastAsiaTheme="majorEastAsia"/>
                <w:bCs/>
                <w:kern w:val="0"/>
              </w:rPr>
              <w:t>5.3本项目</w:t>
            </w:r>
            <w:r>
              <w:t>每栋鸡舍自动化清粪，鸡粪不落地，</w:t>
            </w:r>
            <w:r>
              <w:rPr>
                <w:rFonts w:hint="eastAsia"/>
              </w:rPr>
              <w:t>并</w:t>
            </w:r>
            <w:r>
              <w:t>配套建设</w:t>
            </w:r>
            <w:r>
              <w:rPr>
                <w:rFonts w:hint="eastAsia"/>
              </w:rPr>
              <w:t>鸡粪收集室</w:t>
            </w:r>
            <w:r>
              <w:t>作为</w:t>
            </w:r>
            <w:r>
              <w:rPr>
                <w:rFonts w:hint="eastAsia"/>
              </w:rPr>
              <w:t>鸡粪</w:t>
            </w:r>
            <w:r>
              <w:t>临时贮存场所</w:t>
            </w:r>
            <w:r>
              <w:rPr>
                <w:rFonts w:hint="eastAsia"/>
              </w:rPr>
              <w:t>，在鸡粪收集室内堆存时间很短</w:t>
            </w:r>
            <w:r>
              <w:rPr>
                <w:rFonts w:hint="eastAsia" w:cs="Times New Roman" w:eastAsiaTheme="majorEastAsia"/>
                <w:bCs/>
                <w:kern w:val="0"/>
              </w:rPr>
              <w:t>，</w:t>
            </w:r>
            <w:r>
              <w:rPr>
                <w:rFonts w:hint="eastAsia"/>
              </w:rPr>
              <w:t>鸡粪收集室内</w:t>
            </w:r>
            <w:r>
              <w:rPr>
                <w:rFonts w:hint="eastAsia" w:cs="Times New Roman" w:eastAsiaTheme="majorEastAsia"/>
                <w:bCs/>
                <w:kern w:val="0"/>
              </w:rPr>
              <w:t>并不是集中的粪便处置场。故本项目不涉及此条规范。</w:t>
            </w:r>
          </w:p>
          <w:p>
            <w:pPr>
              <w:pStyle w:val="154"/>
              <w:rPr>
                <w:rFonts w:cs="Times New Roman" w:eastAsiaTheme="majorEastAsia"/>
                <w:bCs/>
                <w:kern w:val="0"/>
              </w:rPr>
            </w:pPr>
            <w:r>
              <w:rPr>
                <w:rFonts w:hint="eastAsia" w:cs="Times New Roman" w:eastAsiaTheme="majorEastAsia"/>
                <w:bCs/>
                <w:kern w:val="0"/>
              </w:rPr>
              <w:t>5.4本项目不涉及。</w:t>
            </w:r>
          </w:p>
          <w:p>
            <w:pPr>
              <w:pStyle w:val="154"/>
              <w:rPr>
                <w:rFonts w:cs="Times New Roman" w:eastAsiaTheme="majorEastAsia"/>
                <w:bCs/>
                <w:kern w:val="0"/>
              </w:rPr>
            </w:pPr>
            <w:r>
              <w:rPr>
                <w:rFonts w:hint="eastAsia" w:cs="Times New Roman" w:eastAsiaTheme="majorEastAsia"/>
                <w:bCs/>
                <w:kern w:val="0"/>
              </w:rPr>
              <w:t>5.5</w:t>
            </w:r>
            <w:r>
              <w:rPr>
                <w:rFonts w:hint="eastAsia"/>
              </w:rPr>
              <w:t>鸡粪收集室内</w:t>
            </w:r>
            <w:r>
              <w:rPr>
                <w:rFonts w:hint="eastAsia" w:cs="Times New Roman" w:eastAsiaTheme="majorEastAsia"/>
                <w:bCs/>
                <w:kern w:val="0"/>
              </w:rPr>
              <w:t>采取地面硬化、防渗漏、防径流和雨污分流等措施</w:t>
            </w:r>
          </w:p>
        </w:tc>
        <w:tc>
          <w:tcPr>
            <w:tcW w:w="504" w:type="pct"/>
            <w:vAlign w:val="center"/>
          </w:tcPr>
          <w:p>
            <w:pPr>
              <w:pStyle w:val="154"/>
              <w:rPr>
                <w:rFonts w:cs="Times New Roman"/>
                <w:caps/>
              </w:rPr>
            </w:pPr>
            <w:r>
              <w:rPr>
                <w:rFonts w:cs="Times New Roman"/>
                <w:caps/>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64" w:type="pct"/>
            <w:vAlign w:val="center"/>
          </w:tcPr>
          <w:p>
            <w:pPr>
              <w:autoSpaceDE w:val="0"/>
              <w:autoSpaceDN w:val="0"/>
              <w:adjustRightInd w:val="0"/>
              <w:jc w:val="center"/>
              <w:rPr>
                <w:caps/>
              </w:rPr>
            </w:pPr>
            <w:r>
              <w:rPr>
                <w:szCs w:val="21"/>
              </w:rPr>
              <w:t>粪便收集、贮存和运输</w:t>
            </w:r>
          </w:p>
        </w:tc>
        <w:tc>
          <w:tcPr>
            <w:tcW w:w="2290" w:type="pct"/>
            <w:vAlign w:val="center"/>
          </w:tcPr>
          <w:p>
            <w:pPr>
              <w:keepNext/>
              <w:jc w:val="center"/>
              <w:rPr>
                <w:szCs w:val="21"/>
              </w:rPr>
            </w:pPr>
            <w:r>
              <w:rPr>
                <w:szCs w:val="21"/>
              </w:rPr>
              <w:t>6.1畜禽生产过程宜采用干清粪工艺，实施雨污分流，减少污染物排放量。</w:t>
            </w:r>
          </w:p>
          <w:p>
            <w:pPr>
              <w:keepNext/>
              <w:jc w:val="center"/>
              <w:rPr>
                <w:szCs w:val="21"/>
              </w:rPr>
            </w:pPr>
            <w:r>
              <w:rPr>
                <w:szCs w:val="21"/>
              </w:rPr>
              <w:t>6.2畜禽粪便贮存设施应符合GB/T27622的规定。</w:t>
            </w:r>
          </w:p>
          <w:p>
            <w:pPr>
              <w:keepNext/>
              <w:jc w:val="center"/>
              <w:rPr>
                <w:szCs w:val="21"/>
              </w:rPr>
            </w:pPr>
            <w:r>
              <w:rPr>
                <w:szCs w:val="21"/>
              </w:rPr>
              <w:t>6.3畜禽养殖污水贮存设施应符合GB/T26624的规定。</w:t>
            </w:r>
          </w:p>
          <w:p>
            <w:pPr>
              <w:autoSpaceDE w:val="0"/>
              <w:autoSpaceDN w:val="0"/>
              <w:adjustRightInd w:val="0"/>
              <w:jc w:val="center"/>
              <w:rPr>
                <w:caps/>
              </w:rPr>
            </w:pPr>
            <w:r>
              <w:rPr>
                <w:szCs w:val="21"/>
              </w:rPr>
              <w:t>6.4畜禽粪便收集、运输过程中，应采取防遗洒、防渗漏等措施</w:t>
            </w:r>
          </w:p>
        </w:tc>
        <w:tc>
          <w:tcPr>
            <w:tcW w:w="1742" w:type="pct"/>
            <w:vAlign w:val="center"/>
          </w:tcPr>
          <w:p>
            <w:pPr>
              <w:autoSpaceDE w:val="0"/>
              <w:autoSpaceDN w:val="0"/>
              <w:adjustRightInd w:val="0"/>
              <w:jc w:val="center"/>
              <w:rPr>
                <w:caps/>
                <w:color w:val="FF0000"/>
              </w:rPr>
            </w:pPr>
            <w:r>
              <w:rPr>
                <w:szCs w:val="21"/>
              </w:rPr>
              <w:t>本项目采用干清粪工艺，满足相关要求</w:t>
            </w:r>
          </w:p>
        </w:tc>
        <w:tc>
          <w:tcPr>
            <w:tcW w:w="504" w:type="pct"/>
            <w:vAlign w:val="center"/>
          </w:tcPr>
          <w:p>
            <w:pPr>
              <w:pStyle w:val="154"/>
              <w:rPr>
                <w:rFonts w:cs="Times New Roman"/>
                <w:caps/>
              </w:rPr>
            </w:pPr>
            <w:r>
              <w:rPr>
                <w:rFonts w:cs="Times New Roman"/>
                <w:caps/>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64" w:type="pct"/>
            <w:vAlign w:val="center"/>
          </w:tcPr>
          <w:p>
            <w:pPr>
              <w:pStyle w:val="154"/>
              <w:rPr>
                <w:rFonts w:cs="Times New Roman"/>
                <w:caps/>
              </w:rPr>
            </w:pPr>
            <w:r>
              <w:t>粪便处理</w:t>
            </w:r>
          </w:p>
        </w:tc>
        <w:tc>
          <w:tcPr>
            <w:tcW w:w="2290" w:type="pct"/>
            <w:vAlign w:val="center"/>
          </w:tcPr>
          <w:p>
            <w:pPr>
              <w:keepNext/>
              <w:rPr>
                <w:szCs w:val="21"/>
              </w:rPr>
            </w:pPr>
            <w:r>
              <w:rPr>
                <w:szCs w:val="21"/>
              </w:rPr>
              <w:t>7.1固态</w:t>
            </w:r>
          </w:p>
          <w:p>
            <w:pPr>
              <w:keepNext/>
              <w:jc w:val="center"/>
              <w:rPr>
                <w:szCs w:val="21"/>
              </w:rPr>
            </w:pPr>
            <w:r>
              <w:rPr>
                <w:szCs w:val="21"/>
              </w:rPr>
              <w:t>7.1.1宜采用反应器、静态垛式等好氧堆肥技术进行无害化处理，其堆体温度维持50℃以上的时间不少于7d，或45℃以上不少于14d。7.1.2固体畜禽粪便经过堆肥处理后应符合固体畜禽非标堆肥处理卫生学要求。即：蛔虫卵死亡率≥95%；粪大肠菌样数≤105个/kg；苍蝇：堆体周围不应有活的蛆、蛹或新羽化的成蝇。</w:t>
            </w:r>
          </w:p>
          <w:p>
            <w:pPr>
              <w:keepNext/>
              <w:rPr>
                <w:szCs w:val="21"/>
              </w:rPr>
            </w:pPr>
            <w:r>
              <w:rPr>
                <w:szCs w:val="21"/>
              </w:rPr>
              <w:t>7.2液态</w:t>
            </w:r>
          </w:p>
          <w:p>
            <w:pPr>
              <w:keepNext/>
              <w:jc w:val="center"/>
              <w:rPr>
                <w:szCs w:val="21"/>
              </w:rPr>
            </w:pPr>
            <w:r>
              <w:rPr>
                <w:szCs w:val="21"/>
              </w:rPr>
              <w:t>7.2.1液态畜禽粪便宜采用氧化塘贮存后进行农田利用，或采用固液分离、厌氧发酵、好氧或其他生物处理等单--或组合技术进行无害化处理。</w:t>
            </w:r>
          </w:p>
          <w:p>
            <w:pPr>
              <w:keepNext/>
              <w:jc w:val="center"/>
              <w:rPr>
                <w:szCs w:val="21"/>
              </w:rPr>
            </w:pPr>
            <w:r>
              <w:rPr>
                <w:szCs w:val="21"/>
              </w:rPr>
              <w:t>7.2.2厌氧发酵可采用常温、中温或高温处理工艺，常温厌氧发伴处理水力停留时间不应少于30d，中温厌氧发酵不应少于7d，高温厌氧发酵温度维持(53±2)℃时间应不少于2d。厌氧发酵温度艺设计应符合NY/T1220.1的规定，工程设计应符合NY/T1222的规定。</w:t>
            </w:r>
          </w:p>
          <w:p>
            <w:pPr>
              <w:keepNext/>
              <w:jc w:val="center"/>
              <w:rPr>
                <w:szCs w:val="21"/>
              </w:rPr>
            </w:pPr>
            <w:r>
              <w:rPr>
                <w:szCs w:val="21"/>
              </w:rPr>
              <w:t>7.2.3经过处理后需要排放的液态部分应符合GB18596的规定。</w:t>
            </w:r>
          </w:p>
          <w:p>
            <w:pPr>
              <w:autoSpaceDE w:val="0"/>
              <w:autoSpaceDN w:val="0"/>
              <w:adjustRightInd w:val="0"/>
              <w:jc w:val="center"/>
              <w:rPr>
                <w:caps/>
              </w:rPr>
            </w:pPr>
            <w:r>
              <w:rPr>
                <w:szCs w:val="21"/>
              </w:rPr>
              <w:t>7.2.4处理后的液体畜禽粪便，其卫生学指标应符合液体畜禽非标堆肥处理卫生学要求。即：蛔虫卵死亡率≥95%；钩虫卵在使用粪液中不应检出活的钩虫卵；粪大肠菌样数常用沼气发酵≤10</w:t>
            </w:r>
            <w:r>
              <w:rPr>
                <w:szCs w:val="21"/>
                <w:vertAlign w:val="superscript"/>
              </w:rPr>
              <w:t>5</w:t>
            </w:r>
            <w:r>
              <w:rPr>
                <w:szCs w:val="21"/>
              </w:rPr>
              <w:t>个/L，高温沼气发酵≤100个/L；蚊子、苍蝇：粪液中不应有蚊蝇幼虫，池的周围不应有活的蛆、蛹或新羽化的成蝇；沼气池粪渣，达到7.1.2要求</w:t>
            </w:r>
          </w:p>
        </w:tc>
        <w:tc>
          <w:tcPr>
            <w:tcW w:w="1742" w:type="pct"/>
            <w:vAlign w:val="center"/>
          </w:tcPr>
          <w:p>
            <w:pPr>
              <w:pStyle w:val="154"/>
              <w:rPr>
                <w:rFonts w:cs="Times New Roman"/>
                <w:caps/>
                <w:color w:val="FF0000"/>
              </w:rPr>
            </w:pPr>
            <w:r>
              <w:t>项目</w:t>
            </w:r>
            <w:r>
              <w:rPr>
                <w:rFonts w:hint="eastAsia"/>
              </w:rPr>
              <w:t>鸡粪采用自动干清粪清掏排出鸡舍后，部分直接拉走依托台源蛋鸡养殖一场好氧发酵罐制有机肥；剩余部分则直接拉走外售衡阳县沛科生态科技有限责任公司制有机肥，在衡阳县沛科生态科技有限责任公司进行发酵预处理，不在本厂区进行预处理，在鸡粪收集室内堆存时间很短</w:t>
            </w:r>
            <w:r>
              <w:t>，满足相关要求</w:t>
            </w:r>
          </w:p>
        </w:tc>
        <w:tc>
          <w:tcPr>
            <w:tcW w:w="504" w:type="pct"/>
            <w:vAlign w:val="center"/>
          </w:tcPr>
          <w:p>
            <w:pPr>
              <w:pStyle w:val="154"/>
              <w:rPr>
                <w:rFonts w:cs="Times New Roman"/>
                <w:caps/>
              </w:rPr>
            </w:pPr>
            <w:r>
              <w:rPr>
                <w:rFonts w:cs="Times New Roman"/>
                <w:caps/>
              </w:rPr>
              <w:t>符合</w:t>
            </w:r>
          </w:p>
        </w:tc>
      </w:tr>
    </w:tbl>
    <w:p>
      <w:pPr>
        <w:pStyle w:val="215"/>
        <w:spacing w:before="120"/>
      </w:pPr>
      <w:r>
        <w:t>综上所述，项目符合《畜禽粪便无害化处理技术规范》（GB/T36195-2018）中相关要求。</w:t>
      </w:r>
    </w:p>
    <w:p>
      <w:pPr>
        <w:pStyle w:val="215"/>
        <w:numPr>
          <w:ilvl w:val="0"/>
          <w:numId w:val="4"/>
        </w:numPr>
        <w:rPr>
          <w:b/>
          <w:bCs/>
          <w:color w:val="FF0000"/>
          <w:u w:val="wave"/>
          <w:lang w:val="zh-CN"/>
        </w:rPr>
      </w:pPr>
      <w:r>
        <w:rPr>
          <w:b/>
          <w:bCs/>
          <w:color w:val="FF0000"/>
          <w:u w:val="wave"/>
          <w:lang w:val="zh-CN"/>
        </w:rPr>
        <w:t>与《关于印发&lt;</w:t>
      </w:r>
      <w:bookmarkStart w:id="22" w:name="_Hlk127699294"/>
      <w:r>
        <w:rPr>
          <w:b/>
          <w:bCs/>
          <w:color w:val="FF0000"/>
          <w:u w:val="wave"/>
          <w:lang w:val="zh-CN"/>
        </w:rPr>
        <w:t>畜禽养殖场（户）粪污处理设施建设技术指南</w:t>
      </w:r>
      <w:bookmarkEnd w:id="22"/>
      <w:r>
        <w:rPr>
          <w:b/>
          <w:bCs/>
          <w:color w:val="FF0000"/>
          <w:u w:val="wave"/>
          <w:lang w:val="zh-CN"/>
        </w:rPr>
        <w:t>&gt;的通知》符合性分析</w:t>
      </w:r>
    </w:p>
    <w:p>
      <w:pPr>
        <w:pStyle w:val="215"/>
        <w:spacing w:before="120"/>
        <w:rPr>
          <w:rFonts w:hint="eastAsia" w:eastAsia="宋体"/>
          <w:color w:val="FF0000"/>
          <w:u w:val="wave"/>
          <w:lang w:val="zh-CN" w:eastAsia="zh-CN"/>
        </w:rPr>
      </w:pPr>
      <w:r>
        <w:rPr>
          <w:rFonts w:hint="eastAsia"/>
          <w:color w:val="FF0000"/>
          <w:u w:val="wave"/>
          <w:lang w:val="en-US" w:eastAsia="zh-CN"/>
        </w:rPr>
        <w:t>本项目与</w:t>
      </w:r>
      <w:r>
        <w:rPr>
          <w:rFonts w:hint="eastAsia"/>
          <w:color w:val="FF0000"/>
          <w:u w:val="wave"/>
        </w:rPr>
        <w:t>《关于印发&lt;畜禽养殖场（户）粪污处理设施建设技术指南&gt;的通知》</w:t>
      </w:r>
      <w:r>
        <w:rPr>
          <w:color w:val="FF0000"/>
          <w:u w:val="wave"/>
        </w:rPr>
        <w:t>相符性分析如表1.</w:t>
      </w:r>
      <w:r>
        <w:rPr>
          <w:rFonts w:hint="eastAsia"/>
          <w:color w:val="FF0000"/>
          <w:u w:val="wave"/>
        </w:rPr>
        <w:t>4-</w:t>
      </w:r>
      <w:r>
        <w:rPr>
          <w:rFonts w:hint="eastAsia"/>
          <w:color w:val="FF0000"/>
          <w:u w:val="wave"/>
          <w:lang w:val="en-US" w:eastAsia="zh-CN"/>
        </w:rPr>
        <w:t>6</w:t>
      </w:r>
      <w:r>
        <w:rPr>
          <w:color w:val="FF0000"/>
          <w:u w:val="wave"/>
        </w:rPr>
        <w:t>所示</w:t>
      </w:r>
      <w:r>
        <w:rPr>
          <w:rFonts w:hint="eastAsia"/>
          <w:color w:val="FF0000"/>
          <w:u w:val="wave"/>
          <w:lang w:eastAsia="zh-CN"/>
        </w:rPr>
        <w:t>。</w:t>
      </w:r>
    </w:p>
    <w:p>
      <w:pPr>
        <w:pStyle w:val="246"/>
        <w:spacing w:beforeLines="50" w:line="240" w:lineRule="auto"/>
        <w:rPr>
          <w:rFonts w:eastAsiaTheme="minorEastAsia"/>
          <w:color w:val="FF0000"/>
          <w:sz w:val="21"/>
          <w:szCs w:val="21"/>
          <w:u w:val="wave"/>
        </w:rPr>
      </w:pPr>
      <w:r>
        <w:rPr>
          <w:rFonts w:eastAsiaTheme="minorEastAsia"/>
          <w:color w:val="FF0000"/>
          <w:sz w:val="21"/>
          <w:szCs w:val="21"/>
          <w:u w:val="wave"/>
        </w:rPr>
        <w:t>表1.4-</w:t>
      </w:r>
      <w:r>
        <w:rPr>
          <w:rFonts w:hint="eastAsia" w:eastAsiaTheme="minorEastAsia"/>
          <w:color w:val="FF0000"/>
          <w:sz w:val="21"/>
          <w:szCs w:val="21"/>
          <w:u w:val="wave"/>
          <w:lang w:val="en-US" w:eastAsia="zh-CN"/>
        </w:rPr>
        <w:t xml:space="preserve">6  </w:t>
      </w:r>
      <w:r>
        <w:rPr>
          <w:rFonts w:eastAsiaTheme="minorEastAsia"/>
          <w:color w:val="FF0000"/>
          <w:sz w:val="21"/>
          <w:szCs w:val="21"/>
          <w:u w:val="wave"/>
        </w:rPr>
        <w:t>项目与《畜禽养殖场（户）粪污处理设施建设技术指南》的符合性分析</w:t>
      </w:r>
    </w:p>
    <w:tbl>
      <w:tblPr>
        <w:tblStyle w:val="47"/>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4065"/>
        <w:gridCol w:w="3075"/>
        <w:gridCol w:w="9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4" w:type="dxa"/>
            <w:tcBorders>
              <w:tl2br w:val="nil"/>
              <w:tr2bl w:val="nil"/>
            </w:tcBorders>
            <w:shd w:val="clear" w:color="auto" w:fill="auto"/>
            <w:noWrap w:val="0"/>
            <w:vAlign w:val="center"/>
          </w:tcPr>
          <w:p>
            <w:pPr>
              <w:pStyle w:val="154"/>
              <w:rPr>
                <w:rFonts w:hint="default" w:ascii="Times New Roman" w:hAnsi="Times New Roman" w:eastAsia="宋体" w:cs="Times New Roman"/>
                <w:b/>
                <w:caps/>
                <w:color w:val="FF0000"/>
                <w:kern w:val="2"/>
                <w:sz w:val="21"/>
                <w:szCs w:val="21"/>
                <w:u w:val="wave"/>
                <w:lang w:val="en-US" w:eastAsia="zh-CN" w:bidi="ar-SA"/>
              </w:rPr>
            </w:pPr>
            <w:r>
              <w:rPr>
                <w:rFonts w:cs="Times New Roman"/>
                <w:b/>
                <w:caps/>
                <w:color w:val="FF0000"/>
                <w:u w:val="wave"/>
              </w:rPr>
              <w:t>类别</w:t>
            </w:r>
          </w:p>
        </w:tc>
        <w:tc>
          <w:tcPr>
            <w:tcW w:w="4065" w:type="dxa"/>
            <w:tcBorders>
              <w:tl2br w:val="nil"/>
              <w:tr2bl w:val="nil"/>
            </w:tcBorders>
            <w:shd w:val="clear" w:color="auto" w:fill="auto"/>
            <w:noWrap w:val="0"/>
            <w:vAlign w:val="center"/>
          </w:tcPr>
          <w:p>
            <w:pPr>
              <w:pStyle w:val="154"/>
              <w:rPr>
                <w:rFonts w:hint="default" w:ascii="Times New Roman" w:hAnsi="Times New Roman" w:eastAsia="宋体" w:cs="Times New Roman"/>
                <w:b/>
                <w:caps/>
                <w:color w:val="FF0000"/>
                <w:kern w:val="2"/>
                <w:sz w:val="21"/>
                <w:szCs w:val="21"/>
                <w:u w:val="wave"/>
                <w:lang w:val="en-US" w:eastAsia="zh-CN" w:bidi="ar-SA"/>
              </w:rPr>
            </w:pPr>
            <w:r>
              <w:rPr>
                <w:rFonts w:cs="Times New Roman"/>
                <w:b/>
                <w:caps/>
                <w:color w:val="FF0000"/>
                <w:u w:val="wave"/>
              </w:rPr>
              <w:t>规范要求</w:t>
            </w:r>
          </w:p>
        </w:tc>
        <w:tc>
          <w:tcPr>
            <w:tcW w:w="3075" w:type="dxa"/>
            <w:tcBorders>
              <w:tl2br w:val="nil"/>
              <w:tr2bl w:val="nil"/>
            </w:tcBorders>
            <w:shd w:val="clear" w:color="auto" w:fill="auto"/>
            <w:noWrap w:val="0"/>
            <w:vAlign w:val="center"/>
          </w:tcPr>
          <w:p>
            <w:pPr>
              <w:pStyle w:val="154"/>
              <w:rPr>
                <w:rFonts w:hint="default" w:ascii="Times New Roman" w:hAnsi="Times New Roman" w:eastAsia="宋体" w:cs="Times New Roman"/>
                <w:b/>
                <w:caps/>
                <w:color w:val="FF0000"/>
                <w:kern w:val="2"/>
                <w:sz w:val="21"/>
                <w:szCs w:val="21"/>
                <w:u w:val="wave"/>
                <w:lang w:val="en-US" w:eastAsia="zh-CN" w:bidi="ar-SA"/>
              </w:rPr>
            </w:pPr>
            <w:r>
              <w:rPr>
                <w:rFonts w:cs="Times New Roman"/>
                <w:b/>
                <w:caps/>
                <w:color w:val="FF0000"/>
                <w:u w:val="wave"/>
              </w:rPr>
              <w:t>本项目情况</w:t>
            </w:r>
          </w:p>
        </w:tc>
        <w:tc>
          <w:tcPr>
            <w:tcW w:w="932" w:type="dxa"/>
            <w:tcBorders>
              <w:tl2br w:val="nil"/>
              <w:tr2bl w:val="nil"/>
            </w:tcBorders>
            <w:shd w:val="clear" w:color="auto" w:fill="auto"/>
            <w:noWrap w:val="0"/>
            <w:vAlign w:val="center"/>
          </w:tcPr>
          <w:p>
            <w:pPr>
              <w:pStyle w:val="154"/>
              <w:rPr>
                <w:rFonts w:hint="eastAsia" w:eastAsia="宋体" w:cs="Times New Roman"/>
                <w:b/>
                <w:caps/>
                <w:color w:val="FF0000"/>
                <w:u w:val="wave"/>
                <w:lang w:val="en-US" w:eastAsia="zh-CN"/>
              </w:rPr>
            </w:pPr>
            <w:r>
              <w:rPr>
                <w:rFonts w:hint="eastAsia" w:cs="Times New Roman"/>
                <w:b/>
                <w:caps/>
                <w:color w:val="FF0000"/>
                <w:u w:val="wave"/>
                <w:lang w:val="en-US"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设施设备总体要求</w:t>
            </w:r>
          </w:p>
        </w:tc>
        <w:tc>
          <w:tcPr>
            <w:tcW w:w="406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畜禽养殖场应根据养殖污染防治要求和当地环境承载力，配备与设计生产能力、粪污处理利用方式相匹配的畜禽粪污处理设施设备，满足防雨、防渗、防溢流和安全防护要求，并确保正常运行。交由第三方处理机构处理畜禽粪污的，应按照转运时间间隔建设粪污暂存设施</w:t>
            </w:r>
          </w:p>
        </w:tc>
        <w:tc>
          <w:tcPr>
            <w:tcW w:w="307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hint="eastAsia"/>
                <w:color w:val="FF0000"/>
                <w:szCs w:val="21"/>
                <w:u w:val="wave"/>
              </w:rPr>
              <w:t>项目设置粪污的收集系统及贮存设施；污粪区进行雨污分流，雨水沿屋檐落至鸡舍外雨水沟，雨水通过雨水沟直接排出场外；鸡舍均建设有除臭设施；医疗废物及等危废设置有危废暂存间，医疗废物交由有资质单位处置，病死鸡暂存于病死鸡暂存间内的冷冻冰柜中，</w:t>
            </w:r>
            <w:r>
              <w:rPr>
                <w:rFonts w:hint="eastAsia"/>
                <w:color w:val="FF0000"/>
                <w:szCs w:val="21"/>
                <w:u w:val="wave"/>
                <w:lang w:val="en-US" w:eastAsia="zh-CN"/>
              </w:rPr>
              <w:t>委托</w:t>
            </w:r>
            <w:r>
              <w:rPr>
                <w:rFonts w:hint="eastAsia"/>
                <w:color w:val="FF0000"/>
                <w:szCs w:val="21"/>
                <w:u w:val="wave"/>
              </w:rPr>
              <w:t>有资质的</w:t>
            </w:r>
            <w:r>
              <w:rPr>
                <w:rFonts w:hint="eastAsia"/>
                <w:color w:val="FF0000"/>
                <w:szCs w:val="21"/>
                <w:u w:val="wave"/>
                <w:lang w:val="en-US" w:eastAsia="zh-CN"/>
              </w:rPr>
              <w:t>单位</w:t>
            </w:r>
            <w:r>
              <w:rPr>
                <w:rFonts w:hint="eastAsia"/>
                <w:color w:val="FF0000"/>
                <w:szCs w:val="21"/>
                <w:u w:val="wave"/>
              </w:rPr>
              <w:t>无害化处理；本项目鸡舍、危废暂存间、污水处理站、污水沟等防渗要求为重点防渗</w:t>
            </w:r>
          </w:p>
        </w:tc>
        <w:tc>
          <w:tcPr>
            <w:tcW w:w="932"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cs="Times New Roman"/>
                <w:caps/>
                <w:color w:val="FF0000"/>
                <w:u w:val="wav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圈舍及运动场粪污减量设施</w:t>
            </w:r>
          </w:p>
        </w:tc>
        <w:tc>
          <w:tcPr>
            <w:tcW w:w="406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畜禽养殖场（户）宜采用干清粪、水泡粪、地面垫料、床（网）下垫料等清粪工艺，逐步淘汰水冲粪工艺，合理控制清粪环节用水量。新建养殖场采用干清粪工艺的，鼓励进行机械干清粪。鼓励畜禽养殖场采用碗式或液位控制等防溢漏饮水器，减少饮水漏水。新建猪、鸡等养殖场宜采取圈舍封闭半封闭管理，鼓励有条件的现有畜禽养殖场开展圈舍封闭改造，对恶臭气体进行收集处理。</w:t>
            </w:r>
          </w:p>
        </w:tc>
        <w:tc>
          <w:tcPr>
            <w:tcW w:w="307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本项目鸡舍采取封闭</w:t>
            </w:r>
            <w:r>
              <w:rPr>
                <w:rFonts w:hint="eastAsia" w:cs="Times New Roman"/>
                <w:color w:val="FF0000"/>
                <w:sz w:val="21"/>
                <w:szCs w:val="21"/>
                <w:u w:val="wave"/>
                <w:lang w:val="en-US" w:eastAsia="zh-CN"/>
              </w:rPr>
              <w:t>式</w:t>
            </w:r>
            <w:r>
              <w:rPr>
                <w:rFonts w:hint="default" w:ascii="Times New Roman" w:hAnsi="Times New Roman" w:cs="Times New Roman"/>
                <w:color w:val="FF0000"/>
                <w:sz w:val="21"/>
                <w:szCs w:val="21"/>
                <w:u w:val="wave"/>
              </w:rPr>
              <w:t>管理，采用</w:t>
            </w:r>
            <w:r>
              <w:rPr>
                <w:rFonts w:hint="eastAsia" w:cs="Times New Roman"/>
                <w:color w:val="FF0000"/>
                <w:sz w:val="21"/>
                <w:szCs w:val="21"/>
                <w:u w:val="wave"/>
                <w:lang w:val="en-US" w:eastAsia="zh-CN"/>
              </w:rPr>
              <w:t>蛋鸡</w:t>
            </w:r>
            <w:r>
              <w:rPr>
                <w:rFonts w:hint="default" w:ascii="Times New Roman" w:hAnsi="Times New Roman" w:cs="Times New Roman"/>
                <w:color w:val="FF0000"/>
                <w:sz w:val="21"/>
                <w:szCs w:val="21"/>
                <w:u w:val="wave"/>
              </w:rPr>
              <w:t>自动化饲养设备，配备</w:t>
            </w:r>
            <w:r>
              <w:rPr>
                <w:rFonts w:hint="eastAsia" w:cs="Times New Roman"/>
                <w:color w:val="FF0000"/>
                <w:sz w:val="21"/>
                <w:szCs w:val="21"/>
                <w:u w:val="wave"/>
                <w:lang w:val="en-US" w:eastAsia="zh-CN"/>
              </w:rPr>
              <w:t>自动</w:t>
            </w:r>
            <w:r>
              <w:rPr>
                <w:rFonts w:hint="default" w:ascii="Times New Roman" w:hAnsi="Times New Roman" w:cs="Times New Roman"/>
                <w:color w:val="FF0000"/>
                <w:sz w:val="21"/>
                <w:szCs w:val="21"/>
                <w:u w:val="wave"/>
              </w:rPr>
              <w:t>清粪系统，粪经过清粪带横向、纵向自动传输，项目每栋鸡舍自动化清粪，鸡粪不落地，并配套建设鸡粪收集室作为鸡粪临时贮存场所</w:t>
            </w:r>
          </w:p>
        </w:tc>
        <w:tc>
          <w:tcPr>
            <w:tcW w:w="932"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cs="Times New Roman"/>
                <w:caps/>
                <w:color w:val="FF0000"/>
                <w:u w:val="wav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雨污分流设施</w:t>
            </w:r>
          </w:p>
        </w:tc>
        <w:tc>
          <w:tcPr>
            <w:tcW w:w="406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畜禽养殖场（户）应建设雨污分流设施，液体粪污应采用暗沟或管道输送，采取密闭措施，做好安全防护，输送管路要合理设置检查口，检查口应加盖且一般高于地面5厘米以上，防止雨水倒灌</w:t>
            </w:r>
          </w:p>
        </w:tc>
        <w:tc>
          <w:tcPr>
            <w:tcW w:w="307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本项目为养鸡项目，不涉及液体粪污</w:t>
            </w:r>
          </w:p>
        </w:tc>
        <w:tc>
          <w:tcPr>
            <w:tcW w:w="932"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cs="Times New Roman"/>
                <w:caps/>
                <w:color w:val="FF0000"/>
                <w:u w:val="wav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畜禽粪污暂存设施</w:t>
            </w:r>
          </w:p>
        </w:tc>
        <w:tc>
          <w:tcPr>
            <w:tcW w:w="406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畜禽养殖场（户）建设畜禽粪污暂存池（场）的，液体粪污暂存池容积不小于单位畜禽液体粪污日产生量（立方米/天·头、只、羽）×暂存周期（天）×设计存栏量（头、只、羽），固体粪污暂存场容积不小于单位畜禽固体粪污日产生量（立方米/天·头、只、羽）×暂存周期（天）×设计存栏量（头、只、羽），暂存周期按转运处理最大时间间隔确定。鼓励采取加盖等措施，减少恶臭气体排放和雨水进入。</w:t>
            </w:r>
          </w:p>
        </w:tc>
        <w:tc>
          <w:tcPr>
            <w:tcW w:w="307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本项目为</w:t>
            </w:r>
            <w:r>
              <w:rPr>
                <w:rFonts w:hint="eastAsia" w:cs="Times New Roman"/>
                <w:color w:val="FF0000"/>
                <w:sz w:val="21"/>
                <w:szCs w:val="21"/>
                <w:u w:val="wave"/>
                <w:lang w:val="en-US" w:eastAsia="zh-CN"/>
              </w:rPr>
              <w:t>蛋</w:t>
            </w:r>
            <w:r>
              <w:rPr>
                <w:rFonts w:hint="default" w:ascii="Times New Roman" w:hAnsi="Times New Roman" w:cs="Times New Roman"/>
                <w:color w:val="FF0000"/>
                <w:sz w:val="21"/>
                <w:szCs w:val="21"/>
                <w:u w:val="wave"/>
              </w:rPr>
              <w:t>鸡养殖项目，涉及固体粪污，</w:t>
            </w:r>
            <w:r>
              <w:rPr>
                <w:rFonts w:hint="eastAsia"/>
                <w:color w:val="FF0000"/>
                <w:u w:val="wave"/>
              </w:rPr>
              <w:t>鸡粪采用自动干清粪清掏排出鸡舍后，</w:t>
            </w:r>
            <w:r>
              <w:rPr>
                <w:rFonts w:hint="eastAsia"/>
                <w:bCs/>
                <w:color w:val="FF0000"/>
                <w:szCs w:val="24"/>
                <w:u w:val="wave"/>
                <w:lang w:val="en-US" w:eastAsia="zh-CN"/>
              </w:rPr>
              <w:t>部分</w:t>
            </w:r>
            <w:r>
              <w:rPr>
                <w:rFonts w:hint="eastAsia"/>
                <w:color w:val="FF0000"/>
                <w:u w:val="wave"/>
              </w:rPr>
              <w:t>直接拉走</w:t>
            </w:r>
            <w:r>
              <w:rPr>
                <w:rFonts w:hint="eastAsia"/>
                <w:bCs/>
                <w:color w:val="FF0000"/>
                <w:szCs w:val="24"/>
                <w:u w:val="wave"/>
                <w:lang w:val="en-US" w:eastAsia="zh-CN"/>
              </w:rPr>
              <w:t>依托</w:t>
            </w:r>
            <w:r>
              <w:rPr>
                <w:rFonts w:hint="eastAsia"/>
                <w:color w:val="FF0000"/>
                <w:u w:val="wave"/>
              </w:rPr>
              <w:t>台源</w:t>
            </w:r>
            <w:r>
              <w:rPr>
                <w:rFonts w:hint="eastAsia"/>
                <w:bCs/>
                <w:color w:val="FF0000"/>
                <w:u w:val="wave"/>
              </w:rPr>
              <w:t>蛋鸡养殖</w:t>
            </w:r>
            <w:r>
              <w:rPr>
                <w:rFonts w:hint="eastAsia"/>
                <w:bCs/>
                <w:color w:val="FF0000"/>
                <w:u w:val="wave"/>
                <w:lang w:val="en-US" w:eastAsia="zh-CN"/>
              </w:rPr>
              <w:t>一场</w:t>
            </w:r>
            <w:r>
              <w:rPr>
                <w:rFonts w:hint="eastAsia"/>
                <w:color w:val="FF0000"/>
                <w:szCs w:val="21"/>
                <w:u w:val="wave"/>
              </w:rPr>
              <w:t>好氧发酵罐</w:t>
            </w:r>
            <w:r>
              <w:rPr>
                <w:rFonts w:hint="eastAsia"/>
                <w:color w:val="FF0000"/>
                <w:szCs w:val="21"/>
                <w:u w:val="wave"/>
                <w:lang w:val="en-US" w:eastAsia="zh-CN"/>
              </w:rPr>
              <w:t>制有机肥；剩余部分则</w:t>
            </w:r>
            <w:r>
              <w:rPr>
                <w:rFonts w:hint="eastAsia"/>
                <w:color w:val="FF0000"/>
                <w:u w:val="wave"/>
              </w:rPr>
              <w:t>直接拉走</w:t>
            </w:r>
            <w:r>
              <w:rPr>
                <w:rFonts w:hint="eastAsia"/>
                <w:color w:val="FF0000"/>
                <w:szCs w:val="21"/>
                <w:u w:val="wave"/>
                <w:lang w:val="en-US" w:eastAsia="zh-CN"/>
              </w:rPr>
              <w:t>外售衡阳县沛科生态科技有限责任公司制有机肥</w:t>
            </w:r>
            <w:r>
              <w:rPr>
                <w:rFonts w:hint="eastAsia"/>
                <w:color w:val="FF0000"/>
                <w:u w:val="wave"/>
              </w:rPr>
              <w:t>，在</w:t>
            </w:r>
            <w:r>
              <w:rPr>
                <w:rFonts w:hint="eastAsia"/>
                <w:color w:val="FF0000"/>
                <w:szCs w:val="21"/>
                <w:u w:val="wave"/>
                <w:lang w:val="en-US" w:eastAsia="zh-CN"/>
              </w:rPr>
              <w:t>衡阳县沛科生态科技有限责任公司</w:t>
            </w:r>
            <w:r>
              <w:rPr>
                <w:rFonts w:hint="eastAsia"/>
                <w:color w:val="FF0000"/>
                <w:u w:val="wave"/>
              </w:rPr>
              <w:t>进行发酵预处理，不在本厂区进行预处理，在鸡粪收集室内堆存时间很短</w:t>
            </w:r>
            <w:r>
              <w:rPr>
                <w:rFonts w:hint="default" w:ascii="Times New Roman" w:hAnsi="Times New Roman" w:cs="Times New Roman"/>
                <w:color w:val="FF0000"/>
                <w:sz w:val="21"/>
                <w:szCs w:val="21"/>
                <w:u w:val="wave"/>
              </w:rPr>
              <w:t>。</w:t>
            </w:r>
          </w:p>
        </w:tc>
        <w:tc>
          <w:tcPr>
            <w:tcW w:w="932"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cs="Times New Roman"/>
                <w:caps/>
                <w:color w:val="FF0000"/>
                <w:u w:val="wav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4"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固体粪污发酵设施</w:t>
            </w:r>
          </w:p>
        </w:tc>
        <w:tc>
          <w:tcPr>
            <w:tcW w:w="406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畜禽养殖场（户）可采用堆肥、沤肥、生产垫料等方式处理固体粪污。堆肥宜采用条垛式、强制通风静态垛、槽式、发酵仓、反应器或覆膜堆肥等好氧工艺，根据不同工艺配套必要的混合、输送、搅拌、供氧和除臭等设施设备。沤肥宜采用平地或半坑式糊泥静置等兼氧工艺。生产垫料宜采用密闭式滚筒好氧发酵工艺，配套必要的固液分离、进料、混合、发酵、除臭或智能控制等设施设备，分离出的液体粪污应参照5.5液体粪污贮存发酵设施中的要求进行处理。堆（沤）肥设施发酵容积不小于单位畜禽固体粪污日产生量（立方米/天·头、只、羽）×发酵周期（天）×设计存栏量（头、只、羽），确保充分发酵腐熟，处理后蛔虫卵、粪大肠杆菌、镉、汞、砷、铅、铬、铊和缩二脲等物质应达到《肥料中有毒有害物质的限量要求》</w:t>
            </w:r>
          </w:p>
        </w:tc>
        <w:tc>
          <w:tcPr>
            <w:tcW w:w="307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本项目</w:t>
            </w:r>
            <w:r>
              <w:rPr>
                <w:rFonts w:hint="eastAsia"/>
                <w:color w:val="FF0000"/>
                <w:u w:val="wave"/>
              </w:rPr>
              <w:t>鸡粪采用自动干清粪清掏排出鸡舍后，</w:t>
            </w:r>
            <w:r>
              <w:rPr>
                <w:rFonts w:hint="eastAsia"/>
                <w:bCs/>
                <w:color w:val="FF0000"/>
                <w:szCs w:val="24"/>
                <w:u w:val="wave"/>
                <w:lang w:val="en-US" w:eastAsia="zh-CN"/>
              </w:rPr>
              <w:t>部分</w:t>
            </w:r>
            <w:r>
              <w:rPr>
                <w:rFonts w:hint="eastAsia"/>
                <w:color w:val="FF0000"/>
                <w:u w:val="wave"/>
              </w:rPr>
              <w:t>直接拉走</w:t>
            </w:r>
            <w:r>
              <w:rPr>
                <w:rFonts w:hint="eastAsia"/>
                <w:bCs/>
                <w:color w:val="FF0000"/>
                <w:szCs w:val="24"/>
                <w:u w:val="wave"/>
                <w:lang w:val="en-US" w:eastAsia="zh-CN"/>
              </w:rPr>
              <w:t>依托</w:t>
            </w:r>
            <w:r>
              <w:rPr>
                <w:rFonts w:hint="eastAsia"/>
                <w:color w:val="FF0000"/>
                <w:u w:val="wave"/>
              </w:rPr>
              <w:t>台源</w:t>
            </w:r>
            <w:r>
              <w:rPr>
                <w:rFonts w:hint="eastAsia"/>
                <w:bCs/>
                <w:color w:val="FF0000"/>
                <w:u w:val="wave"/>
              </w:rPr>
              <w:t>蛋鸡养殖</w:t>
            </w:r>
            <w:r>
              <w:rPr>
                <w:rFonts w:hint="eastAsia"/>
                <w:bCs/>
                <w:color w:val="FF0000"/>
                <w:u w:val="wave"/>
                <w:lang w:val="en-US" w:eastAsia="zh-CN"/>
              </w:rPr>
              <w:t>一场</w:t>
            </w:r>
            <w:r>
              <w:rPr>
                <w:rFonts w:hint="eastAsia"/>
                <w:color w:val="FF0000"/>
                <w:szCs w:val="21"/>
                <w:u w:val="wave"/>
              </w:rPr>
              <w:t>好氧发酵罐</w:t>
            </w:r>
            <w:r>
              <w:rPr>
                <w:rFonts w:hint="eastAsia"/>
                <w:color w:val="FF0000"/>
                <w:szCs w:val="21"/>
                <w:u w:val="wave"/>
                <w:lang w:val="en-US" w:eastAsia="zh-CN"/>
              </w:rPr>
              <w:t>制有机肥；剩余部分则</w:t>
            </w:r>
            <w:r>
              <w:rPr>
                <w:rFonts w:hint="eastAsia"/>
                <w:color w:val="FF0000"/>
                <w:u w:val="wave"/>
              </w:rPr>
              <w:t>直接拉走</w:t>
            </w:r>
            <w:r>
              <w:rPr>
                <w:rFonts w:hint="eastAsia"/>
                <w:color w:val="FF0000"/>
                <w:szCs w:val="21"/>
                <w:u w:val="wave"/>
                <w:lang w:val="en-US" w:eastAsia="zh-CN"/>
              </w:rPr>
              <w:t>外售衡阳县沛科生态科技有限责任公司制有机肥</w:t>
            </w:r>
            <w:r>
              <w:rPr>
                <w:rFonts w:hint="eastAsia"/>
                <w:color w:val="FF0000"/>
                <w:u w:val="wave"/>
              </w:rPr>
              <w:t>，在</w:t>
            </w:r>
            <w:r>
              <w:rPr>
                <w:rFonts w:hint="eastAsia"/>
                <w:color w:val="FF0000"/>
                <w:szCs w:val="21"/>
                <w:u w:val="wave"/>
                <w:lang w:val="en-US" w:eastAsia="zh-CN"/>
              </w:rPr>
              <w:t>衡阳县沛科生态科技有限责任公司</w:t>
            </w:r>
            <w:r>
              <w:rPr>
                <w:rFonts w:hint="eastAsia"/>
                <w:color w:val="FF0000"/>
                <w:u w:val="wave"/>
              </w:rPr>
              <w:t>进行发酵预处理，不在本厂区进行预处理，在鸡粪收集室内堆存时间很短</w:t>
            </w:r>
          </w:p>
        </w:tc>
        <w:tc>
          <w:tcPr>
            <w:tcW w:w="932"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cs="Times New Roman"/>
                <w:caps/>
                <w:color w:val="FF0000"/>
                <w:u w:val="wave"/>
              </w:rPr>
              <w:t>符合</w:t>
            </w:r>
          </w:p>
        </w:tc>
      </w:tr>
    </w:tbl>
    <w:p>
      <w:pPr>
        <w:pStyle w:val="215"/>
        <w:spacing w:before="120"/>
        <w:rPr>
          <w:rFonts w:hint="eastAsia"/>
          <w:color w:val="FF0000"/>
          <w:u w:val="wave"/>
          <w:lang w:eastAsia="zh-CN"/>
        </w:rPr>
      </w:pPr>
      <w:r>
        <w:rPr>
          <w:color w:val="FF0000"/>
          <w:u w:val="wave"/>
        </w:rPr>
        <w:t>综上所述，项目符合</w:t>
      </w:r>
      <w:r>
        <w:rPr>
          <w:rFonts w:hint="eastAsia"/>
          <w:color w:val="FF0000"/>
          <w:u w:val="wave"/>
        </w:rPr>
        <w:t>《关于印发&lt;畜禽养殖场（户）粪污处理设施建设技术指南&gt;的通知》</w:t>
      </w:r>
      <w:r>
        <w:rPr>
          <w:color w:val="FF0000"/>
          <w:u w:val="wave"/>
        </w:rPr>
        <w:t>中相关要求</w:t>
      </w:r>
      <w:r>
        <w:rPr>
          <w:rFonts w:hint="eastAsia"/>
          <w:color w:val="FF0000"/>
          <w:u w:val="wave"/>
          <w:lang w:eastAsia="zh-CN"/>
        </w:rPr>
        <w:t>。</w:t>
      </w:r>
    </w:p>
    <w:p>
      <w:pPr>
        <w:pStyle w:val="215"/>
        <w:numPr>
          <w:ilvl w:val="0"/>
          <w:numId w:val="4"/>
        </w:numPr>
        <w:rPr>
          <w:b/>
          <w:bCs/>
          <w:color w:val="FF0000"/>
          <w:u w:val="wave"/>
          <w:lang w:val="zh-CN"/>
        </w:rPr>
      </w:pPr>
      <w:r>
        <w:rPr>
          <w:b/>
          <w:bCs/>
          <w:color w:val="FF0000"/>
          <w:u w:val="wave"/>
          <w:lang w:val="zh-CN"/>
        </w:rPr>
        <w:t>与《</w:t>
      </w:r>
      <w:r>
        <w:rPr>
          <w:rFonts w:hint="eastAsia"/>
          <w:b/>
          <w:bCs/>
          <w:color w:val="FF0000"/>
          <w:u w:val="wave"/>
          <w:lang w:val="en-US" w:eastAsia="zh-CN"/>
        </w:rPr>
        <w:t>衡阳县畜禽养殖污染防治规划（2021~2025）</w:t>
      </w:r>
      <w:r>
        <w:rPr>
          <w:b/>
          <w:bCs/>
          <w:color w:val="FF0000"/>
          <w:u w:val="wave"/>
          <w:lang w:val="zh-CN"/>
        </w:rPr>
        <w:t>》符合性分析</w:t>
      </w:r>
    </w:p>
    <w:p>
      <w:pPr>
        <w:pStyle w:val="215"/>
        <w:spacing w:before="120"/>
        <w:rPr>
          <w:rFonts w:hint="eastAsia" w:eastAsia="宋体"/>
          <w:color w:val="FF0000"/>
          <w:u w:val="wave"/>
          <w:lang w:val="zh-CN" w:eastAsia="zh-CN"/>
        </w:rPr>
      </w:pPr>
      <w:r>
        <w:rPr>
          <w:rFonts w:hint="eastAsia"/>
          <w:color w:val="FF0000"/>
          <w:u w:val="wave"/>
          <w:lang w:val="en-US" w:eastAsia="zh-CN"/>
        </w:rPr>
        <w:t>本项目与《衡阳县畜禽养殖污染防治规划（2021~2025）》</w:t>
      </w:r>
      <w:r>
        <w:rPr>
          <w:color w:val="FF0000"/>
          <w:u w:val="wave"/>
        </w:rPr>
        <w:t>相符性分析如表1.</w:t>
      </w:r>
      <w:r>
        <w:rPr>
          <w:rFonts w:hint="eastAsia"/>
          <w:color w:val="FF0000"/>
          <w:u w:val="wave"/>
        </w:rPr>
        <w:t>4-</w:t>
      </w:r>
      <w:r>
        <w:rPr>
          <w:rFonts w:hint="eastAsia"/>
          <w:color w:val="FF0000"/>
          <w:u w:val="wave"/>
          <w:lang w:val="en-US" w:eastAsia="zh-CN"/>
        </w:rPr>
        <w:t>7</w:t>
      </w:r>
      <w:r>
        <w:rPr>
          <w:color w:val="FF0000"/>
          <w:u w:val="wave"/>
        </w:rPr>
        <w:t>所示</w:t>
      </w:r>
      <w:r>
        <w:rPr>
          <w:rFonts w:hint="eastAsia"/>
          <w:color w:val="FF0000"/>
          <w:u w:val="wave"/>
          <w:lang w:eastAsia="zh-CN"/>
        </w:rPr>
        <w:t>。</w:t>
      </w:r>
    </w:p>
    <w:p>
      <w:pPr>
        <w:pStyle w:val="246"/>
        <w:spacing w:beforeLines="50" w:line="240" w:lineRule="auto"/>
        <w:rPr>
          <w:rFonts w:eastAsiaTheme="minorEastAsia"/>
          <w:color w:val="FF0000"/>
          <w:sz w:val="21"/>
          <w:szCs w:val="21"/>
          <w:u w:val="wave"/>
        </w:rPr>
      </w:pPr>
      <w:r>
        <w:rPr>
          <w:rFonts w:eastAsiaTheme="minorEastAsia"/>
          <w:color w:val="FF0000"/>
          <w:sz w:val="21"/>
          <w:szCs w:val="21"/>
          <w:u w:val="wave"/>
        </w:rPr>
        <w:t>表1.4-</w:t>
      </w:r>
      <w:r>
        <w:rPr>
          <w:rFonts w:hint="eastAsia" w:eastAsiaTheme="minorEastAsia"/>
          <w:color w:val="FF0000"/>
          <w:sz w:val="21"/>
          <w:szCs w:val="21"/>
          <w:u w:val="wave"/>
          <w:lang w:val="en-US" w:eastAsia="zh-CN"/>
        </w:rPr>
        <w:t xml:space="preserve">6  </w:t>
      </w:r>
      <w:r>
        <w:rPr>
          <w:rFonts w:eastAsiaTheme="minorEastAsia"/>
          <w:color w:val="FF0000"/>
          <w:sz w:val="21"/>
          <w:szCs w:val="21"/>
          <w:u w:val="wave"/>
        </w:rPr>
        <w:t>项目与</w:t>
      </w:r>
      <w:r>
        <w:rPr>
          <w:rFonts w:hint="eastAsia" w:eastAsiaTheme="minorEastAsia"/>
          <w:color w:val="FF0000"/>
          <w:sz w:val="21"/>
          <w:szCs w:val="21"/>
          <w:u w:val="wave"/>
        </w:rPr>
        <w:t>《衡阳县畜禽养殖污染防治规划（2021~2025）》</w:t>
      </w:r>
      <w:r>
        <w:rPr>
          <w:rFonts w:eastAsiaTheme="minorEastAsia"/>
          <w:color w:val="FF0000"/>
          <w:sz w:val="21"/>
          <w:szCs w:val="21"/>
          <w:u w:val="wave"/>
        </w:rPr>
        <w:t>的符合性分析</w:t>
      </w:r>
    </w:p>
    <w:tbl>
      <w:tblPr>
        <w:tblStyle w:val="47"/>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04"/>
        <w:gridCol w:w="3407"/>
        <w:gridCol w:w="10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8" w:type="pct"/>
            <w:tcBorders>
              <w:tl2br w:val="nil"/>
              <w:tr2bl w:val="nil"/>
            </w:tcBorders>
            <w:shd w:val="clear" w:color="auto" w:fill="auto"/>
            <w:noWrap w:val="0"/>
            <w:vAlign w:val="center"/>
          </w:tcPr>
          <w:p>
            <w:pPr>
              <w:pStyle w:val="154"/>
              <w:rPr>
                <w:rFonts w:hint="default" w:ascii="Times New Roman" w:hAnsi="Times New Roman" w:eastAsia="宋体" w:cs="Times New Roman"/>
                <w:b/>
                <w:caps/>
                <w:color w:val="FF0000"/>
                <w:kern w:val="2"/>
                <w:sz w:val="21"/>
                <w:szCs w:val="21"/>
                <w:u w:val="wave"/>
                <w:lang w:val="en-US" w:eastAsia="zh-CN" w:bidi="ar-SA"/>
              </w:rPr>
            </w:pPr>
            <w:r>
              <w:rPr>
                <w:rFonts w:hint="eastAsia" w:cs="Times New Roman"/>
                <w:b/>
                <w:caps/>
                <w:color w:val="FF0000"/>
                <w:u w:val="wave"/>
                <w:lang w:val="en-US" w:eastAsia="zh-CN"/>
              </w:rPr>
              <w:t>规划</w:t>
            </w:r>
            <w:r>
              <w:rPr>
                <w:rFonts w:cs="Times New Roman"/>
                <w:b/>
                <w:caps/>
                <w:color w:val="FF0000"/>
                <w:u w:val="wave"/>
              </w:rPr>
              <w:t>要求</w:t>
            </w:r>
          </w:p>
        </w:tc>
        <w:tc>
          <w:tcPr>
            <w:tcW w:w="1904" w:type="pct"/>
            <w:tcBorders>
              <w:tl2br w:val="nil"/>
              <w:tr2bl w:val="nil"/>
            </w:tcBorders>
            <w:shd w:val="clear" w:color="auto" w:fill="auto"/>
            <w:noWrap w:val="0"/>
            <w:vAlign w:val="center"/>
          </w:tcPr>
          <w:p>
            <w:pPr>
              <w:pStyle w:val="154"/>
              <w:rPr>
                <w:rFonts w:hint="default" w:ascii="Times New Roman" w:hAnsi="Times New Roman" w:eastAsia="宋体" w:cs="Times New Roman"/>
                <w:b/>
                <w:caps/>
                <w:color w:val="FF0000"/>
                <w:kern w:val="2"/>
                <w:sz w:val="21"/>
                <w:szCs w:val="21"/>
                <w:u w:val="wave"/>
                <w:lang w:val="en-US" w:eastAsia="zh-CN" w:bidi="ar-SA"/>
              </w:rPr>
            </w:pPr>
            <w:r>
              <w:rPr>
                <w:rFonts w:cs="Times New Roman"/>
                <w:b/>
                <w:caps/>
                <w:color w:val="FF0000"/>
                <w:u w:val="wave"/>
              </w:rPr>
              <w:t>本项目情况</w:t>
            </w:r>
          </w:p>
        </w:tc>
        <w:tc>
          <w:tcPr>
            <w:tcW w:w="576" w:type="pct"/>
            <w:tcBorders>
              <w:tl2br w:val="nil"/>
              <w:tr2bl w:val="nil"/>
            </w:tcBorders>
            <w:shd w:val="clear" w:color="auto" w:fill="auto"/>
            <w:noWrap w:val="0"/>
            <w:vAlign w:val="center"/>
          </w:tcPr>
          <w:p>
            <w:pPr>
              <w:pStyle w:val="154"/>
              <w:rPr>
                <w:rFonts w:hint="eastAsia" w:eastAsia="宋体" w:cs="Times New Roman"/>
                <w:b/>
                <w:caps/>
                <w:color w:val="FF0000"/>
                <w:u w:val="wave"/>
                <w:lang w:val="en-US" w:eastAsia="zh-CN"/>
              </w:rPr>
            </w:pPr>
            <w:r>
              <w:rPr>
                <w:rFonts w:hint="eastAsia" w:cs="Times New Roman"/>
                <w:b/>
                <w:caps/>
                <w:color w:val="FF0000"/>
                <w:u w:val="wave"/>
                <w:lang w:val="en-US"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hint="eastAsia" w:ascii="Times New Roman" w:hAnsi="Times New Roman" w:cs="Times New Roman"/>
                <w:color w:val="FF0000"/>
                <w:sz w:val="21"/>
                <w:szCs w:val="21"/>
                <w:u w:val="wave"/>
                <w:lang w:val="en-US" w:eastAsia="zh-CN"/>
              </w:rPr>
              <w:t>5.2</w:t>
            </w:r>
            <w:r>
              <w:rPr>
                <w:rFonts w:hint="default" w:ascii="Times New Roman" w:hAnsi="Times New Roman" w:cs="Times New Roman"/>
                <w:color w:val="FF0000"/>
                <w:sz w:val="21"/>
                <w:szCs w:val="21"/>
                <w:u w:val="wave"/>
              </w:rPr>
              <w:t>提升禽污资源化利用水平</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FF0000"/>
                <w:sz w:val="21"/>
                <w:szCs w:val="21"/>
                <w:u w:val="wave"/>
                <w:lang w:eastAsia="zh-CN"/>
              </w:rPr>
            </w:pPr>
            <w:r>
              <w:rPr>
                <w:rFonts w:hint="default" w:ascii="Times New Roman" w:hAnsi="Times New Roman" w:cs="Times New Roman"/>
                <w:color w:val="FF0000"/>
                <w:sz w:val="21"/>
                <w:szCs w:val="21"/>
                <w:u w:val="wave"/>
              </w:rPr>
              <w:t>畜禽类污资源化利用是畜禽污染防治的根本出路，规划期内衡阳县将从以下三个方面提升畜禽粪污资源化利用水平</w:t>
            </w:r>
            <w:r>
              <w:rPr>
                <w:rFonts w:hint="eastAsia" w:ascii="Times New Roman" w:hAnsi="Times New Roman" w:cs="Times New Roman"/>
                <w:color w:val="FF0000"/>
                <w:sz w:val="21"/>
                <w:szCs w:val="21"/>
                <w:u w:val="wav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hint="eastAsia" w:ascii="Times New Roman" w:hAnsi="Times New Roman" w:cs="Times New Roman"/>
                <w:color w:val="FF0000"/>
                <w:sz w:val="21"/>
                <w:szCs w:val="21"/>
                <w:u w:val="wave"/>
                <w:lang w:val="en-US" w:eastAsia="zh-CN"/>
              </w:rPr>
              <w:t>一</w:t>
            </w:r>
            <w:r>
              <w:rPr>
                <w:rFonts w:hint="default" w:ascii="Times New Roman" w:hAnsi="Times New Roman" w:cs="Times New Roman"/>
                <w:color w:val="FF0000"/>
                <w:sz w:val="21"/>
                <w:szCs w:val="21"/>
                <w:u w:val="wave"/>
              </w:rPr>
              <w:t>是提倡规模养殖养采取资源化利用方式处理类污。目前，衡阳县规模养殖场采用达标排放处理畜禽粪污的居多，全部采用资源化利用模式处理畜禽养殖废弃物的养殖企业少。规划期内应要求规模养殖场以资源化利用作为主要提升方向，尤其对于养殖场周边存在环境制约因素的，原则上需要采取全部资源化利用方式处理畜禽粪污。</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color w:val="FF0000"/>
                <w:sz w:val="21"/>
                <w:szCs w:val="21"/>
                <w:u w:val="wave"/>
                <w:lang w:eastAsia="zh-CN"/>
              </w:rPr>
            </w:pPr>
            <w:r>
              <w:rPr>
                <w:rFonts w:hint="default" w:ascii="Times New Roman" w:hAnsi="Times New Roman" w:cs="Times New Roman"/>
                <w:color w:val="FF0000"/>
                <w:sz w:val="21"/>
                <w:szCs w:val="21"/>
                <w:u w:val="wave"/>
              </w:rPr>
              <w:t>二是引导养殖户全量收集，利用畜禽粪污制取沼气。养殖户分布较为分散，粪污产生量较小，适合利用沼气池处理粪污，以畜食粪便为基本原料，建设</w:t>
            </w:r>
            <w:r>
              <w:rPr>
                <w:rFonts w:hint="eastAsia" w:asciiTheme="majorEastAsia" w:hAnsiTheme="majorEastAsia" w:eastAsiaTheme="majorEastAsia" w:cstheme="majorEastAsia"/>
                <w:color w:val="FF0000"/>
                <w:sz w:val="21"/>
                <w:szCs w:val="21"/>
                <w:u w:val="wave"/>
              </w:rPr>
              <w:t>“简便适用、造价低廉、运行费低”</w:t>
            </w:r>
            <w:r>
              <w:rPr>
                <w:rFonts w:hint="default" w:ascii="Times New Roman" w:hAnsi="Times New Roman" w:cs="Times New Roman"/>
                <w:color w:val="FF0000"/>
                <w:sz w:val="21"/>
                <w:szCs w:val="21"/>
                <w:u w:val="wave"/>
              </w:rPr>
              <w:t>的小型沼气池，通过初步发酵，产生的沼气用于燃烧、照明和保暖等，多余沼气还可用于发电;同时，沼液作为有机肥可直接还田</w:t>
            </w:r>
            <w:r>
              <w:rPr>
                <w:rFonts w:hint="eastAsia" w:ascii="Times New Roman" w:hAnsi="Times New Roman" w:cs="Times New Roman"/>
                <w:color w:val="FF0000"/>
                <w:sz w:val="21"/>
                <w:szCs w:val="21"/>
                <w:u w:val="wav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FF0000"/>
                <w:sz w:val="21"/>
                <w:szCs w:val="21"/>
                <w:u w:val="wave"/>
                <w:lang w:eastAsia="zh-CN"/>
              </w:rPr>
            </w:pPr>
            <w:r>
              <w:rPr>
                <w:rFonts w:hint="default" w:ascii="Times New Roman" w:hAnsi="Times New Roman" w:cs="Times New Roman"/>
                <w:color w:val="FF0000"/>
                <w:sz w:val="21"/>
                <w:szCs w:val="21"/>
                <w:u w:val="wave"/>
              </w:rPr>
              <w:t>三是鼓励建立区域化类污处理中心。在畜禽养殖场(养殖小区)分布密集区域建设粪污处理利用中心，养殖场收集粪污后暂存于粪污储存池内，喷洒生物发酵菌种进行初步发酵除臭，再由粪污处理中心集中收集处理，制作有机肥料。对于不具备处理能力的养殖场户，可委托类污处理中心进行处理，这样既减少养殖场粪污处理成本，同时也提高了畜禽粪污的综合利用水平</w:t>
            </w:r>
            <w:r>
              <w:rPr>
                <w:rFonts w:hint="eastAsia" w:ascii="Times New Roman" w:hAnsi="Times New Roman" w:cs="Times New Roman"/>
                <w:color w:val="FF0000"/>
                <w:sz w:val="21"/>
                <w:szCs w:val="21"/>
                <w:u w:val="wave"/>
                <w:lang w:eastAsia="zh-CN"/>
              </w:rPr>
              <w:t>。</w:t>
            </w:r>
          </w:p>
        </w:tc>
        <w:tc>
          <w:tcPr>
            <w:tcW w:w="190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鸡舍中设置自动清粪系统，鸡粪日产日清。项目每栋鸡舍自动化清粪，鸡粪不落地，并配套建设鸡粪收集室作为鸡粪临时贮存场所，正常情况下，鸡粪采用自动干清粪清掏排出鸡舍后，部分直接拉走依托台源蛋鸡养殖一场好氧发酵罐制有机肥；剩余部分则直接拉走外售衡阳县沛科生态科技有限责任公司制有机肥，在衡阳县沛科生态科技有限责任公司进行发酵预处理，不在本厂区进行预处理，在鸡粪收集室内堆存时间很短。采取雨污分流，废水经处理后</w:t>
            </w:r>
            <w:r>
              <w:rPr>
                <w:rFonts w:hint="eastAsia" w:cs="Times New Roman"/>
                <w:color w:val="FF0000"/>
                <w:sz w:val="21"/>
                <w:szCs w:val="21"/>
                <w:u w:val="wave"/>
                <w:lang w:eastAsia="zh-CN"/>
              </w:rPr>
              <w:t>用于周边种植基地灌溉，不外排</w:t>
            </w:r>
            <w:r>
              <w:rPr>
                <w:rFonts w:hint="default" w:ascii="Times New Roman" w:hAnsi="Times New Roman" w:cs="Times New Roman"/>
                <w:color w:val="FF0000"/>
                <w:sz w:val="21"/>
                <w:szCs w:val="21"/>
                <w:u w:val="wave"/>
              </w:rPr>
              <w:t>，实现了养殖场粪污资源化利用的目的</w:t>
            </w:r>
          </w:p>
        </w:tc>
        <w:tc>
          <w:tcPr>
            <w:tcW w:w="57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cs="Times New Roman"/>
                <w:caps/>
                <w:color w:val="FF0000"/>
                <w:u w:val="wav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hint="eastAsia" w:ascii="Times New Roman" w:hAnsi="Times New Roman" w:cs="Times New Roman"/>
                <w:color w:val="FF0000"/>
                <w:sz w:val="21"/>
                <w:szCs w:val="21"/>
                <w:u w:val="wave"/>
                <w:lang w:val="en-US" w:eastAsia="zh-CN"/>
              </w:rPr>
              <w:t>5.3</w:t>
            </w:r>
            <w:r>
              <w:rPr>
                <w:rFonts w:hint="default" w:ascii="Times New Roman" w:hAnsi="Times New Roman" w:cs="Times New Roman"/>
                <w:color w:val="FF0000"/>
                <w:sz w:val="21"/>
                <w:szCs w:val="21"/>
                <w:u w:val="wave"/>
              </w:rPr>
              <w:t>完善类污处理和利用设施</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FF0000"/>
                <w:sz w:val="21"/>
                <w:szCs w:val="21"/>
                <w:u w:val="wave"/>
                <w:lang w:eastAsia="zh-CN"/>
              </w:rPr>
            </w:pPr>
            <w:r>
              <w:rPr>
                <w:rFonts w:hint="default" w:ascii="Times New Roman" w:hAnsi="Times New Roman" w:cs="Times New Roman"/>
                <w:color w:val="FF0000"/>
                <w:sz w:val="21"/>
                <w:szCs w:val="21"/>
                <w:u w:val="wave"/>
              </w:rPr>
              <w:t>按照源头减量、过程控制、末端利用的原则,加强畜禽养殖场户粪污收集、贮存、处理设施装备建设，明确需要改建和新建的设施内容和规模</w:t>
            </w:r>
            <w:r>
              <w:rPr>
                <w:rFonts w:hint="eastAsia" w:ascii="Times New Roman" w:hAnsi="Times New Roman" w:cs="Times New Roman"/>
                <w:color w:val="FF0000"/>
                <w:sz w:val="21"/>
                <w:szCs w:val="21"/>
                <w:u w:val="wave"/>
                <w:lang w:eastAsia="zh-CN"/>
              </w:rPr>
              <w:t>，</w:t>
            </w:r>
            <w:r>
              <w:rPr>
                <w:rFonts w:hint="default" w:ascii="Times New Roman" w:hAnsi="Times New Roman" w:cs="Times New Roman"/>
                <w:color w:val="FF0000"/>
                <w:sz w:val="21"/>
                <w:szCs w:val="21"/>
                <w:u w:val="wave"/>
              </w:rPr>
              <w:t>对于不符合要求的养殖场户在规划期内列为重点整治对象。主要包括</w:t>
            </w:r>
            <w:r>
              <w:rPr>
                <w:rFonts w:hint="eastAsia" w:ascii="Times New Roman" w:hAnsi="Times New Roman" w:cs="Times New Roman"/>
                <w:color w:val="FF0000"/>
                <w:sz w:val="21"/>
                <w:szCs w:val="21"/>
                <w:u w:val="wav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hint="eastAsia" w:ascii="Times New Roman" w:hAnsi="Times New Roman" w:cs="Times New Roman"/>
                <w:color w:val="FF0000"/>
                <w:sz w:val="21"/>
                <w:szCs w:val="21"/>
                <w:u w:val="wave"/>
                <w:lang w:eastAsia="zh-CN"/>
              </w:rPr>
              <w:t>（</w:t>
            </w:r>
            <w:r>
              <w:rPr>
                <w:rFonts w:hint="eastAsia" w:ascii="Times New Roman" w:hAnsi="Times New Roman" w:cs="Times New Roman"/>
                <w:color w:val="FF0000"/>
                <w:sz w:val="21"/>
                <w:szCs w:val="21"/>
                <w:u w:val="wave"/>
                <w:lang w:val="en-US" w:eastAsia="zh-CN"/>
              </w:rPr>
              <w:t>1</w:t>
            </w:r>
            <w:r>
              <w:rPr>
                <w:rFonts w:hint="eastAsia" w:ascii="Times New Roman" w:hAnsi="Times New Roman" w:cs="Times New Roman"/>
                <w:color w:val="FF0000"/>
                <w:sz w:val="21"/>
                <w:szCs w:val="21"/>
                <w:u w:val="wave"/>
                <w:lang w:eastAsia="zh-CN"/>
              </w:rPr>
              <w:t>）</w:t>
            </w:r>
            <w:r>
              <w:rPr>
                <w:rFonts w:hint="default" w:ascii="Times New Roman" w:hAnsi="Times New Roman" w:cs="Times New Roman"/>
                <w:color w:val="FF0000"/>
                <w:sz w:val="21"/>
                <w:szCs w:val="21"/>
                <w:u w:val="wave"/>
              </w:rPr>
              <w:t>源头减量设施。明确备禽饮水器具改造、栏舍清洗等源头节水设施建设要求,鼓励规模养殖场采用干清粪、水泡粪等节水型清粪方式,逐步淘汰全程水冲粪清类方式,减少污染物产生量。鼓励有条件的地区建设生猪、家禽规模养殖场氨等臭气减排设施。对粪污贮存设施进行升级改造,做好雨污分流。</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hint="eastAsia" w:ascii="Times New Roman" w:hAnsi="Times New Roman" w:cs="Times New Roman"/>
                <w:color w:val="FF0000"/>
                <w:sz w:val="21"/>
                <w:szCs w:val="21"/>
                <w:u w:val="wave"/>
                <w:lang w:eastAsia="zh-CN"/>
              </w:rPr>
              <w:t>（</w:t>
            </w:r>
            <w:r>
              <w:rPr>
                <w:rFonts w:hint="eastAsia" w:ascii="Times New Roman" w:hAnsi="Times New Roman" w:cs="Times New Roman"/>
                <w:color w:val="FF0000"/>
                <w:sz w:val="21"/>
                <w:szCs w:val="21"/>
                <w:u w:val="wave"/>
                <w:lang w:val="en-US" w:eastAsia="zh-CN"/>
              </w:rPr>
              <w:t>2</w:t>
            </w:r>
            <w:r>
              <w:rPr>
                <w:rFonts w:hint="eastAsia" w:ascii="Times New Roman" w:hAnsi="Times New Roman" w:cs="Times New Roman"/>
                <w:color w:val="FF0000"/>
                <w:sz w:val="21"/>
                <w:szCs w:val="21"/>
                <w:u w:val="wave"/>
                <w:lang w:eastAsia="zh-CN"/>
              </w:rPr>
              <w:t>）</w:t>
            </w:r>
            <w:r>
              <w:rPr>
                <w:rFonts w:hint="default" w:ascii="Times New Roman" w:hAnsi="Times New Roman" w:cs="Times New Roman"/>
                <w:color w:val="FF0000"/>
                <w:sz w:val="21"/>
                <w:szCs w:val="21"/>
                <w:u w:val="wave"/>
              </w:rPr>
              <w:t>粪污处理设施。采用畜禽粪污资源化利用模式的畜禽养殖场户应建设堆沤肥、粪污密闭贮存和沼气收集处理等设施,做到防渗防雨、防溢流，其中贮存池的贮存期不得低于当地 农作物生产用肥的最大间隔时间和冬季封冻期或雨季最长降雨期,一般不得小于30d的排放总量。采用达标排放的规模养殖场,应建设酸化调节池、高效生物处理池、好氧膜生物反应池等设施。</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FF0000"/>
                <w:sz w:val="21"/>
                <w:szCs w:val="21"/>
                <w:u w:val="wave"/>
                <w:lang w:val="en-US" w:eastAsia="zh-CN"/>
              </w:rPr>
            </w:pPr>
            <w:r>
              <w:rPr>
                <w:rFonts w:hint="eastAsia" w:ascii="Times New Roman" w:hAnsi="Times New Roman" w:cs="Times New Roman"/>
                <w:color w:val="FF0000"/>
                <w:sz w:val="21"/>
                <w:szCs w:val="21"/>
                <w:u w:val="wave"/>
                <w:lang w:eastAsia="zh-CN"/>
              </w:rPr>
              <w:t>（</w:t>
            </w:r>
            <w:r>
              <w:rPr>
                <w:rFonts w:hint="eastAsia" w:ascii="Times New Roman" w:hAnsi="Times New Roman" w:cs="Times New Roman"/>
                <w:color w:val="FF0000"/>
                <w:sz w:val="21"/>
                <w:szCs w:val="21"/>
                <w:u w:val="wave"/>
                <w:lang w:val="en-US" w:eastAsia="zh-CN"/>
              </w:rPr>
              <w:t>3</w:t>
            </w:r>
            <w:r>
              <w:rPr>
                <w:rFonts w:hint="eastAsia" w:ascii="Times New Roman" w:hAnsi="Times New Roman" w:cs="Times New Roman"/>
                <w:color w:val="FF0000"/>
                <w:sz w:val="21"/>
                <w:szCs w:val="21"/>
                <w:u w:val="wave"/>
                <w:lang w:eastAsia="zh-CN"/>
              </w:rPr>
              <w:t>）</w:t>
            </w:r>
            <w:r>
              <w:rPr>
                <w:rFonts w:hint="default" w:ascii="Times New Roman" w:hAnsi="Times New Roman" w:cs="Times New Roman"/>
                <w:color w:val="FF0000"/>
                <w:sz w:val="21"/>
                <w:szCs w:val="21"/>
                <w:u w:val="wave"/>
              </w:rPr>
              <w:t>田间配套设施。采用资源化利用的养殖场，应合理布局田间粪肥暂存设施,配备吸粪车、肥水还田输送管道、肥水拖管式施用、撒肥机等设施</w:t>
            </w:r>
            <w:r>
              <w:rPr>
                <w:rFonts w:hint="eastAsia" w:ascii="Times New Roman" w:hAnsi="Times New Roman" w:cs="Times New Roman"/>
                <w:color w:val="FF0000"/>
                <w:sz w:val="21"/>
                <w:szCs w:val="21"/>
                <w:u w:val="wave"/>
                <w:lang w:eastAsia="zh-CN"/>
              </w:rPr>
              <w:t>。</w:t>
            </w:r>
          </w:p>
        </w:tc>
        <w:tc>
          <w:tcPr>
            <w:tcW w:w="190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FF0000"/>
                <w:sz w:val="21"/>
                <w:szCs w:val="21"/>
                <w:u w:val="wave"/>
                <w:lang w:eastAsia="zh-CN"/>
              </w:rPr>
            </w:pPr>
            <w:r>
              <w:rPr>
                <w:rFonts w:hint="eastAsia" w:ascii="Times New Roman" w:hAnsi="Times New Roman" w:eastAsia="宋体" w:cs="Times New Roman"/>
                <w:color w:val="FF0000"/>
                <w:sz w:val="21"/>
                <w:szCs w:val="21"/>
                <w:u w:val="wave"/>
                <w:lang w:eastAsia="zh-CN"/>
              </w:rPr>
              <w:t>（</w:t>
            </w:r>
            <w:r>
              <w:rPr>
                <w:rFonts w:hint="eastAsia" w:ascii="Times New Roman" w:hAnsi="Times New Roman" w:eastAsia="宋体" w:cs="Times New Roman"/>
                <w:color w:val="FF0000"/>
                <w:sz w:val="21"/>
                <w:szCs w:val="21"/>
                <w:u w:val="wave"/>
                <w:lang w:val="en-US" w:eastAsia="zh-CN"/>
              </w:rPr>
              <w:t>1</w:t>
            </w:r>
            <w:r>
              <w:rPr>
                <w:rFonts w:hint="eastAsia" w:ascii="Times New Roman" w:hAnsi="Times New Roman" w:eastAsia="宋体" w:cs="Times New Roman"/>
                <w:color w:val="FF0000"/>
                <w:sz w:val="21"/>
                <w:szCs w:val="21"/>
                <w:u w:val="wave"/>
                <w:lang w:eastAsia="zh-CN"/>
              </w:rPr>
              <w:t>）</w:t>
            </w:r>
            <w:r>
              <w:rPr>
                <w:rFonts w:hint="default" w:ascii="Times New Roman" w:hAnsi="Times New Roman" w:eastAsia="宋体" w:cs="Times New Roman"/>
                <w:color w:val="FF0000"/>
                <w:sz w:val="21"/>
                <w:szCs w:val="21"/>
                <w:u w:val="wave"/>
              </w:rPr>
              <w:t>项目采用科学饲养方式，新型鸡舍采用漏粪板工艺，减少废水的产生量，优化饲料、低氮饲喂、合理设计鸡舍、加强鸡舍通风，全漏缝地板并及时清粪、定期消毒、出风口设置喷雾除臭装置，定期喷洒新型高效生物除臭剂、加强绿化、采用干清粪工艺、及时清除鸡粪、加强消毒等措施，减少鸡舍恶臭产生，周边加强绿化</w:t>
            </w:r>
            <w:r>
              <w:rPr>
                <w:rFonts w:hint="eastAsia" w:ascii="Times New Roman" w:hAnsi="Times New Roman" w:eastAsia="宋体" w:cs="Times New Roman"/>
                <w:color w:val="FF0000"/>
                <w:sz w:val="21"/>
                <w:szCs w:val="21"/>
                <w:u w:val="wav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Theme="majorEastAsia"/>
                <w:lang w:val="en-US" w:eastAsia="zh-CN"/>
              </w:rPr>
            </w:pPr>
            <w:r>
              <w:rPr>
                <w:rFonts w:hint="eastAsia" w:ascii="Times New Roman" w:hAnsi="Times New Roman" w:eastAsia="宋体" w:cs="Times New Roman"/>
                <w:color w:val="FF0000"/>
                <w:sz w:val="21"/>
                <w:szCs w:val="21"/>
                <w:u w:val="wave"/>
                <w:lang w:eastAsia="zh-CN"/>
              </w:rPr>
              <w:t>（</w:t>
            </w:r>
            <w:r>
              <w:rPr>
                <w:rFonts w:hint="eastAsia" w:ascii="Times New Roman" w:hAnsi="Times New Roman" w:eastAsia="宋体" w:cs="Times New Roman"/>
                <w:color w:val="FF0000"/>
                <w:sz w:val="21"/>
                <w:szCs w:val="21"/>
                <w:u w:val="wave"/>
                <w:lang w:val="en-US" w:eastAsia="zh-CN"/>
              </w:rPr>
              <w:t>2</w:t>
            </w:r>
            <w:r>
              <w:rPr>
                <w:rFonts w:hint="eastAsia" w:ascii="Times New Roman" w:hAnsi="Times New Roman" w:eastAsia="宋体" w:cs="Times New Roman"/>
                <w:color w:val="FF0000"/>
                <w:sz w:val="21"/>
                <w:szCs w:val="21"/>
                <w:u w:val="wave"/>
                <w:lang w:eastAsia="zh-CN"/>
              </w:rPr>
              <w:t>）</w:t>
            </w:r>
            <w:r>
              <w:rPr>
                <w:rFonts w:hint="default" w:ascii="Times New Roman" w:hAnsi="Times New Roman" w:eastAsia="宋体" w:cs="Times New Roman"/>
                <w:color w:val="FF0000"/>
                <w:sz w:val="21"/>
                <w:szCs w:val="21"/>
                <w:u w:val="wave"/>
              </w:rPr>
              <w:t>项目每栋鸡舍自动化清粪，鸡粪不落地，并配套建设鸡粪收集室作为鸡粪临时贮存场所</w:t>
            </w:r>
            <w:r>
              <w:rPr>
                <w:rFonts w:hint="eastAsia" w:ascii="Times New Roman" w:hAnsi="Times New Roman" w:eastAsia="宋体" w:cs="Times New Roman"/>
                <w:color w:val="FF0000"/>
                <w:sz w:val="21"/>
                <w:szCs w:val="21"/>
                <w:u w:val="wave"/>
              </w:rPr>
              <w:t>，鸡粪收集室内并不是集中的粪便处置场。故本项目不涉及此条规范</w:t>
            </w:r>
            <w:r>
              <w:rPr>
                <w:rFonts w:hint="eastAsia" w:ascii="Times New Roman" w:hAnsi="Times New Roman" w:eastAsia="宋体" w:cs="Times New Roman"/>
                <w:color w:val="FF0000"/>
                <w:sz w:val="21"/>
                <w:szCs w:val="21"/>
                <w:u w:val="wave"/>
                <w:lang w:val="en-US" w:eastAsia="zh-CN"/>
              </w:rPr>
              <w:t>要求。</w:t>
            </w:r>
          </w:p>
        </w:tc>
        <w:tc>
          <w:tcPr>
            <w:tcW w:w="57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cs="Times New Roman"/>
                <w:caps/>
                <w:color w:val="FF0000"/>
                <w:u w:val="wav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18"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hint="eastAsia" w:ascii="Times New Roman" w:hAnsi="Times New Roman" w:cs="Times New Roman"/>
                <w:color w:val="FF0000"/>
                <w:sz w:val="21"/>
                <w:szCs w:val="21"/>
                <w:u w:val="wave"/>
                <w:lang w:val="en-US" w:eastAsia="zh-CN"/>
              </w:rPr>
              <w:t>5.</w:t>
            </w:r>
            <w:r>
              <w:rPr>
                <w:rFonts w:hint="default" w:ascii="Times New Roman" w:hAnsi="Times New Roman" w:cs="Times New Roman"/>
                <w:color w:val="FF0000"/>
                <w:sz w:val="21"/>
                <w:szCs w:val="21"/>
                <w:u w:val="wave"/>
              </w:rPr>
              <w:t>4建立建全台账管理制度</w:t>
            </w:r>
          </w:p>
        </w:tc>
        <w:tc>
          <w:tcPr>
            <w:tcW w:w="1904"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FF0000"/>
                <w:sz w:val="21"/>
                <w:szCs w:val="21"/>
                <w:u w:val="wave"/>
                <w:lang w:val="en-US" w:eastAsia="zh-CN"/>
              </w:rPr>
            </w:pPr>
            <w:r>
              <w:rPr>
                <w:rFonts w:hint="eastAsia" w:ascii="Times New Roman" w:hAnsi="Times New Roman" w:cs="Times New Roman"/>
                <w:color w:val="FF0000"/>
                <w:sz w:val="21"/>
                <w:szCs w:val="21"/>
                <w:u w:val="wave"/>
                <w:lang w:val="en-US" w:eastAsia="zh-CN"/>
              </w:rPr>
              <w:t>企业将按相关要求</w:t>
            </w:r>
            <w:r>
              <w:rPr>
                <w:rFonts w:hint="default" w:ascii="Times New Roman" w:hAnsi="Times New Roman" w:cs="Times New Roman"/>
                <w:color w:val="FF0000"/>
                <w:sz w:val="21"/>
                <w:szCs w:val="21"/>
                <w:u w:val="wave"/>
              </w:rPr>
              <w:t>建立建全台账管理制度</w:t>
            </w:r>
          </w:p>
        </w:tc>
        <w:tc>
          <w:tcPr>
            <w:tcW w:w="576" w:type="pct"/>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FF0000"/>
                <w:sz w:val="21"/>
                <w:szCs w:val="21"/>
                <w:u w:val="wave"/>
              </w:rPr>
            </w:pPr>
            <w:r>
              <w:rPr>
                <w:rFonts w:cs="Times New Roman"/>
                <w:caps/>
                <w:color w:val="FF0000"/>
                <w:u w:val="wave"/>
              </w:rPr>
              <w:t>符合</w:t>
            </w:r>
          </w:p>
        </w:tc>
      </w:tr>
    </w:tbl>
    <w:p>
      <w:pPr>
        <w:pStyle w:val="215"/>
        <w:spacing w:before="120"/>
        <w:rPr>
          <w:rFonts w:hint="eastAsia"/>
          <w:color w:val="FF0000"/>
          <w:u w:val="wave"/>
          <w:lang w:eastAsia="zh-CN"/>
        </w:rPr>
      </w:pPr>
      <w:r>
        <w:rPr>
          <w:color w:val="FF0000"/>
          <w:u w:val="wave"/>
        </w:rPr>
        <w:t>综上所述，项目符合</w:t>
      </w:r>
      <w:r>
        <w:rPr>
          <w:rFonts w:hint="eastAsia"/>
          <w:color w:val="FF0000"/>
          <w:u w:val="wave"/>
        </w:rPr>
        <w:t>《衡阳县畜禽养殖污染防治规划（2021~2025）》</w:t>
      </w:r>
      <w:r>
        <w:rPr>
          <w:color w:val="FF0000"/>
          <w:u w:val="wave"/>
        </w:rPr>
        <w:t>中相关要求</w:t>
      </w:r>
    </w:p>
    <w:p>
      <w:pPr>
        <w:pStyle w:val="7"/>
        <w:adjustRightInd w:val="0"/>
        <w:snapToGrid w:val="0"/>
        <w:spacing w:before="0" w:after="0" w:line="360" w:lineRule="auto"/>
        <w:jc w:val="left"/>
        <w:rPr>
          <w:sz w:val="24"/>
          <w:szCs w:val="24"/>
        </w:rPr>
      </w:pPr>
      <w:r>
        <w:rPr>
          <w:rFonts w:hint="eastAsia"/>
          <w:sz w:val="24"/>
          <w:szCs w:val="24"/>
        </w:rPr>
        <w:t>1.4.5 选址合理性分析</w:t>
      </w:r>
    </w:p>
    <w:p>
      <w:pPr>
        <w:spacing w:line="360" w:lineRule="auto"/>
        <w:ind w:firstLine="482" w:firstLineChars="200"/>
        <w:rPr>
          <w:rFonts w:hAnsiTheme="minorEastAsia" w:eastAsiaTheme="minorEastAsia"/>
          <w:b/>
          <w:bCs/>
          <w:kern w:val="0"/>
          <w:sz w:val="24"/>
        </w:rPr>
      </w:pPr>
      <w:r>
        <w:rPr>
          <w:rFonts w:hint="eastAsia" w:hAnsiTheme="minorEastAsia" w:eastAsiaTheme="minorEastAsia"/>
          <w:b/>
          <w:bCs/>
          <w:kern w:val="0"/>
          <w:sz w:val="24"/>
        </w:rPr>
        <w:t>1、</w:t>
      </w:r>
      <w:r>
        <w:rPr>
          <w:rFonts w:hint="eastAsia"/>
          <w:b/>
          <w:sz w:val="24"/>
        </w:rPr>
        <w:t>与《畜禽养殖产地环境评价规范》（HJ568-2010）符合性分析</w:t>
      </w:r>
    </w:p>
    <w:p>
      <w:pPr>
        <w:pStyle w:val="215"/>
      </w:pPr>
      <w:r>
        <w:rPr>
          <w:rFonts w:hint="eastAsia"/>
        </w:rPr>
        <w:t>（1）畜禽饮用水水质</w:t>
      </w:r>
      <w:r>
        <w:rPr>
          <w:rFonts w:hint="default" w:ascii="Times New Roman" w:hAnsi="Times New Roman" w:cs="Times New Roman" w:eastAsiaTheme="majorEastAsia"/>
        </w:rPr>
        <w:t>符合性：</w:t>
      </w:r>
      <w:r>
        <w:rPr>
          <w:rFonts w:hint="eastAsia" w:cs="Times New Roman" w:eastAsiaTheme="majorEastAsia"/>
          <w:lang w:val="en-US" w:eastAsia="zh-CN"/>
        </w:rPr>
        <w:t>本项目生活用水和生产用水取用地下水，</w:t>
      </w:r>
      <w:r>
        <w:rPr>
          <w:rFonts w:hint="default" w:ascii="Times New Roman" w:hAnsi="Times New Roman" w:cs="Times New Roman" w:eastAsiaTheme="majorEastAsia"/>
        </w:rPr>
        <w:t>根据区域现状监测结果可知，地下水水质能符合《畜禽养殖产地环境评价规范》（HJ568-2010）中表2：畜禽饮用水水质评价指标限值。</w:t>
      </w:r>
    </w:p>
    <w:p>
      <w:pPr>
        <w:pStyle w:val="215"/>
      </w:pPr>
      <w:r>
        <w:rPr>
          <w:rFonts w:hint="eastAsia"/>
        </w:rPr>
        <w:t>（2）土壤环境质量符合性：</w:t>
      </w:r>
      <w:r>
        <w:rPr>
          <w:rFonts w:hint="default" w:ascii="Times New Roman" w:hAnsi="Times New Roman" w:cs="Times New Roman" w:eastAsiaTheme="majorEastAsia"/>
        </w:rPr>
        <w:t>根据区域现状监测结果可知，</w:t>
      </w:r>
      <w:r>
        <w:rPr>
          <w:rFonts w:hint="eastAsia"/>
        </w:rPr>
        <w:t>本项目养殖场区</w:t>
      </w:r>
      <w:r>
        <w:rPr>
          <w:rFonts w:hint="eastAsia"/>
          <w:lang w:val="en-US" w:eastAsia="zh-CN"/>
        </w:rPr>
        <w:t>内</w:t>
      </w:r>
      <w:r>
        <w:rPr>
          <w:rFonts w:hint="eastAsia"/>
        </w:rPr>
        <w:t>各监测点各指标均小于《土壤环境质量农用地土壤污染风险管控标准（试行）》（GB15618-2018）中表1“农用地污染土壤风险筛选值（基本项目）”标准限值，因此，评价认为项目拟建地符合畜禽养殖场地建设。</w:t>
      </w:r>
    </w:p>
    <w:p>
      <w:pPr>
        <w:pStyle w:val="215"/>
      </w:pPr>
      <w:r>
        <w:rPr>
          <w:rFonts w:hint="eastAsia"/>
        </w:rPr>
        <w:t>（3）环境空气质量符合性：根据项目厂区环境空气质量监测结果可知，各监测因子符合《畜禽养殖产地环境评价规范》（HJ568-2010）中表5：畜禽养殖场和养殖小区环境空气质量评价指标限值。</w:t>
      </w:r>
    </w:p>
    <w:p>
      <w:pPr>
        <w:pStyle w:val="215"/>
      </w:pPr>
      <w:r>
        <w:rPr>
          <w:rFonts w:hint="eastAsia"/>
        </w:rPr>
        <w:t>（4）声环境质量符合性：根据项目厂界声环境质量监测结果可知，监测结果符合《畜禽养殖产地环境评价规范》（HJ568-2010）中表6：畜禽养殖场、养殖小区及放牧区声环境质量评价指标限值。</w:t>
      </w:r>
    </w:p>
    <w:p>
      <w:pPr>
        <w:pStyle w:val="215"/>
      </w:pPr>
      <w:r>
        <w:rPr>
          <w:rFonts w:hint="eastAsia"/>
        </w:rPr>
        <w:t>综上所述，项目选址环境质量现状符合《畜禽养殖产地环境评价规范》（HJ568-2010）中的环境质量要求。</w:t>
      </w:r>
    </w:p>
    <w:p>
      <w:pPr>
        <w:pStyle w:val="215"/>
        <w:ind w:firstLine="482"/>
        <w:rPr>
          <w:b/>
        </w:rPr>
      </w:pPr>
      <w:r>
        <w:rPr>
          <w:rFonts w:hint="eastAsia"/>
          <w:b/>
        </w:rPr>
        <w:t>2、与国家行业规范要求的选址符合性分析</w:t>
      </w:r>
    </w:p>
    <w:p>
      <w:pPr>
        <w:pStyle w:val="215"/>
      </w:pPr>
      <w:r>
        <w:rPr>
          <w:rFonts w:hint="eastAsia"/>
        </w:rPr>
        <w:t>根据《</w:t>
      </w:r>
      <w:r>
        <w:t>畜禽规模养殖污染防治条例》、《畜禽养殖污染防治管理办法》及《畜禽养殖业污染防治技术规范》（HJ/T81-2001）等国家法律及行业规范中对畜禽养殖场场址选择的相关要求，对本项目选址符合性分析如下：</w:t>
      </w:r>
    </w:p>
    <w:p>
      <w:pPr>
        <w:pStyle w:val="246"/>
        <w:spacing w:beforeLines="50" w:line="240" w:lineRule="auto"/>
        <w:rPr>
          <w:u w:val="single"/>
          <w:lang w:val="zh-CN"/>
        </w:rPr>
      </w:pPr>
      <w:r>
        <w:rPr>
          <w:rFonts w:eastAsiaTheme="minorEastAsia"/>
          <w:sz w:val="21"/>
          <w:szCs w:val="21"/>
        </w:rPr>
        <w:t>表</w:t>
      </w:r>
      <w:r>
        <w:rPr>
          <w:rFonts w:hint="eastAsia" w:eastAsiaTheme="minorEastAsia"/>
          <w:sz w:val="21"/>
          <w:szCs w:val="21"/>
        </w:rPr>
        <w:t>1.4-6</w:t>
      </w:r>
      <w:r>
        <w:rPr>
          <w:rFonts w:eastAsiaTheme="minorEastAsia"/>
          <w:sz w:val="21"/>
          <w:szCs w:val="21"/>
        </w:rPr>
        <w:t xml:space="preserve">  国家及行业规范要求的选址符合性分析一览表</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74"/>
        <w:gridCol w:w="5253"/>
        <w:gridCol w:w="1425"/>
        <w:gridCol w:w="7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4" w:type="pct"/>
            <w:vAlign w:val="center"/>
          </w:tcPr>
          <w:p>
            <w:pPr>
              <w:pStyle w:val="90"/>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文件名称</w:t>
            </w:r>
          </w:p>
        </w:tc>
        <w:tc>
          <w:tcPr>
            <w:tcW w:w="2935" w:type="pct"/>
            <w:vAlign w:val="center"/>
          </w:tcPr>
          <w:p>
            <w:pPr>
              <w:pStyle w:val="90"/>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文件要求</w:t>
            </w:r>
          </w:p>
        </w:tc>
        <w:tc>
          <w:tcPr>
            <w:tcW w:w="796" w:type="pct"/>
            <w:vAlign w:val="center"/>
          </w:tcPr>
          <w:p>
            <w:pPr>
              <w:pStyle w:val="90"/>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本项目情况</w:t>
            </w:r>
          </w:p>
        </w:tc>
        <w:tc>
          <w:tcPr>
            <w:tcW w:w="444" w:type="pct"/>
            <w:vAlign w:val="center"/>
          </w:tcPr>
          <w:p>
            <w:pPr>
              <w:pStyle w:val="90"/>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是否符合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《畜禽规模养殖污染防治条例》</w:t>
            </w:r>
          </w:p>
        </w:tc>
        <w:tc>
          <w:tcPr>
            <w:tcW w:w="2935"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禁止在下列区域内建设畜禽养殖场、养殖小区：</w:t>
            </w:r>
          </w:p>
          <w:p>
            <w:pPr>
              <w:pStyle w:val="9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饮用水水源保护区、风景名胜区；</w:t>
            </w:r>
          </w:p>
          <w:p>
            <w:pPr>
              <w:pStyle w:val="9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自然保护区的核心区和缓冲区；</w:t>
            </w:r>
          </w:p>
          <w:p>
            <w:pPr>
              <w:pStyle w:val="9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城镇居民区、文化教育科学研究区等人口集中地区域；</w:t>
            </w:r>
          </w:p>
          <w:p>
            <w:pPr>
              <w:pStyle w:val="90"/>
              <w:rPr>
                <w:rFonts w:ascii="Times New Roman" w:hAnsi="Times New Roman" w:cs="Times New Roman" w:eastAsiaTheme="minorEastAsia"/>
                <w:sz w:val="21"/>
                <w:szCs w:val="21"/>
              </w:rPr>
            </w:pPr>
            <w:r>
              <w:rPr>
                <w:rFonts w:hint="eastAsia" w:ascii="宋体" w:hAnsi="宋体" w:eastAsia="宋体" w:cs="宋体"/>
                <w:sz w:val="21"/>
                <w:szCs w:val="21"/>
              </w:rPr>
              <w:t>④</w:t>
            </w:r>
            <w:r>
              <w:rPr>
                <w:rFonts w:ascii="Times New Roman" w:hAnsi="Times New Roman" w:cs="Times New Roman" w:eastAsiaTheme="minorEastAsia"/>
                <w:sz w:val="21"/>
                <w:szCs w:val="21"/>
              </w:rPr>
              <w:t>国家、法规规定的其它禁止养殖区域。</w:t>
            </w:r>
          </w:p>
        </w:tc>
        <w:tc>
          <w:tcPr>
            <w:tcW w:w="796"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本项目不在以上禁止建设区域内</w:t>
            </w:r>
          </w:p>
        </w:tc>
        <w:tc>
          <w:tcPr>
            <w:tcW w:w="44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《畜禽养殖污染防治管理办法》</w:t>
            </w:r>
          </w:p>
        </w:tc>
        <w:tc>
          <w:tcPr>
            <w:tcW w:w="2935"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禁止在下列区域内建设畜禽养殖场：</w:t>
            </w:r>
          </w:p>
          <w:p>
            <w:pPr>
              <w:pStyle w:val="9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生活饮用水水源保护区、风景名胜区、自然保护区的核心区及缓冲区；</w:t>
            </w:r>
          </w:p>
          <w:p>
            <w:pPr>
              <w:pStyle w:val="9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城市和城镇居民区、文教科研区、医疗区等人口集中地区；</w:t>
            </w:r>
          </w:p>
          <w:p>
            <w:pPr>
              <w:pStyle w:val="9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县级人民政府依法划定的禁养区域；</w:t>
            </w:r>
          </w:p>
          <w:p>
            <w:pPr>
              <w:pStyle w:val="90"/>
              <w:rPr>
                <w:rFonts w:ascii="Times New Roman" w:hAnsi="Times New Roman" w:cs="Times New Roman" w:eastAsiaTheme="minorEastAsia"/>
                <w:sz w:val="21"/>
                <w:szCs w:val="21"/>
              </w:rPr>
            </w:pPr>
            <w:r>
              <w:rPr>
                <w:rFonts w:hint="eastAsia" w:ascii="宋体" w:hAnsi="宋体" w:eastAsia="宋体" w:cs="宋体"/>
                <w:sz w:val="21"/>
                <w:szCs w:val="21"/>
              </w:rPr>
              <w:t>④</w:t>
            </w:r>
            <w:r>
              <w:rPr>
                <w:rFonts w:ascii="Times New Roman" w:hAnsi="Times New Roman" w:cs="Times New Roman" w:eastAsiaTheme="minorEastAsia"/>
                <w:sz w:val="21"/>
                <w:szCs w:val="21"/>
              </w:rPr>
              <w:t>国家或地方法律、法规规定需特殊保护的其它区域。</w:t>
            </w:r>
          </w:p>
        </w:tc>
        <w:tc>
          <w:tcPr>
            <w:tcW w:w="796"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本项目不在以上禁止建设区域内</w:t>
            </w:r>
          </w:p>
        </w:tc>
        <w:tc>
          <w:tcPr>
            <w:tcW w:w="44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4" w:type="pct"/>
            <w:vMerge w:val="restar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《畜禽养殖业污染防治技术规范》</w:t>
            </w:r>
          </w:p>
        </w:tc>
        <w:tc>
          <w:tcPr>
            <w:tcW w:w="2935"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禁止在下列区域内建设畜禽养殖场：</w:t>
            </w:r>
          </w:p>
          <w:p>
            <w:pPr>
              <w:pStyle w:val="90"/>
              <w:rPr>
                <w:rFonts w:ascii="Times New Roman" w:hAnsi="Times New Roman" w:cs="Times New Roman" w:eastAsiaTheme="minorEastAsia"/>
                <w:sz w:val="21"/>
                <w:szCs w:val="21"/>
              </w:rPr>
            </w:pPr>
            <w:r>
              <w:rPr>
                <w:rFonts w:hint="eastAsia" w:ascii="宋体" w:hAnsi="宋体" w:eastAsia="宋体" w:cs="宋体"/>
                <w:sz w:val="21"/>
                <w:szCs w:val="21"/>
              </w:rPr>
              <w:t>①</w:t>
            </w:r>
            <w:r>
              <w:rPr>
                <w:rFonts w:ascii="Times New Roman" w:hAnsi="Times New Roman" w:cs="Times New Roman" w:eastAsiaTheme="minorEastAsia"/>
                <w:sz w:val="21"/>
                <w:szCs w:val="21"/>
              </w:rPr>
              <w:t>生活饮用水水源保护区、风景名胜区、自然保护区的核心区及缓冲区；</w:t>
            </w:r>
          </w:p>
          <w:p>
            <w:pPr>
              <w:pStyle w:val="90"/>
              <w:rPr>
                <w:rFonts w:ascii="Times New Roman" w:hAnsi="Times New Roman" w:cs="Times New Roman" w:eastAsiaTheme="minorEastAsia"/>
                <w:sz w:val="21"/>
                <w:szCs w:val="21"/>
              </w:rPr>
            </w:pPr>
            <w:r>
              <w:rPr>
                <w:rFonts w:hint="eastAsia" w:ascii="宋体" w:hAnsi="宋体" w:eastAsia="宋体" w:cs="宋体"/>
                <w:sz w:val="21"/>
                <w:szCs w:val="21"/>
              </w:rPr>
              <w:t>②</w:t>
            </w:r>
            <w:r>
              <w:rPr>
                <w:rFonts w:ascii="Times New Roman" w:hAnsi="Times New Roman" w:cs="Times New Roman" w:eastAsiaTheme="minorEastAsia"/>
                <w:sz w:val="21"/>
                <w:szCs w:val="21"/>
              </w:rPr>
              <w:t>城市和城镇居民区，包括文教科研区、医疗区、商业区、工业区、游览区等人口集中地区；</w:t>
            </w:r>
          </w:p>
          <w:p>
            <w:pPr>
              <w:pStyle w:val="90"/>
              <w:rPr>
                <w:rFonts w:ascii="Times New Roman" w:hAnsi="Times New Roman" w:cs="Times New Roman" w:eastAsiaTheme="minorEastAsia"/>
                <w:sz w:val="21"/>
                <w:szCs w:val="21"/>
              </w:rPr>
            </w:pPr>
            <w:r>
              <w:rPr>
                <w:rFonts w:hint="eastAsia" w:ascii="宋体" w:hAnsi="宋体" w:eastAsia="宋体" w:cs="宋体"/>
                <w:sz w:val="21"/>
                <w:szCs w:val="21"/>
              </w:rPr>
              <w:t>③</w:t>
            </w:r>
            <w:r>
              <w:rPr>
                <w:rFonts w:ascii="Times New Roman" w:hAnsi="Times New Roman" w:cs="Times New Roman" w:eastAsiaTheme="minorEastAsia"/>
                <w:sz w:val="21"/>
                <w:szCs w:val="21"/>
              </w:rPr>
              <w:t>县级人民政府依法划定的禁养区域；</w:t>
            </w:r>
          </w:p>
          <w:p>
            <w:pPr>
              <w:pStyle w:val="90"/>
              <w:rPr>
                <w:rFonts w:ascii="Times New Roman" w:hAnsi="Times New Roman" w:cs="Times New Roman" w:eastAsiaTheme="minorEastAsia"/>
                <w:sz w:val="21"/>
                <w:szCs w:val="21"/>
              </w:rPr>
            </w:pPr>
            <w:r>
              <w:rPr>
                <w:rFonts w:hint="eastAsia" w:ascii="宋体" w:hAnsi="宋体" w:eastAsia="宋体" w:cs="宋体"/>
                <w:sz w:val="21"/>
                <w:szCs w:val="21"/>
              </w:rPr>
              <w:t>④</w:t>
            </w:r>
            <w:r>
              <w:rPr>
                <w:rFonts w:ascii="Times New Roman" w:hAnsi="Times New Roman" w:cs="Times New Roman" w:eastAsiaTheme="minorEastAsia"/>
                <w:sz w:val="21"/>
                <w:szCs w:val="21"/>
              </w:rPr>
              <w:t>国家或地方法律、法规规定需特殊保护的其它区域。</w:t>
            </w:r>
          </w:p>
        </w:tc>
        <w:tc>
          <w:tcPr>
            <w:tcW w:w="796"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本项目不在以上禁止建设区域内</w:t>
            </w:r>
          </w:p>
        </w:tc>
        <w:tc>
          <w:tcPr>
            <w:tcW w:w="44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4" w:type="pct"/>
            <w:vMerge w:val="continue"/>
            <w:vAlign w:val="center"/>
          </w:tcPr>
          <w:p>
            <w:pPr>
              <w:pStyle w:val="90"/>
              <w:rPr>
                <w:rFonts w:ascii="Times New Roman" w:hAnsi="Times New Roman" w:cs="Times New Roman" w:eastAsiaTheme="minorEastAsia"/>
                <w:sz w:val="21"/>
                <w:szCs w:val="21"/>
              </w:rPr>
            </w:pPr>
          </w:p>
        </w:tc>
        <w:tc>
          <w:tcPr>
            <w:tcW w:w="2935"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新建、改建、扩建的畜禽养殖场选址应避开上述禁建区域，在禁建区域附近建设的，应设在上述禁建区域常年主导风向的下风向或侧风向处，场界与禁建区域边界的最小距离不得小于500m。</w:t>
            </w:r>
          </w:p>
        </w:tc>
        <w:tc>
          <w:tcPr>
            <w:tcW w:w="796"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本项目距离禁建区边界距离大于500m</w:t>
            </w:r>
          </w:p>
        </w:tc>
        <w:tc>
          <w:tcPr>
            <w:tcW w:w="44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《动物防疫条件审查办法》</w:t>
            </w:r>
          </w:p>
        </w:tc>
        <w:tc>
          <w:tcPr>
            <w:tcW w:w="2935"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距离生活饮用水源地、动物屠宰加工场所、动物和动物产品集贸市场500米以上；距离种畜禽场1000米以上；距离动物诊疗场所200米以上；动物饲养场（养殖小区）之间距离不少于500米；</w:t>
            </w:r>
          </w:p>
        </w:tc>
        <w:tc>
          <w:tcPr>
            <w:tcW w:w="796"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本项目与表中所列场所距离均满足要求</w:t>
            </w:r>
          </w:p>
        </w:tc>
        <w:tc>
          <w:tcPr>
            <w:tcW w:w="44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符合</w:t>
            </w:r>
          </w:p>
        </w:tc>
      </w:tr>
    </w:tbl>
    <w:p>
      <w:pPr>
        <w:pStyle w:val="215"/>
      </w:pPr>
      <w:r>
        <w:rPr>
          <w:lang w:val="zh-CN"/>
        </w:rPr>
        <w:t>综上所述，本项目与周围环境相容，选址合理。</w:t>
      </w:r>
    </w:p>
    <w:p>
      <w:pPr>
        <w:pStyle w:val="215"/>
        <w:ind w:firstLine="482"/>
        <w:rPr>
          <w:b/>
          <w:color w:val="FF0000"/>
          <w:u w:val="wave"/>
        </w:rPr>
      </w:pPr>
      <w:r>
        <w:rPr>
          <w:rFonts w:hint="eastAsia"/>
          <w:b/>
          <w:color w:val="FF0000"/>
          <w:u w:val="wave"/>
        </w:rPr>
        <w:t>3、与《衡阳县畜禽养殖禁养区划定技术方案》符合性分析</w:t>
      </w:r>
    </w:p>
    <w:p>
      <w:pPr>
        <w:pStyle w:val="215"/>
        <w:rPr>
          <w:rFonts w:hAnsiTheme="minorEastAsia" w:eastAsiaTheme="minorEastAsia"/>
          <w:bCs/>
          <w:color w:val="FF0000"/>
          <w:u w:val="wave"/>
        </w:rPr>
      </w:pPr>
      <w:r>
        <w:rPr>
          <w:rFonts w:hAnsiTheme="minorEastAsia" w:eastAsiaTheme="minorEastAsia"/>
          <w:bCs/>
          <w:color w:val="FF0000"/>
          <w:u w:val="wave"/>
        </w:rPr>
        <w:t>衡</w:t>
      </w:r>
      <w:r>
        <w:rPr>
          <w:rFonts w:hint="eastAsia" w:hAnsiTheme="minorEastAsia" w:eastAsiaTheme="minorEastAsia"/>
          <w:bCs/>
          <w:color w:val="FF0000"/>
          <w:u w:val="wave"/>
        </w:rPr>
        <w:t>阳</w:t>
      </w:r>
      <w:r>
        <w:rPr>
          <w:rFonts w:hAnsiTheme="minorEastAsia" w:eastAsiaTheme="minorEastAsia"/>
          <w:bCs/>
          <w:color w:val="FF0000"/>
          <w:u w:val="wave"/>
        </w:rPr>
        <w:t>县划分了畜禽养殖一级禁养区及二级禁养区：一级禁养区禁止建设畜禽规模养殖场、养殖小区的区域，二级禁养区禁止建设有污染物排放的规模养殖场、养殖小区的区域；畜禽禁养区以外，符合相关规划的区域，原则上可作为畜禽养殖适养区。本项目与该方案相符性分析见表</w:t>
      </w:r>
      <w:r>
        <w:rPr>
          <w:rFonts w:hint="eastAsia" w:hAnsiTheme="minorEastAsia" w:eastAsiaTheme="minorEastAsia"/>
          <w:bCs/>
          <w:color w:val="FF0000"/>
          <w:u w:val="wave"/>
        </w:rPr>
        <w:t>1.4-7</w:t>
      </w:r>
      <w:r>
        <w:rPr>
          <w:rFonts w:hAnsiTheme="minorEastAsia" w:eastAsiaTheme="minorEastAsia"/>
          <w:bCs/>
          <w:color w:val="FF0000"/>
          <w:u w:val="wave"/>
        </w:rPr>
        <w:t>。</w:t>
      </w:r>
    </w:p>
    <w:p>
      <w:pPr>
        <w:pStyle w:val="246"/>
        <w:spacing w:beforeLines="50" w:line="240" w:lineRule="auto"/>
        <w:rPr>
          <w:color w:val="FF0000"/>
          <w:u w:val="wave"/>
        </w:rPr>
      </w:pPr>
      <w:r>
        <w:rPr>
          <w:rFonts w:eastAsiaTheme="minorEastAsia"/>
          <w:color w:val="FF0000"/>
          <w:sz w:val="21"/>
          <w:szCs w:val="21"/>
          <w:u w:val="wave"/>
        </w:rPr>
        <w:t>表</w:t>
      </w:r>
      <w:r>
        <w:rPr>
          <w:rFonts w:hint="eastAsia" w:eastAsiaTheme="minorEastAsia"/>
          <w:color w:val="FF0000"/>
          <w:sz w:val="21"/>
          <w:szCs w:val="21"/>
          <w:u w:val="wave"/>
        </w:rPr>
        <w:t>1.4-7</w:t>
      </w:r>
      <w:r>
        <w:rPr>
          <w:rFonts w:eastAsiaTheme="minorEastAsia"/>
          <w:color w:val="FF0000"/>
          <w:sz w:val="21"/>
          <w:szCs w:val="21"/>
          <w:u w:val="wave"/>
        </w:rPr>
        <w:t xml:space="preserve">  本项目与《</w:t>
      </w:r>
      <w:r>
        <w:rPr>
          <w:rFonts w:hint="eastAsia" w:eastAsiaTheme="minorEastAsia"/>
          <w:color w:val="FF0000"/>
          <w:sz w:val="21"/>
          <w:szCs w:val="21"/>
          <w:u w:val="wave"/>
        </w:rPr>
        <w:t>衡阳县畜禽养殖禁养区划定技术方案</w:t>
      </w:r>
      <w:r>
        <w:rPr>
          <w:rFonts w:eastAsiaTheme="minorEastAsia"/>
          <w:color w:val="FF0000"/>
          <w:sz w:val="21"/>
          <w:szCs w:val="21"/>
          <w:u w:val="wave"/>
        </w:rPr>
        <w:t>》符合性分析表</w:t>
      </w:r>
    </w:p>
    <w:tbl>
      <w:tblPr>
        <w:tblStyle w:val="47"/>
        <w:tblW w:w="917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53"/>
        <w:gridCol w:w="2837"/>
        <w:gridCol w:w="98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5353" w:type="dxa"/>
            <w:vAlign w:val="center"/>
          </w:tcPr>
          <w:p>
            <w:pPr>
              <w:pStyle w:val="90"/>
              <w:rPr>
                <w:rFonts w:ascii="Times New Roman" w:hAnsi="Times New Roman" w:cs="Times New Roman" w:eastAsiaTheme="minorEastAsia"/>
                <w:b/>
                <w:color w:val="FF0000"/>
                <w:sz w:val="21"/>
                <w:szCs w:val="21"/>
                <w:u w:val="wave"/>
              </w:rPr>
            </w:pPr>
            <w:r>
              <w:rPr>
                <w:rFonts w:ascii="Times New Roman" w:hAnsi="Times New Roman" w:cs="Times New Roman" w:eastAsiaTheme="minorEastAsia"/>
                <w:b/>
                <w:color w:val="FF0000"/>
                <w:sz w:val="21"/>
                <w:szCs w:val="21"/>
                <w:u w:val="wave"/>
              </w:rPr>
              <w:t>选址条件</w:t>
            </w:r>
          </w:p>
        </w:tc>
        <w:tc>
          <w:tcPr>
            <w:tcW w:w="2837" w:type="dxa"/>
            <w:vAlign w:val="center"/>
          </w:tcPr>
          <w:p>
            <w:pPr>
              <w:pStyle w:val="90"/>
              <w:rPr>
                <w:rFonts w:ascii="Times New Roman" w:hAnsi="Times New Roman" w:cs="Times New Roman" w:eastAsiaTheme="minorEastAsia"/>
                <w:b/>
                <w:color w:val="FF0000"/>
                <w:sz w:val="21"/>
                <w:szCs w:val="21"/>
                <w:u w:val="wave"/>
              </w:rPr>
            </w:pPr>
            <w:r>
              <w:rPr>
                <w:rFonts w:ascii="Times New Roman" w:hAnsi="Times New Roman" w:cs="Times New Roman" w:eastAsiaTheme="minorEastAsia"/>
                <w:b/>
                <w:color w:val="FF0000"/>
                <w:sz w:val="21"/>
                <w:szCs w:val="21"/>
                <w:u w:val="wave"/>
              </w:rPr>
              <w:t>本项目情况</w:t>
            </w:r>
          </w:p>
        </w:tc>
        <w:tc>
          <w:tcPr>
            <w:tcW w:w="983" w:type="dxa"/>
            <w:vAlign w:val="center"/>
          </w:tcPr>
          <w:p>
            <w:pPr>
              <w:pStyle w:val="90"/>
              <w:rPr>
                <w:rFonts w:ascii="Times New Roman" w:hAnsi="Times New Roman" w:cs="Times New Roman" w:eastAsiaTheme="minorEastAsia"/>
                <w:b/>
                <w:color w:val="FF0000"/>
                <w:sz w:val="21"/>
                <w:szCs w:val="21"/>
                <w:u w:val="wave"/>
              </w:rPr>
            </w:pPr>
            <w:r>
              <w:rPr>
                <w:rFonts w:ascii="Times New Roman" w:hAnsi="Times New Roman" w:cs="Times New Roman" w:eastAsiaTheme="minorEastAsia"/>
                <w:b/>
                <w:color w:val="FF0000"/>
                <w:sz w:val="21"/>
                <w:szCs w:val="21"/>
                <w:u w:val="wave"/>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73" w:type="dxa"/>
            <w:gridSpan w:val="3"/>
            <w:vAlign w:val="center"/>
          </w:tcPr>
          <w:p>
            <w:pPr>
              <w:pStyle w:val="90"/>
              <w:rPr>
                <w:rFonts w:ascii="Times New Roman" w:hAnsi="Times New Roman" w:cs="Times New Roman" w:eastAsiaTheme="minorEastAsia"/>
                <w:color w:val="FF0000"/>
                <w:sz w:val="21"/>
                <w:szCs w:val="21"/>
                <w:u w:val="wave"/>
              </w:rPr>
            </w:pPr>
            <w:r>
              <w:rPr>
                <w:rFonts w:ascii="Times New Roman" w:hAnsi="Times New Roman" w:cs="Times New Roman" w:eastAsiaTheme="minorEastAsia"/>
                <w:color w:val="FF0000"/>
                <w:sz w:val="21"/>
                <w:szCs w:val="21"/>
                <w:u w:val="wave"/>
              </w:rPr>
              <w:t>一、饮用水水源保护区禁养区（台源镇J16）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53" w:type="dxa"/>
            <w:vAlign w:val="center"/>
          </w:tcPr>
          <w:p>
            <w:pPr>
              <w:pStyle w:val="90"/>
              <w:rPr>
                <w:rFonts w:ascii="Times New Roman" w:hAnsi="Times New Roman" w:cs="Times New Roman" w:eastAsiaTheme="minorEastAsia"/>
                <w:color w:val="FF0000"/>
                <w:sz w:val="21"/>
                <w:szCs w:val="21"/>
                <w:u w:val="wave"/>
              </w:rPr>
            </w:pPr>
            <w:r>
              <w:rPr>
                <w:rFonts w:ascii="Times New Roman" w:hAnsi="Times New Roman" w:cs="Times New Roman" w:eastAsiaTheme="minorEastAsia"/>
                <w:color w:val="FF0000"/>
                <w:sz w:val="21"/>
                <w:szCs w:val="21"/>
                <w:u w:val="wave"/>
              </w:rPr>
              <w:t>以衡阳县台源镇蒸水河饮用水源保护区的一级、二级保护区陆域为边界划定禁养区，其中一级保护区陆域范围划定为一级禁养区，禁止建设养殖场；二级保护区陆域范围划定为二级禁养区，禁止建设有污染物排放的养殖场；</w:t>
            </w:r>
          </w:p>
          <w:p>
            <w:pPr>
              <w:pStyle w:val="90"/>
              <w:rPr>
                <w:rFonts w:ascii="Times New Roman" w:hAnsi="Times New Roman" w:cs="Times New Roman" w:eastAsiaTheme="minorEastAsia"/>
                <w:color w:val="FF0000"/>
                <w:sz w:val="21"/>
                <w:szCs w:val="21"/>
                <w:u w:val="wave"/>
              </w:rPr>
            </w:pPr>
            <w:r>
              <w:rPr>
                <w:rFonts w:ascii="Times New Roman" w:hAnsi="Times New Roman" w:cs="Times New Roman" w:eastAsiaTheme="minorEastAsia"/>
                <w:color w:val="FF0000"/>
                <w:sz w:val="21"/>
                <w:szCs w:val="21"/>
                <w:u w:val="wave"/>
              </w:rPr>
              <w:t>一级陆域：一级保护区水域边界沿岸纵深10米，不超过道路迎水侧路肩（</w:t>
            </w:r>
            <w:r>
              <w:rPr>
                <w:rFonts w:ascii="Times New Roman" w:hAnsi="Times New Roman" w:cs="Times New Roman" w:eastAsiaTheme="minorEastAsia"/>
                <w:color w:val="FF0000"/>
                <w:kern w:val="0"/>
                <w:sz w:val="21"/>
                <w:szCs w:val="21"/>
                <w:u w:val="wave"/>
              </w:rPr>
              <w:t>0.009km</w:t>
            </w:r>
            <w:r>
              <w:rPr>
                <w:rFonts w:ascii="Times New Roman" w:hAnsi="Times New Roman" w:cs="Times New Roman" w:eastAsiaTheme="minorEastAsia"/>
                <w:color w:val="FF0000"/>
                <w:kern w:val="0"/>
                <w:sz w:val="21"/>
                <w:szCs w:val="21"/>
                <w:u w:val="wave"/>
                <w:vertAlign w:val="superscript"/>
              </w:rPr>
              <w:t>2</w:t>
            </w:r>
            <w:r>
              <w:rPr>
                <w:rFonts w:ascii="Times New Roman" w:hAnsi="Times New Roman" w:cs="Times New Roman" w:eastAsiaTheme="minorEastAsia"/>
                <w:color w:val="FF0000"/>
                <w:sz w:val="21"/>
                <w:szCs w:val="21"/>
                <w:u w:val="wave"/>
              </w:rPr>
              <w:t>）。</w:t>
            </w:r>
          </w:p>
          <w:p>
            <w:pPr>
              <w:pStyle w:val="90"/>
              <w:rPr>
                <w:rFonts w:ascii="Times New Roman" w:hAnsi="Times New Roman" w:cs="Times New Roman" w:eastAsiaTheme="minorEastAsia"/>
                <w:color w:val="FF0000"/>
                <w:sz w:val="21"/>
                <w:szCs w:val="21"/>
                <w:u w:val="wave"/>
              </w:rPr>
            </w:pPr>
            <w:r>
              <w:rPr>
                <w:rFonts w:ascii="Times New Roman" w:hAnsi="Times New Roman" w:cs="Times New Roman" w:eastAsiaTheme="minorEastAsia"/>
                <w:color w:val="FF0000"/>
                <w:kern w:val="0"/>
                <w:sz w:val="21"/>
                <w:szCs w:val="21"/>
                <w:u w:val="wave"/>
              </w:rPr>
              <w:t>二级陆域：一、二级保护区水域边界沿岸纵深50米，不超过道路背水侧路肩（一级保护区除外）</w:t>
            </w:r>
            <w:r>
              <w:rPr>
                <w:rFonts w:ascii="Times New Roman" w:hAnsi="Times New Roman" w:cs="Times New Roman" w:eastAsiaTheme="minorEastAsia"/>
                <w:color w:val="FF0000"/>
                <w:sz w:val="21"/>
                <w:szCs w:val="21"/>
                <w:u w:val="wave"/>
              </w:rPr>
              <w:t>（</w:t>
            </w:r>
            <w:r>
              <w:rPr>
                <w:rFonts w:ascii="Times New Roman" w:hAnsi="Times New Roman" w:cs="Times New Roman" w:eastAsiaTheme="minorEastAsia"/>
                <w:color w:val="FF0000"/>
                <w:kern w:val="0"/>
                <w:sz w:val="21"/>
                <w:szCs w:val="21"/>
                <w:u w:val="wave"/>
              </w:rPr>
              <w:t>0.095km</w:t>
            </w:r>
            <w:r>
              <w:rPr>
                <w:rFonts w:ascii="Times New Roman" w:hAnsi="Times New Roman" w:cs="Times New Roman" w:eastAsiaTheme="minorEastAsia"/>
                <w:color w:val="FF0000"/>
                <w:kern w:val="0"/>
                <w:sz w:val="21"/>
                <w:szCs w:val="21"/>
                <w:u w:val="wave"/>
                <w:vertAlign w:val="superscript"/>
              </w:rPr>
              <w:t>2</w:t>
            </w:r>
            <w:r>
              <w:rPr>
                <w:rFonts w:ascii="Times New Roman" w:hAnsi="Times New Roman" w:cs="Times New Roman" w:eastAsiaTheme="minorEastAsia"/>
                <w:color w:val="FF0000"/>
                <w:sz w:val="21"/>
                <w:szCs w:val="21"/>
                <w:u w:val="wave"/>
              </w:rPr>
              <w:t>）</w:t>
            </w:r>
            <w:r>
              <w:rPr>
                <w:rFonts w:ascii="Times New Roman" w:hAnsi="Times New Roman" w:cs="Times New Roman" w:eastAsiaTheme="minorEastAsia"/>
                <w:color w:val="FF0000"/>
                <w:kern w:val="0"/>
                <w:sz w:val="21"/>
                <w:szCs w:val="21"/>
                <w:u w:val="wave"/>
              </w:rPr>
              <w:t>。</w:t>
            </w:r>
          </w:p>
        </w:tc>
        <w:tc>
          <w:tcPr>
            <w:tcW w:w="2837" w:type="dxa"/>
            <w:vAlign w:val="center"/>
          </w:tcPr>
          <w:p>
            <w:pPr>
              <w:pStyle w:val="90"/>
              <w:rPr>
                <w:rFonts w:ascii="Times New Roman" w:hAnsi="Times New Roman" w:cs="Times New Roman" w:eastAsiaTheme="minorEastAsia"/>
                <w:color w:val="FF0000"/>
                <w:sz w:val="21"/>
                <w:szCs w:val="21"/>
                <w:u w:val="wave"/>
              </w:rPr>
            </w:pPr>
            <w:r>
              <w:rPr>
                <w:rFonts w:ascii="Times New Roman" w:hAnsi="Times New Roman" w:cs="Times New Roman" w:eastAsiaTheme="minorEastAsia"/>
                <w:color w:val="FF0000"/>
                <w:sz w:val="21"/>
                <w:szCs w:val="21"/>
                <w:u w:val="wave"/>
              </w:rPr>
              <w:t>本项目位于台源镇镇区的西北侧，不属于一、二级饮用水源保护区禁养区陆域部分，距离台源镇蒸水河饮用水水源保护区最近直线距离约2.3km。</w:t>
            </w:r>
          </w:p>
        </w:tc>
        <w:tc>
          <w:tcPr>
            <w:tcW w:w="983" w:type="dxa"/>
            <w:vAlign w:val="center"/>
          </w:tcPr>
          <w:p>
            <w:pPr>
              <w:pStyle w:val="90"/>
              <w:rPr>
                <w:rFonts w:ascii="Times New Roman" w:hAnsi="Times New Roman" w:cs="Times New Roman" w:eastAsiaTheme="minorEastAsia"/>
                <w:color w:val="FF0000"/>
                <w:sz w:val="21"/>
                <w:szCs w:val="21"/>
                <w:u w:val="wave"/>
              </w:rPr>
            </w:pPr>
            <w:r>
              <w:rPr>
                <w:rFonts w:ascii="Times New Roman" w:hAnsi="Times New Roman" w:cs="Times New Roman" w:eastAsiaTheme="minorEastAsia"/>
                <w:color w:val="FF0000"/>
                <w:sz w:val="21"/>
                <w:szCs w:val="21"/>
                <w:u w:val="wave"/>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173" w:type="dxa"/>
            <w:gridSpan w:val="3"/>
            <w:vAlign w:val="center"/>
          </w:tcPr>
          <w:p>
            <w:pPr>
              <w:pStyle w:val="90"/>
              <w:rPr>
                <w:rFonts w:ascii="Times New Roman" w:hAnsi="Times New Roman" w:cs="Times New Roman" w:eastAsiaTheme="minorEastAsia"/>
                <w:color w:val="FF0000"/>
                <w:sz w:val="21"/>
                <w:szCs w:val="21"/>
                <w:u w:val="wave"/>
              </w:rPr>
            </w:pPr>
            <w:r>
              <w:rPr>
                <w:rFonts w:ascii="Times New Roman" w:hAnsi="Times New Roman" w:cs="Times New Roman" w:eastAsiaTheme="minorEastAsia"/>
                <w:color w:val="FF0000"/>
                <w:sz w:val="21"/>
                <w:szCs w:val="21"/>
                <w:u w:val="wave"/>
              </w:rPr>
              <w:t>二、衡阳县台源镇城镇居民区禁养区（J35）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53" w:type="dxa"/>
            <w:vAlign w:val="center"/>
          </w:tcPr>
          <w:p>
            <w:pPr>
              <w:pStyle w:val="90"/>
              <w:rPr>
                <w:rFonts w:ascii="Times New Roman" w:hAnsi="Times New Roman" w:cs="Times New Roman" w:eastAsiaTheme="minorEastAsia"/>
                <w:color w:val="FF0000"/>
                <w:sz w:val="21"/>
                <w:szCs w:val="21"/>
                <w:u w:val="wave"/>
              </w:rPr>
            </w:pPr>
            <w:r>
              <w:rPr>
                <w:rFonts w:ascii="Times New Roman" w:hAnsi="Times New Roman" w:cs="Times New Roman" w:eastAsiaTheme="minorEastAsia"/>
                <w:color w:val="FF0000"/>
                <w:sz w:val="21"/>
                <w:szCs w:val="21"/>
                <w:u w:val="wave"/>
              </w:rPr>
              <w:t>以衡阳县台源镇城镇建成区及规划区禁止建设区域为边界划定为畜禽养殖一级禁养区，禁止建设养殖场。</w:t>
            </w:r>
          </w:p>
          <w:p>
            <w:pPr>
              <w:pStyle w:val="90"/>
              <w:rPr>
                <w:rStyle w:val="112"/>
                <w:rFonts w:ascii="Times New Roman" w:hAnsi="Times New Roman" w:cs="Times New Roman" w:eastAsiaTheme="minorEastAsia"/>
                <w:color w:val="FF0000"/>
                <w:sz w:val="21"/>
                <w:szCs w:val="21"/>
                <w:u w:val="wave"/>
                <w:shd w:val="clear" w:color="auto" w:fill="FFFFFF"/>
              </w:rPr>
            </w:pPr>
            <w:r>
              <w:rPr>
                <w:rFonts w:ascii="Times New Roman" w:hAnsi="Times New Roman" w:cs="Times New Roman" w:eastAsiaTheme="minorEastAsia"/>
                <w:color w:val="FF0000"/>
                <w:kern w:val="0"/>
                <w:sz w:val="21"/>
                <w:szCs w:val="21"/>
                <w:u w:val="wave"/>
              </w:rPr>
              <w:t>台源镇城镇建成区及规划区禁止建设区域（0.633 km</w:t>
            </w:r>
            <w:r>
              <w:rPr>
                <w:rFonts w:ascii="Times New Roman" w:hAnsi="Times New Roman" w:cs="Times New Roman" w:eastAsiaTheme="minorEastAsia"/>
                <w:color w:val="FF0000"/>
                <w:kern w:val="0"/>
                <w:sz w:val="21"/>
                <w:szCs w:val="21"/>
                <w:u w:val="wave"/>
                <w:vertAlign w:val="superscript"/>
              </w:rPr>
              <w:t>2</w:t>
            </w:r>
            <w:r>
              <w:rPr>
                <w:rFonts w:ascii="Times New Roman" w:hAnsi="Times New Roman" w:cs="Times New Roman" w:eastAsiaTheme="minorEastAsia"/>
                <w:color w:val="FF0000"/>
                <w:kern w:val="0"/>
                <w:sz w:val="21"/>
                <w:szCs w:val="21"/>
                <w:u w:val="wave"/>
              </w:rPr>
              <w:t>）</w:t>
            </w:r>
          </w:p>
        </w:tc>
        <w:tc>
          <w:tcPr>
            <w:tcW w:w="2837" w:type="dxa"/>
            <w:vAlign w:val="center"/>
          </w:tcPr>
          <w:p>
            <w:pPr>
              <w:pStyle w:val="90"/>
              <w:rPr>
                <w:rFonts w:ascii="Times New Roman" w:hAnsi="Times New Roman" w:cs="Times New Roman" w:eastAsiaTheme="minorEastAsia"/>
                <w:color w:val="FF0000"/>
                <w:sz w:val="21"/>
                <w:szCs w:val="21"/>
                <w:u w:val="wave"/>
              </w:rPr>
            </w:pPr>
            <w:r>
              <w:rPr>
                <w:rFonts w:ascii="Times New Roman" w:hAnsi="Times New Roman" w:cs="Times New Roman" w:eastAsiaTheme="minorEastAsia"/>
                <w:color w:val="FF0000"/>
                <w:sz w:val="21"/>
                <w:szCs w:val="21"/>
                <w:u w:val="wave"/>
              </w:rPr>
              <w:t>本项目位于台源镇镇区的西北侧，距离</w:t>
            </w:r>
            <w:r>
              <w:rPr>
                <w:rFonts w:ascii="Times New Roman" w:hAnsi="Times New Roman" w:cs="Times New Roman" w:eastAsiaTheme="minorEastAsia"/>
                <w:color w:val="FF0000"/>
                <w:sz w:val="21"/>
                <w:szCs w:val="21"/>
                <w:u w:val="wave"/>
                <w:shd w:val="clear" w:color="auto" w:fill="FFFFFF"/>
              </w:rPr>
              <w:t>台源镇建成区边界最近直线距离约2km，不属于禁养区</w:t>
            </w:r>
          </w:p>
        </w:tc>
        <w:tc>
          <w:tcPr>
            <w:tcW w:w="983" w:type="dxa"/>
            <w:vAlign w:val="center"/>
          </w:tcPr>
          <w:p>
            <w:pPr>
              <w:pStyle w:val="90"/>
              <w:rPr>
                <w:rFonts w:ascii="Times New Roman" w:hAnsi="Times New Roman" w:cs="Times New Roman" w:eastAsiaTheme="minorEastAsia"/>
                <w:color w:val="FF0000"/>
                <w:sz w:val="21"/>
                <w:szCs w:val="21"/>
                <w:u w:val="wave"/>
              </w:rPr>
            </w:pPr>
            <w:r>
              <w:rPr>
                <w:rFonts w:ascii="Times New Roman" w:hAnsi="Times New Roman" w:cs="Times New Roman" w:eastAsiaTheme="minorEastAsia"/>
                <w:color w:val="FF0000"/>
                <w:sz w:val="21"/>
                <w:szCs w:val="21"/>
                <w:u w:val="wave"/>
              </w:rPr>
              <w:t>符合</w:t>
            </w:r>
          </w:p>
        </w:tc>
      </w:tr>
    </w:tbl>
    <w:p>
      <w:pPr>
        <w:pStyle w:val="215"/>
        <w:rPr>
          <w:color w:val="FF0000"/>
          <w:u w:val="wave"/>
        </w:rPr>
      </w:pPr>
      <w:r>
        <w:rPr>
          <w:color w:val="FF0000"/>
          <w:u w:val="wave"/>
        </w:rPr>
        <w:t>本项目属于新建项目，根据工程分析，项目废气可做到达标排放，废水、固废得到有效控制，项目选址不属于《</w:t>
      </w:r>
      <w:r>
        <w:rPr>
          <w:rFonts w:hint="eastAsia"/>
          <w:color w:val="FF0000"/>
          <w:u w:val="wave"/>
        </w:rPr>
        <w:t>衡阳县畜禽养殖禁养区划定技术方案</w:t>
      </w:r>
      <w:r>
        <w:rPr>
          <w:color w:val="FF0000"/>
          <w:u w:val="wave"/>
        </w:rPr>
        <w:t>》（</w:t>
      </w:r>
      <w:r>
        <w:rPr>
          <w:rFonts w:hint="eastAsia"/>
          <w:color w:val="FF0000"/>
          <w:u w:val="wave"/>
        </w:rPr>
        <w:t>正式稿</w:t>
      </w:r>
      <w:r>
        <w:rPr>
          <w:color w:val="FF0000"/>
          <w:u w:val="wave"/>
        </w:rPr>
        <w:t>）的一级禁养区、二级禁养区，属于《</w:t>
      </w:r>
      <w:r>
        <w:rPr>
          <w:rFonts w:hint="eastAsia"/>
          <w:color w:val="FF0000"/>
          <w:u w:val="wave"/>
        </w:rPr>
        <w:t>衡阳县畜禽养殖禁养区划定技术方案</w:t>
      </w:r>
      <w:r>
        <w:rPr>
          <w:color w:val="FF0000"/>
          <w:u w:val="wave"/>
        </w:rPr>
        <w:t>》（</w:t>
      </w:r>
      <w:r>
        <w:rPr>
          <w:rFonts w:hint="eastAsia"/>
          <w:color w:val="FF0000"/>
          <w:u w:val="wave"/>
        </w:rPr>
        <w:t>正式稿</w:t>
      </w:r>
      <w:r>
        <w:rPr>
          <w:color w:val="FF0000"/>
          <w:u w:val="wave"/>
        </w:rPr>
        <w:t>）的适养区。</w:t>
      </w:r>
    </w:p>
    <w:p>
      <w:pPr>
        <w:pStyle w:val="7"/>
        <w:adjustRightInd w:val="0"/>
        <w:snapToGrid w:val="0"/>
        <w:spacing w:before="0" w:after="0" w:line="360" w:lineRule="auto"/>
        <w:jc w:val="left"/>
        <w:rPr>
          <w:sz w:val="24"/>
          <w:szCs w:val="24"/>
        </w:rPr>
      </w:pPr>
      <w:r>
        <w:rPr>
          <w:rFonts w:hint="eastAsia"/>
          <w:sz w:val="24"/>
          <w:szCs w:val="24"/>
        </w:rPr>
        <w:t>1.4.6 “三线一单”相符性</w:t>
      </w:r>
    </w:p>
    <w:p>
      <w:pPr>
        <w:pStyle w:val="243"/>
        <w:snapToGrid/>
        <w:spacing w:line="360" w:lineRule="auto"/>
        <w:ind w:firstLine="482" w:firstLineChars="200"/>
        <w:rPr>
          <w:rFonts w:cs="Times New Roman" w:eastAsiaTheme="minorEastAsia"/>
          <w:b/>
          <w:color w:val="auto"/>
        </w:rPr>
      </w:pPr>
      <w:r>
        <w:rPr>
          <w:rFonts w:hint="eastAsia" w:cs="Times New Roman" w:eastAsiaTheme="minorEastAsia"/>
          <w:b/>
          <w:color w:val="auto"/>
        </w:rPr>
        <w:t>1、生态保护红线</w:t>
      </w:r>
    </w:p>
    <w:p>
      <w:pPr>
        <w:pStyle w:val="243"/>
        <w:snapToGrid/>
        <w:spacing w:line="360" w:lineRule="auto"/>
        <w:ind w:firstLine="480" w:firstLineChars="200"/>
        <w:rPr>
          <w:rFonts w:eastAsia="宋体"/>
          <w:color w:val="auto"/>
        </w:rPr>
      </w:pPr>
      <w:r>
        <w:rPr>
          <w:rFonts w:hint="eastAsia" w:eastAsia="宋体"/>
          <w:color w:val="auto"/>
        </w:rPr>
        <w:t>根据《湖南省</w:t>
      </w:r>
      <w:r>
        <w:rPr>
          <w:rFonts w:asciiTheme="minorEastAsia" w:hAnsiTheme="minorEastAsia" w:eastAsiaTheme="minorEastAsia"/>
          <w:color w:val="auto"/>
        </w:rPr>
        <w:t>“</w:t>
      </w:r>
      <w:r>
        <w:rPr>
          <w:rFonts w:hint="eastAsia" w:asciiTheme="minorEastAsia" w:hAnsiTheme="minorEastAsia" w:eastAsiaTheme="minorEastAsia"/>
          <w:color w:val="auto"/>
        </w:rPr>
        <w:t>三线一单</w:t>
      </w:r>
      <w:r>
        <w:rPr>
          <w:rFonts w:asciiTheme="minorEastAsia" w:hAnsiTheme="minorEastAsia" w:eastAsiaTheme="minorEastAsia"/>
          <w:color w:val="auto"/>
        </w:rPr>
        <w:t>”</w:t>
      </w:r>
      <w:r>
        <w:rPr>
          <w:rFonts w:hint="eastAsia" w:eastAsia="宋体"/>
          <w:color w:val="auto"/>
        </w:rPr>
        <w:t>生态环境总体管控要求暨省级以上产业园区生态环境准入清单》（</w:t>
      </w:r>
      <w:r>
        <w:rPr>
          <w:rFonts w:eastAsia="宋体"/>
          <w:color w:val="auto"/>
        </w:rPr>
        <w:t>2020</w:t>
      </w:r>
      <w:r>
        <w:rPr>
          <w:rFonts w:hint="eastAsia" w:eastAsia="宋体"/>
          <w:color w:val="auto"/>
        </w:rPr>
        <w:t>年</w:t>
      </w:r>
      <w:r>
        <w:rPr>
          <w:rFonts w:eastAsia="宋体"/>
          <w:color w:val="auto"/>
        </w:rPr>
        <w:t>11</w:t>
      </w:r>
      <w:r>
        <w:rPr>
          <w:rFonts w:hint="eastAsia" w:eastAsia="宋体"/>
          <w:color w:val="auto"/>
        </w:rPr>
        <w:t>月发布）中湖南省</w:t>
      </w:r>
      <w:r>
        <w:rPr>
          <w:rFonts w:asciiTheme="minorEastAsia" w:hAnsiTheme="minorEastAsia" w:eastAsiaTheme="minorEastAsia"/>
          <w:color w:val="auto"/>
        </w:rPr>
        <w:t>“</w:t>
      </w:r>
      <w:r>
        <w:rPr>
          <w:rFonts w:hint="eastAsia" w:asciiTheme="minorEastAsia" w:hAnsiTheme="minorEastAsia" w:eastAsiaTheme="minorEastAsia"/>
          <w:color w:val="auto"/>
        </w:rPr>
        <w:t>三线一单</w:t>
      </w:r>
      <w:r>
        <w:rPr>
          <w:rFonts w:asciiTheme="minorEastAsia" w:hAnsiTheme="minorEastAsia" w:eastAsiaTheme="minorEastAsia"/>
          <w:color w:val="auto"/>
        </w:rPr>
        <w:t>”</w:t>
      </w:r>
      <w:r>
        <w:rPr>
          <w:rFonts w:hint="eastAsia" w:eastAsia="宋体"/>
          <w:color w:val="auto"/>
        </w:rPr>
        <w:t>生态环境总体管控要求：生态保护红线是生态空间范围内具有特殊重要生态功能、必须强制性严格保护的区域。生态保护红线内，自然保护地核心保护区原则上禁止人为活动，其他区域严格禁止开发性、生产性建设活动，在符合现行法律法规前提下，除国家重大战略项目外，仅允许对生态功能不造成破坏的有限人为活动；生态保护红线内的国家公园、自然保护区、风景名胜区、森林公园、地质公园、世界自然遗产、湿地公园、石漠公园、饮用水水源保护区等各类自然保护地还应执行现有法律、法规、规章及自然资源部、国家林业和草原局《关于做好自然保护区范围及功能分区优化调整前期工作的函》等相关规定；国家公园和自然保护区实行分区管控，原则上核心保护区内禁止人为活动，一般控制区内限制人为活动。</w:t>
      </w:r>
    </w:p>
    <w:p>
      <w:pPr>
        <w:pStyle w:val="243"/>
        <w:spacing w:line="360" w:lineRule="auto"/>
        <w:ind w:firstLine="480" w:firstLineChars="200"/>
        <w:rPr>
          <w:rFonts w:ascii="Times New Roman" w:cs="Times New Roman" w:hAnsiTheme="majorEastAsia" w:eastAsiaTheme="majorEastAsia"/>
          <w:color w:val="auto"/>
        </w:rPr>
      </w:pPr>
      <w:r>
        <w:rPr>
          <w:rFonts w:ascii="Times New Roman" w:cs="Times New Roman" w:hAnsiTheme="majorEastAsia" w:eastAsiaTheme="majorEastAsia"/>
          <w:color w:val="auto"/>
        </w:rPr>
        <w:t>本项目位于衡阳县</w:t>
      </w:r>
      <w:r>
        <w:rPr>
          <w:rFonts w:hint="eastAsia" w:ascii="Times New Roman" w:cs="Times New Roman" w:hAnsiTheme="majorEastAsia" w:eastAsiaTheme="majorEastAsia"/>
          <w:color w:val="auto"/>
        </w:rPr>
        <w:t>台源镇紫霞村、前进村</w:t>
      </w:r>
      <w:r>
        <w:rPr>
          <w:rFonts w:ascii="Times New Roman" w:cs="Times New Roman" w:hAnsiTheme="majorEastAsia" w:eastAsiaTheme="majorEastAsia"/>
          <w:color w:val="auto"/>
        </w:rPr>
        <w:t>，根据《湖南省人民政府关于印发&lt;湖南省生态保护红线&gt;的通知》（湘政发〔2018〕20号），本项目不在生态保护红线范围内。</w:t>
      </w:r>
    </w:p>
    <w:p>
      <w:pPr>
        <w:autoSpaceDE w:val="0"/>
        <w:autoSpaceDN w:val="0"/>
        <w:adjustRightInd w:val="0"/>
        <w:spacing w:line="360" w:lineRule="auto"/>
        <w:ind w:firstLine="482" w:firstLineChars="200"/>
        <w:rPr>
          <w:rFonts w:eastAsiaTheme="minorEastAsia" w:cstheme="minorBidi"/>
          <w:b/>
          <w:kern w:val="0"/>
          <w:sz w:val="24"/>
          <w:szCs w:val="20"/>
        </w:rPr>
      </w:pPr>
      <w:r>
        <w:rPr>
          <w:rFonts w:hint="eastAsia" w:eastAsiaTheme="minorEastAsia" w:cstheme="minorBidi"/>
          <w:b/>
          <w:kern w:val="0"/>
          <w:sz w:val="24"/>
          <w:szCs w:val="20"/>
        </w:rPr>
        <w:t>2、环境质量底线</w:t>
      </w:r>
    </w:p>
    <w:p>
      <w:pPr>
        <w:spacing w:line="360" w:lineRule="auto"/>
        <w:ind w:firstLine="480" w:firstLineChars="200"/>
        <w:rPr>
          <w:sz w:val="24"/>
        </w:rPr>
      </w:pPr>
      <w:r>
        <w:rPr>
          <w:sz w:val="24"/>
        </w:rPr>
        <w:t>项目所在区域的环境质量底线为：环境空气质量目标为《环境空气质量标准》（</w:t>
      </w:r>
      <w:r>
        <w:rPr>
          <w:rFonts w:eastAsia="Times New Roman"/>
          <w:sz w:val="24"/>
        </w:rPr>
        <w:t>GB3095-2012</w:t>
      </w:r>
      <w:r>
        <w:rPr>
          <w:sz w:val="24"/>
        </w:rPr>
        <w:t>）二级标准，地表水环境质量目标为《地表水环境质量标准》（</w:t>
      </w:r>
      <w:r>
        <w:rPr>
          <w:rFonts w:eastAsia="Times New Roman"/>
          <w:sz w:val="24"/>
        </w:rPr>
        <w:t>GB3838-2002</w:t>
      </w:r>
      <w:r>
        <w:rPr>
          <w:sz w:val="24"/>
        </w:rPr>
        <w:t>）</w:t>
      </w:r>
      <w:r>
        <w:rPr>
          <w:rFonts w:hint="eastAsia" w:ascii="宋体" w:hAnsi="宋体" w:cs="宋体"/>
          <w:sz w:val="24"/>
        </w:rPr>
        <w:t>Ⅲ</w:t>
      </w:r>
      <w:r>
        <w:rPr>
          <w:sz w:val="24"/>
        </w:rPr>
        <w:t>类标准，地下水环境质量目标为《地下水质量标准》（</w:t>
      </w:r>
      <w:r>
        <w:rPr>
          <w:rFonts w:eastAsia="Times New Roman"/>
          <w:sz w:val="24"/>
        </w:rPr>
        <w:t>GB/T14848-2017</w:t>
      </w:r>
      <w:r>
        <w:rPr>
          <w:sz w:val="24"/>
        </w:rPr>
        <w:t>）</w:t>
      </w:r>
      <w:r>
        <w:rPr>
          <w:rFonts w:hint="eastAsia" w:ascii="宋体" w:hAnsi="宋体" w:cs="宋体"/>
          <w:sz w:val="24"/>
        </w:rPr>
        <w:t>Ⅲ</w:t>
      </w:r>
      <w:r>
        <w:rPr>
          <w:sz w:val="24"/>
        </w:rPr>
        <w:t>类标准，区域声环境质量目标为《声环境质量标准》（</w:t>
      </w:r>
      <w:r>
        <w:rPr>
          <w:rFonts w:eastAsia="Times New Roman"/>
          <w:sz w:val="24"/>
        </w:rPr>
        <w:t>GB3096-2008</w:t>
      </w:r>
      <w:r>
        <w:rPr>
          <w:sz w:val="24"/>
        </w:rPr>
        <w:t>）</w:t>
      </w:r>
      <w:r>
        <w:rPr>
          <w:rFonts w:eastAsia="Times New Roman"/>
          <w:sz w:val="24"/>
        </w:rPr>
        <w:t>2</w:t>
      </w:r>
      <w:r>
        <w:rPr>
          <w:sz w:val="24"/>
        </w:rPr>
        <w:t>类标准。</w:t>
      </w:r>
    </w:p>
    <w:p>
      <w:pPr>
        <w:pStyle w:val="243"/>
        <w:spacing w:line="360" w:lineRule="auto"/>
        <w:ind w:firstLine="480" w:firstLineChars="200"/>
        <w:rPr>
          <w:rFonts w:cs="Times New Roman" w:asciiTheme="minorEastAsia" w:hAnsiTheme="minorEastAsia" w:eastAsiaTheme="minorEastAsia"/>
          <w:color w:val="auto"/>
          <w:kern w:val="2"/>
          <w:szCs w:val="24"/>
        </w:rPr>
      </w:pPr>
      <w:r>
        <w:rPr>
          <w:rFonts w:cs="Times New Roman" w:asciiTheme="minorEastAsia" w:hAnsiTheme="minorEastAsia" w:eastAsiaTheme="minorEastAsia"/>
          <w:color w:val="auto"/>
          <w:kern w:val="2"/>
          <w:szCs w:val="24"/>
        </w:rPr>
        <w:t>根据环境现状监测结果，项目周边区域目前环境空气、地表水、地下水、声环境都能达到相应质量标准要求。本项目废气、废水能够达标排放，</w:t>
      </w:r>
      <w:r>
        <w:rPr>
          <w:rFonts w:hint="eastAsia" w:cs="Times New Roman" w:asciiTheme="minorEastAsia" w:hAnsiTheme="minorEastAsia" w:eastAsiaTheme="minorEastAsia"/>
          <w:color w:val="auto"/>
          <w:kern w:val="2"/>
          <w:szCs w:val="24"/>
        </w:rPr>
        <w:t>固体废物</w:t>
      </w:r>
      <w:r>
        <w:rPr>
          <w:rFonts w:cs="Times New Roman" w:asciiTheme="minorEastAsia" w:hAnsiTheme="minorEastAsia" w:eastAsiaTheme="minorEastAsia"/>
          <w:color w:val="auto"/>
          <w:kern w:val="2"/>
          <w:szCs w:val="24"/>
        </w:rPr>
        <w:t>和生活垃圾均得到合理处置，对周边影响较小，不会突破项目所在地的环境质量底线，符合环境质量底线标准</w:t>
      </w:r>
      <w:r>
        <w:rPr>
          <w:rFonts w:hint="eastAsia" w:cs="Times New Roman" w:asciiTheme="minorEastAsia" w:hAnsiTheme="minorEastAsia" w:eastAsiaTheme="minorEastAsia"/>
          <w:color w:val="auto"/>
          <w:kern w:val="2"/>
          <w:szCs w:val="24"/>
        </w:rPr>
        <w:t>。</w:t>
      </w:r>
    </w:p>
    <w:p>
      <w:pPr>
        <w:pStyle w:val="243"/>
        <w:spacing w:line="360" w:lineRule="auto"/>
        <w:ind w:firstLine="482" w:firstLineChars="200"/>
        <w:rPr>
          <w:rFonts w:eastAsiaTheme="minorEastAsia"/>
          <w:b/>
          <w:color w:val="auto"/>
        </w:rPr>
      </w:pPr>
      <w:r>
        <w:rPr>
          <w:rFonts w:hint="eastAsia" w:eastAsiaTheme="minorEastAsia"/>
          <w:b/>
          <w:color w:val="auto"/>
        </w:rPr>
        <w:t>3、资源利用上线</w:t>
      </w:r>
    </w:p>
    <w:p>
      <w:pPr>
        <w:pStyle w:val="5"/>
        <w:snapToGrid w:val="0"/>
        <w:spacing w:after="0" w:line="360" w:lineRule="auto"/>
        <w:ind w:firstLine="480" w:firstLineChars="200"/>
        <w:rPr>
          <w:sz w:val="24"/>
        </w:rPr>
      </w:pPr>
      <w:r>
        <w:rPr>
          <w:rFonts w:hint="eastAsia" w:ascii="Times New Roman" w:hAnsi="Times New Roman" w:eastAsia="宋体" w:cs="Times New Roman"/>
          <w:sz w:val="24"/>
        </w:rPr>
        <w:t>项目为养殖类的项目，运营期消耗一定的电能、水资源等，项目资源消耗量相对区域资源利用总量较少，不涉及突破区域土地资源、水资源等资源利用上线</w:t>
      </w:r>
      <w:r>
        <w:rPr>
          <w:rFonts w:hint="eastAsia"/>
          <w:sz w:val="24"/>
        </w:rPr>
        <w:t>。</w:t>
      </w:r>
    </w:p>
    <w:p>
      <w:pPr>
        <w:pStyle w:val="5"/>
        <w:snapToGrid w:val="0"/>
        <w:spacing w:after="0" w:line="360" w:lineRule="auto"/>
        <w:ind w:firstLine="482" w:firstLineChars="200"/>
        <w:rPr>
          <w:rFonts w:ascii="Times New Roman" w:cs="Times New Roman" w:hAnsiTheme="minorEastAsia"/>
          <w:b/>
          <w:sz w:val="24"/>
        </w:rPr>
      </w:pPr>
      <w:r>
        <w:rPr>
          <w:rFonts w:ascii="Times New Roman" w:hAnsi="Times New Roman" w:cs="Times New Roman"/>
          <w:b/>
          <w:sz w:val="24"/>
        </w:rPr>
        <w:t>4</w:t>
      </w:r>
      <w:r>
        <w:rPr>
          <w:rFonts w:ascii="Times New Roman" w:cs="Times New Roman" w:hAnsiTheme="minorEastAsia"/>
          <w:b/>
          <w:sz w:val="24"/>
        </w:rPr>
        <w:t>、</w:t>
      </w:r>
      <w:r>
        <w:rPr>
          <w:rFonts w:hint="eastAsia" w:ascii="Times New Roman" w:cs="Times New Roman" w:hAnsiTheme="minorEastAsia"/>
          <w:b/>
          <w:sz w:val="24"/>
        </w:rPr>
        <w:t>生态环境准入清单</w:t>
      </w:r>
    </w:p>
    <w:p>
      <w:pPr>
        <w:pStyle w:val="243"/>
        <w:snapToGrid/>
        <w:spacing w:line="360" w:lineRule="auto"/>
        <w:ind w:firstLine="480" w:firstLineChars="200"/>
        <w:rPr>
          <w:rFonts w:eastAsia="宋体"/>
          <w:bCs/>
          <w:color w:val="auto"/>
        </w:rPr>
      </w:pPr>
      <w:r>
        <w:rPr>
          <w:rFonts w:hint="eastAsia" w:eastAsia="宋体"/>
          <w:bCs/>
          <w:color w:val="auto"/>
        </w:rPr>
        <w:t>生态环境准入清单是基于生态保护红线、环境质量底线和资源利用上线，以清单方式列出的禁止、限制等差别化环境准入条件和要求。</w:t>
      </w:r>
    </w:p>
    <w:p>
      <w:pPr>
        <w:pStyle w:val="243"/>
        <w:snapToGrid/>
        <w:spacing w:line="360" w:lineRule="auto"/>
        <w:ind w:firstLine="480" w:firstLineChars="200"/>
        <w:rPr>
          <w:rFonts w:eastAsia="宋体"/>
          <w:color w:val="auto"/>
        </w:rPr>
      </w:pPr>
      <w:r>
        <w:rPr>
          <w:rFonts w:hint="eastAsia" w:eastAsia="宋体"/>
          <w:color w:val="auto"/>
        </w:rPr>
        <w:t>2020年12月28日，衡阳市人民政府发布了衡阳市人民政府关于实施“三线一单”生态环境分区管控的意见（衡政发〔2020〕9号），对全市按行政区域实行生态环境分区管控。全市共</w:t>
      </w:r>
      <w:r>
        <w:rPr>
          <w:rFonts w:eastAsia="宋体"/>
          <w:color w:val="auto"/>
        </w:rPr>
        <w:t>划定</w:t>
      </w:r>
      <w:r>
        <w:rPr>
          <w:rFonts w:hint="eastAsia" w:eastAsia="宋体"/>
          <w:color w:val="auto"/>
        </w:rPr>
        <w:t>65</w:t>
      </w:r>
      <w:r>
        <w:rPr>
          <w:rFonts w:eastAsia="宋体"/>
          <w:color w:val="auto"/>
        </w:rPr>
        <w:t>个环境管控单元，其中：优先保护单元13个，面积占比15.57%；重点管控单元31个（含全市11个省级及以上产业园区），面积占比19.88%；一般管控单元21个，面积占比64.55%</w:t>
      </w:r>
      <w:r>
        <w:rPr>
          <w:rFonts w:hint="eastAsia" w:eastAsia="宋体"/>
          <w:color w:val="auto"/>
        </w:rPr>
        <w:t>。</w:t>
      </w:r>
    </w:p>
    <w:p>
      <w:pPr>
        <w:pStyle w:val="243"/>
        <w:snapToGrid/>
        <w:spacing w:line="360" w:lineRule="auto"/>
        <w:ind w:firstLine="480" w:firstLineChars="200"/>
        <w:rPr>
          <w:rFonts w:eastAsia="宋体"/>
          <w:color w:val="auto"/>
        </w:rPr>
      </w:pPr>
      <w:r>
        <w:rPr>
          <w:rFonts w:cs="Times New Roman" w:hAnsiTheme="majorEastAsia" w:eastAsiaTheme="majorEastAsia"/>
          <w:color w:val="auto"/>
        </w:rPr>
        <w:t>本项目位于衡阳</w:t>
      </w:r>
      <w:r>
        <w:rPr>
          <w:rFonts w:ascii="Times New Roman" w:hAnsi="Times New Roman" w:eastAsia="宋体"/>
          <w:color w:val="auto"/>
        </w:rPr>
        <w:t>县</w:t>
      </w:r>
      <w:r>
        <w:rPr>
          <w:rFonts w:hint="eastAsia" w:ascii="Times New Roman" w:hAnsi="Times New Roman" w:eastAsia="宋体"/>
          <w:color w:val="auto"/>
        </w:rPr>
        <w:t>台源镇紫霞村、前进村，根据《衡阳市人民政府关于实施“三线一单”生态环境分区管控的意见（衡政发〔2020〕9号）》中附件1：衡阳市环境管控单元图，可知本项目属于衡阳市一般管控单</w:t>
      </w:r>
      <w:r>
        <w:rPr>
          <w:rFonts w:hint="eastAsia" w:eastAsia="宋体"/>
          <w:color w:val="auto"/>
        </w:rPr>
        <w:t>元，环境管控单元编码为ZH43042130002，主要功能定位为国家层面农产品主产区</w:t>
      </w:r>
      <w:r>
        <w:rPr>
          <w:rFonts w:eastAsiaTheme="minorEastAsia"/>
          <w:szCs w:val="21"/>
        </w:rPr>
        <w:t>。</w:t>
      </w:r>
      <w:r>
        <w:rPr>
          <w:rFonts w:hint="eastAsia" w:eastAsiaTheme="minorEastAsia"/>
          <w:szCs w:val="21"/>
        </w:rPr>
        <w:t>本环评通过进一步对照衡阳市生态环境准入清单分析，可知本项目与生态环境分区管控相适应，具体内容如下</w:t>
      </w:r>
      <w:r>
        <w:rPr>
          <w:rFonts w:hint="eastAsia" w:eastAsia="宋体"/>
          <w:bCs/>
          <w:color w:val="auto"/>
        </w:rPr>
        <w:t>：</w:t>
      </w:r>
    </w:p>
    <w:p>
      <w:pPr>
        <w:pStyle w:val="17"/>
      </w:pPr>
      <w:r>
        <w:rPr>
          <w:rFonts w:ascii="Times New Roman" w:hAnsi="Times New Roman"/>
          <w:color w:val="auto"/>
          <w:sz w:val="21"/>
        </w:rPr>
        <w:t>表</w:t>
      </w:r>
      <w:r>
        <w:rPr>
          <w:rFonts w:hint="eastAsia" w:ascii="Times New Roman" w:hAnsi="Times New Roman"/>
          <w:color w:val="auto"/>
          <w:sz w:val="21"/>
        </w:rPr>
        <w:t xml:space="preserve">1.4-8  </w:t>
      </w:r>
      <w:r>
        <w:rPr>
          <w:sz w:val="21"/>
        </w:rPr>
        <w:t>项目与衡阳市生态环境准入清单符合性分析</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16"/>
        <w:gridCol w:w="4475"/>
        <w:gridCol w:w="2591"/>
        <w:gridCol w:w="8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管控纬度</w:t>
            </w:r>
          </w:p>
        </w:tc>
        <w:tc>
          <w:tcPr>
            <w:tcW w:w="2501" w:type="pct"/>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管控要求</w:t>
            </w:r>
          </w:p>
        </w:tc>
        <w:tc>
          <w:tcPr>
            <w:tcW w:w="1448" w:type="pct"/>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本项目情况</w:t>
            </w:r>
          </w:p>
        </w:tc>
        <w:tc>
          <w:tcPr>
            <w:tcW w:w="483" w:type="pct"/>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相符性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6" w:hRule="atLeast"/>
        </w:trPr>
        <w:tc>
          <w:tcPr>
            <w:tcW w:w="568" w:type="pct"/>
            <w:vAlign w:val="center"/>
          </w:tcPr>
          <w:p>
            <w:pPr>
              <w:jc w:val="center"/>
              <w:rPr>
                <w:rFonts w:hint="default" w:ascii="Times New Roman" w:hAnsi="Times New Roman" w:cs="Times New Roman"/>
                <w:sz w:val="21"/>
                <w:szCs w:val="21"/>
              </w:rPr>
            </w:pPr>
            <w:r>
              <w:rPr>
                <w:rFonts w:hint="default" w:ascii="Times New Roman" w:hAnsi="Times New Roman" w:cs="Times New Roman"/>
                <w:kern w:val="0"/>
                <w:sz w:val="21"/>
                <w:szCs w:val="21"/>
              </w:rPr>
              <w:t>空间布局约束</w:t>
            </w:r>
          </w:p>
        </w:tc>
        <w:tc>
          <w:tcPr>
            <w:tcW w:w="2501"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（1.1）新建涉VOCs排放的工业企业要入园区；</w:t>
            </w:r>
          </w:p>
          <w:p>
            <w:pPr>
              <w:jc w:val="center"/>
              <w:rPr>
                <w:rFonts w:hint="default" w:ascii="Times New Roman" w:hAnsi="Times New Roman" w:cs="Times New Roman"/>
                <w:sz w:val="21"/>
                <w:szCs w:val="21"/>
              </w:rPr>
            </w:pPr>
            <w:r>
              <w:rPr>
                <w:rFonts w:hint="default" w:ascii="Times New Roman" w:hAnsi="Times New Roman" w:cs="Times New Roman"/>
                <w:sz w:val="21"/>
                <w:szCs w:val="21"/>
              </w:rPr>
              <w:t>（1.2）养殖业按划定的禁养区、限养区、适养区实施分类管理</w:t>
            </w:r>
          </w:p>
        </w:tc>
        <w:tc>
          <w:tcPr>
            <w:tcW w:w="1448" w:type="pct"/>
            <w:vAlign w:val="center"/>
          </w:tcPr>
          <w:p>
            <w:pPr>
              <w:jc w:val="center"/>
              <w:rPr>
                <w:rFonts w:hint="default" w:ascii="Times New Roman" w:hAnsi="Times New Roman" w:eastAsia="宋体" w:cs="Times New Roman"/>
                <w:sz w:val="21"/>
                <w:szCs w:val="21"/>
                <w:lang w:val="en-US" w:eastAsia="zh-CN"/>
              </w:rPr>
            </w:pPr>
            <w:r>
              <w:rPr>
                <w:rFonts w:hint="eastAsia" w:cs="Times New Roman"/>
                <w:sz w:val="21"/>
                <w:szCs w:val="21"/>
                <w:lang w:eastAsia="zh-CN"/>
              </w:rPr>
              <w:t>（</w:t>
            </w:r>
            <w:r>
              <w:rPr>
                <w:rFonts w:hint="eastAsia" w:cs="Times New Roman"/>
                <w:sz w:val="21"/>
                <w:szCs w:val="21"/>
                <w:lang w:val="en-US" w:eastAsia="zh-CN"/>
              </w:rPr>
              <w:t>1</w:t>
            </w:r>
            <w:r>
              <w:rPr>
                <w:rFonts w:hint="eastAsia" w:cs="Times New Roman"/>
                <w:sz w:val="21"/>
                <w:szCs w:val="21"/>
                <w:lang w:eastAsia="zh-CN"/>
              </w:rPr>
              <w:t>）</w:t>
            </w:r>
            <w:r>
              <w:rPr>
                <w:rFonts w:hint="eastAsia" w:cs="Times New Roman"/>
                <w:sz w:val="21"/>
                <w:szCs w:val="21"/>
                <w:lang w:val="en-US" w:eastAsia="zh-CN"/>
              </w:rPr>
              <w:t>项目不涉及</w:t>
            </w:r>
            <w:r>
              <w:rPr>
                <w:rFonts w:hint="default" w:ascii="Times New Roman" w:hAnsi="Times New Roman" w:cs="Times New Roman"/>
                <w:sz w:val="21"/>
                <w:szCs w:val="21"/>
              </w:rPr>
              <w:t>VOCs排放</w:t>
            </w: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2</w:t>
            </w:r>
            <w:r>
              <w:rPr>
                <w:rFonts w:hint="eastAsia" w:ascii="Times New Roman" w:hAnsi="Times New Roman" w:cs="Times New Roman"/>
                <w:sz w:val="21"/>
                <w:szCs w:val="21"/>
                <w:lang w:eastAsia="zh-CN"/>
              </w:rPr>
              <w:t>）</w:t>
            </w:r>
            <w:r>
              <w:rPr>
                <w:rFonts w:hint="default" w:ascii="Times New Roman" w:hAnsi="Times New Roman" w:cs="Times New Roman"/>
                <w:sz w:val="21"/>
                <w:szCs w:val="21"/>
              </w:rPr>
              <w:t>项目为规模化禽类养殖，</w:t>
            </w:r>
            <w:r>
              <w:rPr>
                <w:rFonts w:hint="eastAsia" w:cs="Times New Roman"/>
                <w:sz w:val="21"/>
                <w:szCs w:val="21"/>
                <w:lang w:val="en-US" w:eastAsia="zh-CN"/>
              </w:rPr>
              <w:t>项目位于</w:t>
            </w:r>
            <w:r>
              <w:rPr>
                <w:rFonts w:hint="default" w:ascii="Times New Roman" w:hAnsi="Times New Roman" w:cs="Times New Roman"/>
                <w:sz w:val="21"/>
                <w:szCs w:val="21"/>
              </w:rPr>
              <w:t>《衡阳县畜禽养殖禁养区划定技术方案》（正式稿）</w:t>
            </w:r>
            <w:r>
              <w:rPr>
                <w:rFonts w:hint="eastAsia" w:cs="Times New Roman"/>
                <w:sz w:val="21"/>
                <w:szCs w:val="21"/>
                <w:lang w:val="en-US" w:eastAsia="zh-CN"/>
              </w:rPr>
              <w:t>划定的</w:t>
            </w:r>
            <w:r>
              <w:rPr>
                <w:rFonts w:hint="default" w:ascii="Times New Roman" w:hAnsi="Times New Roman" w:cs="Times New Roman"/>
                <w:sz w:val="21"/>
                <w:szCs w:val="21"/>
              </w:rPr>
              <w:t>适养区</w:t>
            </w:r>
            <w:r>
              <w:rPr>
                <w:rFonts w:hint="eastAsia" w:cs="Times New Roman"/>
                <w:sz w:val="21"/>
                <w:szCs w:val="21"/>
                <w:lang w:val="en-US" w:eastAsia="zh-CN"/>
              </w:rPr>
              <w:t>范围内</w:t>
            </w:r>
          </w:p>
        </w:tc>
        <w:tc>
          <w:tcPr>
            <w:tcW w:w="483"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Align w:val="center"/>
          </w:tcPr>
          <w:p>
            <w:pPr>
              <w:jc w:val="center"/>
              <w:rPr>
                <w:rFonts w:hint="default" w:ascii="Times New Roman" w:hAnsi="Times New Roman" w:cs="Times New Roman"/>
                <w:sz w:val="21"/>
                <w:szCs w:val="21"/>
              </w:rPr>
            </w:pPr>
            <w:r>
              <w:rPr>
                <w:rFonts w:hint="default" w:ascii="Times New Roman" w:hAnsi="Times New Roman" w:cs="Times New Roman"/>
                <w:kern w:val="0"/>
                <w:sz w:val="21"/>
                <w:szCs w:val="21"/>
              </w:rPr>
              <w:t>污染物排放管控</w:t>
            </w:r>
          </w:p>
        </w:tc>
        <w:tc>
          <w:tcPr>
            <w:tcW w:w="2501" w:type="pct"/>
            <w:vAlign w:val="center"/>
          </w:tcPr>
          <w:p>
            <w:pPr>
              <w:adjustRightInd w:val="0"/>
              <w:jc w:val="center"/>
              <w:rPr>
                <w:rFonts w:hint="default" w:ascii="Times New Roman" w:hAnsi="Times New Roman" w:cs="Times New Roman"/>
                <w:sz w:val="21"/>
                <w:szCs w:val="21"/>
              </w:rPr>
            </w:pPr>
            <w:r>
              <w:rPr>
                <w:rFonts w:hint="default" w:ascii="Times New Roman" w:hAnsi="Times New Roman" w:cs="Times New Roman"/>
                <w:sz w:val="21"/>
                <w:szCs w:val="21"/>
              </w:rPr>
              <w:t>（2.1）完善污水收集配套管网，工业集聚区要建立水环境管理档案，实现</w:t>
            </w:r>
            <w:r>
              <w:rPr>
                <w:rFonts w:hint="eastAsia" w:asciiTheme="minorEastAsia" w:hAnsiTheme="minorEastAsia" w:eastAsiaTheme="minorEastAsia" w:cstheme="minorEastAsia"/>
                <w:sz w:val="21"/>
                <w:szCs w:val="21"/>
              </w:rPr>
              <w:t>“一园一档”</w:t>
            </w:r>
            <w:r>
              <w:rPr>
                <w:rFonts w:hint="default" w:ascii="Times New Roman" w:hAnsi="Times New Roman" w:cs="Times New Roman"/>
                <w:sz w:val="21"/>
                <w:szCs w:val="21"/>
              </w:rPr>
              <w:t>。新建、升级园区应同步规划和建设污水、垃圾集中处理等污染治理设施。加强城镇污水管网建设，提高城镇污水处理率。启动乡镇污水处理设施及配套管网建设，建制镇污水处理率达到55%，污水处理设施产生的污泥应进行稳定化、无害化和资源化处理处置。</w:t>
            </w:r>
          </w:p>
          <w:p>
            <w:pPr>
              <w:adjustRightInd w:val="0"/>
              <w:jc w:val="center"/>
              <w:rPr>
                <w:rFonts w:hint="default" w:ascii="Times New Roman" w:hAnsi="Times New Roman" w:cs="Times New Roman"/>
                <w:sz w:val="21"/>
                <w:szCs w:val="21"/>
              </w:rPr>
            </w:pPr>
            <w:r>
              <w:rPr>
                <w:rFonts w:hint="default" w:ascii="Times New Roman" w:hAnsi="Times New Roman" w:cs="Times New Roman"/>
                <w:sz w:val="21"/>
                <w:szCs w:val="21"/>
              </w:rPr>
              <w:t>（2.2）完成</w:t>
            </w:r>
            <w:r>
              <w:rPr>
                <w:rFonts w:hint="eastAsia" w:asciiTheme="majorEastAsia" w:hAnsiTheme="majorEastAsia" w:eastAsiaTheme="majorEastAsia" w:cstheme="majorEastAsia"/>
                <w:sz w:val="21"/>
                <w:szCs w:val="21"/>
              </w:rPr>
              <w:t>“散乱污”</w:t>
            </w:r>
            <w:r>
              <w:rPr>
                <w:rFonts w:hint="default" w:ascii="Times New Roman" w:hAnsi="Times New Roman" w:cs="Times New Roman"/>
                <w:sz w:val="21"/>
                <w:szCs w:val="21"/>
              </w:rPr>
              <w:t>涉气企业整治工作，重点工业企业完成无组织排放治理改造，强制推进清洁生产审核；实行区域内VOCs 排放等量或倍量削减替代，交通运输设备制造、工程机械制造和家具制造行业全面推行油性漆改水性漆。加快推进园区内淘汰取缔燃煤小锅炉、实施集中供热、清洁能源替代。禁止露天烧烤直排，禁止垃圾、秸秆和落叶露天焚烧。</w:t>
            </w:r>
          </w:p>
          <w:p>
            <w:pPr>
              <w:adjustRightInd w:val="0"/>
              <w:jc w:val="center"/>
              <w:rPr>
                <w:rFonts w:hint="default" w:ascii="Times New Roman" w:hAnsi="Times New Roman" w:cs="Times New Roman"/>
                <w:sz w:val="21"/>
                <w:szCs w:val="21"/>
              </w:rPr>
            </w:pPr>
            <w:r>
              <w:rPr>
                <w:rFonts w:hint="default" w:ascii="Times New Roman" w:hAnsi="Times New Roman" w:cs="Times New Roman"/>
                <w:sz w:val="21"/>
                <w:szCs w:val="21"/>
              </w:rPr>
              <w:t>（2.3）积极推进垃圾收运体系建设，建设覆盖城乡的垃圾收运系统；严格监督分类垃圾分类收集、分类处理。推进农村环境综合整治全县域覆盖；畜禽规模养殖场（小区）配套建设废弃物处理设施的比例达到85%以上</w:t>
            </w:r>
            <w:r>
              <w:rPr>
                <w:rFonts w:hint="default" w:ascii="Times New Roman" w:hAnsi="Times New Roman" w:cs="Times New Roman" w:eastAsiaTheme="minorEastAsia"/>
                <w:sz w:val="21"/>
                <w:szCs w:val="21"/>
              </w:rPr>
              <w:t>。</w:t>
            </w:r>
          </w:p>
        </w:tc>
        <w:tc>
          <w:tcPr>
            <w:tcW w:w="1448" w:type="pct"/>
            <w:vAlign w:val="center"/>
          </w:tcPr>
          <w:p>
            <w:pPr>
              <w:jc w:val="center"/>
              <w:rPr>
                <w:rFonts w:hint="default" w:ascii="Times New Roman" w:hAnsi="Times New Roman" w:cs="Times New Roman"/>
                <w:sz w:val="21"/>
                <w:szCs w:val="21"/>
              </w:rPr>
            </w:pPr>
            <w:r>
              <w:rPr>
                <w:rFonts w:hint="eastAsia" w:cs="Times New Roman"/>
                <w:sz w:val="21"/>
                <w:szCs w:val="21"/>
                <w:lang w:eastAsia="zh-CN"/>
              </w:rPr>
              <w:t>（</w:t>
            </w:r>
            <w:r>
              <w:rPr>
                <w:rFonts w:hint="eastAsia" w:cs="Times New Roman"/>
                <w:sz w:val="21"/>
                <w:szCs w:val="21"/>
                <w:lang w:val="en-US" w:eastAsia="zh-CN"/>
              </w:rPr>
              <w:t>1</w:t>
            </w:r>
            <w:r>
              <w:rPr>
                <w:rFonts w:hint="eastAsia" w:cs="Times New Roman"/>
                <w:sz w:val="21"/>
                <w:szCs w:val="21"/>
                <w:lang w:eastAsia="zh-CN"/>
              </w:rPr>
              <w:t>）</w:t>
            </w:r>
            <w:r>
              <w:rPr>
                <w:rFonts w:hint="default" w:ascii="Times New Roman" w:hAnsi="Times New Roman" w:cs="Times New Roman"/>
                <w:sz w:val="21"/>
                <w:szCs w:val="21"/>
              </w:rPr>
              <w:t>本项目位于衡阳县台源镇紫霞村、前进村，不属于工业园区范围，</w:t>
            </w:r>
            <w:r>
              <w:rPr>
                <w:rFonts w:hint="eastAsia" w:cs="Times New Roman"/>
                <w:sz w:val="21"/>
                <w:szCs w:val="21"/>
                <w:lang w:eastAsia="zh-CN"/>
              </w:rPr>
              <w:t>废水经污水处理站处理后用于种植基地灌溉，</w:t>
            </w:r>
            <w:r>
              <w:rPr>
                <w:rFonts w:hint="eastAsia" w:cs="Times New Roman"/>
                <w:sz w:val="21"/>
                <w:szCs w:val="21"/>
                <w:lang w:val="en-US" w:eastAsia="zh-CN"/>
              </w:rPr>
              <w:t>不外排</w:t>
            </w:r>
            <w:r>
              <w:rPr>
                <w:rFonts w:hint="default" w:ascii="Times New Roman" w:hAnsi="Times New Roman" w:cs="Times New Roman"/>
                <w:sz w:val="21"/>
                <w:szCs w:val="21"/>
              </w:rPr>
              <w:t>；</w:t>
            </w:r>
            <w:r>
              <w:rPr>
                <w:rFonts w:hint="eastAsia" w:cs="Times New Roman"/>
                <w:sz w:val="21"/>
                <w:szCs w:val="21"/>
                <w:lang w:eastAsia="zh-CN"/>
              </w:rPr>
              <w:t>（</w:t>
            </w:r>
            <w:r>
              <w:rPr>
                <w:rFonts w:hint="eastAsia" w:cs="Times New Roman"/>
                <w:sz w:val="21"/>
                <w:szCs w:val="21"/>
                <w:lang w:val="en-US" w:eastAsia="zh-CN"/>
              </w:rPr>
              <w:t>2</w:t>
            </w:r>
            <w:r>
              <w:rPr>
                <w:rFonts w:hint="eastAsia" w:cs="Times New Roman"/>
                <w:sz w:val="21"/>
                <w:szCs w:val="21"/>
                <w:lang w:eastAsia="zh-CN"/>
              </w:rPr>
              <w:t>）</w:t>
            </w:r>
            <w:r>
              <w:rPr>
                <w:rFonts w:hint="default" w:ascii="Times New Roman" w:hAnsi="Times New Roman" w:cs="Times New Roman"/>
                <w:sz w:val="21"/>
                <w:szCs w:val="21"/>
              </w:rPr>
              <w:t>本项目不属于重点工业企业</w:t>
            </w:r>
            <w:r>
              <w:rPr>
                <w:rFonts w:hint="eastAsia" w:cs="Times New Roman"/>
                <w:sz w:val="21"/>
                <w:szCs w:val="21"/>
                <w:lang w:eastAsia="zh-CN"/>
              </w:rPr>
              <w:t>；（</w:t>
            </w:r>
            <w:r>
              <w:rPr>
                <w:rFonts w:hint="eastAsia" w:cs="Times New Roman"/>
                <w:sz w:val="21"/>
                <w:szCs w:val="21"/>
                <w:lang w:val="en-US" w:eastAsia="zh-CN"/>
              </w:rPr>
              <w:t>3</w:t>
            </w:r>
            <w:r>
              <w:rPr>
                <w:rFonts w:hint="eastAsia" w:cs="Times New Roman"/>
                <w:sz w:val="21"/>
                <w:szCs w:val="21"/>
                <w:lang w:eastAsia="zh-CN"/>
              </w:rPr>
              <w:t>）</w:t>
            </w:r>
            <w:r>
              <w:rPr>
                <w:rFonts w:hint="default" w:ascii="Times New Roman" w:hAnsi="Times New Roman" w:cs="Times New Roman"/>
                <w:color w:val="auto"/>
                <w:sz w:val="21"/>
                <w:szCs w:val="21"/>
                <w:u w:val="none"/>
              </w:rPr>
              <w:t>项目每栋鸡舍自动化清粪，鸡粪不落地，并配套建设鸡粪收集室作为鸡粪临时贮存场所，正常情况下，鸡粪采用自动干清粪清掏排出鸡舍后，部分直接拉走依托台源蛋鸡养殖一场好氧发酵罐制有机肥；剩余部分则直接拉走外售衡阳县沛科生态科技有限责任公司制有机肥，在衡阳县沛科生态科技有限责任公司进行发酵预处理，不在本厂区进行预处理，在鸡粪收集室内堆存时间很短</w:t>
            </w:r>
            <w:r>
              <w:rPr>
                <w:rFonts w:hint="eastAsia" w:cs="Times New Roman"/>
                <w:color w:val="auto"/>
                <w:sz w:val="21"/>
                <w:szCs w:val="21"/>
                <w:u w:val="none"/>
                <w:lang w:eastAsia="zh-CN"/>
              </w:rPr>
              <w:t>；病死鸡经收集后暂存于冷柜</w:t>
            </w:r>
            <w:r>
              <w:rPr>
                <w:rFonts w:hint="eastAsia" w:cs="Times New Roman"/>
                <w:sz w:val="21"/>
                <w:szCs w:val="21"/>
                <w:lang w:eastAsia="zh-CN"/>
              </w:rPr>
              <w:t>中，定期由畜禽无害化资质单位清运处置</w:t>
            </w:r>
            <w:r>
              <w:rPr>
                <w:rFonts w:hint="default" w:ascii="Times New Roman" w:hAnsi="Times New Roman" w:cs="Times New Roman"/>
                <w:sz w:val="21"/>
                <w:szCs w:val="21"/>
              </w:rPr>
              <w:t>，废弃物处理设施的比例达到85%以上</w:t>
            </w:r>
          </w:p>
        </w:tc>
        <w:tc>
          <w:tcPr>
            <w:tcW w:w="483"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Align w:val="center"/>
          </w:tcPr>
          <w:p>
            <w:pPr>
              <w:jc w:val="center"/>
              <w:rPr>
                <w:rFonts w:hint="default" w:ascii="Times New Roman" w:hAnsi="Times New Roman" w:cs="Times New Roman"/>
                <w:sz w:val="21"/>
                <w:szCs w:val="21"/>
              </w:rPr>
            </w:pPr>
            <w:r>
              <w:rPr>
                <w:rFonts w:hint="default" w:ascii="Times New Roman" w:hAnsi="Times New Roman" w:cs="Times New Roman"/>
                <w:kern w:val="0"/>
                <w:sz w:val="21"/>
                <w:szCs w:val="21"/>
              </w:rPr>
              <w:t>环境风险防控</w:t>
            </w:r>
          </w:p>
        </w:tc>
        <w:tc>
          <w:tcPr>
            <w:tcW w:w="2501" w:type="pct"/>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（3.1）加强环境风险防控和应急管理，制定和完善突发环境事件和饮用水水源地突发环境事件应急预案，加强风险防控和突发环境事件应急处理处置能力。</w:t>
            </w:r>
          </w:p>
          <w:p>
            <w:pPr>
              <w:jc w:val="center"/>
              <w:rPr>
                <w:rFonts w:hint="default" w:ascii="Times New Roman" w:hAnsi="Times New Roman" w:cs="Times New Roman"/>
                <w:sz w:val="21"/>
                <w:szCs w:val="21"/>
              </w:rPr>
            </w:pPr>
            <w:r>
              <w:rPr>
                <w:rFonts w:hint="default" w:ascii="Times New Roman" w:hAnsi="Times New Roman" w:cs="Times New Roman" w:eastAsiaTheme="minorEastAsia"/>
                <w:sz w:val="21"/>
                <w:szCs w:val="21"/>
              </w:rPr>
              <w:t>（3.2）根据建设用地土壤环境调查评估及现有重金属污染场地调查结果，逐步建立污染地块名录及其开发利用的负面清单，合理确定土地用途。土地开发利用必须符合土壤环境质量要求。各部门在编制土地利用总体规划、城市总体规划、控制性详细规划等相关规划时，应充分考虑污染地块的环境风险，合理确定土地用途。制定实施受污染耕地安全利用方案，采取农艺调控、化学阻控、替代种植等措施，降低农产品重金属超标风险。暂时不能进行治理修复的污染地块，设置标志标识围栏，根据各地块的环境因地制宜采取建设撇洪导流沟渠、地表覆盖等措施减少雨水冲刷等风险管控措施。在未完成治理并通过验收前，不得用于农业、畜牧业以及工商业开发建设</w:t>
            </w:r>
            <w:r>
              <w:rPr>
                <w:rFonts w:hint="default" w:ascii="Times New Roman" w:hAnsi="Times New Roman" w:cs="Times New Roman"/>
                <w:kern w:val="0"/>
                <w:sz w:val="21"/>
                <w:szCs w:val="21"/>
              </w:rPr>
              <w:t>。</w:t>
            </w:r>
          </w:p>
        </w:tc>
        <w:tc>
          <w:tcPr>
            <w:tcW w:w="1448" w:type="pct"/>
            <w:vAlign w:val="center"/>
          </w:tcPr>
          <w:p>
            <w:pPr>
              <w:jc w:val="center"/>
              <w:rPr>
                <w:rFonts w:hint="default" w:ascii="Times New Roman" w:hAnsi="Times New Roman" w:cs="Times New Roman"/>
                <w:sz w:val="21"/>
                <w:szCs w:val="21"/>
              </w:rPr>
            </w:pPr>
            <w:r>
              <w:rPr>
                <w:rFonts w:hint="default" w:ascii="Times New Roman" w:hAnsi="Times New Roman" w:cs="Times New Roman"/>
                <w:bCs/>
                <w:sz w:val="21"/>
                <w:szCs w:val="21"/>
              </w:rPr>
              <w:t>本项目为养鸡场，属于农用地设施用地性质，不占用生态红线，用地不属于污染地块，且已办理土地流转手续手续，评价建议后期建设单位编制突发环境事件应急预案</w:t>
            </w:r>
          </w:p>
        </w:tc>
        <w:tc>
          <w:tcPr>
            <w:tcW w:w="483"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vAlign w:val="center"/>
          </w:tcPr>
          <w:p>
            <w:pPr>
              <w:jc w:val="center"/>
              <w:rPr>
                <w:rFonts w:hint="default" w:ascii="Times New Roman" w:hAnsi="Times New Roman" w:cs="Times New Roman"/>
                <w:sz w:val="21"/>
                <w:szCs w:val="21"/>
              </w:rPr>
            </w:pPr>
            <w:r>
              <w:rPr>
                <w:rFonts w:hint="default" w:ascii="Times New Roman" w:hAnsi="Times New Roman" w:cs="Times New Roman"/>
                <w:kern w:val="0"/>
                <w:sz w:val="21"/>
                <w:szCs w:val="21"/>
              </w:rPr>
              <w:t>资源开发效率要求</w:t>
            </w:r>
          </w:p>
        </w:tc>
        <w:tc>
          <w:tcPr>
            <w:tcW w:w="2501"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4.1）能源：强化节能环保标准约束，严格行业规范、准入管理和节能审查，对电力、钢铁、建材、有色、化工、石油石化、煤炭、造纸等行业中，环保、能耗、安全等不达标或生产、使用淘汰类产品的企业和产能，依法依规改造升级或有序退出。推广使用优质煤、洁净型煤，推进煤改气、煤改电，鼓励利用可再生能源、天然气、电力等优质能源替代燃煤使用。</w:t>
            </w:r>
          </w:p>
          <w:p>
            <w:pPr>
              <w:jc w:val="center"/>
              <w:rPr>
                <w:rFonts w:hint="default" w:ascii="Times New Roman" w:hAnsi="Times New Roman" w:cs="Times New Roman"/>
                <w:kern w:val="0"/>
                <w:sz w:val="21"/>
                <w:szCs w:val="21"/>
              </w:rPr>
            </w:pPr>
            <w:r>
              <w:rPr>
                <w:rFonts w:hint="default" w:ascii="Times New Roman" w:hAnsi="Times New Roman" w:cs="Times New Roman"/>
                <w:sz w:val="21"/>
                <w:szCs w:val="21"/>
              </w:rPr>
              <w:t>（4.2）水资源：大力推进农业、工业、城镇节水，全面推进节水型社会建设</w:t>
            </w:r>
            <w:r>
              <w:rPr>
                <w:rFonts w:hint="default" w:ascii="Times New Roman" w:hAnsi="Times New Roman" w:cs="Times New Roman"/>
                <w:kern w:val="0"/>
                <w:sz w:val="21"/>
                <w:szCs w:val="21"/>
              </w:rPr>
              <w:t>。</w:t>
            </w:r>
          </w:p>
        </w:tc>
        <w:tc>
          <w:tcPr>
            <w:tcW w:w="1448"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项目使用的能源主要为水、电，不使用煤、高硫、中硫原煤及重油等燃料，且项目不属于严重过剩行业、不属于高耗能产业，满足资源开发效率要求</w:t>
            </w:r>
          </w:p>
        </w:tc>
        <w:tc>
          <w:tcPr>
            <w:tcW w:w="483" w:type="pct"/>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相符</w:t>
            </w:r>
          </w:p>
        </w:tc>
      </w:tr>
    </w:tbl>
    <w:p>
      <w:pPr>
        <w:pStyle w:val="215"/>
      </w:pPr>
      <w:r>
        <w:rPr>
          <w:rFonts w:hint="eastAsia"/>
        </w:rPr>
        <w:t>综上，本项目的建设符合《</w:t>
      </w:r>
      <w:r>
        <w:rPr>
          <w:rFonts w:hint="eastAsia"/>
          <w:bCs/>
        </w:rPr>
        <w:t>衡阳市生态环境准入清单</w:t>
      </w:r>
      <w:r>
        <w:rPr>
          <w:rFonts w:hint="eastAsia"/>
        </w:rPr>
        <w:t>》的文件要求。</w:t>
      </w:r>
    </w:p>
    <w:p>
      <w:pPr>
        <w:pStyle w:val="6"/>
        <w:numPr>
          <w:ilvl w:val="0"/>
          <w:numId w:val="0"/>
        </w:numPr>
        <w:spacing w:before="0" w:after="0" w:line="360" w:lineRule="auto"/>
        <w:rPr>
          <w:rFonts w:ascii="Times New Roman" w:hAnsi="Times New Roman" w:eastAsia="宋体"/>
          <w:szCs w:val="30"/>
        </w:rPr>
      </w:pPr>
      <w:bookmarkStart w:id="23" w:name="_Toc5545"/>
      <w:bookmarkStart w:id="24" w:name="_Toc10261"/>
      <w:bookmarkStart w:id="25" w:name="_Toc19498"/>
      <w:bookmarkStart w:id="26" w:name="_Toc517522235"/>
      <w:bookmarkStart w:id="27" w:name="_Toc9304"/>
      <w:bookmarkStart w:id="28" w:name="_Toc30247"/>
      <w:bookmarkStart w:id="29" w:name="_Toc12365"/>
      <w:bookmarkStart w:id="30" w:name="_Toc123886393"/>
      <w:r>
        <w:rPr>
          <w:rFonts w:ascii="Times New Roman" w:hAnsi="Times New Roman" w:eastAsia="宋体"/>
          <w:szCs w:val="30"/>
        </w:rPr>
        <w:t>1.</w:t>
      </w:r>
      <w:bookmarkEnd w:id="23"/>
      <w:bookmarkEnd w:id="24"/>
      <w:bookmarkEnd w:id="25"/>
      <w:bookmarkEnd w:id="26"/>
      <w:bookmarkEnd w:id="27"/>
      <w:bookmarkEnd w:id="28"/>
      <w:bookmarkEnd w:id="29"/>
      <w:r>
        <w:rPr>
          <w:rFonts w:hint="eastAsia" w:ascii="Times New Roman" w:hAnsi="Times New Roman" w:eastAsia="宋体"/>
          <w:szCs w:val="30"/>
        </w:rPr>
        <w:t xml:space="preserve">5 </w:t>
      </w:r>
      <w:r>
        <w:rPr>
          <w:rFonts w:ascii="Times New Roman" w:hAnsi="Times New Roman" w:eastAsia="宋体"/>
          <w:szCs w:val="30"/>
        </w:rPr>
        <w:t>本项目关注的主要环境问题</w:t>
      </w:r>
      <w:bookmarkEnd w:id="30"/>
    </w:p>
    <w:p>
      <w:pPr>
        <w:spacing w:line="360" w:lineRule="auto"/>
        <w:ind w:firstLine="480" w:firstLineChars="200"/>
        <w:rPr>
          <w:sz w:val="24"/>
        </w:rPr>
      </w:pPr>
      <w:r>
        <w:rPr>
          <w:rFonts w:hint="eastAsia"/>
          <w:sz w:val="24"/>
        </w:rPr>
        <w:t>根据项目特点，本项目应关注的主要环境问题有：</w:t>
      </w:r>
    </w:p>
    <w:p>
      <w:pPr>
        <w:pStyle w:val="212"/>
        <w:ind w:firstLine="480"/>
      </w:pPr>
      <w:r>
        <w:rPr>
          <w:rFonts w:hint="eastAsia"/>
        </w:rPr>
        <w:t>本项目施工期重点关注施工过程产生的施工废水、废气、噪声及施工弃渣对环境的影响问题。</w:t>
      </w:r>
    </w:p>
    <w:p>
      <w:pPr>
        <w:pStyle w:val="212"/>
        <w:ind w:firstLine="480"/>
        <w:jc w:val="both"/>
      </w:pPr>
      <w:r>
        <w:rPr>
          <w:rFonts w:hint="eastAsia"/>
        </w:rPr>
        <w:t>本项目营运期重点关注饲养过程中鸡舍、鸡粪处理等产生的恶臭对环境空气及周边敏感点的影响；项目废水对周边环境的影响；病死鸡无害化处理措施；医疗垃圾的暂存及处置措施；疫情、事故排放等环境风险对环境的影响以及采取的风险防治措施和应急预案。废水、废气、固废、环境风险应采取的环境保护措施及可行性分析。</w:t>
      </w:r>
    </w:p>
    <w:p>
      <w:pPr>
        <w:pStyle w:val="6"/>
        <w:numPr>
          <w:ilvl w:val="0"/>
          <w:numId w:val="0"/>
        </w:numPr>
        <w:spacing w:before="0" w:after="0" w:line="360" w:lineRule="auto"/>
        <w:rPr>
          <w:rFonts w:ascii="Times New Roman" w:hAnsi="Times New Roman" w:eastAsia="宋体"/>
          <w:szCs w:val="30"/>
        </w:rPr>
      </w:pPr>
      <w:bookmarkStart w:id="31" w:name="_Toc123886394"/>
      <w:r>
        <w:rPr>
          <w:rFonts w:ascii="Times New Roman" w:hAnsi="Times New Roman" w:eastAsia="宋体"/>
          <w:szCs w:val="30"/>
        </w:rPr>
        <w:t>1.</w:t>
      </w:r>
      <w:r>
        <w:rPr>
          <w:rFonts w:hint="eastAsia" w:ascii="Times New Roman" w:hAnsi="Times New Roman" w:eastAsia="宋体"/>
          <w:szCs w:val="30"/>
        </w:rPr>
        <w:t>6 环境影响报告书</w:t>
      </w:r>
      <w:r>
        <w:rPr>
          <w:rFonts w:ascii="Times New Roman" w:hAnsi="Times New Roman" w:eastAsia="宋体"/>
          <w:szCs w:val="30"/>
        </w:rPr>
        <w:t>主要结论</w:t>
      </w:r>
      <w:bookmarkEnd w:id="31"/>
    </w:p>
    <w:p>
      <w:pPr>
        <w:pStyle w:val="212"/>
        <w:ind w:firstLine="480"/>
      </w:pPr>
      <w:r>
        <w:rPr>
          <w:rFonts w:hint="eastAsia"/>
        </w:rPr>
        <w:t>湖南安发原生态农业旅游开发有限公司台源</w:t>
      </w:r>
      <w:r>
        <w:rPr>
          <w:rFonts w:hint="eastAsia"/>
          <w:bCs/>
        </w:rPr>
        <w:t>蛋鸡养殖二场建设项目选址于衡阳县</w:t>
      </w:r>
      <w:r>
        <w:rPr>
          <w:rFonts w:hint="eastAsia" w:hAnsi="宋体"/>
        </w:rPr>
        <w:t>台源镇紫霞村、前进村</w:t>
      </w:r>
      <w:r>
        <w:rPr>
          <w:rFonts w:eastAsiaTheme="minorEastAsia"/>
          <w:color w:val="000000"/>
          <w:lang w:val="zh-CN"/>
        </w:rPr>
        <w:t>，本项目</w:t>
      </w:r>
      <w:r>
        <w:rPr>
          <w:rFonts w:hint="eastAsia"/>
          <w:szCs w:val="24"/>
        </w:rPr>
        <w:t>为规模化禽类养殖</w:t>
      </w:r>
      <w:r>
        <w:rPr>
          <w:rFonts w:eastAsiaTheme="minorEastAsia"/>
          <w:color w:val="000000"/>
          <w:lang w:val="zh-CN"/>
        </w:rPr>
        <w:t>，营运过程中主要污染：恶臭对周围环境产生影响不大；</w:t>
      </w:r>
      <w:r>
        <w:rPr>
          <w:bCs/>
          <w:snapToGrid w:val="0"/>
          <w:kern w:val="0"/>
        </w:rPr>
        <w:t>养殖场粪污资源化利用</w:t>
      </w:r>
      <w:r>
        <w:rPr>
          <w:rFonts w:eastAsiaTheme="minorEastAsia"/>
          <w:color w:val="000000"/>
          <w:lang w:val="zh-CN"/>
        </w:rPr>
        <w:t>；本项目在创造经济价值的同时能较好的减少对环境的影响，项目符合国家最新产业政策要求，符合相关法律法规的要求。在贯彻落实国家和地方制定的有关环保法律、法规和实现本评价提出的各项环境保护措施及建议的前提下，确保各种治理设施正常运转和废气、废水、噪声等污染物达标处理，贯彻执行国家规定的</w:t>
      </w:r>
      <w:r>
        <w:rPr>
          <w:rFonts w:hint="eastAsia" w:asciiTheme="majorEastAsia" w:hAnsiTheme="majorEastAsia" w:eastAsiaTheme="majorEastAsia" w:cstheme="majorEastAsia"/>
          <w:color w:val="000000"/>
          <w:lang w:val="zh-CN"/>
        </w:rPr>
        <w:t>“清洁生产、达标排放、总量控制”</w:t>
      </w:r>
      <w:r>
        <w:rPr>
          <w:rFonts w:eastAsiaTheme="minorEastAsia"/>
          <w:color w:val="000000"/>
          <w:lang w:val="zh-CN"/>
        </w:rPr>
        <w:t>的原则，制定应急计划和落实环境风险防范措施，从环境保护角度分析，本项目的建设是可行的</w:t>
      </w:r>
      <w:r>
        <w:rPr>
          <w:rFonts w:hint="eastAsia"/>
        </w:rPr>
        <w:t>。</w:t>
      </w:r>
    </w:p>
    <w:p>
      <w:pPr>
        <w:spacing w:line="360" w:lineRule="auto"/>
        <w:ind w:firstLine="480" w:firstLineChars="200"/>
        <w:rPr>
          <w:sz w:val="24"/>
        </w:rPr>
        <w:sectPr>
          <w:footerReference r:id="rId12" w:type="first"/>
          <w:footerReference r:id="rId11" w:type="default"/>
          <w:pgSz w:w="11907" w:h="16840"/>
          <w:pgMar w:top="1701" w:right="1588" w:bottom="1985" w:left="1588" w:header="851" w:footer="1134" w:gutter="0"/>
          <w:pgBorders>
            <w:top w:val="none" w:sz="0" w:space="0"/>
            <w:left w:val="none" w:sz="0" w:space="0"/>
            <w:bottom w:val="none" w:sz="0" w:space="0"/>
            <w:right w:val="none" w:sz="0" w:space="0"/>
          </w:pgBorders>
          <w:pgNumType w:fmt="decimal" w:start="1"/>
          <w:cols w:space="720" w:num="1"/>
          <w:titlePg/>
          <w:docGrid w:linePitch="312" w:charSpace="0"/>
        </w:sectPr>
      </w:pPr>
    </w:p>
    <w:p>
      <w:pPr>
        <w:pStyle w:val="4"/>
        <w:pageBreakBefore/>
        <w:numPr>
          <w:ilvl w:val="0"/>
          <w:numId w:val="0"/>
        </w:numPr>
        <w:spacing w:beforeLines="0" w:line="360" w:lineRule="auto"/>
        <w:jc w:val="center"/>
        <w:rPr>
          <w:rFonts w:eastAsia="宋体"/>
        </w:rPr>
      </w:pPr>
      <w:bookmarkStart w:id="32" w:name="_Toc448849759"/>
      <w:bookmarkStart w:id="33" w:name="_Toc12544"/>
      <w:bookmarkStart w:id="34" w:name="_Toc123886395"/>
      <w:bookmarkStart w:id="35" w:name="_Toc7096"/>
      <w:bookmarkStart w:id="36" w:name="_Toc30788"/>
      <w:bookmarkStart w:id="37" w:name="_Toc9413"/>
      <w:bookmarkStart w:id="38" w:name="_Toc2414"/>
      <w:bookmarkStart w:id="39" w:name="_Toc28309"/>
      <w:bookmarkStart w:id="40" w:name="_Toc517522238"/>
      <w:r>
        <w:rPr>
          <w:rFonts w:eastAsia="宋体"/>
        </w:rPr>
        <w:t>2 总</w:t>
      </w:r>
      <w:bookmarkEnd w:id="32"/>
      <w:r>
        <w:rPr>
          <w:rFonts w:eastAsia="宋体"/>
        </w:rPr>
        <w:t>则</w:t>
      </w:r>
      <w:bookmarkEnd w:id="33"/>
      <w:bookmarkEnd w:id="34"/>
      <w:bookmarkEnd w:id="35"/>
      <w:bookmarkEnd w:id="36"/>
      <w:bookmarkEnd w:id="37"/>
      <w:bookmarkEnd w:id="38"/>
      <w:bookmarkEnd w:id="39"/>
      <w:bookmarkEnd w:id="40"/>
    </w:p>
    <w:p>
      <w:pPr>
        <w:pStyle w:val="6"/>
        <w:numPr>
          <w:ilvl w:val="0"/>
          <w:numId w:val="0"/>
        </w:numPr>
        <w:rPr>
          <w:rFonts w:ascii="Times New Roman" w:hAnsi="Times New Roman" w:eastAsia="宋体"/>
          <w:szCs w:val="30"/>
        </w:rPr>
      </w:pPr>
      <w:bookmarkStart w:id="41" w:name="_Toc123886396"/>
      <w:bookmarkStart w:id="42" w:name="_Toc31122"/>
      <w:bookmarkStart w:id="43" w:name="_Toc15133"/>
      <w:bookmarkStart w:id="44" w:name="_Toc9156"/>
      <w:bookmarkStart w:id="45" w:name="_Toc10404"/>
      <w:bookmarkStart w:id="46" w:name="_Toc517522239"/>
      <w:bookmarkStart w:id="47" w:name="_Toc448849760"/>
      <w:bookmarkStart w:id="48" w:name="_Toc3230"/>
      <w:bookmarkStart w:id="49" w:name="_Toc31686"/>
      <w:r>
        <w:rPr>
          <w:rFonts w:ascii="Times New Roman" w:hAnsi="Times New Roman" w:eastAsia="宋体"/>
          <w:szCs w:val="30"/>
        </w:rPr>
        <w:t>2.1 编制依据</w:t>
      </w:r>
      <w:bookmarkEnd w:id="41"/>
      <w:bookmarkEnd w:id="42"/>
      <w:bookmarkEnd w:id="43"/>
      <w:bookmarkEnd w:id="44"/>
      <w:bookmarkEnd w:id="45"/>
      <w:bookmarkEnd w:id="46"/>
      <w:bookmarkEnd w:id="47"/>
      <w:bookmarkEnd w:id="48"/>
      <w:bookmarkEnd w:id="49"/>
    </w:p>
    <w:p>
      <w:pPr>
        <w:pStyle w:val="7"/>
        <w:adjustRightInd w:val="0"/>
        <w:snapToGrid w:val="0"/>
        <w:spacing w:before="0" w:after="0" w:line="360" w:lineRule="auto"/>
        <w:jc w:val="left"/>
        <w:rPr>
          <w:sz w:val="24"/>
          <w:szCs w:val="24"/>
        </w:rPr>
      </w:pPr>
      <w:bookmarkStart w:id="50" w:name="_Toc1608"/>
      <w:bookmarkStart w:id="51" w:name="_Toc517522240"/>
      <w:bookmarkStart w:id="52" w:name="_Toc6034"/>
      <w:bookmarkStart w:id="53" w:name="_Toc12641"/>
      <w:bookmarkStart w:id="54" w:name="_Toc8536"/>
      <w:bookmarkStart w:id="55" w:name="_Toc182"/>
      <w:bookmarkStart w:id="56" w:name="_Toc3158"/>
      <w:r>
        <w:rPr>
          <w:sz w:val="24"/>
          <w:szCs w:val="24"/>
        </w:rPr>
        <w:t>2.1.1</w:t>
      </w:r>
      <w:r>
        <w:rPr>
          <w:rFonts w:hint="eastAsia"/>
          <w:sz w:val="24"/>
          <w:szCs w:val="24"/>
        </w:rPr>
        <w:t xml:space="preserve"> </w:t>
      </w:r>
      <w:r>
        <w:rPr>
          <w:sz w:val="24"/>
          <w:szCs w:val="24"/>
        </w:rPr>
        <w:t>国家法律、法规</w:t>
      </w:r>
      <w:bookmarkEnd w:id="50"/>
      <w:bookmarkEnd w:id="51"/>
      <w:bookmarkEnd w:id="52"/>
      <w:bookmarkEnd w:id="53"/>
      <w:bookmarkEnd w:id="54"/>
      <w:bookmarkEnd w:id="55"/>
      <w:bookmarkEnd w:id="56"/>
      <w:r>
        <w:rPr>
          <w:sz w:val="24"/>
          <w:szCs w:val="24"/>
        </w:rPr>
        <w:t>及政策性文件</w:t>
      </w:r>
    </w:p>
    <w:p>
      <w:pPr>
        <w:spacing w:line="360" w:lineRule="auto"/>
        <w:ind w:left="2" w:leftChars="1" w:firstLine="480" w:firstLineChars="200"/>
        <w:rPr>
          <w:sz w:val="24"/>
        </w:rPr>
      </w:pPr>
      <w:r>
        <w:rPr>
          <w:rFonts w:hint="eastAsia"/>
          <w:sz w:val="24"/>
        </w:rPr>
        <w:t>（1）《中华人民共和国环境保护法》，2015年1月1日起施行；</w:t>
      </w:r>
    </w:p>
    <w:p>
      <w:pPr>
        <w:spacing w:line="360" w:lineRule="auto"/>
        <w:ind w:left="2" w:leftChars="1" w:firstLine="480" w:firstLineChars="200"/>
        <w:rPr>
          <w:sz w:val="24"/>
        </w:rPr>
      </w:pPr>
      <w:r>
        <w:rPr>
          <w:rFonts w:hint="eastAsia"/>
          <w:sz w:val="24"/>
        </w:rPr>
        <w:t>（2）《中华人民共和国环境影响评价法》，2018年12月29日修订并实施；</w:t>
      </w:r>
    </w:p>
    <w:p>
      <w:pPr>
        <w:spacing w:line="360" w:lineRule="auto"/>
        <w:ind w:left="2" w:leftChars="1" w:firstLine="480" w:firstLineChars="200"/>
        <w:rPr>
          <w:sz w:val="24"/>
        </w:rPr>
      </w:pPr>
      <w:r>
        <w:rPr>
          <w:rFonts w:hint="eastAsia"/>
          <w:sz w:val="24"/>
        </w:rPr>
        <w:t>（3）《中华人民共和国土地管理法》</w:t>
      </w:r>
      <w:r>
        <w:rPr>
          <w:rFonts w:hint="eastAsia"/>
          <w:sz w:val="24"/>
          <w:lang w:eastAsia="zh-CN"/>
        </w:rPr>
        <w:t>，</w:t>
      </w:r>
      <w:r>
        <w:rPr>
          <w:rFonts w:hint="eastAsia"/>
          <w:sz w:val="24"/>
        </w:rPr>
        <w:t>2020年1月1日实施；</w:t>
      </w:r>
    </w:p>
    <w:p>
      <w:pPr>
        <w:spacing w:line="360" w:lineRule="auto"/>
        <w:ind w:left="2" w:leftChars="1" w:firstLine="480" w:firstLineChars="200"/>
        <w:rPr>
          <w:rFonts w:hint="eastAsia" w:eastAsia="宋体"/>
          <w:sz w:val="24"/>
          <w:lang w:eastAsia="zh-CN"/>
        </w:rPr>
      </w:pPr>
      <w:r>
        <w:rPr>
          <w:rFonts w:hint="eastAsia"/>
          <w:sz w:val="24"/>
        </w:rPr>
        <w:t>（4）《中华人民共和国固体废物污染环境防治法》</w:t>
      </w:r>
      <w:r>
        <w:rPr>
          <w:rFonts w:hint="eastAsia"/>
          <w:sz w:val="24"/>
          <w:lang w:eastAsia="zh-CN"/>
        </w:rPr>
        <w:t>，</w:t>
      </w:r>
      <w:r>
        <w:rPr>
          <w:rFonts w:hint="eastAsia"/>
          <w:sz w:val="24"/>
        </w:rPr>
        <w:t>2020年4月29日二次修订，2020年9月1日起施行</w:t>
      </w:r>
      <w:r>
        <w:rPr>
          <w:rFonts w:hint="eastAsia"/>
          <w:sz w:val="24"/>
          <w:lang w:eastAsia="zh-CN"/>
        </w:rPr>
        <w:t>；</w:t>
      </w:r>
    </w:p>
    <w:p>
      <w:pPr>
        <w:spacing w:line="360" w:lineRule="auto"/>
        <w:ind w:left="2" w:leftChars="1" w:firstLine="480" w:firstLineChars="200"/>
        <w:rPr>
          <w:sz w:val="24"/>
        </w:rPr>
      </w:pPr>
      <w:r>
        <w:rPr>
          <w:rFonts w:hint="eastAsia"/>
          <w:sz w:val="24"/>
        </w:rPr>
        <w:t>（5）《中华人民共和国水污染防治法》</w:t>
      </w:r>
      <w:r>
        <w:rPr>
          <w:rFonts w:hint="eastAsia"/>
          <w:sz w:val="24"/>
          <w:lang w:eastAsia="zh-CN"/>
        </w:rPr>
        <w:t>，</w:t>
      </w:r>
      <w:r>
        <w:rPr>
          <w:rFonts w:hint="eastAsia"/>
          <w:sz w:val="24"/>
        </w:rPr>
        <w:t>2018年1月1日实施；</w:t>
      </w:r>
    </w:p>
    <w:p>
      <w:pPr>
        <w:spacing w:line="360" w:lineRule="auto"/>
        <w:ind w:left="2" w:leftChars="1" w:firstLine="480" w:firstLineChars="200"/>
        <w:rPr>
          <w:rFonts w:hint="eastAsia" w:eastAsia="宋体"/>
          <w:sz w:val="24"/>
          <w:lang w:eastAsia="zh-CN"/>
        </w:rPr>
      </w:pPr>
      <w:r>
        <w:rPr>
          <w:rFonts w:hint="eastAsia"/>
          <w:sz w:val="24"/>
        </w:rPr>
        <w:t>（6）《中华人民共和国大气污染防治法》，2018年10月26日修正并实施</w:t>
      </w:r>
      <w:r>
        <w:rPr>
          <w:rFonts w:hint="eastAsia"/>
          <w:sz w:val="24"/>
          <w:lang w:eastAsia="zh-CN"/>
        </w:rPr>
        <w:t>；</w:t>
      </w:r>
    </w:p>
    <w:p>
      <w:pPr>
        <w:spacing w:line="360" w:lineRule="auto"/>
        <w:ind w:left="2" w:leftChars="1" w:firstLine="480" w:firstLineChars="200"/>
        <w:rPr>
          <w:rFonts w:hint="eastAsia" w:eastAsia="宋体"/>
          <w:sz w:val="24"/>
          <w:lang w:eastAsia="zh-CN"/>
        </w:rPr>
      </w:pPr>
      <w:r>
        <w:rPr>
          <w:rFonts w:hint="eastAsia"/>
          <w:sz w:val="24"/>
        </w:rPr>
        <w:t>（7）《中华人民共和国土壤污染防治法》</w:t>
      </w:r>
      <w:r>
        <w:rPr>
          <w:rFonts w:hint="eastAsia"/>
          <w:sz w:val="24"/>
          <w:lang w:eastAsia="zh-CN"/>
        </w:rPr>
        <w:t>，</w:t>
      </w:r>
      <w:r>
        <w:rPr>
          <w:rFonts w:hint="eastAsia"/>
          <w:sz w:val="24"/>
        </w:rPr>
        <w:t>2019年1月1日实施</w:t>
      </w:r>
      <w:r>
        <w:rPr>
          <w:rFonts w:hint="eastAsia"/>
          <w:sz w:val="24"/>
          <w:lang w:eastAsia="zh-CN"/>
        </w:rPr>
        <w:t>；</w:t>
      </w:r>
    </w:p>
    <w:p>
      <w:pPr>
        <w:spacing w:line="360" w:lineRule="auto"/>
        <w:ind w:left="2" w:leftChars="1" w:firstLine="480" w:firstLineChars="200"/>
        <w:rPr>
          <w:rFonts w:hint="eastAsia" w:eastAsia="宋体"/>
          <w:sz w:val="24"/>
          <w:lang w:eastAsia="zh-CN"/>
        </w:rPr>
      </w:pPr>
      <w:r>
        <w:rPr>
          <w:rFonts w:hint="eastAsia"/>
          <w:sz w:val="24"/>
        </w:rPr>
        <w:t>（8）《中华人民共和国环境噪声污染防治法》</w:t>
      </w:r>
      <w:r>
        <w:rPr>
          <w:rFonts w:hint="eastAsia"/>
          <w:sz w:val="24"/>
          <w:lang w:eastAsia="zh-CN"/>
        </w:rPr>
        <w:t>，</w:t>
      </w:r>
      <w:r>
        <w:rPr>
          <w:rFonts w:hint="eastAsia"/>
          <w:sz w:val="24"/>
        </w:rPr>
        <w:t>2022年6月5日修订并施行</w:t>
      </w:r>
      <w:r>
        <w:rPr>
          <w:rFonts w:hint="eastAsia"/>
          <w:sz w:val="24"/>
          <w:lang w:eastAsia="zh-CN"/>
        </w:rPr>
        <w:t>；</w:t>
      </w:r>
    </w:p>
    <w:p>
      <w:pPr>
        <w:spacing w:line="360" w:lineRule="auto"/>
        <w:ind w:left="2" w:leftChars="1" w:firstLine="480" w:firstLineChars="200"/>
        <w:rPr>
          <w:sz w:val="24"/>
        </w:rPr>
      </w:pPr>
      <w:r>
        <w:rPr>
          <w:rFonts w:hint="eastAsia"/>
          <w:sz w:val="24"/>
        </w:rPr>
        <w:t>（9）《中华人民共和国清洁生产促进法》，2016年5月6日起施行；</w:t>
      </w:r>
    </w:p>
    <w:p>
      <w:pPr>
        <w:spacing w:line="360" w:lineRule="auto"/>
        <w:ind w:left="2" w:leftChars="1" w:firstLine="480" w:firstLineChars="200"/>
        <w:rPr>
          <w:sz w:val="24"/>
        </w:rPr>
      </w:pPr>
      <w:r>
        <w:rPr>
          <w:rFonts w:hint="eastAsia"/>
          <w:sz w:val="24"/>
        </w:rPr>
        <w:t>（10）《中华人民共和国水土保持法》，2011年3月1日；</w:t>
      </w:r>
    </w:p>
    <w:p>
      <w:pPr>
        <w:spacing w:line="360" w:lineRule="auto"/>
        <w:ind w:left="2" w:leftChars="1" w:firstLine="480" w:firstLineChars="200"/>
        <w:rPr>
          <w:sz w:val="24"/>
        </w:rPr>
      </w:pPr>
      <w:r>
        <w:rPr>
          <w:rFonts w:hint="eastAsia"/>
          <w:sz w:val="24"/>
        </w:rPr>
        <w:t>（11）《中华人民共和国传染病防治法》，2020年10月2日；</w:t>
      </w:r>
    </w:p>
    <w:p>
      <w:pPr>
        <w:spacing w:line="360" w:lineRule="auto"/>
        <w:ind w:left="2" w:leftChars="1" w:firstLine="480" w:firstLineChars="200"/>
        <w:rPr>
          <w:sz w:val="24"/>
        </w:rPr>
      </w:pPr>
      <w:r>
        <w:rPr>
          <w:rFonts w:hint="eastAsia"/>
          <w:sz w:val="24"/>
        </w:rPr>
        <w:t>（12）《中华人民共和国动物防疫法》，2015年4月24日修正；</w:t>
      </w:r>
    </w:p>
    <w:p>
      <w:pPr>
        <w:spacing w:line="360" w:lineRule="auto"/>
        <w:ind w:left="2" w:leftChars="1" w:firstLine="480" w:firstLineChars="200"/>
        <w:rPr>
          <w:sz w:val="24"/>
        </w:rPr>
      </w:pPr>
      <w:r>
        <w:rPr>
          <w:rFonts w:hint="eastAsia"/>
          <w:sz w:val="24"/>
        </w:rPr>
        <w:t>（13）《中华人民共和国节约能源法》，2018年10月26日；</w:t>
      </w:r>
    </w:p>
    <w:p>
      <w:pPr>
        <w:spacing w:line="360" w:lineRule="auto"/>
        <w:ind w:left="2" w:leftChars="1" w:firstLine="480" w:firstLineChars="200"/>
        <w:rPr>
          <w:color w:val="FF0000"/>
          <w:sz w:val="24"/>
          <w:u w:val="wave"/>
        </w:rPr>
      </w:pPr>
      <w:r>
        <w:rPr>
          <w:rFonts w:hint="eastAsia"/>
          <w:color w:val="FF0000"/>
          <w:sz w:val="24"/>
          <w:u w:val="wave"/>
        </w:rPr>
        <w:t>（14）《中华人民共和国畜牧法》</w:t>
      </w:r>
      <w:r>
        <w:rPr>
          <w:color w:val="FF0000"/>
          <w:sz w:val="24"/>
          <w:u w:val="wave"/>
        </w:rPr>
        <w:t>，2023</w:t>
      </w:r>
      <w:r>
        <w:rPr>
          <w:rFonts w:hint="eastAsia"/>
          <w:color w:val="FF0000"/>
          <w:sz w:val="24"/>
          <w:u w:val="wave"/>
        </w:rPr>
        <w:t>年3月1日实施；</w:t>
      </w:r>
    </w:p>
    <w:p>
      <w:pPr>
        <w:spacing w:line="360" w:lineRule="auto"/>
        <w:ind w:left="2" w:leftChars="1" w:firstLine="480" w:firstLineChars="200"/>
        <w:rPr>
          <w:sz w:val="24"/>
        </w:rPr>
      </w:pPr>
      <w:r>
        <w:rPr>
          <w:rFonts w:hint="eastAsia"/>
          <w:sz w:val="24"/>
        </w:rPr>
        <w:t>（15）《中华人民共和国安全生产法》，2021年9月1日；</w:t>
      </w:r>
    </w:p>
    <w:p>
      <w:pPr>
        <w:spacing w:line="360" w:lineRule="auto"/>
        <w:ind w:left="2" w:leftChars="1" w:firstLine="480" w:firstLineChars="200"/>
        <w:rPr>
          <w:sz w:val="24"/>
        </w:rPr>
      </w:pPr>
      <w:r>
        <w:rPr>
          <w:rFonts w:hint="eastAsia"/>
          <w:sz w:val="24"/>
        </w:rPr>
        <w:t>（16）《环境影响评价公众参与办法》2019.1.1起实施</w:t>
      </w:r>
    </w:p>
    <w:p>
      <w:pPr>
        <w:spacing w:line="360" w:lineRule="auto"/>
        <w:ind w:left="2" w:leftChars="1" w:firstLine="480" w:firstLineChars="200"/>
        <w:rPr>
          <w:sz w:val="24"/>
        </w:rPr>
      </w:pPr>
      <w:r>
        <w:rPr>
          <w:rFonts w:hint="eastAsia"/>
          <w:sz w:val="24"/>
        </w:rPr>
        <w:t>（17）《地下水管理条例》，2021年12月1日；</w:t>
      </w:r>
    </w:p>
    <w:p>
      <w:pPr>
        <w:spacing w:line="360" w:lineRule="auto"/>
        <w:ind w:left="2" w:leftChars="1" w:firstLine="480" w:firstLineChars="200"/>
        <w:rPr>
          <w:sz w:val="24"/>
        </w:rPr>
      </w:pPr>
      <w:r>
        <w:rPr>
          <w:rFonts w:hint="eastAsia"/>
          <w:sz w:val="24"/>
        </w:rPr>
        <w:t>（18）《畜禽规模养殖污染防治条例》，2014年1月1日施行；</w:t>
      </w:r>
    </w:p>
    <w:p>
      <w:pPr>
        <w:spacing w:line="360" w:lineRule="auto"/>
        <w:ind w:left="2" w:leftChars="1" w:firstLine="480" w:firstLineChars="200"/>
        <w:rPr>
          <w:sz w:val="24"/>
        </w:rPr>
      </w:pPr>
      <w:r>
        <w:rPr>
          <w:rFonts w:hint="eastAsia"/>
          <w:sz w:val="24"/>
        </w:rPr>
        <w:t>（19）《建设项目环境保护管理条例》，2017年10月1日实施；</w:t>
      </w:r>
    </w:p>
    <w:p>
      <w:pPr>
        <w:spacing w:line="360" w:lineRule="auto"/>
        <w:ind w:left="2" w:leftChars="1" w:firstLine="480" w:firstLineChars="200"/>
        <w:rPr>
          <w:sz w:val="24"/>
        </w:rPr>
      </w:pPr>
      <w:r>
        <w:rPr>
          <w:rFonts w:hint="eastAsia"/>
          <w:sz w:val="24"/>
        </w:rPr>
        <w:t>（20）《建设项目环境影响评价分类管理名录》，2021年1月1日；</w:t>
      </w:r>
    </w:p>
    <w:p>
      <w:pPr>
        <w:spacing w:line="360" w:lineRule="auto"/>
        <w:ind w:left="2" w:leftChars="1" w:firstLine="480" w:firstLineChars="200"/>
        <w:rPr>
          <w:sz w:val="24"/>
        </w:rPr>
      </w:pPr>
      <w:r>
        <w:rPr>
          <w:rFonts w:hint="eastAsia"/>
          <w:sz w:val="24"/>
        </w:rPr>
        <w:t>（21）《国家危险废物名录（2021年版）》</w:t>
      </w:r>
      <w:r>
        <w:rPr>
          <w:rFonts w:hint="eastAsia"/>
          <w:sz w:val="24"/>
          <w:lang w:eastAsia="zh-CN"/>
        </w:rPr>
        <w:t>，</w:t>
      </w:r>
      <w:r>
        <w:rPr>
          <w:rFonts w:hint="eastAsia"/>
          <w:sz w:val="24"/>
        </w:rPr>
        <w:t>2021年1月1日起施行；</w:t>
      </w:r>
    </w:p>
    <w:p>
      <w:pPr>
        <w:spacing w:line="360" w:lineRule="auto"/>
        <w:ind w:left="2" w:leftChars="1" w:firstLine="480" w:firstLineChars="200"/>
        <w:rPr>
          <w:sz w:val="24"/>
        </w:rPr>
      </w:pPr>
      <w:r>
        <w:rPr>
          <w:rFonts w:hint="eastAsia"/>
          <w:sz w:val="24"/>
        </w:rPr>
        <w:t>（22）《产业结构调整指导目录（2019年本）》（2019年修正版）；</w:t>
      </w:r>
    </w:p>
    <w:p>
      <w:pPr>
        <w:spacing w:line="360" w:lineRule="auto"/>
        <w:ind w:left="2" w:leftChars="1" w:firstLine="480" w:firstLineChars="200"/>
        <w:rPr>
          <w:sz w:val="24"/>
        </w:rPr>
      </w:pPr>
      <w:r>
        <w:rPr>
          <w:rFonts w:hint="eastAsia"/>
          <w:sz w:val="24"/>
        </w:rPr>
        <w:t>（23）</w:t>
      </w:r>
      <w:r>
        <w:rPr>
          <w:sz w:val="24"/>
        </w:rPr>
        <w:t>《建设项目环境影响评价信息公开机制方案》（环发</w:t>
      </w:r>
      <w:r>
        <w:rPr>
          <w:rFonts w:hint="eastAsia"/>
          <w:sz w:val="24"/>
        </w:rPr>
        <w:t>[</w:t>
      </w:r>
      <w:r>
        <w:rPr>
          <w:sz w:val="24"/>
        </w:rPr>
        <w:t>2015</w:t>
      </w:r>
      <w:r>
        <w:rPr>
          <w:rFonts w:hint="eastAsia"/>
          <w:sz w:val="24"/>
        </w:rPr>
        <w:t>]</w:t>
      </w:r>
      <w:r>
        <w:rPr>
          <w:sz w:val="24"/>
        </w:rPr>
        <w:t>162号）</w:t>
      </w:r>
      <w:r>
        <w:rPr>
          <w:rFonts w:hint="eastAsia"/>
          <w:sz w:val="24"/>
        </w:rPr>
        <w:t>；</w:t>
      </w:r>
    </w:p>
    <w:p>
      <w:pPr>
        <w:spacing w:line="360" w:lineRule="auto"/>
        <w:ind w:left="2" w:leftChars="1" w:firstLine="480" w:firstLineChars="200"/>
        <w:rPr>
          <w:sz w:val="24"/>
        </w:rPr>
      </w:pPr>
      <w:r>
        <w:rPr>
          <w:rFonts w:hint="eastAsia"/>
          <w:sz w:val="24"/>
        </w:rPr>
        <w:t>（24）《国务院关于环境保护若干问题的决定》（国发[1996]31号）；</w:t>
      </w:r>
    </w:p>
    <w:p>
      <w:pPr>
        <w:spacing w:line="360" w:lineRule="auto"/>
        <w:ind w:left="2" w:leftChars="1" w:firstLine="480" w:firstLineChars="200"/>
        <w:rPr>
          <w:sz w:val="24"/>
        </w:rPr>
      </w:pPr>
      <w:r>
        <w:rPr>
          <w:rFonts w:hint="eastAsia"/>
          <w:sz w:val="24"/>
        </w:rPr>
        <w:t>（25）《全国农业可持续发展规划（2015-2030）》</w:t>
      </w:r>
      <w:r>
        <w:rPr>
          <w:rFonts w:hint="eastAsia"/>
          <w:sz w:val="24"/>
          <w:lang w:eastAsia="zh-CN"/>
        </w:rPr>
        <w:t>，</w:t>
      </w:r>
      <w:r>
        <w:rPr>
          <w:rFonts w:hint="eastAsia"/>
          <w:sz w:val="24"/>
        </w:rPr>
        <w:t>2015年5月27日；</w:t>
      </w:r>
    </w:p>
    <w:p>
      <w:pPr>
        <w:spacing w:line="360" w:lineRule="auto"/>
        <w:ind w:left="2" w:leftChars="1" w:firstLine="480" w:firstLineChars="200"/>
        <w:rPr>
          <w:rFonts w:hint="eastAsia" w:eastAsia="宋体"/>
          <w:sz w:val="24"/>
          <w:lang w:eastAsia="zh-CN"/>
        </w:rPr>
      </w:pPr>
      <w:r>
        <w:rPr>
          <w:rFonts w:hint="eastAsia"/>
          <w:sz w:val="24"/>
        </w:rPr>
        <w:t>（26）《“十四五”土壤、地下水和农村生态环境保护规划》</w:t>
      </w:r>
      <w:r>
        <w:rPr>
          <w:rFonts w:hint="eastAsia"/>
          <w:sz w:val="24"/>
          <w:lang w:eastAsia="zh-CN"/>
        </w:rPr>
        <w:t>；</w:t>
      </w:r>
    </w:p>
    <w:p>
      <w:pPr>
        <w:spacing w:line="360" w:lineRule="auto"/>
        <w:ind w:left="2" w:leftChars="1" w:firstLine="480" w:firstLineChars="200"/>
        <w:rPr>
          <w:rFonts w:hint="eastAsia" w:eastAsia="宋体"/>
          <w:sz w:val="24"/>
          <w:lang w:eastAsia="zh-CN"/>
        </w:rPr>
      </w:pPr>
      <w:r>
        <w:rPr>
          <w:rFonts w:hint="eastAsia"/>
          <w:sz w:val="24"/>
        </w:rPr>
        <w:t>（27）《畜禽粪污资源化利用行动方案（2017-2020年）》2017年7月7日</w:t>
      </w:r>
      <w:r>
        <w:rPr>
          <w:rFonts w:hint="eastAsia"/>
          <w:sz w:val="24"/>
          <w:lang w:eastAsia="zh-CN"/>
        </w:rPr>
        <w:t>；</w:t>
      </w:r>
    </w:p>
    <w:p>
      <w:pPr>
        <w:spacing w:line="360" w:lineRule="auto"/>
        <w:ind w:left="2" w:leftChars="1" w:firstLine="480" w:firstLineChars="200"/>
        <w:rPr>
          <w:sz w:val="24"/>
        </w:rPr>
      </w:pPr>
      <w:r>
        <w:rPr>
          <w:rFonts w:hint="eastAsia"/>
          <w:sz w:val="24"/>
        </w:rPr>
        <w:t>（28）《国务院关于印发土壤污染防治行动计划的通知》国发[2016]31号；</w:t>
      </w:r>
    </w:p>
    <w:p>
      <w:pPr>
        <w:spacing w:line="360" w:lineRule="auto"/>
        <w:ind w:left="2" w:leftChars="1" w:firstLine="480" w:firstLineChars="200"/>
        <w:rPr>
          <w:sz w:val="24"/>
        </w:rPr>
      </w:pPr>
      <w:r>
        <w:rPr>
          <w:rFonts w:hint="eastAsia"/>
          <w:sz w:val="24"/>
        </w:rPr>
        <w:t>（29）《国务院关于加强环境保护重点工作的意见》国发[2011]35号；</w:t>
      </w:r>
    </w:p>
    <w:p>
      <w:pPr>
        <w:spacing w:line="360" w:lineRule="auto"/>
        <w:ind w:left="2" w:leftChars="1" w:firstLine="480" w:firstLineChars="200"/>
        <w:rPr>
          <w:sz w:val="24"/>
        </w:rPr>
      </w:pPr>
      <w:r>
        <w:rPr>
          <w:rFonts w:hint="eastAsia"/>
          <w:sz w:val="24"/>
        </w:rPr>
        <w:t>（30）《国务院办公厅转发环保总局等部门关于加强农村环境保护工作意见的通知》国办发[2007]63号；</w:t>
      </w:r>
    </w:p>
    <w:p>
      <w:pPr>
        <w:spacing w:line="360" w:lineRule="auto"/>
        <w:ind w:left="2" w:leftChars="1" w:firstLine="480" w:firstLineChars="200"/>
        <w:rPr>
          <w:sz w:val="24"/>
        </w:rPr>
      </w:pPr>
      <w:r>
        <w:rPr>
          <w:rFonts w:hint="eastAsia"/>
          <w:sz w:val="24"/>
        </w:rPr>
        <w:t>（31）《国务院关于促进生猪生产发展稳定市场供应的意见》（2007年7月30日）；</w:t>
      </w:r>
    </w:p>
    <w:p>
      <w:pPr>
        <w:spacing w:line="360" w:lineRule="auto"/>
        <w:ind w:left="2" w:leftChars="1" w:firstLine="480" w:firstLineChars="200"/>
        <w:rPr>
          <w:sz w:val="24"/>
        </w:rPr>
      </w:pPr>
      <w:r>
        <w:rPr>
          <w:rFonts w:hint="eastAsia"/>
          <w:sz w:val="24"/>
        </w:rPr>
        <w:t>（32）《关于加快推进畜禽养殖废弃物资源化利用的意见》国办发[2017]48号；</w:t>
      </w:r>
    </w:p>
    <w:p>
      <w:pPr>
        <w:spacing w:line="360" w:lineRule="auto"/>
        <w:ind w:left="2" w:leftChars="1" w:firstLine="480" w:firstLineChars="200"/>
        <w:rPr>
          <w:sz w:val="24"/>
        </w:rPr>
      </w:pPr>
      <w:r>
        <w:rPr>
          <w:rFonts w:hint="eastAsia"/>
          <w:sz w:val="24"/>
        </w:rPr>
        <w:t>（33）《国务院办公厅关于建立病死畜禽无害化处理机制的意见》国办发[2014]47号；</w:t>
      </w:r>
    </w:p>
    <w:p>
      <w:pPr>
        <w:spacing w:line="360" w:lineRule="auto"/>
        <w:ind w:left="2" w:leftChars="1" w:firstLine="480" w:firstLineChars="200"/>
        <w:rPr>
          <w:sz w:val="24"/>
        </w:rPr>
      </w:pPr>
      <w:r>
        <w:rPr>
          <w:rFonts w:hint="eastAsia"/>
          <w:sz w:val="24"/>
        </w:rPr>
        <w:t>（34）《关于印发“十四五”土壤、地下水和农村生态环境保护规划的通知》（环土壤[2021]120号）</w:t>
      </w:r>
    </w:p>
    <w:p>
      <w:pPr>
        <w:spacing w:line="360" w:lineRule="auto"/>
        <w:ind w:left="2" w:leftChars="1" w:firstLine="480" w:firstLineChars="200"/>
        <w:rPr>
          <w:sz w:val="24"/>
        </w:rPr>
      </w:pPr>
      <w:r>
        <w:rPr>
          <w:rFonts w:hint="eastAsia"/>
          <w:sz w:val="24"/>
        </w:rPr>
        <w:t>（35）《关于进一步规范畜禽养殖禁养区划定和管理促进生猪生产发展的通知》（环办土壤﹝2019﹞55号）；</w:t>
      </w:r>
    </w:p>
    <w:p>
      <w:pPr>
        <w:spacing w:line="360" w:lineRule="auto"/>
        <w:ind w:left="2" w:leftChars="1" w:firstLine="480" w:firstLineChars="200"/>
        <w:rPr>
          <w:sz w:val="24"/>
        </w:rPr>
      </w:pPr>
      <w:r>
        <w:rPr>
          <w:rFonts w:hint="eastAsia"/>
          <w:sz w:val="24"/>
        </w:rPr>
        <w:t>（36）《关于做好畜禽规模养殖项目环境影响评价管理工作的通知》（环办环评[2018]31号）；</w:t>
      </w:r>
    </w:p>
    <w:p>
      <w:pPr>
        <w:spacing w:line="360" w:lineRule="auto"/>
        <w:ind w:left="2" w:leftChars="1" w:firstLine="480" w:firstLineChars="200"/>
        <w:rPr>
          <w:sz w:val="24"/>
        </w:rPr>
      </w:pPr>
      <w:r>
        <w:rPr>
          <w:rFonts w:hint="eastAsia"/>
          <w:sz w:val="24"/>
        </w:rPr>
        <w:t>（37）《关于以改善环境质量为核心加强环境影响评价管理的通知》（环环评[2016]150号）；</w:t>
      </w:r>
    </w:p>
    <w:p>
      <w:pPr>
        <w:spacing w:line="360" w:lineRule="auto"/>
        <w:ind w:left="2" w:leftChars="1" w:firstLine="480" w:firstLineChars="200"/>
        <w:rPr>
          <w:sz w:val="24"/>
        </w:rPr>
      </w:pPr>
      <w:r>
        <w:rPr>
          <w:rFonts w:hint="eastAsia"/>
          <w:sz w:val="24"/>
        </w:rPr>
        <w:t>（38）《关于加强畜禽养殖业环境监管、严防高致病性禽流感疫情扩散的紧急通知》环发[2004]18号；</w:t>
      </w:r>
    </w:p>
    <w:p>
      <w:pPr>
        <w:spacing w:line="360" w:lineRule="auto"/>
        <w:ind w:left="2" w:leftChars="1" w:firstLine="480" w:firstLineChars="200"/>
        <w:rPr>
          <w:sz w:val="24"/>
        </w:rPr>
      </w:pPr>
      <w:r>
        <w:rPr>
          <w:rFonts w:hint="eastAsia"/>
          <w:sz w:val="24"/>
        </w:rPr>
        <w:t>（39）《农业部关于印发&lt;病死及病害动物无害化处理技术规范&gt;的通知》（农医发[2017]25号）；</w:t>
      </w:r>
    </w:p>
    <w:p>
      <w:pPr>
        <w:spacing w:line="360" w:lineRule="auto"/>
        <w:ind w:left="2" w:leftChars="1" w:firstLine="480" w:firstLineChars="200"/>
        <w:rPr>
          <w:sz w:val="24"/>
        </w:rPr>
      </w:pPr>
      <w:r>
        <w:rPr>
          <w:rFonts w:hint="eastAsia"/>
          <w:sz w:val="24"/>
        </w:rPr>
        <w:t>（40）《农业部办公厅关于印发&lt;畜禽粪污土地承载力测算技术指南&gt;的通知》（农办牧[2018]1号）；</w:t>
      </w:r>
    </w:p>
    <w:p>
      <w:pPr>
        <w:spacing w:line="360" w:lineRule="auto"/>
        <w:ind w:left="2" w:leftChars="1" w:firstLine="480" w:firstLineChars="200"/>
        <w:rPr>
          <w:rFonts w:hint="eastAsia" w:eastAsia="宋体"/>
          <w:sz w:val="24"/>
          <w:lang w:eastAsia="zh-CN"/>
        </w:rPr>
      </w:pPr>
      <w:r>
        <w:rPr>
          <w:rFonts w:hint="eastAsia"/>
          <w:sz w:val="24"/>
        </w:rPr>
        <w:t>（41）《农业农村部办公厅、生态环境部办公厅关于促进畜禽粪污还田利用依法加强养殖污染治理的指导意见》（农办牧〔2019〕84号）</w:t>
      </w:r>
      <w:r>
        <w:rPr>
          <w:rFonts w:hint="eastAsia"/>
          <w:sz w:val="24"/>
          <w:lang w:eastAsia="zh-CN"/>
        </w:rPr>
        <w:t>；</w:t>
      </w:r>
    </w:p>
    <w:p>
      <w:pPr>
        <w:spacing w:line="360" w:lineRule="auto"/>
        <w:ind w:left="2" w:leftChars="1" w:firstLine="480" w:firstLineChars="200"/>
        <w:rPr>
          <w:rFonts w:hint="eastAsia" w:eastAsia="宋体"/>
          <w:sz w:val="24"/>
          <w:lang w:eastAsia="zh-CN"/>
        </w:rPr>
      </w:pPr>
      <w:r>
        <w:rPr>
          <w:rFonts w:hint="eastAsia"/>
          <w:sz w:val="24"/>
        </w:rPr>
        <w:t>（42）《农业农村部办公厅、生态环境部办公厅关于进一步明确畜禽粪污还田利用要求强化养殖污染监管的通知（农办牧[2020]23号）》</w:t>
      </w:r>
      <w:r>
        <w:rPr>
          <w:rFonts w:hint="eastAsia"/>
          <w:sz w:val="24"/>
          <w:lang w:eastAsia="zh-CN"/>
        </w:rPr>
        <w:t>；</w:t>
      </w:r>
    </w:p>
    <w:p>
      <w:pPr>
        <w:spacing w:line="360" w:lineRule="auto"/>
        <w:ind w:left="2" w:leftChars="1" w:firstLine="480" w:firstLineChars="200"/>
        <w:rPr>
          <w:sz w:val="24"/>
        </w:rPr>
      </w:pPr>
      <w:r>
        <w:rPr>
          <w:rFonts w:hint="eastAsia"/>
          <w:sz w:val="24"/>
        </w:rPr>
        <w:t>（43）关于印发《关于推进农业废弃物资源化利用试点的方案》的通知，农计发[2016]90号；</w:t>
      </w:r>
    </w:p>
    <w:p>
      <w:pPr>
        <w:spacing w:line="360" w:lineRule="auto"/>
        <w:ind w:left="2" w:leftChars="1" w:firstLine="480" w:firstLineChars="200"/>
        <w:rPr>
          <w:sz w:val="24"/>
        </w:rPr>
      </w:pPr>
      <w:r>
        <w:rPr>
          <w:rFonts w:hint="eastAsia"/>
          <w:sz w:val="24"/>
        </w:rPr>
        <w:t>（44）《关于打好农业面源污染防治攻坚战的实施意见》</w:t>
      </w:r>
      <w:r>
        <w:rPr>
          <w:rFonts w:hint="eastAsia"/>
          <w:sz w:val="24"/>
          <w:lang w:eastAsia="zh-CN"/>
        </w:rPr>
        <w:t>，</w:t>
      </w:r>
      <w:r>
        <w:rPr>
          <w:rFonts w:hint="eastAsia"/>
          <w:sz w:val="24"/>
        </w:rPr>
        <w:t>农科教发﹝2015﹞1号；</w:t>
      </w:r>
    </w:p>
    <w:p>
      <w:pPr>
        <w:spacing w:line="360" w:lineRule="auto"/>
        <w:ind w:left="2" w:leftChars="1" w:firstLine="480" w:firstLineChars="200"/>
        <w:rPr>
          <w:sz w:val="24"/>
        </w:rPr>
      </w:pPr>
      <w:r>
        <w:rPr>
          <w:rFonts w:hint="eastAsia"/>
          <w:sz w:val="24"/>
        </w:rPr>
        <w:t>（45）</w:t>
      </w:r>
      <w:r>
        <w:rPr>
          <w:sz w:val="24"/>
          <w:szCs w:val="22"/>
        </w:rPr>
        <w:t>《关于做好环境影响评价制度与排污许可制衔接相关工作的通知》（环办环评[2017]84号，环境保护部办公厅，2017.11.14起施行；</w:t>
      </w:r>
    </w:p>
    <w:p>
      <w:pPr>
        <w:spacing w:line="360" w:lineRule="auto"/>
        <w:ind w:left="2" w:leftChars="1" w:firstLine="480" w:firstLineChars="200"/>
        <w:rPr>
          <w:sz w:val="24"/>
          <w:szCs w:val="22"/>
        </w:rPr>
      </w:pPr>
      <w:r>
        <w:rPr>
          <w:rFonts w:hint="eastAsia"/>
          <w:sz w:val="24"/>
        </w:rPr>
        <w:t>（46）</w:t>
      </w:r>
      <w:r>
        <w:rPr>
          <w:sz w:val="24"/>
          <w:szCs w:val="22"/>
        </w:rPr>
        <w:t>《关于发布&lt;排污单位自行监测技术指南总则&gt;等三项国家环境保护标准的公告》，公告2017年第16号，2017.4.25起施行；</w:t>
      </w:r>
    </w:p>
    <w:p>
      <w:pPr>
        <w:spacing w:line="360" w:lineRule="auto"/>
        <w:ind w:left="2" w:leftChars="1" w:firstLine="480" w:firstLineChars="200"/>
        <w:rPr>
          <w:sz w:val="24"/>
          <w:szCs w:val="22"/>
        </w:rPr>
      </w:pPr>
      <w:r>
        <w:rPr>
          <w:rFonts w:hint="eastAsia"/>
          <w:sz w:val="24"/>
          <w:szCs w:val="22"/>
        </w:rPr>
        <w:t>（47）</w:t>
      </w:r>
      <w:r>
        <w:rPr>
          <w:sz w:val="24"/>
          <w:szCs w:val="22"/>
        </w:rPr>
        <w:t>《关于印发&lt;排污许可证管理暂行规定&gt;的通知》，环水体[2016]186号，环境保护部，2016.12.23起施行；</w:t>
      </w:r>
    </w:p>
    <w:p>
      <w:pPr>
        <w:spacing w:line="360" w:lineRule="auto"/>
        <w:ind w:left="2" w:leftChars="1" w:firstLine="480" w:firstLineChars="200"/>
        <w:rPr>
          <w:sz w:val="24"/>
          <w:szCs w:val="22"/>
        </w:rPr>
      </w:pPr>
      <w:r>
        <w:rPr>
          <w:sz w:val="24"/>
          <w:szCs w:val="22"/>
        </w:rPr>
        <w:t>（</w:t>
      </w:r>
      <w:r>
        <w:rPr>
          <w:rFonts w:hint="eastAsia"/>
          <w:sz w:val="24"/>
          <w:szCs w:val="22"/>
        </w:rPr>
        <w:t>48</w:t>
      </w:r>
      <w:r>
        <w:rPr>
          <w:sz w:val="24"/>
          <w:szCs w:val="22"/>
        </w:rPr>
        <w:t>）《固定污染源排污许可分类管理名录（2017年版）》（环境保护部令第45号，环境保护部，2017.7.28起施行；</w:t>
      </w:r>
    </w:p>
    <w:p>
      <w:pPr>
        <w:spacing w:line="360" w:lineRule="auto"/>
        <w:ind w:left="2" w:leftChars="1" w:firstLine="480" w:firstLineChars="200"/>
        <w:rPr>
          <w:rFonts w:hint="eastAsia" w:ascii="Times New Roman" w:hAnsi="Times New Roman" w:eastAsia="宋体" w:cs="Times New Roman"/>
          <w:color w:val="FF0000"/>
          <w:sz w:val="24"/>
          <w:szCs w:val="22"/>
          <w:u w:val="wave"/>
          <w:lang w:val="en-US" w:eastAsia="zh-CN"/>
        </w:rPr>
      </w:pPr>
      <w:r>
        <w:rPr>
          <w:rFonts w:hint="eastAsia" w:ascii="Times New Roman" w:hAnsi="Times New Roman" w:eastAsia="宋体" w:cs="Times New Roman"/>
          <w:color w:val="FF0000"/>
          <w:sz w:val="24"/>
          <w:szCs w:val="22"/>
          <w:u w:val="wave"/>
          <w:lang w:val="zh-CN"/>
        </w:rPr>
        <w:t>（</w:t>
      </w:r>
      <w:r>
        <w:rPr>
          <w:rFonts w:hint="eastAsia" w:ascii="Times New Roman" w:hAnsi="Times New Roman" w:eastAsia="宋体" w:cs="Times New Roman"/>
          <w:color w:val="FF0000"/>
          <w:sz w:val="24"/>
          <w:szCs w:val="22"/>
          <w:u w:val="wave"/>
          <w:lang w:val="en-US" w:eastAsia="zh-CN"/>
        </w:rPr>
        <w:t>49</w:t>
      </w:r>
      <w:r>
        <w:rPr>
          <w:rFonts w:hint="eastAsia" w:ascii="Times New Roman" w:hAnsi="Times New Roman" w:eastAsia="宋体" w:cs="Times New Roman"/>
          <w:color w:val="FF0000"/>
          <w:sz w:val="24"/>
          <w:szCs w:val="22"/>
          <w:u w:val="wave"/>
          <w:lang w:val="zh-CN"/>
        </w:rPr>
        <w:t>）</w:t>
      </w:r>
      <w:r>
        <w:rPr>
          <w:rFonts w:ascii="Times New Roman" w:hAnsi="Times New Roman" w:eastAsia="宋体" w:cs="Times New Roman"/>
          <w:color w:val="FF0000"/>
          <w:sz w:val="24"/>
          <w:szCs w:val="22"/>
          <w:u w:val="wave"/>
          <w:lang w:val="zh-CN"/>
        </w:rPr>
        <w:t>关于印发&lt;畜禽养殖场（户）粪污处理设施建设技术指南&gt;的通知</w:t>
      </w:r>
      <w:r>
        <w:rPr>
          <w:rFonts w:hint="eastAsia" w:ascii="Times New Roman" w:hAnsi="Times New Roman" w:eastAsia="宋体" w:cs="Times New Roman"/>
          <w:color w:val="FF0000"/>
          <w:sz w:val="24"/>
          <w:szCs w:val="22"/>
          <w:u w:val="wave"/>
          <w:lang w:val="zh-CN"/>
        </w:rPr>
        <w:t>，</w:t>
      </w:r>
      <w:r>
        <w:rPr>
          <w:rFonts w:hint="eastAsia" w:ascii="Times New Roman" w:hAnsi="Times New Roman" w:eastAsia="宋体" w:cs="Times New Roman"/>
          <w:color w:val="FF0000"/>
          <w:sz w:val="24"/>
          <w:szCs w:val="22"/>
          <w:u w:val="wave"/>
          <w:lang w:val="en-US" w:eastAsia="zh-CN"/>
        </w:rPr>
        <w:t>农办牧[2022]19号</w:t>
      </w:r>
      <w:r>
        <w:rPr>
          <w:rFonts w:hint="eastAsia" w:ascii="Times New Roman" w:hAnsi="Times New Roman" w:eastAsia="宋体" w:cs="Times New Roman"/>
          <w:color w:val="FF0000"/>
          <w:sz w:val="24"/>
          <w:szCs w:val="22"/>
          <w:u w:val="wave"/>
          <w:lang w:val="zh-CN"/>
        </w:rPr>
        <w:t>，农业农村部</w:t>
      </w:r>
      <w:r>
        <w:rPr>
          <w:rFonts w:hint="eastAsia" w:ascii="Times New Roman" w:hAnsi="Times New Roman" w:eastAsia="宋体" w:cs="Times New Roman"/>
          <w:color w:val="FF0000"/>
          <w:sz w:val="24"/>
          <w:szCs w:val="22"/>
          <w:u w:val="wave"/>
          <w:lang w:val="en-US" w:eastAsia="zh-CN"/>
        </w:rPr>
        <w:t>办公厅</w:t>
      </w:r>
      <w:r>
        <w:rPr>
          <w:rFonts w:hint="eastAsia" w:ascii="Times New Roman" w:hAnsi="Times New Roman" w:eastAsia="宋体" w:cs="Times New Roman"/>
          <w:color w:val="FF0000"/>
          <w:sz w:val="24"/>
          <w:szCs w:val="22"/>
          <w:u w:val="wave"/>
          <w:lang w:val="zh-CN"/>
        </w:rPr>
        <w:t>。</w:t>
      </w:r>
    </w:p>
    <w:p>
      <w:pPr>
        <w:pStyle w:val="7"/>
        <w:adjustRightInd w:val="0"/>
        <w:snapToGrid w:val="0"/>
        <w:spacing w:before="0" w:after="0" w:line="360" w:lineRule="auto"/>
        <w:jc w:val="left"/>
        <w:rPr>
          <w:sz w:val="24"/>
          <w:szCs w:val="24"/>
        </w:rPr>
      </w:pPr>
      <w:r>
        <w:rPr>
          <w:sz w:val="24"/>
          <w:szCs w:val="24"/>
        </w:rPr>
        <w:t>2.1.2</w:t>
      </w:r>
      <w:r>
        <w:rPr>
          <w:rFonts w:hint="eastAsia"/>
          <w:sz w:val="24"/>
          <w:szCs w:val="24"/>
        </w:rPr>
        <w:t xml:space="preserve"> </w:t>
      </w:r>
      <w:r>
        <w:rPr>
          <w:sz w:val="24"/>
          <w:szCs w:val="24"/>
        </w:rPr>
        <w:t>技术导则、规范</w:t>
      </w:r>
    </w:p>
    <w:p>
      <w:pPr>
        <w:spacing w:line="360" w:lineRule="auto"/>
        <w:ind w:left="2" w:leftChars="1" w:firstLine="480" w:firstLineChars="200"/>
        <w:rPr>
          <w:sz w:val="24"/>
        </w:rPr>
      </w:pPr>
      <w:r>
        <w:rPr>
          <w:rFonts w:hint="eastAsia"/>
          <w:sz w:val="24"/>
        </w:rPr>
        <w:t>（1）《环境影响评价技术导则</w:t>
      </w:r>
      <w:r>
        <w:rPr>
          <w:sz w:val="24"/>
        </w:rPr>
        <w:t>—</w:t>
      </w:r>
      <w:r>
        <w:rPr>
          <w:rFonts w:hint="eastAsia"/>
          <w:sz w:val="24"/>
        </w:rPr>
        <w:t>总纲》（</w:t>
      </w:r>
      <w:r>
        <w:rPr>
          <w:sz w:val="24"/>
        </w:rPr>
        <w:t>HJ2.1-2016</w:t>
      </w:r>
      <w:r>
        <w:rPr>
          <w:rFonts w:hint="eastAsia"/>
          <w:sz w:val="24"/>
        </w:rPr>
        <w:t>）；</w:t>
      </w:r>
    </w:p>
    <w:p>
      <w:pPr>
        <w:spacing w:line="360" w:lineRule="auto"/>
        <w:ind w:left="2" w:leftChars="1" w:firstLine="480" w:firstLineChars="200"/>
        <w:rPr>
          <w:sz w:val="24"/>
        </w:rPr>
      </w:pPr>
      <w:r>
        <w:rPr>
          <w:rFonts w:hint="eastAsia"/>
          <w:sz w:val="24"/>
        </w:rPr>
        <w:t>（2）《环境影响评价技术导则</w:t>
      </w:r>
      <w:r>
        <w:rPr>
          <w:sz w:val="24"/>
        </w:rPr>
        <w:t>—</w:t>
      </w:r>
      <w:r>
        <w:rPr>
          <w:rFonts w:hint="eastAsia"/>
          <w:sz w:val="24"/>
        </w:rPr>
        <w:t>大气环境》（</w:t>
      </w:r>
      <w:r>
        <w:rPr>
          <w:sz w:val="24"/>
        </w:rPr>
        <w:t>HJ2.2-20</w:t>
      </w:r>
      <w:r>
        <w:rPr>
          <w:rFonts w:hint="eastAsia"/>
          <w:sz w:val="24"/>
        </w:rPr>
        <w:t>1</w:t>
      </w:r>
      <w:r>
        <w:rPr>
          <w:sz w:val="24"/>
        </w:rPr>
        <w:t>8</w:t>
      </w:r>
      <w:r>
        <w:rPr>
          <w:rFonts w:hint="eastAsia"/>
          <w:sz w:val="24"/>
        </w:rPr>
        <w:t>）；</w:t>
      </w:r>
    </w:p>
    <w:p>
      <w:pPr>
        <w:spacing w:line="360" w:lineRule="auto"/>
        <w:ind w:left="2" w:leftChars="1" w:firstLine="480" w:firstLineChars="200"/>
        <w:rPr>
          <w:sz w:val="24"/>
        </w:rPr>
      </w:pPr>
      <w:r>
        <w:rPr>
          <w:rFonts w:hint="eastAsia"/>
          <w:sz w:val="24"/>
        </w:rPr>
        <w:t>（3）《环境影响评价技术导则</w:t>
      </w:r>
      <w:r>
        <w:rPr>
          <w:sz w:val="24"/>
        </w:rPr>
        <w:t>—</w:t>
      </w:r>
      <w:r>
        <w:rPr>
          <w:rFonts w:hint="eastAsia"/>
          <w:sz w:val="24"/>
        </w:rPr>
        <w:t>地表水环境》（</w:t>
      </w:r>
      <w:r>
        <w:rPr>
          <w:sz w:val="24"/>
        </w:rPr>
        <w:t>HJ/T2.3-</w:t>
      </w:r>
      <w:r>
        <w:rPr>
          <w:rFonts w:hint="eastAsia"/>
          <w:sz w:val="24"/>
        </w:rPr>
        <w:t>2018）；</w:t>
      </w:r>
    </w:p>
    <w:p>
      <w:pPr>
        <w:spacing w:line="360" w:lineRule="auto"/>
        <w:ind w:left="2" w:leftChars="1" w:firstLine="480" w:firstLineChars="200"/>
        <w:rPr>
          <w:sz w:val="24"/>
        </w:rPr>
      </w:pPr>
      <w:r>
        <w:rPr>
          <w:rFonts w:hint="eastAsia"/>
          <w:sz w:val="24"/>
        </w:rPr>
        <w:t>（4）《环境影响评价技术导则</w:t>
      </w:r>
      <w:r>
        <w:rPr>
          <w:sz w:val="24"/>
        </w:rPr>
        <w:t>—</w:t>
      </w:r>
      <w:r>
        <w:rPr>
          <w:rFonts w:hint="eastAsia"/>
          <w:sz w:val="24"/>
        </w:rPr>
        <w:t>地下水环境》（</w:t>
      </w:r>
      <w:r>
        <w:rPr>
          <w:sz w:val="24"/>
        </w:rPr>
        <w:t>HJ610-2016</w:t>
      </w:r>
      <w:r>
        <w:rPr>
          <w:rFonts w:hint="eastAsia"/>
          <w:sz w:val="24"/>
        </w:rPr>
        <w:t>）；</w:t>
      </w:r>
    </w:p>
    <w:p>
      <w:pPr>
        <w:spacing w:line="360" w:lineRule="auto"/>
        <w:ind w:left="2" w:leftChars="1" w:firstLine="480" w:firstLineChars="200"/>
        <w:rPr>
          <w:sz w:val="24"/>
        </w:rPr>
      </w:pPr>
      <w:r>
        <w:rPr>
          <w:rFonts w:hint="eastAsia"/>
          <w:sz w:val="24"/>
        </w:rPr>
        <w:t>（5）《环境影响评价技术导则</w:t>
      </w:r>
      <w:r>
        <w:rPr>
          <w:sz w:val="24"/>
        </w:rPr>
        <w:t>—</w:t>
      </w:r>
      <w:r>
        <w:rPr>
          <w:rFonts w:hint="eastAsia"/>
          <w:sz w:val="24"/>
        </w:rPr>
        <w:t>生态影响》（</w:t>
      </w:r>
      <w:r>
        <w:rPr>
          <w:sz w:val="24"/>
        </w:rPr>
        <w:t>HJ19-20</w:t>
      </w:r>
      <w:r>
        <w:rPr>
          <w:rFonts w:hint="eastAsia"/>
          <w:sz w:val="24"/>
        </w:rPr>
        <w:t>22）；</w:t>
      </w:r>
    </w:p>
    <w:p>
      <w:pPr>
        <w:spacing w:line="360" w:lineRule="auto"/>
        <w:ind w:left="2" w:leftChars="1" w:firstLine="480" w:firstLineChars="200"/>
        <w:rPr>
          <w:sz w:val="24"/>
        </w:rPr>
      </w:pPr>
      <w:r>
        <w:rPr>
          <w:rFonts w:hint="eastAsia"/>
          <w:sz w:val="24"/>
        </w:rPr>
        <w:t>（6）《环境影响评价技术导则</w:t>
      </w:r>
      <w:r>
        <w:rPr>
          <w:sz w:val="24"/>
        </w:rPr>
        <w:t>—</w:t>
      </w:r>
      <w:r>
        <w:rPr>
          <w:rFonts w:hint="eastAsia"/>
          <w:sz w:val="24"/>
        </w:rPr>
        <w:t>声环境》（</w:t>
      </w:r>
      <w:r>
        <w:rPr>
          <w:sz w:val="24"/>
        </w:rPr>
        <w:t>HJ2.4-20</w:t>
      </w:r>
      <w:r>
        <w:rPr>
          <w:rFonts w:hint="eastAsia"/>
          <w:sz w:val="24"/>
        </w:rPr>
        <w:t>21）；</w:t>
      </w:r>
    </w:p>
    <w:p>
      <w:pPr>
        <w:pStyle w:val="175"/>
        <w:ind w:firstLine="480"/>
        <w:rPr>
          <w:szCs w:val="24"/>
        </w:rPr>
      </w:pPr>
      <w:r>
        <w:rPr>
          <w:szCs w:val="24"/>
        </w:rPr>
        <w:t>（</w:t>
      </w:r>
      <w:r>
        <w:rPr>
          <w:rFonts w:hint="eastAsia"/>
          <w:szCs w:val="24"/>
        </w:rPr>
        <w:t>7</w:t>
      </w:r>
      <w:r>
        <w:rPr>
          <w:szCs w:val="24"/>
        </w:rPr>
        <w:t>）《环境影响评价技术导则——土壤环境（试行）》（HJ964-2018）；</w:t>
      </w:r>
    </w:p>
    <w:p>
      <w:pPr>
        <w:spacing w:line="360" w:lineRule="auto"/>
        <w:ind w:left="2" w:leftChars="1" w:firstLine="480" w:firstLineChars="200"/>
        <w:rPr>
          <w:sz w:val="24"/>
        </w:rPr>
      </w:pPr>
      <w:r>
        <w:rPr>
          <w:rFonts w:hint="eastAsia"/>
          <w:sz w:val="24"/>
        </w:rPr>
        <w:t>（8）《建设项目环境风险评价技术导则》（</w:t>
      </w:r>
      <w:r>
        <w:rPr>
          <w:sz w:val="24"/>
        </w:rPr>
        <w:t>HJ/T169-20</w:t>
      </w:r>
      <w:r>
        <w:rPr>
          <w:rFonts w:hint="eastAsia"/>
          <w:sz w:val="24"/>
        </w:rPr>
        <w:t>18）；</w:t>
      </w:r>
    </w:p>
    <w:p>
      <w:pPr>
        <w:spacing w:line="360" w:lineRule="auto"/>
        <w:ind w:left="2" w:leftChars="1" w:firstLine="480" w:firstLineChars="200"/>
        <w:rPr>
          <w:sz w:val="24"/>
          <w:szCs w:val="22"/>
          <w:lang w:val="zh-CN"/>
        </w:rPr>
      </w:pPr>
      <w:r>
        <w:rPr>
          <w:sz w:val="24"/>
          <w:szCs w:val="22"/>
          <w:lang w:val="zh-CN"/>
        </w:rPr>
        <w:t>（</w:t>
      </w:r>
      <w:r>
        <w:rPr>
          <w:rFonts w:hint="eastAsia"/>
          <w:sz w:val="24"/>
          <w:szCs w:val="22"/>
          <w:lang w:val="zh-CN"/>
        </w:rPr>
        <w:t>9</w:t>
      </w:r>
      <w:r>
        <w:rPr>
          <w:sz w:val="24"/>
          <w:szCs w:val="22"/>
          <w:lang w:val="zh-CN"/>
        </w:rPr>
        <w:t>）《空气和废气监测分析方法》（第四版增补版）；</w:t>
      </w:r>
    </w:p>
    <w:p>
      <w:pPr>
        <w:spacing w:line="360" w:lineRule="auto"/>
        <w:ind w:left="2" w:leftChars="1" w:firstLine="480" w:firstLineChars="200"/>
        <w:rPr>
          <w:sz w:val="24"/>
          <w:szCs w:val="22"/>
          <w:lang w:val="zh-CN"/>
        </w:rPr>
      </w:pPr>
      <w:r>
        <w:rPr>
          <w:sz w:val="24"/>
          <w:szCs w:val="22"/>
          <w:lang w:val="zh-CN"/>
        </w:rPr>
        <w:t>（</w:t>
      </w:r>
      <w:r>
        <w:rPr>
          <w:rFonts w:hint="eastAsia"/>
          <w:sz w:val="24"/>
          <w:szCs w:val="22"/>
          <w:lang w:val="zh-CN"/>
        </w:rPr>
        <w:t>10</w:t>
      </w:r>
      <w:r>
        <w:rPr>
          <w:sz w:val="24"/>
          <w:szCs w:val="22"/>
          <w:lang w:val="zh-CN"/>
        </w:rPr>
        <w:t>）《水和废水监测分析方法》（第四版增补版）；</w:t>
      </w:r>
    </w:p>
    <w:p>
      <w:pPr>
        <w:spacing w:line="360" w:lineRule="auto"/>
        <w:ind w:left="2" w:leftChars="1" w:firstLine="480" w:firstLineChars="200"/>
        <w:rPr>
          <w:sz w:val="24"/>
          <w:szCs w:val="22"/>
          <w:lang w:val="zh-CN"/>
        </w:rPr>
      </w:pPr>
      <w:r>
        <w:rPr>
          <w:sz w:val="24"/>
          <w:szCs w:val="22"/>
          <w:lang w:val="zh-CN"/>
        </w:rPr>
        <w:t>（</w:t>
      </w:r>
      <w:r>
        <w:rPr>
          <w:rFonts w:hint="eastAsia"/>
          <w:sz w:val="24"/>
          <w:szCs w:val="22"/>
          <w:lang w:val="zh-CN"/>
        </w:rPr>
        <w:t>11</w:t>
      </w:r>
      <w:r>
        <w:rPr>
          <w:sz w:val="24"/>
          <w:szCs w:val="22"/>
          <w:lang w:val="zh-CN"/>
        </w:rPr>
        <w:t>）《地表水和污水监测技术规范》（HJ/T91-2002）；</w:t>
      </w:r>
    </w:p>
    <w:p>
      <w:pPr>
        <w:spacing w:line="360" w:lineRule="auto"/>
        <w:ind w:left="2" w:leftChars="1" w:firstLine="480" w:firstLineChars="200"/>
        <w:rPr>
          <w:sz w:val="24"/>
          <w:szCs w:val="22"/>
          <w:lang w:val="zh-CN"/>
        </w:rPr>
      </w:pPr>
      <w:r>
        <w:rPr>
          <w:sz w:val="24"/>
          <w:szCs w:val="22"/>
          <w:lang w:val="zh-CN"/>
        </w:rPr>
        <w:t>（</w:t>
      </w:r>
      <w:r>
        <w:rPr>
          <w:rFonts w:hint="eastAsia"/>
          <w:sz w:val="24"/>
          <w:szCs w:val="22"/>
          <w:lang w:val="zh-CN"/>
        </w:rPr>
        <w:t>12</w:t>
      </w:r>
      <w:r>
        <w:rPr>
          <w:sz w:val="24"/>
          <w:szCs w:val="22"/>
          <w:lang w:val="zh-CN"/>
        </w:rPr>
        <w:t>）《地下水环境监测技术规范》（HJ/T164-2004）；</w:t>
      </w:r>
    </w:p>
    <w:p>
      <w:pPr>
        <w:spacing w:line="360" w:lineRule="auto"/>
        <w:ind w:left="2" w:leftChars="1" w:firstLine="480" w:firstLineChars="200"/>
        <w:rPr>
          <w:sz w:val="24"/>
          <w:szCs w:val="22"/>
          <w:lang w:val="zh-CN"/>
        </w:rPr>
      </w:pPr>
      <w:r>
        <w:rPr>
          <w:sz w:val="24"/>
          <w:szCs w:val="22"/>
          <w:lang w:val="zh-CN"/>
        </w:rPr>
        <w:t>（</w:t>
      </w:r>
      <w:r>
        <w:rPr>
          <w:rFonts w:hint="eastAsia"/>
          <w:sz w:val="24"/>
          <w:szCs w:val="22"/>
          <w:lang w:val="zh-CN"/>
        </w:rPr>
        <w:t>13</w:t>
      </w:r>
      <w:r>
        <w:rPr>
          <w:sz w:val="24"/>
          <w:szCs w:val="22"/>
          <w:lang w:val="zh-CN"/>
        </w:rPr>
        <w:t>）《大气污染物无组织排放监测技术导则》（HJ/T55-2000）；</w:t>
      </w:r>
    </w:p>
    <w:p>
      <w:pPr>
        <w:spacing w:line="360" w:lineRule="auto"/>
        <w:ind w:left="2" w:leftChars="1" w:firstLine="480" w:firstLineChars="200"/>
        <w:rPr>
          <w:sz w:val="24"/>
          <w:szCs w:val="22"/>
          <w:lang w:val="zh-CN"/>
        </w:rPr>
      </w:pPr>
      <w:r>
        <w:rPr>
          <w:sz w:val="24"/>
          <w:szCs w:val="22"/>
          <w:lang w:val="zh-CN"/>
        </w:rPr>
        <w:t>（</w:t>
      </w:r>
      <w:r>
        <w:rPr>
          <w:rFonts w:hint="eastAsia"/>
          <w:sz w:val="24"/>
          <w:szCs w:val="22"/>
          <w:lang w:val="zh-CN"/>
        </w:rPr>
        <w:t>14</w:t>
      </w:r>
      <w:r>
        <w:rPr>
          <w:sz w:val="24"/>
          <w:szCs w:val="22"/>
          <w:lang w:val="zh-CN"/>
        </w:rPr>
        <w:t>）《固定污染源废气监测技术规范》（HJ/T397-2007）；</w:t>
      </w:r>
    </w:p>
    <w:p>
      <w:pPr>
        <w:spacing w:line="360" w:lineRule="auto"/>
        <w:ind w:left="2" w:leftChars="1" w:firstLine="480" w:firstLineChars="200"/>
        <w:rPr>
          <w:sz w:val="24"/>
          <w:szCs w:val="22"/>
          <w:lang w:val="zh-CN"/>
        </w:rPr>
      </w:pPr>
      <w:r>
        <w:rPr>
          <w:sz w:val="24"/>
          <w:szCs w:val="22"/>
          <w:lang w:val="zh-CN"/>
        </w:rPr>
        <w:t>（</w:t>
      </w:r>
      <w:r>
        <w:rPr>
          <w:rFonts w:hint="eastAsia"/>
          <w:sz w:val="24"/>
          <w:szCs w:val="22"/>
          <w:lang w:val="zh-CN"/>
        </w:rPr>
        <w:t>15</w:t>
      </w:r>
      <w:r>
        <w:rPr>
          <w:sz w:val="24"/>
          <w:szCs w:val="22"/>
          <w:lang w:val="zh-CN"/>
        </w:rPr>
        <w:t>）《防治城市扬尘污染技术规范》（HJ/T7393-2007）；</w:t>
      </w:r>
    </w:p>
    <w:p>
      <w:pPr>
        <w:spacing w:line="360" w:lineRule="auto"/>
        <w:ind w:left="2" w:leftChars="1" w:firstLine="480" w:firstLineChars="200"/>
        <w:rPr>
          <w:sz w:val="24"/>
        </w:rPr>
      </w:pPr>
      <w:r>
        <w:rPr>
          <w:sz w:val="24"/>
        </w:rPr>
        <w:t>（</w:t>
      </w:r>
      <w:r>
        <w:rPr>
          <w:rFonts w:hint="eastAsia"/>
          <w:sz w:val="24"/>
        </w:rPr>
        <w:t>16</w:t>
      </w:r>
      <w:r>
        <w:rPr>
          <w:sz w:val="24"/>
        </w:rPr>
        <w:t>）《建设项目危险废物环境影响评价指南》（2017.10.1施行）；</w:t>
      </w:r>
    </w:p>
    <w:p>
      <w:pPr>
        <w:spacing w:line="360" w:lineRule="auto"/>
        <w:ind w:left="2" w:leftChars="1" w:firstLine="480" w:firstLineChars="200"/>
        <w:rPr>
          <w:sz w:val="24"/>
        </w:rPr>
      </w:pPr>
      <w:r>
        <w:rPr>
          <w:rFonts w:hint="eastAsia"/>
          <w:sz w:val="24"/>
        </w:rPr>
        <w:t>（17）《危险化学品重大危险源辨识》（</w:t>
      </w:r>
      <w:r>
        <w:rPr>
          <w:sz w:val="24"/>
        </w:rPr>
        <w:t>GB18218-2009</w:t>
      </w:r>
      <w:r>
        <w:rPr>
          <w:rFonts w:hint="eastAsia"/>
          <w:sz w:val="24"/>
        </w:rPr>
        <w:t>）；</w:t>
      </w:r>
    </w:p>
    <w:p>
      <w:pPr>
        <w:spacing w:line="360" w:lineRule="auto"/>
        <w:ind w:left="2" w:leftChars="1" w:firstLine="480" w:firstLineChars="200"/>
        <w:rPr>
          <w:sz w:val="24"/>
        </w:rPr>
      </w:pPr>
      <w:r>
        <w:rPr>
          <w:rFonts w:hint="eastAsia"/>
          <w:sz w:val="24"/>
        </w:rPr>
        <w:t>（18）《制定地方大气污染物排放标准的技术方法》（GB/T3840-91）；</w:t>
      </w:r>
    </w:p>
    <w:p>
      <w:pPr>
        <w:spacing w:line="360" w:lineRule="auto"/>
        <w:ind w:left="2" w:leftChars="1" w:firstLine="480" w:firstLineChars="200"/>
        <w:rPr>
          <w:sz w:val="24"/>
        </w:rPr>
      </w:pPr>
      <w:r>
        <w:rPr>
          <w:rFonts w:hint="eastAsia"/>
          <w:sz w:val="24"/>
        </w:rPr>
        <w:t>（19）《畜禽养殖产地环境评价规范》（HJ568-2010），2010.7.1；</w:t>
      </w:r>
    </w:p>
    <w:p>
      <w:pPr>
        <w:spacing w:line="360" w:lineRule="auto"/>
        <w:ind w:left="2" w:leftChars="1" w:firstLine="480" w:firstLineChars="200"/>
        <w:rPr>
          <w:sz w:val="24"/>
        </w:rPr>
      </w:pPr>
      <w:r>
        <w:rPr>
          <w:rFonts w:hint="eastAsia"/>
          <w:sz w:val="24"/>
        </w:rPr>
        <w:t>（20）《畜禽养殖业污染防治技术规范》（HJ/T81-2001），2002.4.1；</w:t>
      </w:r>
    </w:p>
    <w:p>
      <w:pPr>
        <w:spacing w:line="360" w:lineRule="auto"/>
        <w:ind w:left="2" w:leftChars="1" w:firstLine="480" w:firstLineChars="200"/>
        <w:rPr>
          <w:sz w:val="24"/>
        </w:rPr>
      </w:pPr>
      <w:r>
        <w:rPr>
          <w:rFonts w:hint="eastAsia"/>
          <w:sz w:val="24"/>
        </w:rPr>
        <w:t>（21）《畜禽养殖业污染治理工程技术规范》（HJ497-2009），2009.12.1；</w:t>
      </w:r>
    </w:p>
    <w:p>
      <w:pPr>
        <w:spacing w:line="360" w:lineRule="auto"/>
        <w:ind w:left="2" w:leftChars="1" w:firstLine="480" w:firstLineChars="200"/>
        <w:rPr>
          <w:sz w:val="24"/>
        </w:rPr>
      </w:pPr>
      <w:r>
        <w:rPr>
          <w:rFonts w:hint="eastAsia"/>
          <w:sz w:val="24"/>
        </w:rPr>
        <w:t>（22）</w:t>
      </w:r>
      <w:r>
        <w:rPr>
          <w:sz w:val="24"/>
        </w:rPr>
        <w:t>畜禽粪便无害化处理技术规范》（NY/T</w:t>
      </w:r>
      <w:r>
        <w:rPr>
          <w:rFonts w:hint="eastAsia"/>
          <w:sz w:val="24"/>
        </w:rPr>
        <w:t xml:space="preserve"> </w:t>
      </w:r>
      <w:r>
        <w:rPr>
          <w:sz w:val="24"/>
        </w:rPr>
        <w:t>1168-2006）</w:t>
      </w:r>
      <w:r>
        <w:rPr>
          <w:rFonts w:hint="eastAsia"/>
          <w:sz w:val="24"/>
        </w:rPr>
        <w:t>；</w:t>
      </w:r>
    </w:p>
    <w:p>
      <w:pPr>
        <w:spacing w:line="360" w:lineRule="auto"/>
        <w:ind w:left="2" w:leftChars="1" w:firstLine="480" w:firstLineChars="200"/>
        <w:rPr>
          <w:sz w:val="24"/>
        </w:rPr>
      </w:pPr>
      <w:r>
        <w:rPr>
          <w:rFonts w:hint="eastAsia"/>
          <w:sz w:val="24"/>
        </w:rPr>
        <w:t>（23）</w:t>
      </w:r>
      <w:r>
        <w:rPr>
          <w:sz w:val="24"/>
        </w:rPr>
        <w:t>《畜禽场环境污染控制技术规范》（NY/T</w:t>
      </w:r>
      <w:r>
        <w:rPr>
          <w:rFonts w:hint="eastAsia"/>
          <w:sz w:val="24"/>
        </w:rPr>
        <w:t xml:space="preserve"> </w:t>
      </w:r>
      <w:r>
        <w:rPr>
          <w:sz w:val="24"/>
        </w:rPr>
        <w:t>1169-2006）</w:t>
      </w:r>
      <w:r>
        <w:rPr>
          <w:rFonts w:ascii="宋体" w:hAnsi="宋体" w:cs="宋体"/>
          <w:color w:val="000000"/>
          <w:spacing w:val="-6"/>
          <w:sz w:val="24"/>
        </w:rPr>
        <w:t>；</w:t>
      </w:r>
    </w:p>
    <w:p>
      <w:pPr>
        <w:spacing w:line="360" w:lineRule="auto"/>
        <w:ind w:left="2" w:leftChars="1" w:firstLine="480" w:firstLineChars="200"/>
        <w:rPr>
          <w:sz w:val="24"/>
        </w:rPr>
      </w:pPr>
      <w:r>
        <w:rPr>
          <w:sz w:val="24"/>
        </w:rPr>
        <w:t>（</w:t>
      </w:r>
      <w:r>
        <w:rPr>
          <w:rFonts w:hint="eastAsia"/>
          <w:sz w:val="24"/>
        </w:rPr>
        <w:t>24</w:t>
      </w:r>
      <w:r>
        <w:rPr>
          <w:sz w:val="24"/>
        </w:rPr>
        <w:t>）《病害动物和病害动物产品生物安全处理规程》（GB</w:t>
      </w:r>
      <w:r>
        <w:rPr>
          <w:rFonts w:hint="eastAsia"/>
          <w:sz w:val="24"/>
        </w:rPr>
        <w:t xml:space="preserve"> </w:t>
      </w:r>
      <w:r>
        <w:rPr>
          <w:sz w:val="24"/>
        </w:rPr>
        <w:t>16548-2006）；</w:t>
      </w:r>
    </w:p>
    <w:p>
      <w:pPr>
        <w:spacing w:line="360" w:lineRule="auto"/>
        <w:ind w:left="2" w:leftChars="1" w:firstLine="480" w:firstLineChars="200"/>
        <w:rPr>
          <w:sz w:val="24"/>
        </w:rPr>
      </w:pPr>
      <w:r>
        <w:rPr>
          <w:sz w:val="24"/>
        </w:rPr>
        <w:t>（</w:t>
      </w:r>
      <w:r>
        <w:rPr>
          <w:rFonts w:hint="eastAsia"/>
          <w:sz w:val="24"/>
        </w:rPr>
        <w:t>25）《规模畜禽养殖场污染防治最佳可行技术指南（试行）》（HJ-BAT-10）</w:t>
      </w:r>
      <w:r>
        <w:rPr>
          <w:sz w:val="24"/>
        </w:rPr>
        <w:t>；</w:t>
      </w:r>
    </w:p>
    <w:p>
      <w:pPr>
        <w:spacing w:line="360" w:lineRule="auto"/>
        <w:ind w:left="2" w:leftChars="1" w:firstLine="480" w:firstLineChars="200"/>
        <w:rPr>
          <w:sz w:val="24"/>
        </w:rPr>
      </w:pPr>
      <w:r>
        <w:rPr>
          <w:rFonts w:hint="eastAsia"/>
          <w:sz w:val="24"/>
        </w:rPr>
        <w:t>（26）《畜禽养殖业污染防治最佳技术指南》；</w:t>
      </w:r>
    </w:p>
    <w:p>
      <w:pPr>
        <w:spacing w:line="360" w:lineRule="auto"/>
        <w:ind w:left="2" w:leftChars="1" w:firstLine="480" w:firstLineChars="200"/>
        <w:rPr>
          <w:sz w:val="24"/>
        </w:rPr>
      </w:pPr>
      <w:r>
        <w:rPr>
          <w:rFonts w:hint="eastAsia"/>
          <w:sz w:val="24"/>
        </w:rPr>
        <w:t>（27）《畜禽粪污土地承载力测算技术指南》；</w:t>
      </w:r>
    </w:p>
    <w:p>
      <w:pPr>
        <w:spacing w:line="360" w:lineRule="auto"/>
        <w:ind w:left="2" w:leftChars="1" w:firstLine="480" w:firstLineChars="200"/>
        <w:rPr>
          <w:sz w:val="24"/>
        </w:rPr>
      </w:pPr>
      <w:r>
        <w:rPr>
          <w:rFonts w:hint="eastAsia"/>
          <w:sz w:val="24"/>
        </w:rPr>
        <w:t>（28）《排污许可证申请与核发技术规范 畜禽养殖行业》（HJ1029-2019）；</w:t>
      </w:r>
    </w:p>
    <w:p>
      <w:pPr>
        <w:spacing w:line="360" w:lineRule="auto"/>
        <w:ind w:left="2" w:leftChars="1" w:firstLine="480" w:firstLineChars="200"/>
        <w:rPr>
          <w:sz w:val="24"/>
        </w:rPr>
      </w:pPr>
      <w:r>
        <w:rPr>
          <w:rFonts w:hint="eastAsia"/>
          <w:sz w:val="24"/>
        </w:rPr>
        <w:t>（29）《排污单位自行监测技术指南 畜禽养殖行业》（HJ1252-2022）。</w:t>
      </w:r>
    </w:p>
    <w:p>
      <w:pPr>
        <w:pStyle w:val="7"/>
        <w:adjustRightInd w:val="0"/>
        <w:snapToGrid w:val="0"/>
        <w:spacing w:before="0" w:after="0" w:line="360" w:lineRule="auto"/>
        <w:jc w:val="left"/>
        <w:rPr>
          <w:sz w:val="24"/>
          <w:szCs w:val="24"/>
        </w:rPr>
      </w:pPr>
      <w:bookmarkStart w:id="57" w:name="_Toc517522241"/>
      <w:bookmarkStart w:id="58" w:name="_Toc22045"/>
      <w:bookmarkStart w:id="59" w:name="_Toc30177"/>
      <w:bookmarkStart w:id="60" w:name="_Toc13169"/>
      <w:bookmarkStart w:id="61" w:name="_Toc27192"/>
      <w:bookmarkStart w:id="62" w:name="_Toc1365"/>
      <w:bookmarkStart w:id="63" w:name="_Toc15499"/>
      <w:r>
        <w:rPr>
          <w:sz w:val="24"/>
          <w:szCs w:val="24"/>
        </w:rPr>
        <w:t>2.1.</w:t>
      </w:r>
      <w:r>
        <w:rPr>
          <w:rFonts w:hint="eastAsia"/>
          <w:sz w:val="24"/>
          <w:szCs w:val="24"/>
        </w:rPr>
        <w:t xml:space="preserve">3 </w:t>
      </w:r>
      <w:r>
        <w:rPr>
          <w:sz w:val="24"/>
          <w:szCs w:val="24"/>
        </w:rPr>
        <w:t>地方法规</w:t>
      </w:r>
      <w:bookmarkEnd w:id="57"/>
      <w:bookmarkEnd w:id="58"/>
      <w:bookmarkEnd w:id="59"/>
      <w:bookmarkEnd w:id="60"/>
      <w:bookmarkEnd w:id="61"/>
      <w:bookmarkEnd w:id="62"/>
      <w:bookmarkEnd w:id="63"/>
      <w:r>
        <w:rPr>
          <w:sz w:val="24"/>
          <w:szCs w:val="24"/>
        </w:rPr>
        <w:t>及规范性文件</w:t>
      </w:r>
    </w:p>
    <w:p>
      <w:pPr>
        <w:adjustRightInd w:val="0"/>
        <w:spacing w:line="360" w:lineRule="auto"/>
        <w:ind w:firstLine="480" w:firstLineChars="200"/>
        <w:rPr>
          <w:sz w:val="24"/>
        </w:rPr>
      </w:pPr>
      <w:r>
        <w:rPr>
          <w:rFonts w:hint="eastAsia"/>
          <w:sz w:val="24"/>
        </w:rPr>
        <w:t>（1）</w:t>
      </w:r>
      <w:r>
        <w:rPr>
          <w:sz w:val="24"/>
        </w:rPr>
        <w:t>《湖南省建设项目环境保护管理办法》，2007年8月28日；</w:t>
      </w:r>
    </w:p>
    <w:p>
      <w:pPr>
        <w:adjustRightInd w:val="0"/>
        <w:spacing w:line="360" w:lineRule="auto"/>
        <w:ind w:firstLine="480" w:firstLineChars="200"/>
        <w:rPr>
          <w:sz w:val="24"/>
        </w:rPr>
      </w:pPr>
      <w:r>
        <w:rPr>
          <w:sz w:val="24"/>
        </w:rPr>
        <w:t>（</w:t>
      </w:r>
      <w:r>
        <w:rPr>
          <w:rFonts w:hint="eastAsia"/>
          <w:sz w:val="24"/>
        </w:rPr>
        <w:t>2</w:t>
      </w:r>
      <w:r>
        <w:rPr>
          <w:sz w:val="24"/>
        </w:rPr>
        <w:t>）《湖南省环境保护条例（修正案）》</w:t>
      </w:r>
      <w:r>
        <w:rPr>
          <w:rFonts w:hint="eastAsia"/>
          <w:sz w:val="24"/>
        </w:rPr>
        <w:t>（</w:t>
      </w:r>
      <w:r>
        <w:rPr>
          <w:sz w:val="24"/>
        </w:rPr>
        <w:t>20</w:t>
      </w:r>
      <w:r>
        <w:rPr>
          <w:rFonts w:hint="eastAsia"/>
          <w:sz w:val="24"/>
        </w:rPr>
        <w:t>19</w:t>
      </w:r>
      <w:r>
        <w:rPr>
          <w:sz w:val="24"/>
        </w:rPr>
        <w:t>年</w:t>
      </w:r>
      <w:r>
        <w:rPr>
          <w:rFonts w:hint="eastAsia"/>
          <w:sz w:val="24"/>
        </w:rPr>
        <w:t>9</w:t>
      </w:r>
      <w:r>
        <w:rPr>
          <w:sz w:val="24"/>
        </w:rPr>
        <w:t>月</w:t>
      </w:r>
      <w:r>
        <w:rPr>
          <w:rFonts w:hint="eastAsia"/>
          <w:sz w:val="24"/>
        </w:rPr>
        <w:t>28</w:t>
      </w:r>
      <w:r>
        <w:rPr>
          <w:sz w:val="24"/>
        </w:rPr>
        <w:t>日</w:t>
      </w:r>
      <w:r>
        <w:rPr>
          <w:rFonts w:hint="eastAsia"/>
          <w:sz w:val="24"/>
        </w:rPr>
        <w:t>）</w:t>
      </w:r>
      <w:r>
        <w:rPr>
          <w:sz w:val="24"/>
        </w:rPr>
        <w:t>；</w:t>
      </w:r>
    </w:p>
    <w:p>
      <w:pPr>
        <w:spacing w:line="360" w:lineRule="auto"/>
        <w:ind w:firstLine="480"/>
        <w:rPr>
          <w:sz w:val="24"/>
        </w:rPr>
      </w:pPr>
      <w:r>
        <w:rPr>
          <w:sz w:val="24"/>
        </w:rPr>
        <w:t>（</w:t>
      </w:r>
      <w:r>
        <w:rPr>
          <w:rFonts w:hint="eastAsia"/>
          <w:sz w:val="24"/>
        </w:rPr>
        <w:t>3</w:t>
      </w:r>
      <w:r>
        <w:rPr>
          <w:sz w:val="24"/>
        </w:rPr>
        <w:t>）《湖南省畜禽规模养殖污染防治规定》湘政办发[2017]29号</w:t>
      </w:r>
    </w:p>
    <w:p>
      <w:pPr>
        <w:spacing w:line="360" w:lineRule="auto"/>
        <w:ind w:firstLine="480"/>
        <w:rPr>
          <w:sz w:val="24"/>
        </w:rPr>
      </w:pPr>
      <w:r>
        <w:rPr>
          <w:sz w:val="24"/>
        </w:rPr>
        <w:t>（</w:t>
      </w:r>
      <w:r>
        <w:rPr>
          <w:rFonts w:hint="eastAsia"/>
          <w:sz w:val="24"/>
        </w:rPr>
        <w:t>4</w:t>
      </w:r>
      <w:r>
        <w:rPr>
          <w:sz w:val="24"/>
        </w:rPr>
        <w:t>）</w:t>
      </w:r>
      <w:r>
        <w:rPr>
          <w:rFonts w:hint="eastAsia"/>
          <w:sz w:val="24"/>
        </w:rPr>
        <w:t>《湖南省环境保护厅关于印发&lt;湖南省“十四五”生态环境保护规划&gt;的通知》（湘政办发〔2021〕61号），2021年10月</w:t>
      </w:r>
      <w:r>
        <w:rPr>
          <w:sz w:val="24"/>
        </w:rPr>
        <w:t>；</w:t>
      </w:r>
    </w:p>
    <w:p>
      <w:pPr>
        <w:spacing w:line="360" w:lineRule="auto"/>
        <w:ind w:firstLine="480"/>
        <w:rPr>
          <w:sz w:val="24"/>
        </w:rPr>
      </w:pPr>
      <w:r>
        <w:rPr>
          <w:rFonts w:hint="eastAsia"/>
          <w:sz w:val="24"/>
        </w:rPr>
        <w:t>（5）</w:t>
      </w:r>
      <w:r>
        <w:rPr>
          <w:sz w:val="24"/>
        </w:rPr>
        <w:t>《湖南省主要水系地表水环境功能区划》（DB43/023-2005）；</w:t>
      </w:r>
    </w:p>
    <w:p>
      <w:pPr>
        <w:spacing w:line="360" w:lineRule="auto"/>
        <w:ind w:firstLine="480"/>
        <w:rPr>
          <w:sz w:val="24"/>
        </w:rPr>
      </w:pPr>
      <w:r>
        <w:rPr>
          <w:rFonts w:hint="eastAsia"/>
          <w:sz w:val="24"/>
        </w:rPr>
        <w:t>（6）</w:t>
      </w:r>
      <w:r>
        <w:rPr>
          <w:sz w:val="24"/>
        </w:rPr>
        <w:t>《湖南省县级以上地表水集中式饮用水水源保护区划定方案》湘政函[2016]176号；</w:t>
      </w:r>
    </w:p>
    <w:p>
      <w:pPr>
        <w:spacing w:line="360" w:lineRule="auto"/>
        <w:ind w:firstLine="480"/>
        <w:rPr>
          <w:sz w:val="24"/>
        </w:rPr>
      </w:pPr>
      <w:r>
        <w:rPr>
          <w:rFonts w:hint="eastAsia"/>
          <w:sz w:val="24"/>
        </w:rPr>
        <w:t>（7）</w:t>
      </w:r>
      <w:r>
        <w:rPr>
          <w:sz w:val="24"/>
        </w:rPr>
        <w:t>《湖南省国家重点生态功能区产业准入负面清单》（试行）</w:t>
      </w:r>
    </w:p>
    <w:p>
      <w:pPr>
        <w:adjustRightInd w:val="0"/>
        <w:spacing w:line="360" w:lineRule="auto"/>
        <w:ind w:firstLine="480"/>
        <w:rPr>
          <w:sz w:val="24"/>
        </w:rPr>
      </w:pPr>
      <w:r>
        <w:rPr>
          <w:sz w:val="24"/>
        </w:rPr>
        <w:t>（</w:t>
      </w:r>
      <w:r>
        <w:rPr>
          <w:rFonts w:hint="eastAsia"/>
          <w:sz w:val="24"/>
        </w:rPr>
        <w:t>8</w:t>
      </w:r>
      <w:r>
        <w:rPr>
          <w:sz w:val="24"/>
        </w:rPr>
        <w:t>）《湖南省主体功能区规划》（</w:t>
      </w:r>
      <w:r>
        <w:rPr>
          <w:rFonts w:hint="eastAsia"/>
          <w:sz w:val="24"/>
        </w:rPr>
        <w:t>2016</w:t>
      </w:r>
      <w:r>
        <w:rPr>
          <w:sz w:val="24"/>
        </w:rPr>
        <w:t>）；</w:t>
      </w:r>
    </w:p>
    <w:p>
      <w:pPr>
        <w:spacing w:line="360" w:lineRule="auto"/>
        <w:ind w:firstLine="480"/>
        <w:rPr>
          <w:sz w:val="24"/>
        </w:rPr>
      </w:pPr>
      <w:r>
        <w:rPr>
          <w:sz w:val="24"/>
        </w:rPr>
        <w:t>（</w:t>
      </w:r>
      <w:r>
        <w:rPr>
          <w:rFonts w:hint="eastAsia"/>
          <w:sz w:val="24"/>
        </w:rPr>
        <w:t>9</w:t>
      </w:r>
      <w:r>
        <w:rPr>
          <w:sz w:val="24"/>
        </w:rPr>
        <w:t>）《湖南省人民政府关于加快发展养殖业的通知》，湘政发[2001]1号；</w:t>
      </w:r>
    </w:p>
    <w:p>
      <w:pPr>
        <w:spacing w:line="360" w:lineRule="auto"/>
        <w:ind w:firstLine="480"/>
        <w:rPr>
          <w:sz w:val="24"/>
        </w:rPr>
      </w:pPr>
      <w:r>
        <w:rPr>
          <w:sz w:val="24"/>
        </w:rPr>
        <w:t>（</w:t>
      </w:r>
      <w:r>
        <w:rPr>
          <w:rFonts w:hint="eastAsia"/>
          <w:sz w:val="24"/>
        </w:rPr>
        <w:t>10</w:t>
      </w:r>
      <w:r>
        <w:rPr>
          <w:sz w:val="24"/>
        </w:rPr>
        <w:t>）《湖南省人民政府办公厅关于加快转型升级推进现代畜牧业发展的意见》湘政办发[2016]27号；</w:t>
      </w:r>
    </w:p>
    <w:p>
      <w:pPr>
        <w:spacing w:line="360" w:lineRule="auto"/>
        <w:ind w:firstLine="480"/>
        <w:rPr>
          <w:sz w:val="24"/>
        </w:rPr>
      </w:pPr>
      <w:r>
        <w:rPr>
          <w:rFonts w:hint="eastAsia"/>
          <w:sz w:val="24"/>
        </w:rPr>
        <w:t>（11）</w:t>
      </w:r>
      <w:r>
        <w:rPr>
          <w:sz w:val="24"/>
        </w:rPr>
        <w:t>《湖南省人民政府办公厅关于加快推进畜禽养殖废弃物资源化利用的实施意见》（湘政办发[2017]68号）</w:t>
      </w:r>
    </w:p>
    <w:p>
      <w:pPr>
        <w:spacing w:line="360" w:lineRule="auto"/>
        <w:ind w:firstLine="480"/>
        <w:rPr>
          <w:sz w:val="24"/>
        </w:rPr>
      </w:pPr>
      <w:r>
        <w:rPr>
          <w:rFonts w:hint="eastAsia"/>
          <w:sz w:val="24"/>
        </w:rPr>
        <w:t>（12）湖南省人民政府关于印发《湖南省土壤污染防治工作方案》的通知，湘政发</w:t>
      </w:r>
      <w:r>
        <w:rPr>
          <w:sz w:val="24"/>
        </w:rPr>
        <w:t>〔201</w:t>
      </w:r>
      <w:r>
        <w:rPr>
          <w:rFonts w:hint="eastAsia"/>
          <w:sz w:val="24"/>
        </w:rPr>
        <w:t>7</w:t>
      </w:r>
      <w:r>
        <w:rPr>
          <w:sz w:val="24"/>
        </w:rPr>
        <w:t>〕</w:t>
      </w:r>
      <w:r>
        <w:rPr>
          <w:rFonts w:hint="eastAsia"/>
          <w:sz w:val="24"/>
        </w:rPr>
        <w:t>4</w:t>
      </w:r>
      <w:r>
        <w:rPr>
          <w:sz w:val="24"/>
        </w:rPr>
        <w:t>号</w:t>
      </w:r>
      <w:r>
        <w:rPr>
          <w:rFonts w:hint="eastAsia"/>
          <w:sz w:val="24"/>
        </w:rPr>
        <w:t>；</w:t>
      </w:r>
    </w:p>
    <w:p>
      <w:pPr>
        <w:spacing w:line="360" w:lineRule="auto"/>
        <w:ind w:firstLine="480"/>
        <w:rPr>
          <w:sz w:val="24"/>
          <w:u w:val="single"/>
        </w:rPr>
      </w:pPr>
      <w:r>
        <w:rPr>
          <w:rFonts w:hint="eastAsia"/>
          <w:sz w:val="24"/>
        </w:rPr>
        <w:t>（13）</w:t>
      </w:r>
      <w:r>
        <w:rPr>
          <w:sz w:val="24"/>
        </w:rPr>
        <w:t>《湖南省湘江保护条例》，2013年4月1日起施行</w:t>
      </w:r>
      <w:r>
        <w:rPr>
          <w:rFonts w:hint="eastAsia"/>
          <w:sz w:val="24"/>
        </w:rPr>
        <w:t>；</w:t>
      </w:r>
    </w:p>
    <w:p>
      <w:pPr>
        <w:spacing w:line="360" w:lineRule="auto"/>
        <w:ind w:firstLine="480" w:firstLineChars="200"/>
        <w:rPr>
          <w:sz w:val="24"/>
        </w:rPr>
      </w:pPr>
      <w:r>
        <w:rPr>
          <w:sz w:val="24"/>
        </w:rPr>
        <w:t>（</w:t>
      </w:r>
      <w:r>
        <w:rPr>
          <w:rFonts w:hint="eastAsia"/>
          <w:sz w:val="24"/>
        </w:rPr>
        <w:t>14</w:t>
      </w:r>
      <w:r>
        <w:rPr>
          <w:sz w:val="24"/>
        </w:rPr>
        <w:t>）《湖南省人民政府关于进一步加强湘江流域水污染防治工作的通知》，湘政发[2004]19号；</w:t>
      </w:r>
    </w:p>
    <w:p>
      <w:pPr>
        <w:spacing w:line="360" w:lineRule="auto"/>
        <w:ind w:firstLine="480" w:firstLineChars="200"/>
        <w:rPr>
          <w:sz w:val="24"/>
        </w:rPr>
      </w:pPr>
      <w:r>
        <w:rPr>
          <w:sz w:val="24"/>
        </w:rPr>
        <w:t>（</w:t>
      </w:r>
      <w:r>
        <w:rPr>
          <w:rFonts w:hint="eastAsia"/>
          <w:sz w:val="24"/>
        </w:rPr>
        <w:t>15</w:t>
      </w:r>
      <w:r>
        <w:rPr>
          <w:sz w:val="24"/>
        </w:rPr>
        <w:t>）湖南省人民政府关于印发《湖南省生态保护红线》的通知（</w:t>
      </w:r>
      <w:r>
        <w:rPr>
          <w:rFonts w:hint="eastAsia"/>
          <w:sz w:val="24"/>
        </w:rPr>
        <w:t>湘政发〔2018〕20号</w:t>
      </w:r>
      <w:r>
        <w:rPr>
          <w:sz w:val="24"/>
        </w:rPr>
        <w:t>）；</w:t>
      </w:r>
    </w:p>
    <w:p>
      <w:pPr>
        <w:pStyle w:val="263"/>
        <w:tabs>
          <w:tab w:val="left" w:pos="0"/>
        </w:tabs>
        <w:adjustRightInd w:val="0"/>
        <w:snapToGrid w:val="0"/>
        <w:spacing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（16）</w:t>
      </w:r>
      <w:r>
        <w:rPr>
          <w:rFonts w:hint="eastAsia" w:hAnsiTheme="minorEastAsia"/>
          <w:bCs/>
          <w:sz w:val="24"/>
        </w:rPr>
        <w:t>《</w:t>
      </w:r>
      <w:r>
        <w:rPr>
          <w:rFonts w:hAnsiTheme="minorEastAsia"/>
          <w:bCs/>
          <w:sz w:val="24"/>
        </w:rPr>
        <w:t>湖南省人民政府办公厅关于建立病死畜禽无害化处理机制的实施意见</w:t>
      </w:r>
      <w:r>
        <w:rPr>
          <w:rFonts w:hint="eastAsia" w:hAnsiTheme="minorEastAsia"/>
          <w:bCs/>
          <w:sz w:val="24"/>
        </w:rPr>
        <w:t>》（湘政办发〔2015〕103号）</w:t>
      </w:r>
      <w:r>
        <w:rPr>
          <w:rFonts w:hint="eastAsia" w:ascii="Times New Roman" w:hAnsi="Times New Roman" w:eastAsia="宋体" w:cs="Times New Roman"/>
          <w:sz w:val="24"/>
          <w:szCs w:val="24"/>
        </w:rPr>
        <w:t>；</w:t>
      </w:r>
    </w:p>
    <w:p>
      <w:pPr>
        <w:spacing w:line="360" w:lineRule="auto"/>
        <w:ind w:left="2" w:leftChars="1" w:firstLine="480" w:firstLineChars="200"/>
        <w:rPr>
          <w:sz w:val="24"/>
        </w:rPr>
      </w:pPr>
      <w:r>
        <w:rPr>
          <w:rFonts w:hint="eastAsia"/>
          <w:sz w:val="24"/>
        </w:rPr>
        <w:t>（17）《衡阳市土地利用总体规划》（2006—2020）（2017修订版）</w:t>
      </w:r>
      <w:r>
        <w:rPr>
          <w:sz w:val="24"/>
        </w:rPr>
        <w:t>；</w:t>
      </w:r>
    </w:p>
    <w:p>
      <w:pPr>
        <w:spacing w:line="360" w:lineRule="auto"/>
        <w:ind w:left="2" w:leftChars="1" w:firstLine="480" w:firstLineChars="200"/>
        <w:rPr>
          <w:rFonts w:hAnsiTheme="minorEastAsia" w:eastAsiaTheme="minorEastAsia"/>
          <w:bCs/>
          <w:kern w:val="0"/>
          <w:sz w:val="24"/>
        </w:rPr>
      </w:pPr>
      <w:r>
        <w:rPr>
          <w:rFonts w:hint="eastAsia" w:hAnsiTheme="minorEastAsia" w:eastAsiaTheme="minorEastAsia"/>
          <w:bCs/>
          <w:kern w:val="0"/>
          <w:sz w:val="24"/>
        </w:rPr>
        <w:t>（18）《衡阳市人民政府办公室办公室衡阳市畜禽养殖废弃物资源化利用实施方案》（衡政办发[2018]8号）；</w:t>
      </w:r>
    </w:p>
    <w:p>
      <w:pPr>
        <w:spacing w:line="360" w:lineRule="auto"/>
        <w:ind w:left="2" w:leftChars="1" w:firstLine="480" w:firstLineChars="200"/>
        <w:rPr>
          <w:sz w:val="24"/>
        </w:rPr>
      </w:pPr>
      <w:r>
        <w:rPr>
          <w:rFonts w:hint="eastAsia"/>
          <w:sz w:val="24"/>
        </w:rPr>
        <w:t>（19）</w:t>
      </w:r>
      <w:r>
        <w:rPr>
          <w:rFonts w:hint="eastAsia" w:hAnsiTheme="minorEastAsia" w:eastAsiaTheme="minorEastAsia"/>
          <w:bCs/>
          <w:kern w:val="0"/>
          <w:sz w:val="24"/>
        </w:rPr>
        <w:t>《衡阳市</w:t>
      </w:r>
      <w:r>
        <w:rPr>
          <w:rFonts w:hAnsiTheme="minorEastAsia" w:eastAsiaTheme="minorEastAsia"/>
          <w:bCs/>
          <w:kern w:val="0"/>
          <w:sz w:val="24"/>
        </w:rPr>
        <w:t>畜禽规模养殖污染防治办法</w:t>
      </w:r>
      <w:r>
        <w:rPr>
          <w:rFonts w:hint="eastAsia" w:hAnsiTheme="minorEastAsia" w:eastAsiaTheme="minorEastAsia"/>
          <w:bCs/>
          <w:kern w:val="0"/>
          <w:sz w:val="24"/>
        </w:rPr>
        <w:t>》（衡阳市人民政府令第5号）</w:t>
      </w:r>
      <w:r>
        <w:rPr>
          <w:rFonts w:hint="eastAsia"/>
          <w:sz w:val="24"/>
        </w:rPr>
        <w:t>；</w:t>
      </w:r>
    </w:p>
    <w:p>
      <w:pPr>
        <w:spacing w:line="360" w:lineRule="auto"/>
        <w:ind w:left="2" w:leftChars="1" w:firstLine="480" w:firstLineChars="200"/>
        <w:rPr>
          <w:rFonts w:hAnsiTheme="minorEastAsia" w:eastAsiaTheme="minorEastAsia"/>
          <w:bCs/>
          <w:kern w:val="0"/>
          <w:sz w:val="24"/>
        </w:rPr>
      </w:pPr>
      <w:r>
        <w:rPr>
          <w:rFonts w:hint="eastAsia" w:hAnsiTheme="minorEastAsia" w:eastAsiaTheme="minorEastAsia"/>
          <w:bCs/>
          <w:kern w:val="0"/>
          <w:sz w:val="24"/>
        </w:rPr>
        <w:t>（20）衡阳市人民政府关于实施“三线一单”生态环境分区管控的意见（衡政发〔2020〕9号）；</w:t>
      </w:r>
    </w:p>
    <w:p>
      <w:pPr>
        <w:spacing w:line="360" w:lineRule="auto"/>
        <w:ind w:left="2" w:leftChars="1" w:firstLine="480" w:firstLineChars="200"/>
        <w:rPr>
          <w:rFonts w:hint="eastAsia" w:hAnsiTheme="minorEastAsia" w:eastAsiaTheme="minorEastAsia"/>
          <w:bCs/>
          <w:kern w:val="0"/>
          <w:sz w:val="24"/>
          <w:lang w:eastAsia="zh-CN"/>
        </w:rPr>
      </w:pPr>
      <w:r>
        <w:rPr>
          <w:rFonts w:hint="eastAsia" w:hAnsiTheme="minorEastAsia" w:eastAsiaTheme="minorEastAsia"/>
          <w:bCs/>
          <w:kern w:val="0"/>
          <w:sz w:val="24"/>
        </w:rPr>
        <w:t>（21）《衡阳县畜禽养殖禁养区划定技术方案》（正式稿）</w:t>
      </w:r>
      <w:r>
        <w:rPr>
          <w:rFonts w:hint="eastAsia" w:hAnsiTheme="minorEastAsia" w:eastAsiaTheme="minorEastAsia"/>
          <w:bCs/>
          <w:kern w:val="0"/>
          <w:sz w:val="24"/>
          <w:lang w:eastAsia="zh-CN"/>
        </w:rPr>
        <w:t>；</w:t>
      </w:r>
    </w:p>
    <w:p>
      <w:pPr>
        <w:spacing w:line="360" w:lineRule="auto"/>
        <w:ind w:left="2" w:leftChars="1" w:firstLine="480" w:firstLineChars="200"/>
        <w:rPr>
          <w:bCs/>
          <w:color w:val="FF0000"/>
          <w:kern w:val="0"/>
          <w:sz w:val="24"/>
          <w:u w:val="wave"/>
        </w:rPr>
      </w:pPr>
      <w:r>
        <w:rPr>
          <w:rFonts w:hint="eastAsia" w:hAnsiTheme="minorEastAsia" w:eastAsiaTheme="minorEastAsia"/>
          <w:bCs/>
          <w:color w:val="FF0000"/>
          <w:kern w:val="0"/>
          <w:sz w:val="24"/>
          <w:u w:val="wave"/>
          <w:lang w:eastAsia="zh-CN"/>
        </w:rPr>
        <w:t>（</w:t>
      </w:r>
      <w:r>
        <w:rPr>
          <w:rFonts w:hint="eastAsia" w:hAnsiTheme="minorEastAsia" w:eastAsiaTheme="minorEastAsia"/>
          <w:bCs/>
          <w:color w:val="FF0000"/>
          <w:kern w:val="0"/>
          <w:sz w:val="24"/>
          <w:u w:val="wave"/>
          <w:lang w:val="en-US" w:eastAsia="zh-CN"/>
        </w:rPr>
        <w:t>22</w:t>
      </w:r>
      <w:r>
        <w:rPr>
          <w:rFonts w:hint="eastAsia" w:hAnsiTheme="minorEastAsia" w:eastAsiaTheme="minorEastAsia"/>
          <w:bCs/>
          <w:color w:val="FF0000"/>
          <w:kern w:val="0"/>
          <w:sz w:val="24"/>
          <w:u w:val="wave"/>
          <w:lang w:eastAsia="zh-CN"/>
        </w:rPr>
        <w:t>）《衡阳县畜禽养殖污染防治规划（2021~2025）》</w:t>
      </w:r>
      <w:r>
        <w:rPr>
          <w:rFonts w:hint="eastAsia" w:hAnsiTheme="minorEastAsia" w:eastAsiaTheme="minorEastAsia"/>
          <w:bCs/>
          <w:color w:val="FF0000"/>
          <w:kern w:val="0"/>
          <w:sz w:val="24"/>
          <w:u w:val="wave"/>
        </w:rPr>
        <w:t>。</w:t>
      </w:r>
    </w:p>
    <w:p>
      <w:pPr>
        <w:pStyle w:val="7"/>
        <w:adjustRightInd w:val="0"/>
        <w:snapToGrid w:val="0"/>
        <w:spacing w:before="0" w:after="0" w:line="360" w:lineRule="auto"/>
        <w:jc w:val="left"/>
        <w:rPr>
          <w:sz w:val="24"/>
          <w:szCs w:val="24"/>
        </w:rPr>
      </w:pPr>
      <w:bookmarkStart w:id="64" w:name="_Toc17043"/>
      <w:bookmarkStart w:id="65" w:name="_Toc20"/>
      <w:bookmarkStart w:id="66" w:name="_Toc517522243"/>
      <w:bookmarkStart w:id="67" w:name="_Toc6305"/>
      <w:bookmarkStart w:id="68" w:name="_Toc12567"/>
      <w:bookmarkStart w:id="69" w:name="_Toc22604"/>
      <w:bookmarkStart w:id="70" w:name="_Toc6178"/>
      <w:r>
        <w:rPr>
          <w:sz w:val="24"/>
          <w:szCs w:val="24"/>
        </w:rPr>
        <w:t>2.1.</w:t>
      </w:r>
      <w:r>
        <w:rPr>
          <w:rFonts w:hint="eastAsia"/>
          <w:sz w:val="24"/>
          <w:szCs w:val="24"/>
        </w:rPr>
        <w:t xml:space="preserve">4 </w:t>
      </w:r>
      <w:r>
        <w:rPr>
          <w:sz w:val="24"/>
          <w:szCs w:val="24"/>
        </w:rPr>
        <w:t>其他</w:t>
      </w:r>
      <w:bookmarkEnd w:id="64"/>
      <w:bookmarkEnd w:id="65"/>
      <w:bookmarkEnd w:id="66"/>
      <w:bookmarkEnd w:id="67"/>
      <w:bookmarkEnd w:id="68"/>
      <w:bookmarkEnd w:id="69"/>
      <w:bookmarkEnd w:id="70"/>
      <w:r>
        <w:rPr>
          <w:sz w:val="24"/>
          <w:szCs w:val="24"/>
        </w:rPr>
        <w:t>技术性文件</w:t>
      </w:r>
    </w:p>
    <w:p>
      <w:pPr>
        <w:pStyle w:val="5"/>
        <w:adjustRightInd w:val="0"/>
        <w:snapToGrid w:val="0"/>
        <w:spacing w:after="0" w:line="360" w:lineRule="auto"/>
        <w:ind w:firstLine="480" w:firstLineChars="200"/>
        <w:rPr>
          <w:rFonts w:ascii="Times New Roman" w:hAnsi="Times New Roman" w:cs="Times New Roman"/>
          <w:sz w:val="24"/>
        </w:rPr>
      </w:pPr>
      <w:r>
        <w:rPr>
          <w:rFonts w:ascii="Times New Roman" w:hAnsi="Times New Roman" w:cs="Times New Roman"/>
          <w:sz w:val="24"/>
        </w:rPr>
        <w:t>（1）项目环评委托书；</w:t>
      </w:r>
    </w:p>
    <w:p>
      <w:pPr>
        <w:pStyle w:val="5"/>
        <w:adjustRightInd w:val="0"/>
        <w:snapToGrid w:val="0"/>
        <w:spacing w:after="0" w:line="360" w:lineRule="auto"/>
        <w:ind w:firstLine="480" w:firstLineChars="200"/>
        <w:rPr>
          <w:rFonts w:ascii="Times New Roman" w:hAnsi="Times New Roman" w:cs="Times New Roman"/>
          <w:sz w:val="24"/>
        </w:rPr>
      </w:pPr>
      <w:r>
        <w:rPr>
          <w:rFonts w:hint="eastAsia" w:ascii="Times New Roman" w:hAnsi="Times New Roman" w:cs="Times New Roman"/>
          <w:sz w:val="24"/>
        </w:rPr>
        <w:t>（2）环境质量现状监测报告及质量保证单</w:t>
      </w:r>
      <w:r>
        <w:rPr>
          <w:rFonts w:ascii="Times New Roman" w:hAnsi="Times New Roman" w:cs="Times New Roman"/>
          <w:sz w:val="24"/>
        </w:rPr>
        <w:t>；</w:t>
      </w:r>
    </w:p>
    <w:p>
      <w:pPr>
        <w:pStyle w:val="5"/>
        <w:adjustRightInd w:val="0"/>
        <w:snapToGrid w:val="0"/>
        <w:spacing w:after="0" w:line="360" w:lineRule="auto"/>
        <w:ind w:firstLine="480" w:firstLineChars="200"/>
        <w:rPr>
          <w:rFonts w:ascii="Times New Roman" w:hAnsi="Times New Roman" w:cs="Times New Roman"/>
          <w:sz w:val="24"/>
        </w:rPr>
      </w:pPr>
      <w:r>
        <w:rPr>
          <w:rFonts w:hint="eastAsia" w:ascii="Times New Roman" w:hAnsi="Times New Roman" w:cs="Times New Roman"/>
          <w:sz w:val="24"/>
        </w:rPr>
        <w:t>（3）</w:t>
      </w:r>
      <w:r>
        <w:rPr>
          <w:rFonts w:ascii="Times New Roman" w:hAnsi="Times New Roman" w:cs="Times New Roman"/>
          <w:sz w:val="24"/>
        </w:rPr>
        <w:t>建设方提供的其他相关资料、文件、图件</w:t>
      </w:r>
      <w:r>
        <w:rPr>
          <w:rFonts w:hint="eastAsia" w:ascii="Times New Roman" w:hAnsi="Times New Roman" w:cs="Times New Roman"/>
          <w:sz w:val="24"/>
        </w:rPr>
        <w:t>。</w:t>
      </w:r>
    </w:p>
    <w:p>
      <w:pPr>
        <w:pStyle w:val="6"/>
        <w:numPr>
          <w:ilvl w:val="0"/>
          <w:numId w:val="0"/>
        </w:numPr>
        <w:rPr>
          <w:rFonts w:ascii="Times New Roman" w:hAnsi="Times New Roman" w:eastAsia="宋体"/>
          <w:szCs w:val="30"/>
        </w:rPr>
      </w:pPr>
      <w:bookmarkStart w:id="71" w:name="_Toc220122761"/>
      <w:bookmarkStart w:id="72" w:name="_Toc219258492"/>
      <w:bookmarkStart w:id="73" w:name="_Toc249433212"/>
      <w:bookmarkStart w:id="74" w:name="_Toc448849761"/>
      <w:bookmarkStart w:id="75" w:name="_Toc517522245"/>
      <w:bookmarkStart w:id="76" w:name="_Toc249946023"/>
      <w:bookmarkStart w:id="77" w:name="_Toc7790"/>
      <w:bookmarkStart w:id="78" w:name="_Toc31960"/>
      <w:bookmarkStart w:id="79" w:name="_Toc11647"/>
      <w:bookmarkStart w:id="80" w:name="_Toc11957"/>
      <w:bookmarkStart w:id="81" w:name="_Toc191"/>
      <w:bookmarkStart w:id="82" w:name="_Toc16867"/>
      <w:bookmarkStart w:id="83" w:name="_Toc123886397"/>
      <w:r>
        <w:rPr>
          <w:rFonts w:ascii="Times New Roman" w:hAnsi="Times New Roman" w:eastAsia="宋体"/>
          <w:szCs w:val="30"/>
        </w:rPr>
        <w:t>2.2 评价目的</w:t>
      </w:r>
      <w:bookmarkEnd w:id="71"/>
      <w:bookmarkEnd w:id="72"/>
      <w:bookmarkEnd w:id="73"/>
      <w:r>
        <w:rPr>
          <w:rFonts w:ascii="Times New Roman" w:hAnsi="Times New Roman" w:eastAsia="宋体"/>
          <w:szCs w:val="30"/>
        </w:rPr>
        <w:t>、原则</w:t>
      </w:r>
      <w:bookmarkEnd w:id="74"/>
      <w:bookmarkEnd w:id="75"/>
      <w:bookmarkEnd w:id="76"/>
      <w:bookmarkEnd w:id="77"/>
      <w:bookmarkEnd w:id="78"/>
      <w:bookmarkEnd w:id="79"/>
      <w:bookmarkEnd w:id="80"/>
      <w:bookmarkEnd w:id="81"/>
      <w:bookmarkEnd w:id="82"/>
      <w:r>
        <w:rPr>
          <w:rFonts w:ascii="Times New Roman" w:hAnsi="Times New Roman" w:eastAsia="宋体"/>
          <w:szCs w:val="30"/>
        </w:rPr>
        <w:t>、内容及评价重点</w:t>
      </w:r>
      <w:bookmarkEnd w:id="83"/>
    </w:p>
    <w:p>
      <w:pPr>
        <w:pStyle w:val="7"/>
        <w:adjustRightInd w:val="0"/>
        <w:snapToGrid w:val="0"/>
        <w:spacing w:before="0" w:after="0" w:line="360" w:lineRule="auto"/>
        <w:jc w:val="left"/>
        <w:rPr>
          <w:sz w:val="24"/>
          <w:szCs w:val="24"/>
        </w:rPr>
      </w:pPr>
      <w:bookmarkStart w:id="84" w:name="_Toc30520"/>
      <w:bookmarkStart w:id="85" w:name="_Toc20254"/>
      <w:bookmarkStart w:id="86" w:name="_Toc27186"/>
      <w:bookmarkStart w:id="87" w:name="_Toc517522246"/>
      <w:bookmarkStart w:id="88" w:name="_Toc24967"/>
      <w:bookmarkStart w:id="89" w:name="_Toc10053"/>
      <w:bookmarkStart w:id="90" w:name="_Toc24627"/>
      <w:r>
        <w:rPr>
          <w:sz w:val="24"/>
          <w:szCs w:val="24"/>
        </w:rPr>
        <w:t>2.2.1</w:t>
      </w:r>
      <w:r>
        <w:rPr>
          <w:rFonts w:hint="eastAsia"/>
          <w:sz w:val="24"/>
          <w:szCs w:val="24"/>
        </w:rPr>
        <w:t xml:space="preserve"> </w:t>
      </w:r>
      <w:r>
        <w:rPr>
          <w:sz w:val="24"/>
          <w:szCs w:val="24"/>
        </w:rPr>
        <w:t>评价目的</w:t>
      </w:r>
      <w:bookmarkEnd w:id="84"/>
      <w:bookmarkEnd w:id="85"/>
      <w:bookmarkEnd w:id="86"/>
      <w:bookmarkEnd w:id="87"/>
      <w:bookmarkEnd w:id="88"/>
      <w:bookmarkEnd w:id="89"/>
      <w:bookmarkEnd w:id="90"/>
    </w:p>
    <w:p>
      <w:pPr>
        <w:pStyle w:val="5"/>
        <w:snapToGrid w:val="0"/>
        <w:spacing w:after="0" w:line="360" w:lineRule="auto"/>
        <w:ind w:firstLine="480" w:firstLineChars="200"/>
        <w:rPr>
          <w:rFonts w:ascii="Times New Roman" w:hAnsi="Times New Roman" w:cs="Times New Roman"/>
          <w:sz w:val="24"/>
        </w:rPr>
      </w:pPr>
      <w:r>
        <w:rPr>
          <w:rFonts w:ascii="宋体" w:hAnsi="宋体" w:cs="宋体"/>
          <w:sz w:val="24"/>
        </w:rPr>
        <w:t>通过实地调查与现场监测，了解项目所在地区的自然环境、社会环境和环境质量现状；对拟建项目的工程方案、工程污染源进行分析，在此基础上预测和分析工程建设过程中以及建成后对当地环境可能造成影响的程度与范围；对可能产生的环境问题提出防治要求与对策；对采取的各项环保措施及其经济损益情况进行分析；对项目与产业政策</w:t>
      </w:r>
      <w:r>
        <w:rPr>
          <w:rFonts w:hint="eastAsia" w:ascii="宋体" w:hAnsi="宋体" w:cs="宋体"/>
          <w:sz w:val="24"/>
        </w:rPr>
        <w:t>、规划</w:t>
      </w:r>
      <w:r>
        <w:rPr>
          <w:rFonts w:ascii="宋体" w:hAnsi="宋体" w:cs="宋体"/>
          <w:sz w:val="24"/>
        </w:rPr>
        <w:t>的符合性进行分析；了解公众对项目建设的意见和建议；对工程建设的环境可行性做出结论，为环境管理部门的决策提供技术依据</w:t>
      </w:r>
      <w:r>
        <w:rPr>
          <w:rFonts w:hint="eastAsia" w:ascii="Times New Roman" w:hAnsi="Times New Roman" w:cs="Times New Roman"/>
          <w:sz w:val="24"/>
        </w:rPr>
        <w:t>。</w:t>
      </w:r>
    </w:p>
    <w:p>
      <w:pPr>
        <w:pStyle w:val="7"/>
        <w:adjustRightInd w:val="0"/>
        <w:snapToGrid w:val="0"/>
        <w:spacing w:before="0" w:after="0" w:line="360" w:lineRule="auto"/>
        <w:jc w:val="left"/>
        <w:rPr>
          <w:sz w:val="24"/>
          <w:szCs w:val="24"/>
        </w:rPr>
      </w:pPr>
      <w:bookmarkStart w:id="91" w:name="_Toc306"/>
      <w:bookmarkStart w:id="92" w:name="_Toc31236"/>
      <w:bookmarkStart w:id="93" w:name="_Toc26089"/>
      <w:bookmarkStart w:id="94" w:name="_Toc25673"/>
      <w:bookmarkStart w:id="95" w:name="_Toc517522247"/>
      <w:bookmarkStart w:id="96" w:name="_Toc15433"/>
      <w:bookmarkStart w:id="97" w:name="_Toc3856"/>
      <w:r>
        <w:rPr>
          <w:sz w:val="24"/>
          <w:szCs w:val="24"/>
        </w:rPr>
        <w:t>2.2.2</w:t>
      </w:r>
      <w:r>
        <w:rPr>
          <w:rFonts w:hint="eastAsia"/>
          <w:sz w:val="24"/>
          <w:szCs w:val="24"/>
        </w:rPr>
        <w:t xml:space="preserve"> </w:t>
      </w:r>
      <w:r>
        <w:rPr>
          <w:sz w:val="24"/>
          <w:szCs w:val="24"/>
        </w:rPr>
        <w:t>评价原则</w:t>
      </w:r>
      <w:bookmarkEnd w:id="91"/>
      <w:bookmarkEnd w:id="92"/>
      <w:bookmarkEnd w:id="93"/>
      <w:bookmarkEnd w:id="94"/>
      <w:bookmarkEnd w:id="95"/>
      <w:bookmarkEnd w:id="96"/>
      <w:bookmarkEnd w:id="97"/>
    </w:p>
    <w:p>
      <w:pPr>
        <w:pStyle w:val="5"/>
        <w:snapToGrid w:val="0"/>
        <w:spacing w:after="0" w:line="360" w:lineRule="auto"/>
        <w:ind w:firstLine="480" w:firstLineChars="200"/>
        <w:rPr>
          <w:rFonts w:ascii="Times New Roman" w:hAnsi="Times New Roman" w:cs="Times New Roman"/>
          <w:sz w:val="24"/>
        </w:rPr>
      </w:pPr>
      <w:r>
        <w:rPr>
          <w:rFonts w:ascii="Times New Roman" w:hAnsi="Times New Roman" w:cs="Times New Roman"/>
          <w:sz w:val="24"/>
        </w:rPr>
        <w:t>根据国家有关环保法规，结合畜禽养殖建设特点及厂址现状情况，确定该工程评价原则如下：</w:t>
      </w:r>
    </w:p>
    <w:p>
      <w:pPr>
        <w:pStyle w:val="5"/>
        <w:snapToGrid w:val="0"/>
        <w:spacing w:after="0" w:line="360" w:lineRule="auto"/>
        <w:ind w:firstLine="480" w:firstLineChars="200"/>
        <w:rPr>
          <w:rFonts w:ascii="Times New Roman" w:hAnsi="Times New Roman" w:cs="Times New Roman"/>
          <w:sz w:val="24"/>
        </w:rPr>
      </w:pPr>
      <w:r>
        <w:rPr>
          <w:rFonts w:ascii="Times New Roman" w:hAnsi="Times New Roman" w:cs="Times New Roman"/>
          <w:sz w:val="24"/>
        </w:rPr>
        <w:t>（1）结合区域现状及有关的国家及地方环境功能区划、国家相关法律法规、标准等为依据开展工作；</w:t>
      </w:r>
    </w:p>
    <w:p>
      <w:pPr>
        <w:pStyle w:val="5"/>
        <w:snapToGrid w:val="0"/>
        <w:spacing w:after="0" w:line="360" w:lineRule="auto"/>
        <w:ind w:firstLine="480" w:firstLineChars="200"/>
        <w:rPr>
          <w:rFonts w:ascii="Times New Roman" w:hAnsi="Times New Roman" w:cs="Times New Roman"/>
          <w:sz w:val="24"/>
        </w:rPr>
      </w:pPr>
      <w:r>
        <w:rPr>
          <w:rFonts w:ascii="Times New Roman" w:hAnsi="Times New Roman" w:cs="Times New Roman"/>
          <w:sz w:val="24"/>
        </w:rPr>
        <w:t>（2）坚持为工程建设的优化和决策服务，为环境管理服务，注重环评工作的政策性、针对性、公正性及实用性；</w:t>
      </w:r>
    </w:p>
    <w:p>
      <w:pPr>
        <w:pStyle w:val="5"/>
        <w:snapToGrid w:val="0"/>
        <w:spacing w:after="0" w:line="360" w:lineRule="auto"/>
        <w:ind w:firstLine="480" w:firstLineChars="200"/>
        <w:rPr>
          <w:rFonts w:ascii="Times New Roman" w:hAnsi="Times New Roman" w:cs="Times New Roman"/>
          <w:sz w:val="24"/>
        </w:rPr>
      </w:pPr>
      <w:r>
        <w:rPr>
          <w:rFonts w:ascii="Times New Roman" w:hAnsi="Times New Roman" w:cs="Times New Roman"/>
          <w:sz w:val="24"/>
        </w:rPr>
        <w:t>（3）从环境保护的角度出发，力求客观公正，科学合理的确定项目的可行性和项目建设在经济、社会和环境保护等方面的协调一致性。评价结论必须明确、公正、可信，评价中提出的环保政策、措施、建议切实可行，具有可操作性；</w:t>
      </w:r>
    </w:p>
    <w:p>
      <w:pPr>
        <w:pStyle w:val="5"/>
        <w:snapToGrid w:val="0"/>
        <w:spacing w:after="0" w:line="360" w:lineRule="auto"/>
        <w:ind w:firstLine="480" w:firstLineChars="200"/>
        <w:rPr>
          <w:rFonts w:ascii="Times New Roman" w:hAnsi="Times New Roman" w:cs="Times New Roman"/>
          <w:sz w:val="24"/>
        </w:rPr>
      </w:pPr>
      <w:r>
        <w:rPr>
          <w:rFonts w:ascii="Times New Roman" w:hAnsi="Times New Roman" w:cs="Times New Roman"/>
          <w:sz w:val="24"/>
        </w:rPr>
        <w:t>（4）为适应工程建设进度要求和缩短评价工作周期，在保证评价工作质量的前提下，尽可能利用目前现有该地区近几年的有关现状资料；</w:t>
      </w:r>
    </w:p>
    <w:p>
      <w:pPr>
        <w:pStyle w:val="5"/>
        <w:snapToGrid w:val="0"/>
        <w:spacing w:after="0" w:line="360" w:lineRule="auto"/>
        <w:ind w:firstLine="480" w:firstLineChars="200"/>
        <w:rPr>
          <w:rFonts w:ascii="Times New Roman" w:hAnsi="Times New Roman" w:cs="Times New Roman"/>
          <w:sz w:val="24"/>
        </w:rPr>
      </w:pPr>
      <w:r>
        <w:rPr>
          <w:rFonts w:ascii="Times New Roman" w:hAnsi="Times New Roman" w:cs="Times New Roman"/>
          <w:sz w:val="24"/>
        </w:rPr>
        <w:t>（5）评价内容要重点突出、结论明确、对策可行。</w:t>
      </w:r>
    </w:p>
    <w:p>
      <w:pPr>
        <w:pStyle w:val="7"/>
        <w:adjustRightInd w:val="0"/>
        <w:snapToGrid w:val="0"/>
        <w:spacing w:before="0" w:after="0" w:line="360" w:lineRule="auto"/>
        <w:jc w:val="left"/>
        <w:rPr>
          <w:sz w:val="24"/>
          <w:szCs w:val="24"/>
        </w:rPr>
      </w:pPr>
      <w:r>
        <w:rPr>
          <w:sz w:val="24"/>
          <w:szCs w:val="24"/>
        </w:rPr>
        <w:t>2.2.</w:t>
      </w:r>
      <w:r>
        <w:rPr>
          <w:rFonts w:hint="eastAsia"/>
          <w:sz w:val="24"/>
          <w:szCs w:val="24"/>
        </w:rPr>
        <w:t xml:space="preserve">3 </w:t>
      </w:r>
      <w:r>
        <w:rPr>
          <w:sz w:val="24"/>
          <w:szCs w:val="24"/>
        </w:rPr>
        <w:t>评价内容</w:t>
      </w:r>
    </w:p>
    <w:p>
      <w:pPr>
        <w:pStyle w:val="5"/>
        <w:snapToGrid w:val="0"/>
        <w:spacing w:after="0" w:line="360" w:lineRule="auto"/>
        <w:ind w:firstLine="480" w:firstLineChars="200"/>
        <w:rPr>
          <w:rFonts w:ascii="Times New Roman" w:hAnsi="Times New Roman" w:cs="Times New Roman"/>
          <w:sz w:val="24"/>
        </w:rPr>
      </w:pPr>
      <w:r>
        <w:rPr>
          <w:rFonts w:ascii="Times New Roman" w:hAnsi="Times New Roman" w:cs="Times New Roman"/>
          <w:sz w:val="24"/>
        </w:rPr>
        <w:t>具体评价内容主要包括：</w:t>
      </w:r>
    </w:p>
    <w:p>
      <w:pPr>
        <w:autoSpaceDE w:val="0"/>
        <w:autoSpaceDN w:val="0"/>
        <w:adjustRightInd w:val="0"/>
        <w:spacing w:line="360" w:lineRule="auto"/>
        <w:ind w:firstLine="480" w:firstLineChars="200"/>
        <w:rPr>
          <w:rFonts w:hAnsiTheme="majorEastAsia" w:eastAsiaTheme="majorEastAsia"/>
          <w:sz w:val="24"/>
        </w:rPr>
      </w:pPr>
      <w:r>
        <w:rPr>
          <w:rFonts w:hint="eastAsia" w:hAnsiTheme="majorEastAsia" w:eastAsiaTheme="majorEastAsia"/>
          <w:sz w:val="24"/>
        </w:rPr>
        <w:t>1、进行项目工程分析和环境影响识别及评价因子筛选，开展项目的环境现状调查，查明有无存在的环境问题及提出改进的措施与要求；</w:t>
      </w:r>
    </w:p>
    <w:p>
      <w:pPr>
        <w:autoSpaceDE w:val="0"/>
        <w:autoSpaceDN w:val="0"/>
        <w:adjustRightInd w:val="0"/>
        <w:spacing w:line="360" w:lineRule="auto"/>
        <w:ind w:firstLine="480" w:firstLineChars="200"/>
        <w:rPr>
          <w:rFonts w:hAnsiTheme="majorEastAsia" w:eastAsiaTheme="majorEastAsia"/>
          <w:sz w:val="24"/>
        </w:rPr>
      </w:pPr>
      <w:r>
        <w:rPr>
          <w:rFonts w:hint="eastAsia" w:hAnsiTheme="majorEastAsia" w:eastAsiaTheme="majorEastAsia"/>
          <w:sz w:val="24"/>
        </w:rPr>
        <w:t>2、调查与预测分析项目运营期“三废”排放对空气、水、生态、声环境有利和不利影响；</w:t>
      </w:r>
    </w:p>
    <w:p>
      <w:pPr>
        <w:spacing w:line="360" w:lineRule="auto"/>
        <w:ind w:firstLine="480" w:firstLineChars="200"/>
        <w:rPr>
          <w:rFonts w:hAnsiTheme="majorEastAsia" w:eastAsiaTheme="majorEastAsia"/>
          <w:sz w:val="24"/>
        </w:rPr>
      </w:pPr>
      <w:r>
        <w:rPr>
          <w:rFonts w:hint="eastAsia" w:hAnsiTheme="majorEastAsia" w:eastAsiaTheme="majorEastAsia"/>
          <w:sz w:val="24"/>
        </w:rPr>
        <w:t>3、根据项目影响和区域环境质量控制目标及环境管理的要求，提出减缓不利影响的污染防治措施和投资估算；</w:t>
      </w:r>
    </w:p>
    <w:p>
      <w:pPr>
        <w:spacing w:line="360" w:lineRule="auto"/>
        <w:ind w:firstLine="480" w:firstLineChars="200"/>
        <w:rPr>
          <w:rFonts w:ascii="宋体" w:cs="宋体" w:hAnsiTheme="minorHAnsi"/>
          <w:kern w:val="0"/>
          <w:sz w:val="24"/>
        </w:rPr>
      </w:pPr>
      <w:r>
        <w:rPr>
          <w:rFonts w:hint="eastAsia" w:hAnsiTheme="majorEastAsia" w:eastAsiaTheme="majorEastAsia"/>
          <w:sz w:val="24"/>
        </w:rPr>
        <w:t>4、</w:t>
      </w:r>
      <w:r>
        <w:rPr>
          <w:rFonts w:hint="eastAsia" w:ascii="宋体" w:cs="宋体" w:hAnsiTheme="minorHAnsi"/>
          <w:kern w:val="0"/>
          <w:sz w:val="24"/>
        </w:rPr>
        <w:t>分析项目建设、运营过程中存在的环境风险，提出有关对策措施；</w:t>
      </w:r>
    </w:p>
    <w:p>
      <w:pPr>
        <w:spacing w:line="360" w:lineRule="auto"/>
        <w:ind w:firstLine="480" w:firstLineChars="200"/>
        <w:rPr>
          <w:kern w:val="0"/>
          <w:sz w:val="24"/>
        </w:rPr>
      </w:pPr>
      <w:r>
        <w:rPr>
          <w:kern w:val="0"/>
          <w:sz w:val="24"/>
        </w:rPr>
        <w:t>5、进行环境经济损益分析和提出环境管理及监测计划；</w:t>
      </w:r>
    </w:p>
    <w:p>
      <w:pPr>
        <w:spacing w:line="360" w:lineRule="auto"/>
        <w:ind w:firstLine="480" w:firstLineChars="200"/>
        <w:rPr>
          <w:kern w:val="0"/>
          <w:sz w:val="24"/>
        </w:rPr>
      </w:pPr>
      <w:r>
        <w:rPr>
          <w:kern w:val="0"/>
          <w:sz w:val="24"/>
        </w:rPr>
        <w:t>6、结论与建议等。</w:t>
      </w:r>
    </w:p>
    <w:p>
      <w:pPr>
        <w:pStyle w:val="7"/>
        <w:adjustRightInd w:val="0"/>
        <w:snapToGrid w:val="0"/>
        <w:spacing w:before="0" w:after="0" w:line="360" w:lineRule="auto"/>
        <w:jc w:val="left"/>
        <w:rPr>
          <w:sz w:val="24"/>
          <w:szCs w:val="24"/>
        </w:rPr>
      </w:pPr>
      <w:r>
        <w:rPr>
          <w:sz w:val="24"/>
          <w:szCs w:val="24"/>
        </w:rPr>
        <w:t>2.2.</w:t>
      </w:r>
      <w:r>
        <w:rPr>
          <w:rFonts w:hint="eastAsia"/>
          <w:sz w:val="24"/>
          <w:szCs w:val="24"/>
        </w:rPr>
        <w:t xml:space="preserve">4 </w:t>
      </w:r>
      <w:r>
        <w:rPr>
          <w:sz w:val="24"/>
          <w:szCs w:val="24"/>
        </w:rPr>
        <w:t>评价重点</w:t>
      </w:r>
    </w:p>
    <w:p>
      <w:pPr>
        <w:pStyle w:val="5"/>
        <w:snapToGrid w:val="0"/>
        <w:spacing w:after="0" w:line="360" w:lineRule="auto"/>
        <w:ind w:firstLine="480" w:firstLineChars="200"/>
        <w:rPr>
          <w:rFonts w:ascii="Times New Roman" w:hAnsi="Times New Roman" w:cs="Times New Roman"/>
          <w:sz w:val="24"/>
        </w:rPr>
      </w:pPr>
      <w:r>
        <w:rPr>
          <w:rFonts w:ascii="Times New Roman" w:hAnsi="Times New Roman" w:cs="Times New Roman"/>
          <w:sz w:val="24"/>
        </w:rPr>
        <w:t>本评价在加强工程分析的基础上，确定评价重点为环境空气现状及影响评价、</w:t>
      </w:r>
      <w:r>
        <w:rPr>
          <w:rFonts w:hint="eastAsia" w:ascii="Times New Roman" w:hAnsi="Times New Roman" w:cs="Times New Roman"/>
          <w:sz w:val="24"/>
        </w:rPr>
        <w:t>地表水</w:t>
      </w:r>
      <w:r>
        <w:rPr>
          <w:rFonts w:ascii="Times New Roman" w:hAnsi="Times New Roman" w:cs="Times New Roman"/>
          <w:sz w:val="24"/>
        </w:rPr>
        <w:t>环境现状及影响评价、地下水环境现状及影响评价、固体废物环境影响分析、污染治理措施的可行性、技术经济论证及达标排放分析，对噪声、</w:t>
      </w:r>
      <w:r>
        <w:rPr>
          <w:rFonts w:hint="eastAsia" w:ascii="Times New Roman" w:hAnsi="Times New Roman" w:cs="Times New Roman"/>
          <w:sz w:val="24"/>
        </w:rPr>
        <w:t>环境风险</w:t>
      </w:r>
      <w:r>
        <w:rPr>
          <w:rFonts w:ascii="Times New Roman" w:hAnsi="Times New Roman" w:cs="Times New Roman"/>
          <w:sz w:val="24"/>
        </w:rPr>
        <w:t>、施工期对环境的影响及其它评价内容进行一般性分析。</w:t>
      </w:r>
    </w:p>
    <w:p>
      <w:pPr>
        <w:pStyle w:val="6"/>
        <w:numPr>
          <w:ilvl w:val="0"/>
          <w:numId w:val="0"/>
        </w:numPr>
        <w:rPr>
          <w:rFonts w:ascii="Times New Roman" w:hAnsi="Times New Roman" w:eastAsia="宋体"/>
          <w:szCs w:val="30"/>
        </w:rPr>
      </w:pPr>
      <w:bookmarkStart w:id="98" w:name="_Toc5866"/>
      <w:bookmarkStart w:id="99" w:name="_Toc448849763"/>
      <w:bookmarkStart w:id="100" w:name="_Toc22898"/>
      <w:bookmarkStart w:id="101" w:name="_Toc4826"/>
      <w:bookmarkStart w:id="102" w:name="_Toc517522251"/>
      <w:bookmarkStart w:id="103" w:name="_Toc123886398"/>
      <w:bookmarkStart w:id="104" w:name="_Toc19065"/>
      <w:bookmarkStart w:id="105" w:name="_Toc20810"/>
      <w:bookmarkStart w:id="106" w:name="_Toc19051"/>
      <w:r>
        <w:rPr>
          <w:rFonts w:ascii="Times New Roman" w:hAnsi="Times New Roman" w:eastAsia="宋体"/>
          <w:szCs w:val="30"/>
        </w:rPr>
        <w:t>2.</w:t>
      </w:r>
      <w:r>
        <w:rPr>
          <w:rFonts w:hint="eastAsia" w:ascii="Times New Roman" w:hAnsi="Times New Roman" w:eastAsia="宋体"/>
          <w:szCs w:val="30"/>
        </w:rPr>
        <w:t xml:space="preserve">3 </w:t>
      </w:r>
      <w:r>
        <w:rPr>
          <w:rFonts w:ascii="Times New Roman" w:hAnsi="Times New Roman" w:eastAsia="宋体"/>
          <w:szCs w:val="30"/>
        </w:rPr>
        <w:t>评价因子与评价标准</w:t>
      </w:r>
      <w:bookmarkEnd w:id="98"/>
      <w:bookmarkEnd w:id="99"/>
      <w:bookmarkEnd w:id="100"/>
      <w:bookmarkEnd w:id="101"/>
      <w:bookmarkEnd w:id="102"/>
      <w:bookmarkEnd w:id="103"/>
      <w:bookmarkEnd w:id="104"/>
      <w:bookmarkEnd w:id="105"/>
      <w:bookmarkEnd w:id="106"/>
    </w:p>
    <w:p>
      <w:pPr>
        <w:pStyle w:val="7"/>
        <w:adjustRightInd w:val="0"/>
        <w:snapToGrid w:val="0"/>
        <w:spacing w:before="0" w:after="0" w:line="360" w:lineRule="auto"/>
        <w:jc w:val="left"/>
        <w:rPr>
          <w:sz w:val="24"/>
          <w:szCs w:val="24"/>
        </w:rPr>
      </w:pPr>
      <w:bookmarkStart w:id="107" w:name="_Toc9774"/>
      <w:bookmarkStart w:id="108" w:name="_Toc21591"/>
      <w:bookmarkStart w:id="109" w:name="_Toc517522252"/>
      <w:bookmarkStart w:id="110" w:name="_Toc5572"/>
      <w:bookmarkStart w:id="111" w:name="_Toc22083"/>
      <w:bookmarkStart w:id="112" w:name="_Toc4984"/>
      <w:bookmarkStart w:id="113" w:name="_Toc30457"/>
      <w:r>
        <w:rPr>
          <w:sz w:val="24"/>
          <w:szCs w:val="24"/>
        </w:rPr>
        <w:t>2.</w:t>
      </w:r>
      <w:r>
        <w:rPr>
          <w:rFonts w:hint="eastAsia"/>
          <w:sz w:val="24"/>
          <w:szCs w:val="24"/>
        </w:rPr>
        <w:t>3</w:t>
      </w:r>
      <w:r>
        <w:rPr>
          <w:sz w:val="24"/>
          <w:szCs w:val="24"/>
        </w:rPr>
        <w:t>.1</w:t>
      </w:r>
      <w:r>
        <w:rPr>
          <w:rFonts w:hint="eastAsia"/>
          <w:sz w:val="24"/>
          <w:szCs w:val="24"/>
        </w:rPr>
        <w:t xml:space="preserve"> </w:t>
      </w:r>
      <w:r>
        <w:rPr>
          <w:sz w:val="24"/>
          <w:szCs w:val="24"/>
        </w:rPr>
        <w:t>评价因子</w:t>
      </w:r>
      <w:bookmarkEnd w:id="107"/>
      <w:bookmarkEnd w:id="108"/>
      <w:bookmarkEnd w:id="109"/>
      <w:bookmarkEnd w:id="110"/>
      <w:bookmarkEnd w:id="111"/>
      <w:bookmarkEnd w:id="112"/>
      <w:bookmarkEnd w:id="113"/>
    </w:p>
    <w:p>
      <w:pPr>
        <w:pStyle w:val="220"/>
        <w:adjustRightInd/>
        <w:snapToGrid/>
        <w:ind w:firstLine="482" w:firstLineChars="200"/>
        <w:jc w:val="both"/>
        <w:rPr>
          <w:rFonts w:ascii="Times New Roman" w:hAnsi="Times New Roman" w:cs="Times New Roman"/>
          <w:b/>
        </w:rPr>
      </w:pPr>
      <w:r>
        <w:rPr>
          <w:rFonts w:hint="eastAsia" w:ascii="Times New Roman" w:hAnsi="Times New Roman" w:cs="Times New Roman"/>
          <w:b/>
        </w:rPr>
        <w:t>1、环境影响因素识别</w:t>
      </w:r>
    </w:p>
    <w:p>
      <w:pPr>
        <w:pStyle w:val="215"/>
      </w:pPr>
      <w:r>
        <w:t>根据工程特点、环境特征以及工程对环境影响的性质与程度，对该工程的环境影响要素进行识别。识别过程见表</w:t>
      </w:r>
      <w:r>
        <w:rPr>
          <w:rFonts w:hint="eastAsia"/>
        </w:rPr>
        <w:t>2.3-1。</w:t>
      </w:r>
    </w:p>
    <w:p>
      <w:pPr>
        <w:pStyle w:val="17"/>
        <w:spacing w:beforeLines="50"/>
        <w:rPr>
          <w:rFonts w:ascii="Times New Roman" w:hAnsi="Times New Roman" w:cs="Times New Roman"/>
          <w:color w:val="auto"/>
          <w:sz w:val="21"/>
        </w:rPr>
      </w:pPr>
      <w:bookmarkStart w:id="114" w:name="_Ref354493128"/>
      <w:r>
        <w:rPr>
          <w:rFonts w:ascii="Times New Roman" w:hAnsi="Times New Roman" w:cs="Times New Roman"/>
          <w:color w:val="auto"/>
          <w:sz w:val="21"/>
        </w:rPr>
        <w:t>表</w:t>
      </w:r>
      <w:bookmarkEnd w:id="114"/>
      <w:r>
        <w:rPr>
          <w:rFonts w:hint="eastAsia" w:ascii="Times New Roman" w:hAnsi="Times New Roman" w:cs="Times New Roman"/>
          <w:color w:val="auto"/>
          <w:sz w:val="21"/>
        </w:rPr>
        <w:t xml:space="preserve">2.3-1  </w:t>
      </w:r>
      <w:r>
        <w:rPr>
          <w:rFonts w:ascii="Times New Roman" w:hAnsi="Times New Roman" w:cs="Times New Roman"/>
          <w:color w:val="auto"/>
          <w:sz w:val="21"/>
        </w:rPr>
        <w:t>工程环境影响要素识别</w:t>
      </w:r>
    </w:p>
    <w:tbl>
      <w:tblPr>
        <w:tblStyle w:val="49"/>
        <w:tblW w:w="852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2"/>
        <w:gridCol w:w="1118"/>
        <w:gridCol w:w="698"/>
        <w:gridCol w:w="962"/>
        <w:gridCol w:w="774"/>
        <w:gridCol w:w="708"/>
        <w:gridCol w:w="710"/>
        <w:gridCol w:w="710"/>
        <w:gridCol w:w="710"/>
        <w:gridCol w:w="710"/>
        <w:gridCol w:w="7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40" w:type="dxa"/>
            <w:gridSpan w:val="2"/>
            <w:vMerge w:val="restart"/>
            <w:vAlign w:val="center"/>
          </w:tcPr>
          <w:p>
            <w:pPr>
              <w:pStyle w:val="90"/>
              <w:rPr>
                <w:rFonts w:ascii="Times New Roman" w:hAnsi="Times New Roman" w:cs="Times New Roman" w:eastAsiaTheme="majorEastAsia"/>
                <w:b/>
                <w:sz w:val="21"/>
                <w:szCs w:val="21"/>
                <w:lang w:val="zh-CN"/>
              </w:rPr>
            </w:pPr>
            <w:r>
              <w:rPr>
                <w:rFonts w:ascii="Times New Roman" w:cs="Times New Roman" w:hAnsiTheme="majorEastAsia" w:eastAsiaTheme="majorEastAsia"/>
                <w:b/>
                <w:sz w:val="21"/>
                <w:szCs w:val="21"/>
                <w:lang w:val="zh-CN"/>
              </w:rPr>
              <w:t>阶段</w:t>
            </w:r>
          </w:p>
          <w:p>
            <w:pPr>
              <w:pStyle w:val="90"/>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lang w:val="zh-CN"/>
              </w:rPr>
              <w:t>环境要素</w:t>
            </w:r>
          </w:p>
        </w:tc>
        <w:tc>
          <w:tcPr>
            <w:tcW w:w="2434" w:type="dxa"/>
            <w:gridSpan w:val="3"/>
            <w:vAlign w:val="center"/>
          </w:tcPr>
          <w:p>
            <w:pPr>
              <w:pStyle w:val="90"/>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rPr>
              <w:t>施工期</w:t>
            </w:r>
          </w:p>
        </w:tc>
        <w:tc>
          <w:tcPr>
            <w:tcW w:w="4254" w:type="dxa"/>
            <w:gridSpan w:val="6"/>
            <w:vAlign w:val="center"/>
          </w:tcPr>
          <w:p>
            <w:pPr>
              <w:pStyle w:val="90"/>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lang w:val="zh-CN"/>
              </w:rPr>
              <w:t>营运期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40" w:type="dxa"/>
            <w:gridSpan w:val="2"/>
            <w:vMerge w:val="continue"/>
            <w:vAlign w:val="center"/>
          </w:tcPr>
          <w:p>
            <w:pPr>
              <w:pStyle w:val="90"/>
              <w:rPr>
                <w:rFonts w:ascii="Times New Roman" w:hAnsi="Times New Roman" w:cs="Times New Roman" w:eastAsiaTheme="majorEastAsia"/>
                <w:sz w:val="21"/>
                <w:szCs w:val="21"/>
              </w:rPr>
            </w:pPr>
          </w:p>
        </w:tc>
        <w:tc>
          <w:tcPr>
            <w:tcW w:w="698" w:type="dxa"/>
            <w:vAlign w:val="center"/>
          </w:tcPr>
          <w:p>
            <w:pPr>
              <w:pStyle w:val="90"/>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lang w:val="zh-CN"/>
              </w:rPr>
              <w:t>占地</w:t>
            </w:r>
          </w:p>
        </w:tc>
        <w:tc>
          <w:tcPr>
            <w:tcW w:w="962" w:type="dxa"/>
            <w:vAlign w:val="center"/>
          </w:tcPr>
          <w:p>
            <w:pPr>
              <w:pStyle w:val="90"/>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lang w:val="zh-CN"/>
              </w:rPr>
              <w:t>基础</w:t>
            </w:r>
            <w:r>
              <w:rPr>
                <w:rFonts w:ascii="Times New Roman" w:hAnsi="Times New Roman" w:cs="Times New Roman" w:eastAsiaTheme="majorEastAsia"/>
                <w:b/>
                <w:sz w:val="21"/>
                <w:szCs w:val="21"/>
                <w:lang w:val="zh-CN"/>
              </w:rPr>
              <w:t>/</w:t>
            </w:r>
            <w:r>
              <w:rPr>
                <w:rFonts w:ascii="Times New Roman" w:cs="Times New Roman" w:hAnsiTheme="majorEastAsia" w:eastAsiaTheme="majorEastAsia"/>
                <w:b/>
                <w:sz w:val="21"/>
                <w:szCs w:val="21"/>
                <w:lang w:val="zh-CN"/>
              </w:rPr>
              <w:t>主体工程</w:t>
            </w:r>
          </w:p>
        </w:tc>
        <w:tc>
          <w:tcPr>
            <w:tcW w:w="774" w:type="dxa"/>
            <w:vAlign w:val="center"/>
          </w:tcPr>
          <w:p>
            <w:pPr>
              <w:pStyle w:val="90"/>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rPr>
              <w:t>物料</w:t>
            </w:r>
          </w:p>
          <w:p>
            <w:pPr>
              <w:pStyle w:val="90"/>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rPr>
              <w:t>运输</w:t>
            </w:r>
          </w:p>
        </w:tc>
        <w:tc>
          <w:tcPr>
            <w:tcW w:w="708" w:type="dxa"/>
            <w:vAlign w:val="center"/>
          </w:tcPr>
          <w:p>
            <w:pPr>
              <w:pStyle w:val="90"/>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lang w:val="zh-CN"/>
              </w:rPr>
              <w:t>废水</w:t>
            </w:r>
          </w:p>
          <w:p>
            <w:pPr>
              <w:pStyle w:val="90"/>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lang w:val="zh-CN"/>
              </w:rPr>
              <w:t>排放</w:t>
            </w:r>
          </w:p>
        </w:tc>
        <w:tc>
          <w:tcPr>
            <w:tcW w:w="710" w:type="dxa"/>
            <w:vAlign w:val="center"/>
          </w:tcPr>
          <w:p>
            <w:pPr>
              <w:pStyle w:val="90"/>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lang w:val="zh-CN"/>
              </w:rPr>
              <w:t>废气</w:t>
            </w:r>
          </w:p>
          <w:p>
            <w:pPr>
              <w:pStyle w:val="90"/>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lang w:val="zh-CN"/>
              </w:rPr>
              <w:t>排放</w:t>
            </w:r>
          </w:p>
        </w:tc>
        <w:tc>
          <w:tcPr>
            <w:tcW w:w="710" w:type="dxa"/>
            <w:vAlign w:val="center"/>
          </w:tcPr>
          <w:p>
            <w:pPr>
              <w:pStyle w:val="90"/>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lang w:val="zh-CN"/>
              </w:rPr>
              <w:t>固废</w:t>
            </w:r>
          </w:p>
          <w:p>
            <w:pPr>
              <w:pStyle w:val="90"/>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lang w:val="zh-CN"/>
              </w:rPr>
              <w:t>堆存</w:t>
            </w:r>
          </w:p>
        </w:tc>
        <w:tc>
          <w:tcPr>
            <w:tcW w:w="710" w:type="dxa"/>
            <w:vAlign w:val="center"/>
          </w:tcPr>
          <w:p>
            <w:pPr>
              <w:pStyle w:val="90"/>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rPr>
              <w:t>噪声</w:t>
            </w:r>
          </w:p>
        </w:tc>
        <w:tc>
          <w:tcPr>
            <w:tcW w:w="710" w:type="dxa"/>
            <w:vAlign w:val="center"/>
          </w:tcPr>
          <w:p>
            <w:pPr>
              <w:pStyle w:val="90"/>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lang w:val="zh-CN"/>
              </w:rPr>
              <w:t>事故</w:t>
            </w:r>
          </w:p>
          <w:p>
            <w:pPr>
              <w:pStyle w:val="90"/>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lang w:val="zh-CN"/>
              </w:rPr>
              <w:t>排放</w:t>
            </w:r>
          </w:p>
        </w:tc>
        <w:tc>
          <w:tcPr>
            <w:tcW w:w="706" w:type="dxa"/>
            <w:vAlign w:val="center"/>
          </w:tcPr>
          <w:p>
            <w:pPr>
              <w:pStyle w:val="90"/>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lang w:val="zh-CN"/>
              </w:rPr>
              <w:t>补偿</w:t>
            </w:r>
          </w:p>
          <w:p>
            <w:pPr>
              <w:pStyle w:val="90"/>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lang w:val="zh-CN"/>
              </w:rPr>
              <w:t>绿化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22" w:type="dxa"/>
            <w:vMerge w:val="restart"/>
            <w:vAlign w:val="center"/>
          </w:tcPr>
          <w:p>
            <w:pPr>
              <w:pStyle w:val="90"/>
              <w:rPr>
                <w:rFonts w:ascii="Times New Roman" w:hAnsi="Times New Roman" w:cs="Times New Roman" w:eastAsiaTheme="majorEastAsia"/>
                <w:sz w:val="21"/>
                <w:szCs w:val="21"/>
                <w:lang w:val="zh-CN"/>
              </w:rPr>
            </w:pPr>
            <w:r>
              <w:rPr>
                <w:rFonts w:ascii="Times New Roman" w:cs="Times New Roman" w:hAnsiTheme="majorEastAsia" w:eastAsiaTheme="majorEastAsia"/>
                <w:sz w:val="21"/>
                <w:szCs w:val="21"/>
                <w:lang w:val="zh-CN"/>
              </w:rPr>
              <w:t>社会</w:t>
            </w:r>
          </w:p>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发展</w:t>
            </w:r>
          </w:p>
        </w:tc>
        <w:tc>
          <w:tcPr>
            <w:tcW w:w="1118"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劳动就业</w:t>
            </w:r>
          </w:p>
        </w:tc>
        <w:tc>
          <w:tcPr>
            <w:tcW w:w="698" w:type="dxa"/>
            <w:vAlign w:val="center"/>
          </w:tcPr>
          <w:p>
            <w:pPr>
              <w:pStyle w:val="90"/>
              <w:rPr>
                <w:rFonts w:ascii="Times New Roman" w:hAnsi="Times New Roman" w:cs="Times New Roman" w:eastAsiaTheme="majorEastAsia"/>
                <w:sz w:val="21"/>
                <w:szCs w:val="21"/>
              </w:rPr>
            </w:pPr>
          </w:p>
        </w:tc>
        <w:tc>
          <w:tcPr>
            <w:tcW w:w="962" w:type="dxa"/>
            <w:vAlign w:val="center"/>
          </w:tcPr>
          <w:p>
            <w:pPr>
              <w:pStyle w:val="90"/>
              <w:rPr>
                <w:rFonts w:ascii="Times New Roman" w:hAnsi="Times New Roman" w:cs="Times New Roman" w:eastAsiaTheme="majorEastAsia"/>
                <w:sz w:val="21"/>
                <w:szCs w:val="21"/>
              </w:rPr>
            </w:pPr>
            <w:r>
              <w:rPr>
                <w:rFonts w:cs="Times New Roman" w:asciiTheme="majorEastAsia" w:hAnsiTheme="majorEastAsia" w:eastAsiaTheme="majorEastAsia"/>
                <w:sz w:val="21"/>
                <w:szCs w:val="21"/>
                <w:lang w:val="zh-CN"/>
              </w:rPr>
              <w:t>△</w:t>
            </w:r>
          </w:p>
        </w:tc>
        <w:tc>
          <w:tcPr>
            <w:tcW w:w="774" w:type="dxa"/>
            <w:vAlign w:val="center"/>
          </w:tcPr>
          <w:p>
            <w:pPr>
              <w:pStyle w:val="90"/>
              <w:rPr>
                <w:rFonts w:ascii="Times New Roman" w:hAnsi="Times New Roman" w:cs="Times New Roman" w:eastAsiaTheme="majorEastAsia"/>
                <w:sz w:val="21"/>
                <w:szCs w:val="21"/>
              </w:rPr>
            </w:pPr>
            <w:r>
              <w:rPr>
                <w:rFonts w:cs="Times New Roman" w:asciiTheme="majorEastAsia" w:hAnsiTheme="majorEastAsia" w:eastAsiaTheme="majorEastAsia"/>
                <w:sz w:val="21"/>
                <w:szCs w:val="21"/>
                <w:lang w:val="zh-CN"/>
              </w:rPr>
              <w:t>△</w:t>
            </w:r>
          </w:p>
        </w:tc>
        <w:tc>
          <w:tcPr>
            <w:tcW w:w="708"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06" w:type="dxa"/>
            <w:vAlign w:val="center"/>
          </w:tcPr>
          <w:p>
            <w:pPr>
              <w:pStyle w:val="90"/>
              <w:rPr>
                <w:rFonts w:ascii="Times New Roman" w:hAnsi="Times New Roman" w:cs="Times New Roman" w:eastAsiaTheme="maj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22" w:type="dxa"/>
            <w:vMerge w:val="continue"/>
            <w:vAlign w:val="center"/>
          </w:tcPr>
          <w:p>
            <w:pPr>
              <w:pStyle w:val="90"/>
              <w:rPr>
                <w:rFonts w:ascii="Times New Roman" w:hAnsi="Times New Roman" w:cs="Times New Roman" w:eastAsiaTheme="majorEastAsia"/>
                <w:sz w:val="21"/>
                <w:szCs w:val="21"/>
              </w:rPr>
            </w:pPr>
          </w:p>
        </w:tc>
        <w:tc>
          <w:tcPr>
            <w:tcW w:w="1118"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经济发展</w:t>
            </w:r>
          </w:p>
        </w:tc>
        <w:tc>
          <w:tcPr>
            <w:tcW w:w="698" w:type="dxa"/>
            <w:vAlign w:val="center"/>
          </w:tcPr>
          <w:p>
            <w:pPr>
              <w:pStyle w:val="90"/>
              <w:rPr>
                <w:rFonts w:ascii="Times New Roman" w:hAnsi="Times New Roman" w:cs="Times New Roman" w:eastAsiaTheme="majorEastAsia"/>
                <w:sz w:val="21"/>
                <w:szCs w:val="21"/>
              </w:rPr>
            </w:pPr>
          </w:p>
        </w:tc>
        <w:tc>
          <w:tcPr>
            <w:tcW w:w="962" w:type="dxa"/>
            <w:vAlign w:val="center"/>
          </w:tcPr>
          <w:p>
            <w:pPr>
              <w:pStyle w:val="90"/>
              <w:rPr>
                <w:rFonts w:ascii="Times New Roman" w:hAnsi="Times New Roman" w:cs="Times New Roman" w:eastAsiaTheme="majorEastAsia"/>
                <w:sz w:val="21"/>
                <w:szCs w:val="21"/>
              </w:rPr>
            </w:pPr>
            <w:r>
              <w:rPr>
                <w:rFonts w:cs="Times New Roman" w:asciiTheme="majorEastAsia" w:hAnsiTheme="majorEastAsia" w:eastAsiaTheme="majorEastAsia"/>
                <w:sz w:val="21"/>
                <w:szCs w:val="21"/>
                <w:lang w:val="zh-CN"/>
              </w:rPr>
              <w:t>△</w:t>
            </w:r>
          </w:p>
        </w:tc>
        <w:tc>
          <w:tcPr>
            <w:tcW w:w="774" w:type="dxa"/>
            <w:vAlign w:val="center"/>
          </w:tcPr>
          <w:p>
            <w:pPr>
              <w:pStyle w:val="90"/>
              <w:rPr>
                <w:rFonts w:ascii="Times New Roman" w:hAnsi="Times New Roman" w:cs="Times New Roman" w:eastAsiaTheme="majorEastAsia"/>
                <w:sz w:val="21"/>
                <w:szCs w:val="21"/>
              </w:rPr>
            </w:pPr>
            <w:r>
              <w:rPr>
                <w:rFonts w:cs="Times New Roman" w:asciiTheme="majorEastAsia" w:hAnsiTheme="majorEastAsia" w:eastAsiaTheme="majorEastAsia"/>
                <w:sz w:val="21"/>
                <w:szCs w:val="21"/>
                <w:lang w:val="zh-CN"/>
              </w:rPr>
              <w:t>△</w:t>
            </w:r>
          </w:p>
        </w:tc>
        <w:tc>
          <w:tcPr>
            <w:tcW w:w="708"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06" w:type="dxa"/>
            <w:vAlign w:val="center"/>
          </w:tcPr>
          <w:p>
            <w:pPr>
              <w:pStyle w:val="90"/>
              <w:rPr>
                <w:rFonts w:ascii="Times New Roman" w:hAnsi="Times New Roman" w:cs="Times New Roman" w:eastAsiaTheme="maj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22" w:type="dxa"/>
            <w:vMerge w:val="continue"/>
            <w:vAlign w:val="center"/>
          </w:tcPr>
          <w:p>
            <w:pPr>
              <w:pStyle w:val="90"/>
              <w:rPr>
                <w:rFonts w:ascii="Times New Roman" w:hAnsi="Times New Roman" w:cs="Times New Roman" w:eastAsiaTheme="majorEastAsia"/>
                <w:sz w:val="21"/>
                <w:szCs w:val="21"/>
              </w:rPr>
            </w:pPr>
          </w:p>
        </w:tc>
        <w:tc>
          <w:tcPr>
            <w:tcW w:w="1118"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土地利用</w:t>
            </w:r>
          </w:p>
        </w:tc>
        <w:tc>
          <w:tcPr>
            <w:tcW w:w="698"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w:t>
            </w:r>
          </w:p>
        </w:tc>
        <w:tc>
          <w:tcPr>
            <w:tcW w:w="962" w:type="dxa"/>
            <w:vAlign w:val="center"/>
          </w:tcPr>
          <w:p>
            <w:pPr>
              <w:pStyle w:val="90"/>
              <w:rPr>
                <w:rFonts w:ascii="Times New Roman" w:hAnsi="Times New Roman" w:cs="Times New Roman" w:eastAsiaTheme="majorEastAsia"/>
                <w:sz w:val="21"/>
                <w:szCs w:val="21"/>
              </w:rPr>
            </w:pPr>
          </w:p>
        </w:tc>
        <w:tc>
          <w:tcPr>
            <w:tcW w:w="774" w:type="dxa"/>
            <w:vAlign w:val="center"/>
          </w:tcPr>
          <w:p>
            <w:pPr>
              <w:pStyle w:val="90"/>
              <w:rPr>
                <w:rFonts w:ascii="Times New Roman" w:hAnsi="Times New Roman" w:cs="Times New Roman" w:eastAsiaTheme="majorEastAsia"/>
                <w:sz w:val="21"/>
                <w:szCs w:val="21"/>
              </w:rPr>
            </w:pPr>
          </w:p>
        </w:tc>
        <w:tc>
          <w:tcPr>
            <w:tcW w:w="708"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w:t>
            </w: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06"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22" w:type="dxa"/>
            <w:vMerge w:val="restart"/>
            <w:vAlign w:val="center"/>
          </w:tcPr>
          <w:p>
            <w:pPr>
              <w:pStyle w:val="90"/>
              <w:rPr>
                <w:rFonts w:ascii="Times New Roman" w:hAnsi="Times New Roman" w:cs="Times New Roman" w:eastAsiaTheme="majorEastAsia"/>
                <w:sz w:val="21"/>
                <w:szCs w:val="21"/>
                <w:lang w:val="zh-CN"/>
              </w:rPr>
            </w:pPr>
            <w:r>
              <w:rPr>
                <w:rFonts w:ascii="Times New Roman" w:cs="Times New Roman" w:hAnsiTheme="majorEastAsia" w:eastAsiaTheme="majorEastAsia"/>
                <w:sz w:val="21"/>
                <w:szCs w:val="21"/>
                <w:lang w:val="zh-CN"/>
              </w:rPr>
              <w:t>自然</w:t>
            </w:r>
          </w:p>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资源</w:t>
            </w:r>
          </w:p>
        </w:tc>
        <w:tc>
          <w:tcPr>
            <w:tcW w:w="1118"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植被生态</w:t>
            </w:r>
          </w:p>
        </w:tc>
        <w:tc>
          <w:tcPr>
            <w:tcW w:w="698"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w:t>
            </w:r>
          </w:p>
        </w:tc>
        <w:tc>
          <w:tcPr>
            <w:tcW w:w="962" w:type="dxa"/>
            <w:vAlign w:val="center"/>
          </w:tcPr>
          <w:p>
            <w:pPr>
              <w:pStyle w:val="90"/>
              <w:rPr>
                <w:rFonts w:ascii="Times New Roman" w:hAnsi="Times New Roman" w:cs="Times New Roman" w:eastAsiaTheme="majorEastAsia"/>
                <w:sz w:val="21"/>
                <w:szCs w:val="21"/>
              </w:rPr>
            </w:pPr>
          </w:p>
        </w:tc>
        <w:tc>
          <w:tcPr>
            <w:tcW w:w="774" w:type="dxa"/>
            <w:vAlign w:val="center"/>
          </w:tcPr>
          <w:p>
            <w:pPr>
              <w:pStyle w:val="90"/>
              <w:rPr>
                <w:rFonts w:ascii="Times New Roman" w:hAnsi="Times New Roman" w:cs="Times New Roman" w:eastAsiaTheme="majorEastAsia"/>
                <w:sz w:val="21"/>
                <w:szCs w:val="21"/>
              </w:rPr>
            </w:pPr>
          </w:p>
        </w:tc>
        <w:tc>
          <w:tcPr>
            <w:tcW w:w="708"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r>
              <w:rPr>
                <w:rFonts w:ascii="Times New Roman" w:hAnsi="Times New Roman" w:cs="Times New Roman" w:eastAsiaTheme="majorEastAsia"/>
                <w:sz w:val="21"/>
                <w:szCs w:val="21"/>
                <w:lang w:val="zh-CN"/>
              </w:rPr>
              <w:t>▲</w:t>
            </w:r>
          </w:p>
        </w:tc>
        <w:tc>
          <w:tcPr>
            <w:tcW w:w="706"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22" w:type="dxa"/>
            <w:vMerge w:val="continue"/>
            <w:vAlign w:val="center"/>
          </w:tcPr>
          <w:p>
            <w:pPr>
              <w:pStyle w:val="90"/>
              <w:rPr>
                <w:rFonts w:ascii="Times New Roman" w:hAnsi="Times New Roman" w:cs="Times New Roman" w:eastAsiaTheme="majorEastAsia"/>
                <w:sz w:val="21"/>
                <w:szCs w:val="21"/>
              </w:rPr>
            </w:pPr>
          </w:p>
        </w:tc>
        <w:tc>
          <w:tcPr>
            <w:tcW w:w="1118"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自然景观</w:t>
            </w:r>
          </w:p>
        </w:tc>
        <w:tc>
          <w:tcPr>
            <w:tcW w:w="698" w:type="dxa"/>
            <w:vAlign w:val="center"/>
          </w:tcPr>
          <w:p>
            <w:pPr>
              <w:pStyle w:val="90"/>
              <w:rPr>
                <w:rFonts w:ascii="Times New Roman" w:hAnsi="Times New Roman" w:cs="Times New Roman" w:eastAsiaTheme="majorEastAsia"/>
                <w:sz w:val="21"/>
                <w:szCs w:val="21"/>
              </w:rPr>
            </w:pPr>
            <w:r>
              <w:rPr>
                <w:rFonts w:ascii="Times New Roman" w:hAnsi="Times New Roman" w:cs="Times New Roman" w:eastAsiaTheme="majorEastAsia"/>
                <w:sz w:val="21"/>
                <w:szCs w:val="21"/>
                <w:lang w:val="zh-CN"/>
              </w:rPr>
              <w:t>▲</w:t>
            </w:r>
          </w:p>
        </w:tc>
        <w:tc>
          <w:tcPr>
            <w:tcW w:w="962" w:type="dxa"/>
            <w:vAlign w:val="center"/>
          </w:tcPr>
          <w:p>
            <w:pPr>
              <w:pStyle w:val="90"/>
              <w:rPr>
                <w:rFonts w:ascii="Times New Roman" w:hAnsi="Times New Roman" w:cs="Times New Roman" w:eastAsiaTheme="majorEastAsia"/>
                <w:sz w:val="21"/>
                <w:szCs w:val="21"/>
              </w:rPr>
            </w:pPr>
            <w:r>
              <w:rPr>
                <w:rFonts w:ascii="Times New Roman" w:hAnsi="Times New Roman" w:cs="Times New Roman" w:eastAsiaTheme="majorEastAsia"/>
                <w:sz w:val="21"/>
                <w:szCs w:val="21"/>
                <w:lang w:val="zh-CN"/>
              </w:rPr>
              <w:t>▲</w:t>
            </w:r>
          </w:p>
        </w:tc>
        <w:tc>
          <w:tcPr>
            <w:tcW w:w="774" w:type="dxa"/>
            <w:vAlign w:val="center"/>
          </w:tcPr>
          <w:p>
            <w:pPr>
              <w:pStyle w:val="90"/>
              <w:rPr>
                <w:rFonts w:ascii="Times New Roman" w:hAnsi="Times New Roman" w:cs="Times New Roman" w:eastAsiaTheme="majorEastAsia"/>
                <w:sz w:val="21"/>
                <w:szCs w:val="21"/>
              </w:rPr>
            </w:pPr>
          </w:p>
        </w:tc>
        <w:tc>
          <w:tcPr>
            <w:tcW w:w="708"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06"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22" w:type="dxa"/>
            <w:vMerge w:val="continue"/>
            <w:vAlign w:val="center"/>
          </w:tcPr>
          <w:p>
            <w:pPr>
              <w:pStyle w:val="90"/>
              <w:rPr>
                <w:rFonts w:ascii="Times New Roman" w:hAnsi="Times New Roman" w:cs="Times New Roman" w:eastAsiaTheme="majorEastAsia"/>
                <w:sz w:val="21"/>
                <w:szCs w:val="21"/>
              </w:rPr>
            </w:pPr>
          </w:p>
        </w:tc>
        <w:tc>
          <w:tcPr>
            <w:tcW w:w="1118"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地表水体</w:t>
            </w:r>
          </w:p>
        </w:tc>
        <w:tc>
          <w:tcPr>
            <w:tcW w:w="698" w:type="dxa"/>
            <w:vAlign w:val="center"/>
          </w:tcPr>
          <w:p>
            <w:pPr>
              <w:pStyle w:val="90"/>
              <w:rPr>
                <w:rFonts w:ascii="Times New Roman" w:hAnsi="Times New Roman" w:cs="Times New Roman" w:eastAsiaTheme="majorEastAsia"/>
                <w:sz w:val="21"/>
                <w:szCs w:val="21"/>
              </w:rPr>
            </w:pPr>
          </w:p>
        </w:tc>
        <w:tc>
          <w:tcPr>
            <w:tcW w:w="962" w:type="dxa"/>
            <w:vAlign w:val="center"/>
          </w:tcPr>
          <w:p>
            <w:pPr>
              <w:pStyle w:val="90"/>
              <w:rPr>
                <w:rFonts w:ascii="Times New Roman" w:hAnsi="Times New Roman" w:cs="Times New Roman" w:eastAsiaTheme="majorEastAsia"/>
                <w:sz w:val="21"/>
                <w:szCs w:val="21"/>
              </w:rPr>
            </w:pPr>
            <w:r>
              <w:rPr>
                <w:rFonts w:ascii="Times New Roman" w:hAnsi="Times New Roman" w:cs="Times New Roman" w:eastAsiaTheme="majorEastAsia"/>
                <w:sz w:val="21"/>
                <w:szCs w:val="21"/>
                <w:lang w:val="zh-CN"/>
              </w:rPr>
              <w:t>▲</w:t>
            </w:r>
          </w:p>
        </w:tc>
        <w:tc>
          <w:tcPr>
            <w:tcW w:w="774" w:type="dxa"/>
            <w:vAlign w:val="center"/>
          </w:tcPr>
          <w:p>
            <w:pPr>
              <w:pStyle w:val="90"/>
              <w:rPr>
                <w:rFonts w:ascii="Times New Roman" w:hAnsi="Times New Roman" w:cs="Times New Roman" w:eastAsiaTheme="majorEastAsia"/>
                <w:sz w:val="21"/>
                <w:szCs w:val="21"/>
              </w:rPr>
            </w:pPr>
          </w:p>
        </w:tc>
        <w:tc>
          <w:tcPr>
            <w:tcW w:w="708"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r>
              <w:rPr>
                <w:rFonts w:ascii="Times New Roman" w:hAnsi="Times New Roman" w:cs="Times New Roman" w:eastAsiaTheme="majorEastAsia"/>
                <w:sz w:val="21"/>
                <w:szCs w:val="21"/>
                <w:lang w:val="zh-CN"/>
              </w:rPr>
              <w:t>▲</w:t>
            </w:r>
          </w:p>
        </w:tc>
        <w:tc>
          <w:tcPr>
            <w:tcW w:w="706"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22" w:type="dxa"/>
            <w:vMerge w:val="restart"/>
            <w:vAlign w:val="center"/>
          </w:tcPr>
          <w:p>
            <w:pPr>
              <w:pStyle w:val="90"/>
              <w:rPr>
                <w:rFonts w:ascii="Times New Roman" w:hAnsi="Times New Roman" w:cs="Times New Roman" w:eastAsiaTheme="majorEastAsia"/>
                <w:sz w:val="21"/>
                <w:szCs w:val="21"/>
                <w:lang w:val="zh-CN"/>
              </w:rPr>
            </w:pPr>
            <w:r>
              <w:rPr>
                <w:rFonts w:ascii="Times New Roman" w:cs="Times New Roman" w:hAnsiTheme="majorEastAsia" w:eastAsiaTheme="majorEastAsia"/>
                <w:sz w:val="21"/>
                <w:szCs w:val="21"/>
                <w:lang w:val="zh-CN"/>
              </w:rPr>
              <w:t>居民</w:t>
            </w:r>
          </w:p>
          <w:p>
            <w:pPr>
              <w:pStyle w:val="90"/>
              <w:rPr>
                <w:rFonts w:ascii="Times New Roman" w:hAnsi="Times New Roman" w:cs="Times New Roman" w:eastAsiaTheme="majorEastAsia"/>
                <w:sz w:val="21"/>
                <w:szCs w:val="21"/>
                <w:lang w:val="zh-CN"/>
              </w:rPr>
            </w:pPr>
            <w:r>
              <w:rPr>
                <w:rFonts w:ascii="Times New Roman" w:cs="Times New Roman" w:hAnsiTheme="majorEastAsia" w:eastAsiaTheme="majorEastAsia"/>
                <w:sz w:val="21"/>
                <w:szCs w:val="21"/>
                <w:lang w:val="zh-CN"/>
              </w:rPr>
              <w:t>生活</w:t>
            </w:r>
          </w:p>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质量</w:t>
            </w:r>
          </w:p>
        </w:tc>
        <w:tc>
          <w:tcPr>
            <w:tcW w:w="1118"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空气质量</w:t>
            </w:r>
          </w:p>
        </w:tc>
        <w:tc>
          <w:tcPr>
            <w:tcW w:w="698" w:type="dxa"/>
            <w:vAlign w:val="center"/>
          </w:tcPr>
          <w:p>
            <w:pPr>
              <w:pStyle w:val="90"/>
              <w:rPr>
                <w:rFonts w:ascii="Times New Roman" w:hAnsi="Times New Roman" w:cs="Times New Roman" w:eastAsiaTheme="majorEastAsia"/>
                <w:sz w:val="21"/>
                <w:szCs w:val="21"/>
              </w:rPr>
            </w:pPr>
          </w:p>
        </w:tc>
        <w:tc>
          <w:tcPr>
            <w:tcW w:w="962" w:type="dxa"/>
            <w:vAlign w:val="center"/>
          </w:tcPr>
          <w:p>
            <w:pPr>
              <w:pStyle w:val="90"/>
              <w:rPr>
                <w:rFonts w:ascii="Times New Roman" w:hAnsi="Times New Roman" w:cs="Times New Roman" w:eastAsiaTheme="majorEastAsia"/>
                <w:sz w:val="21"/>
                <w:szCs w:val="21"/>
              </w:rPr>
            </w:pPr>
            <w:r>
              <w:rPr>
                <w:rFonts w:ascii="Times New Roman" w:hAnsi="Times New Roman" w:cs="Times New Roman" w:eastAsiaTheme="majorEastAsia"/>
                <w:sz w:val="21"/>
                <w:szCs w:val="21"/>
                <w:lang w:val="zh-CN"/>
              </w:rPr>
              <w:t>▲</w:t>
            </w:r>
          </w:p>
        </w:tc>
        <w:tc>
          <w:tcPr>
            <w:tcW w:w="774" w:type="dxa"/>
            <w:vAlign w:val="center"/>
          </w:tcPr>
          <w:p>
            <w:pPr>
              <w:pStyle w:val="90"/>
              <w:rPr>
                <w:rFonts w:ascii="Times New Roman" w:hAnsi="Times New Roman" w:cs="Times New Roman" w:eastAsiaTheme="majorEastAsia"/>
                <w:sz w:val="21"/>
                <w:szCs w:val="21"/>
              </w:rPr>
            </w:pPr>
            <w:r>
              <w:rPr>
                <w:rFonts w:ascii="Times New Roman" w:hAnsi="Times New Roman" w:cs="Times New Roman" w:eastAsiaTheme="majorEastAsia"/>
                <w:sz w:val="21"/>
                <w:szCs w:val="21"/>
                <w:lang w:val="zh-CN"/>
              </w:rPr>
              <w:t>▲</w:t>
            </w:r>
          </w:p>
        </w:tc>
        <w:tc>
          <w:tcPr>
            <w:tcW w:w="708"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w:t>
            </w:r>
          </w:p>
        </w:tc>
        <w:tc>
          <w:tcPr>
            <w:tcW w:w="710"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w:t>
            </w: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r>
              <w:rPr>
                <w:rFonts w:ascii="Times New Roman" w:hAnsi="Times New Roman" w:cs="Times New Roman" w:eastAsiaTheme="majorEastAsia"/>
                <w:sz w:val="21"/>
                <w:szCs w:val="21"/>
                <w:lang w:val="zh-CN"/>
              </w:rPr>
              <w:t>▲</w:t>
            </w:r>
          </w:p>
        </w:tc>
        <w:tc>
          <w:tcPr>
            <w:tcW w:w="706"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22" w:type="dxa"/>
            <w:vMerge w:val="continue"/>
            <w:vAlign w:val="center"/>
          </w:tcPr>
          <w:p>
            <w:pPr>
              <w:pStyle w:val="90"/>
              <w:rPr>
                <w:rFonts w:ascii="Times New Roman" w:hAnsi="Times New Roman" w:cs="Times New Roman" w:eastAsiaTheme="majorEastAsia"/>
                <w:sz w:val="21"/>
                <w:szCs w:val="21"/>
              </w:rPr>
            </w:pPr>
          </w:p>
        </w:tc>
        <w:tc>
          <w:tcPr>
            <w:tcW w:w="1118"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地表水质</w:t>
            </w:r>
          </w:p>
        </w:tc>
        <w:tc>
          <w:tcPr>
            <w:tcW w:w="698" w:type="dxa"/>
            <w:vAlign w:val="center"/>
          </w:tcPr>
          <w:p>
            <w:pPr>
              <w:pStyle w:val="90"/>
              <w:rPr>
                <w:rFonts w:ascii="Times New Roman" w:hAnsi="Times New Roman" w:cs="Times New Roman" w:eastAsiaTheme="majorEastAsia"/>
                <w:sz w:val="21"/>
                <w:szCs w:val="21"/>
              </w:rPr>
            </w:pPr>
          </w:p>
        </w:tc>
        <w:tc>
          <w:tcPr>
            <w:tcW w:w="962" w:type="dxa"/>
            <w:vAlign w:val="center"/>
          </w:tcPr>
          <w:p>
            <w:pPr>
              <w:pStyle w:val="90"/>
              <w:rPr>
                <w:rFonts w:ascii="Times New Roman" w:hAnsi="Times New Roman" w:cs="Times New Roman" w:eastAsiaTheme="majorEastAsia"/>
                <w:sz w:val="21"/>
                <w:szCs w:val="21"/>
              </w:rPr>
            </w:pPr>
            <w:r>
              <w:rPr>
                <w:rFonts w:ascii="Times New Roman" w:hAnsi="Times New Roman" w:cs="Times New Roman" w:eastAsiaTheme="majorEastAsia"/>
                <w:sz w:val="21"/>
                <w:szCs w:val="21"/>
                <w:lang w:val="zh-CN"/>
              </w:rPr>
              <w:t>▲</w:t>
            </w:r>
          </w:p>
        </w:tc>
        <w:tc>
          <w:tcPr>
            <w:tcW w:w="774" w:type="dxa"/>
            <w:vAlign w:val="center"/>
          </w:tcPr>
          <w:p>
            <w:pPr>
              <w:pStyle w:val="90"/>
              <w:rPr>
                <w:rFonts w:ascii="Times New Roman" w:hAnsi="Times New Roman" w:cs="Times New Roman" w:eastAsiaTheme="majorEastAsia"/>
                <w:sz w:val="21"/>
                <w:szCs w:val="21"/>
              </w:rPr>
            </w:pPr>
          </w:p>
        </w:tc>
        <w:tc>
          <w:tcPr>
            <w:tcW w:w="708"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r>
              <w:rPr>
                <w:rFonts w:ascii="Times New Roman" w:hAnsi="Times New Roman" w:cs="Times New Roman" w:eastAsiaTheme="majorEastAsia"/>
                <w:sz w:val="21"/>
                <w:szCs w:val="21"/>
                <w:lang w:val="zh-CN"/>
              </w:rPr>
              <w:t>▲</w:t>
            </w:r>
          </w:p>
        </w:tc>
        <w:tc>
          <w:tcPr>
            <w:tcW w:w="706"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22" w:type="dxa"/>
            <w:vMerge w:val="continue"/>
            <w:vAlign w:val="center"/>
          </w:tcPr>
          <w:p>
            <w:pPr>
              <w:pStyle w:val="90"/>
              <w:rPr>
                <w:rFonts w:ascii="Times New Roman" w:hAnsi="Times New Roman" w:cs="Times New Roman" w:eastAsiaTheme="majorEastAsia"/>
                <w:sz w:val="21"/>
                <w:szCs w:val="21"/>
              </w:rPr>
            </w:pPr>
          </w:p>
        </w:tc>
        <w:tc>
          <w:tcPr>
            <w:tcW w:w="1118"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声学环境</w:t>
            </w:r>
          </w:p>
        </w:tc>
        <w:tc>
          <w:tcPr>
            <w:tcW w:w="698" w:type="dxa"/>
            <w:vAlign w:val="center"/>
          </w:tcPr>
          <w:p>
            <w:pPr>
              <w:pStyle w:val="90"/>
              <w:rPr>
                <w:rFonts w:ascii="Times New Roman" w:hAnsi="Times New Roman" w:cs="Times New Roman" w:eastAsiaTheme="majorEastAsia"/>
                <w:sz w:val="21"/>
                <w:szCs w:val="21"/>
              </w:rPr>
            </w:pPr>
          </w:p>
        </w:tc>
        <w:tc>
          <w:tcPr>
            <w:tcW w:w="962" w:type="dxa"/>
            <w:vAlign w:val="center"/>
          </w:tcPr>
          <w:p>
            <w:pPr>
              <w:pStyle w:val="90"/>
              <w:rPr>
                <w:rFonts w:ascii="Times New Roman" w:hAnsi="Times New Roman" w:cs="Times New Roman" w:eastAsiaTheme="majorEastAsia"/>
                <w:sz w:val="21"/>
                <w:szCs w:val="21"/>
              </w:rPr>
            </w:pPr>
            <w:r>
              <w:rPr>
                <w:rFonts w:ascii="Times New Roman" w:hAnsi="Times New Roman" w:cs="Times New Roman" w:eastAsiaTheme="majorEastAsia"/>
                <w:sz w:val="21"/>
                <w:szCs w:val="21"/>
                <w:lang w:val="zh-CN"/>
              </w:rPr>
              <w:t>▲</w:t>
            </w:r>
          </w:p>
        </w:tc>
        <w:tc>
          <w:tcPr>
            <w:tcW w:w="774" w:type="dxa"/>
            <w:vAlign w:val="center"/>
          </w:tcPr>
          <w:p>
            <w:pPr>
              <w:pStyle w:val="90"/>
              <w:rPr>
                <w:rFonts w:ascii="Times New Roman" w:hAnsi="Times New Roman" w:cs="Times New Roman" w:eastAsiaTheme="majorEastAsia"/>
                <w:sz w:val="21"/>
                <w:szCs w:val="21"/>
              </w:rPr>
            </w:pPr>
            <w:r>
              <w:rPr>
                <w:rFonts w:ascii="Times New Roman" w:hAnsi="Times New Roman" w:cs="Times New Roman" w:eastAsiaTheme="majorEastAsia"/>
                <w:sz w:val="21"/>
                <w:szCs w:val="21"/>
                <w:lang w:val="zh-CN"/>
              </w:rPr>
              <w:t>▲</w:t>
            </w:r>
          </w:p>
        </w:tc>
        <w:tc>
          <w:tcPr>
            <w:tcW w:w="708"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w:t>
            </w:r>
          </w:p>
        </w:tc>
        <w:tc>
          <w:tcPr>
            <w:tcW w:w="710" w:type="dxa"/>
            <w:vAlign w:val="center"/>
          </w:tcPr>
          <w:p>
            <w:pPr>
              <w:pStyle w:val="90"/>
              <w:rPr>
                <w:rFonts w:ascii="Times New Roman" w:hAnsi="Times New Roman" w:cs="Times New Roman" w:eastAsiaTheme="majorEastAsia"/>
                <w:sz w:val="21"/>
                <w:szCs w:val="21"/>
              </w:rPr>
            </w:pPr>
          </w:p>
        </w:tc>
        <w:tc>
          <w:tcPr>
            <w:tcW w:w="706"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22" w:type="dxa"/>
            <w:vMerge w:val="continue"/>
            <w:vAlign w:val="center"/>
          </w:tcPr>
          <w:p>
            <w:pPr>
              <w:pStyle w:val="90"/>
              <w:rPr>
                <w:rFonts w:ascii="Times New Roman" w:hAnsi="Times New Roman" w:cs="Times New Roman" w:eastAsiaTheme="majorEastAsia"/>
                <w:sz w:val="21"/>
                <w:szCs w:val="21"/>
              </w:rPr>
            </w:pPr>
          </w:p>
        </w:tc>
        <w:tc>
          <w:tcPr>
            <w:tcW w:w="1118"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居住条件</w:t>
            </w:r>
          </w:p>
        </w:tc>
        <w:tc>
          <w:tcPr>
            <w:tcW w:w="698" w:type="dxa"/>
            <w:vAlign w:val="center"/>
          </w:tcPr>
          <w:p>
            <w:pPr>
              <w:pStyle w:val="90"/>
              <w:rPr>
                <w:rFonts w:ascii="Times New Roman" w:hAnsi="Times New Roman" w:cs="Times New Roman" w:eastAsiaTheme="majorEastAsia"/>
                <w:sz w:val="21"/>
                <w:szCs w:val="21"/>
              </w:rPr>
            </w:pPr>
          </w:p>
        </w:tc>
        <w:tc>
          <w:tcPr>
            <w:tcW w:w="962" w:type="dxa"/>
            <w:vAlign w:val="center"/>
          </w:tcPr>
          <w:p>
            <w:pPr>
              <w:pStyle w:val="90"/>
              <w:rPr>
                <w:rFonts w:ascii="Times New Roman" w:hAnsi="Times New Roman" w:cs="Times New Roman" w:eastAsiaTheme="majorEastAsia"/>
                <w:sz w:val="21"/>
                <w:szCs w:val="21"/>
              </w:rPr>
            </w:pPr>
            <w:r>
              <w:rPr>
                <w:rFonts w:ascii="Times New Roman" w:hAnsi="Times New Roman" w:cs="Times New Roman" w:eastAsiaTheme="majorEastAsia"/>
                <w:sz w:val="21"/>
                <w:szCs w:val="21"/>
                <w:lang w:val="zh-CN"/>
              </w:rPr>
              <w:t>▲</w:t>
            </w:r>
          </w:p>
        </w:tc>
        <w:tc>
          <w:tcPr>
            <w:tcW w:w="774" w:type="dxa"/>
            <w:vAlign w:val="center"/>
          </w:tcPr>
          <w:p>
            <w:pPr>
              <w:pStyle w:val="90"/>
              <w:rPr>
                <w:rFonts w:ascii="Times New Roman" w:hAnsi="Times New Roman" w:cs="Times New Roman" w:eastAsiaTheme="majorEastAsia"/>
                <w:sz w:val="21"/>
                <w:szCs w:val="21"/>
              </w:rPr>
            </w:pPr>
          </w:p>
        </w:tc>
        <w:tc>
          <w:tcPr>
            <w:tcW w:w="708"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w:t>
            </w:r>
          </w:p>
        </w:tc>
        <w:tc>
          <w:tcPr>
            <w:tcW w:w="710"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w:t>
            </w:r>
          </w:p>
        </w:tc>
        <w:tc>
          <w:tcPr>
            <w:tcW w:w="710"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w:t>
            </w:r>
          </w:p>
        </w:tc>
        <w:tc>
          <w:tcPr>
            <w:tcW w:w="710" w:type="dxa"/>
            <w:vAlign w:val="center"/>
          </w:tcPr>
          <w:p>
            <w:pPr>
              <w:pStyle w:val="90"/>
              <w:rPr>
                <w:rFonts w:ascii="Times New Roman" w:hAnsi="Times New Roman" w:cs="Times New Roman" w:eastAsiaTheme="majorEastAsia"/>
                <w:sz w:val="21"/>
                <w:szCs w:val="21"/>
              </w:rPr>
            </w:pPr>
            <w:r>
              <w:rPr>
                <w:rFonts w:ascii="Times New Roman" w:hAnsi="Times New Roman" w:cs="Times New Roman" w:eastAsiaTheme="majorEastAsia"/>
                <w:sz w:val="21"/>
                <w:szCs w:val="21"/>
                <w:lang w:val="zh-CN"/>
              </w:rPr>
              <w:t>▲</w:t>
            </w:r>
          </w:p>
        </w:tc>
        <w:tc>
          <w:tcPr>
            <w:tcW w:w="706"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22" w:type="dxa"/>
            <w:vMerge w:val="continue"/>
            <w:vAlign w:val="center"/>
          </w:tcPr>
          <w:p>
            <w:pPr>
              <w:pStyle w:val="90"/>
              <w:rPr>
                <w:rFonts w:ascii="Times New Roman" w:hAnsi="Times New Roman" w:cs="Times New Roman" w:eastAsiaTheme="majorEastAsia"/>
                <w:sz w:val="21"/>
                <w:szCs w:val="21"/>
              </w:rPr>
            </w:pPr>
          </w:p>
        </w:tc>
        <w:tc>
          <w:tcPr>
            <w:tcW w:w="1118"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经济收入</w:t>
            </w:r>
          </w:p>
        </w:tc>
        <w:tc>
          <w:tcPr>
            <w:tcW w:w="698" w:type="dxa"/>
            <w:vAlign w:val="center"/>
          </w:tcPr>
          <w:p>
            <w:pPr>
              <w:pStyle w:val="90"/>
              <w:rPr>
                <w:rFonts w:ascii="Times New Roman" w:hAnsi="Times New Roman" w:cs="Times New Roman" w:eastAsiaTheme="majorEastAsia"/>
                <w:sz w:val="21"/>
                <w:szCs w:val="21"/>
              </w:rPr>
            </w:pPr>
          </w:p>
        </w:tc>
        <w:tc>
          <w:tcPr>
            <w:tcW w:w="962"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w:t>
            </w:r>
          </w:p>
        </w:tc>
        <w:tc>
          <w:tcPr>
            <w:tcW w:w="774" w:type="dxa"/>
            <w:vAlign w:val="center"/>
          </w:tcPr>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w:t>
            </w:r>
          </w:p>
        </w:tc>
        <w:tc>
          <w:tcPr>
            <w:tcW w:w="708"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10" w:type="dxa"/>
            <w:vAlign w:val="center"/>
          </w:tcPr>
          <w:p>
            <w:pPr>
              <w:pStyle w:val="90"/>
              <w:rPr>
                <w:rFonts w:ascii="Times New Roman" w:hAnsi="Times New Roman" w:cs="Times New Roman" w:eastAsiaTheme="majorEastAsia"/>
                <w:sz w:val="21"/>
                <w:szCs w:val="21"/>
              </w:rPr>
            </w:pPr>
          </w:p>
        </w:tc>
        <w:tc>
          <w:tcPr>
            <w:tcW w:w="706" w:type="dxa"/>
            <w:vAlign w:val="center"/>
          </w:tcPr>
          <w:p>
            <w:pPr>
              <w:pStyle w:val="90"/>
              <w:rPr>
                <w:rFonts w:ascii="Times New Roman" w:hAnsi="Times New Roman" w:cs="Times New Roman" w:eastAsiaTheme="maj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528" w:type="dxa"/>
            <w:gridSpan w:val="11"/>
            <w:vAlign w:val="center"/>
          </w:tcPr>
          <w:p>
            <w:pPr>
              <w:pStyle w:val="90"/>
              <w:rPr>
                <w:rFonts w:ascii="Times New Roman" w:hAnsi="Times New Roman" w:cs="Times New Roman" w:eastAsiaTheme="majorEastAsia"/>
                <w:sz w:val="21"/>
                <w:szCs w:val="21"/>
                <w:lang w:val="zh-CN"/>
              </w:rPr>
            </w:pPr>
            <w:r>
              <w:rPr>
                <w:rFonts w:ascii="Times New Roman" w:hAnsi="Times New Roman" w:cs="Times New Roman" w:eastAsiaTheme="majorEastAsia"/>
                <w:sz w:val="21"/>
                <w:szCs w:val="21"/>
                <w:lang w:val="zh-CN"/>
              </w:rPr>
              <w:t>▲</w:t>
            </w:r>
            <w:r>
              <w:rPr>
                <w:rFonts w:ascii="Times New Roman" w:hAnsi="Times New Roman" w:cs="Times New Roman" w:eastAsiaTheme="majorEastAsia"/>
                <w:sz w:val="21"/>
                <w:szCs w:val="21"/>
              </w:rPr>
              <w:t>/</w:t>
            </w:r>
            <w:r>
              <w:rPr>
                <w:rFonts w:cs="Times New Roman" w:asciiTheme="majorEastAsia" w:hAnsiTheme="majorEastAsia" w:eastAsiaTheme="majorEastAsia"/>
                <w:sz w:val="21"/>
                <w:szCs w:val="21"/>
                <w:lang w:val="zh-CN"/>
              </w:rPr>
              <w:t>△</w:t>
            </w:r>
            <w:r>
              <w:rPr>
                <w:rFonts w:ascii="Times New Roman" w:cs="Times New Roman" w:hAnsiTheme="majorEastAsia" w:eastAsiaTheme="majorEastAsia"/>
                <w:sz w:val="21"/>
                <w:szCs w:val="21"/>
                <w:lang w:val="zh-CN"/>
              </w:rPr>
              <w:t>表示短期不利影响</w:t>
            </w:r>
            <w:r>
              <w:rPr>
                <w:rFonts w:ascii="Times New Roman" w:hAnsi="Times New Roman" w:cs="Times New Roman" w:eastAsiaTheme="majorEastAsia"/>
                <w:sz w:val="21"/>
                <w:szCs w:val="21"/>
              </w:rPr>
              <w:t>/</w:t>
            </w:r>
            <w:r>
              <w:rPr>
                <w:rFonts w:ascii="Times New Roman" w:cs="Times New Roman" w:hAnsiTheme="majorEastAsia" w:eastAsiaTheme="majorEastAsia"/>
                <w:sz w:val="21"/>
                <w:szCs w:val="21"/>
                <w:lang w:val="zh-CN"/>
              </w:rPr>
              <w:t>有利影响★</w:t>
            </w:r>
            <w:r>
              <w:rPr>
                <w:rFonts w:ascii="Times New Roman" w:hAnsi="Times New Roman" w:cs="Times New Roman" w:eastAsiaTheme="majorEastAsia"/>
                <w:sz w:val="21"/>
                <w:szCs w:val="21"/>
              </w:rPr>
              <w:t>/</w:t>
            </w:r>
            <w:r>
              <w:rPr>
                <w:rFonts w:ascii="Times New Roman" w:cs="Times New Roman" w:hAnsiTheme="majorEastAsia" w:eastAsiaTheme="majorEastAsia"/>
                <w:sz w:val="21"/>
                <w:szCs w:val="21"/>
                <w:lang w:val="zh-CN"/>
              </w:rPr>
              <w:t>☆表示长期不利影响</w:t>
            </w:r>
            <w:r>
              <w:rPr>
                <w:rFonts w:ascii="Times New Roman" w:hAnsi="Times New Roman" w:cs="Times New Roman" w:eastAsiaTheme="majorEastAsia"/>
                <w:sz w:val="21"/>
                <w:szCs w:val="21"/>
              </w:rPr>
              <w:t>/</w:t>
            </w:r>
            <w:r>
              <w:rPr>
                <w:rFonts w:ascii="Times New Roman" w:cs="Times New Roman" w:hAnsiTheme="majorEastAsia" w:eastAsiaTheme="majorEastAsia"/>
                <w:sz w:val="21"/>
                <w:szCs w:val="21"/>
                <w:lang w:val="zh-CN"/>
              </w:rPr>
              <w:t>有利影响</w:t>
            </w:r>
          </w:p>
          <w:p>
            <w:pPr>
              <w:pStyle w:val="90"/>
              <w:rPr>
                <w:rFonts w:ascii="Times New Roman" w:hAnsi="Times New Roman" w:cs="Times New Roman" w:eastAsiaTheme="majorEastAsia"/>
                <w:sz w:val="21"/>
                <w:szCs w:val="21"/>
              </w:rPr>
            </w:pPr>
            <w:r>
              <w:rPr>
                <w:rFonts w:ascii="Times New Roman" w:cs="Times New Roman" w:hAnsiTheme="majorEastAsia" w:eastAsiaTheme="majorEastAsia"/>
                <w:sz w:val="21"/>
                <w:szCs w:val="21"/>
                <w:lang w:val="zh-CN"/>
              </w:rPr>
              <w:t>空格表示不明显影响或没有影响</w:t>
            </w:r>
          </w:p>
        </w:tc>
      </w:tr>
    </w:tbl>
    <w:p>
      <w:pPr>
        <w:pStyle w:val="220"/>
        <w:adjustRightInd/>
        <w:snapToGrid/>
        <w:ind w:firstLine="482" w:firstLineChars="200"/>
        <w:jc w:val="both"/>
        <w:rPr>
          <w:rFonts w:ascii="Times New Roman" w:hAnsi="Times New Roman" w:cs="Times New Roman"/>
          <w:b/>
          <w:color w:val="FF0000"/>
          <w:u w:val="wave"/>
        </w:rPr>
      </w:pPr>
      <w:r>
        <w:rPr>
          <w:rFonts w:hint="eastAsia" w:ascii="Times New Roman" w:hAnsi="Times New Roman" w:cs="Times New Roman"/>
          <w:b/>
          <w:color w:val="FF0000"/>
          <w:u w:val="wave"/>
        </w:rPr>
        <w:t>2、</w:t>
      </w:r>
      <w:r>
        <w:rPr>
          <w:rFonts w:ascii="Times New Roman" w:hAnsi="Times New Roman" w:cs="Times New Roman"/>
          <w:b/>
          <w:color w:val="FF0000"/>
          <w:u w:val="wave"/>
        </w:rPr>
        <w:t>评价因子筛选</w:t>
      </w:r>
    </w:p>
    <w:p>
      <w:pPr>
        <w:pStyle w:val="220"/>
        <w:adjustRightInd/>
        <w:snapToGrid/>
        <w:ind w:firstLine="480" w:firstLineChars="200"/>
        <w:jc w:val="both"/>
        <w:rPr>
          <w:rFonts w:ascii="Times New Roman" w:hAnsi="Times New Roman" w:cs="Times New Roman"/>
          <w:color w:val="FF0000"/>
          <w:u w:val="wave"/>
        </w:rPr>
      </w:pPr>
      <w:r>
        <w:rPr>
          <w:color w:val="FF0000"/>
          <w:u w:val="wave"/>
        </w:rPr>
        <w:t>根据项目生产工艺及其污染物污染物排放的特点，结合项目所在区域的环境特征和规划要求，确定本次</w:t>
      </w:r>
      <w:r>
        <w:rPr>
          <w:rFonts w:ascii="Times New Roman" w:hAnsi="Times New Roman" w:cs="Times New Roman"/>
          <w:color w:val="FF0000"/>
          <w:u w:val="wave"/>
        </w:rPr>
        <w:t>评价因子如表2.</w:t>
      </w:r>
      <w:r>
        <w:rPr>
          <w:rFonts w:hint="eastAsia" w:ascii="Times New Roman" w:hAnsi="Times New Roman" w:cs="Times New Roman"/>
          <w:color w:val="FF0000"/>
          <w:u w:val="wave"/>
        </w:rPr>
        <w:t>3</w:t>
      </w:r>
      <w:r>
        <w:rPr>
          <w:rFonts w:ascii="Times New Roman" w:hAnsi="Times New Roman" w:cs="Times New Roman"/>
          <w:color w:val="FF0000"/>
          <w:u w:val="wave"/>
        </w:rPr>
        <w:t>-</w:t>
      </w:r>
      <w:r>
        <w:rPr>
          <w:rFonts w:hint="eastAsia" w:ascii="Times New Roman" w:hAnsi="Times New Roman" w:cs="Times New Roman"/>
          <w:color w:val="FF0000"/>
          <w:u w:val="wave"/>
        </w:rPr>
        <w:t>2所示</w:t>
      </w:r>
      <w:r>
        <w:rPr>
          <w:rFonts w:ascii="Times New Roman" w:hAnsi="Times New Roman" w:cs="Times New Roman"/>
          <w:color w:val="FF0000"/>
          <w:u w:val="wave"/>
        </w:rPr>
        <w:t>。</w:t>
      </w:r>
    </w:p>
    <w:p>
      <w:pPr>
        <w:pStyle w:val="17"/>
        <w:spacing w:beforeLines="50"/>
        <w:rPr>
          <w:rFonts w:ascii="Times New Roman" w:hAnsi="Times New Roman" w:cs="Times New Roman"/>
          <w:color w:val="FF0000"/>
          <w:sz w:val="21"/>
          <w:u w:val="wave"/>
        </w:rPr>
      </w:pPr>
      <w:bookmarkStart w:id="115" w:name="_Ref299656329"/>
      <w:r>
        <w:rPr>
          <w:rFonts w:ascii="Times New Roman" w:hAnsi="Times New Roman" w:cs="Times New Roman"/>
          <w:color w:val="FF0000"/>
          <w:sz w:val="21"/>
          <w:u w:val="wave"/>
        </w:rPr>
        <w:t>表</w:t>
      </w:r>
      <w:bookmarkEnd w:id="115"/>
      <w:r>
        <w:rPr>
          <w:rFonts w:ascii="Times New Roman" w:hAnsi="Times New Roman" w:cs="Times New Roman"/>
          <w:color w:val="FF0000"/>
          <w:sz w:val="21"/>
          <w:u w:val="wave"/>
        </w:rPr>
        <w:t>2.</w:t>
      </w:r>
      <w:r>
        <w:rPr>
          <w:rFonts w:hint="eastAsia" w:ascii="Times New Roman" w:hAnsi="Times New Roman" w:cs="Times New Roman"/>
          <w:color w:val="FF0000"/>
          <w:sz w:val="21"/>
          <w:u w:val="wave"/>
        </w:rPr>
        <w:t>3</w:t>
      </w:r>
      <w:r>
        <w:rPr>
          <w:rFonts w:ascii="Times New Roman" w:hAnsi="Times New Roman" w:cs="Times New Roman"/>
          <w:color w:val="FF0000"/>
          <w:sz w:val="21"/>
          <w:u w:val="wave"/>
        </w:rPr>
        <w:t>-</w:t>
      </w:r>
      <w:r>
        <w:rPr>
          <w:rFonts w:hint="eastAsia" w:ascii="Times New Roman" w:hAnsi="Times New Roman" w:cs="Times New Roman"/>
          <w:color w:val="FF0000"/>
          <w:sz w:val="21"/>
          <w:u w:val="wave"/>
        </w:rPr>
        <w:t xml:space="preserve">2  </w:t>
      </w:r>
      <w:r>
        <w:rPr>
          <w:rFonts w:ascii="Times New Roman" w:hAnsi="Times New Roman" w:cs="Times New Roman"/>
          <w:color w:val="FF0000"/>
          <w:sz w:val="21"/>
          <w:u w:val="wave"/>
        </w:rPr>
        <w:t>主要评价因子确定表</w:t>
      </w:r>
    </w:p>
    <w:tbl>
      <w:tblPr>
        <w:tblStyle w:val="47"/>
        <w:tblW w:w="852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527"/>
        <w:gridCol w:w="3826"/>
        <w:gridCol w:w="317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27" w:type="dxa"/>
            <w:vMerge w:val="restart"/>
            <w:vAlign w:val="center"/>
          </w:tcPr>
          <w:p>
            <w:pPr>
              <w:pStyle w:val="90"/>
              <w:rPr>
                <w:rFonts w:ascii="Times New Roman" w:hAnsi="Times New Roman" w:eastAsia="宋体" w:cs="Times New Roman"/>
                <w:b/>
                <w:color w:val="FF0000"/>
                <w:sz w:val="21"/>
                <w:szCs w:val="21"/>
                <w:u w:val="wave"/>
              </w:rPr>
            </w:pPr>
            <w:r>
              <w:rPr>
                <w:rFonts w:ascii="Times New Roman" w:hAnsi="Times New Roman" w:eastAsia="宋体" w:cs="Times New Roman"/>
                <w:b/>
                <w:color w:val="FF0000"/>
                <w:sz w:val="21"/>
                <w:szCs w:val="21"/>
                <w:u w:val="wave"/>
              </w:rPr>
              <w:t>评价要素</w:t>
            </w:r>
          </w:p>
        </w:tc>
        <w:tc>
          <w:tcPr>
            <w:tcW w:w="7001" w:type="dxa"/>
            <w:gridSpan w:val="2"/>
            <w:vAlign w:val="center"/>
          </w:tcPr>
          <w:p>
            <w:pPr>
              <w:pStyle w:val="90"/>
              <w:rPr>
                <w:rFonts w:ascii="Times New Roman" w:hAnsi="Times New Roman" w:eastAsia="宋体" w:cs="Times New Roman"/>
                <w:b/>
                <w:color w:val="FF0000"/>
                <w:sz w:val="21"/>
                <w:szCs w:val="21"/>
                <w:u w:val="wave"/>
              </w:rPr>
            </w:pPr>
            <w:r>
              <w:rPr>
                <w:rFonts w:ascii="Times New Roman" w:hAnsi="Times New Roman" w:eastAsia="宋体" w:cs="Times New Roman"/>
                <w:b/>
                <w:color w:val="FF0000"/>
                <w:sz w:val="21"/>
                <w:szCs w:val="21"/>
                <w:u w:val="wave"/>
              </w:rPr>
              <w:t>评价因子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27" w:type="dxa"/>
            <w:vMerge w:val="continue"/>
            <w:vAlign w:val="center"/>
          </w:tcPr>
          <w:p>
            <w:pPr>
              <w:pStyle w:val="90"/>
              <w:rPr>
                <w:rFonts w:ascii="Times New Roman" w:hAnsi="Times New Roman" w:eastAsia="宋体" w:cs="Times New Roman"/>
                <w:b/>
                <w:color w:val="FF0000"/>
                <w:sz w:val="21"/>
                <w:szCs w:val="21"/>
                <w:u w:val="wave"/>
              </w:rPr>
            </w:pPr>
          </w:p>
        </w:tc>
        <w:tc>
          <w:tcPr>
            <w:tcW w:w="3826" w:type="dxa"/>
            <w:vAlign w:val="center"/>
          </w:tcPr>
          <w:p>
            <w:pPr>
              <w:pStyle w:val="90"/>
              <w:rPr>
                <w:rFonts w:ascii="Times New Roman" w:hAnsi="Times New Roman" w:eastAsia="宋体" w:cs="Times New Roman"/>
                <w:b/>
                <w:color w:val="FF0000"/>
                <w:sz w:val="21"/>
                <w:szCs w:val="21"/>
                <w:u w:val="wave"/>
              </w:rPr>
            </w:pPr>
            <w:r>
              <w:rPr>
                <w:rFonts w:ascii="Times New Roman" w:hAnsi="Times New Roman" w:eastAsia="宋体" w:cs="Times New Roman"/>
                <w:b/>
                <w:color w:val="FF0000"/>
                <w:sz w:val="21"/>
                <w:szCs w:val="21"/>
                <w:u w:val="wave"/>
                <w:lang w:val="pt-BR"/>
              </w:rPr>
              <w:t>环境质量现状评价因子</w:t>
            </w:r>
          </w:p>
        </w:tc>
        <w:tc>
          <w:tcPr>
            <w:tcW w:w="3175" w:type="dxa"/>
            <w:vAlign w:val="center"/>
          </w:tcPr>
          <w:p>
            <w:pPr>
              <w:pStyle w:val="90"/>
              <w:rPr>
                <w:rFonts w:ascii="Times New Roman" w:hAnsi="Times New Roman" w:eastAsia="宋体" w:cs="Times New Roman"/>
                <w:b/>
                <w:color w:val="FF0000"/>
                <w:sz w:val="21"/>
                <w:szCs w:val="21"/>
                <w:u w:val="wave"/>
              </w:rPr>
            </w:pPr>
            <w:r>
              <w:rPr>
                <w:rFonts w:ascii="Times New Roman" w:hAnsi="Times New Roman" w:eastAsia="宋体" w:cs="Times New Roman"/>
                <w:b/>
                <w:color w:val="FF0000"/>
                <w:sz w:val="21"/>
                <w:szCs w:val="21"/>
                <w:u w:val="wave"/>
              </w:rPr>
              <w:t>环境影响预测评价因子</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27" w:type="dxa"/>
            <w:vAlign w:val="center"/>
          </w:tcPr>
          <w:p>
            <w:pPr>
              <w:pStyle w:val="90"/>
              <w:rPr>
                <w:rFonts w:ascii="Times New Roman" w:hAnsi="Times New Roman" w:eastAsia="宋体" w:cs="Times New Roman"/>
                <w:color w:val="FF0000"/>
                <w:sz w:val="21"/>
                <w:szCs w:val="21"/>
                <w:u w:val="wave"/>
              </w:rPr>
            </w:pPr>
            <w:r>
              <w:rPr>
                <w:rFonts w:ascii="Times New Roman" w:hAnsi="Times New Roman" w:eastAsia="宋体" w:cs="Times New Roman"/>
                <w:color w:val="FF0000"/>
                <w:sz w:val="21"/>
                <w:szCs w:val="21"/>
                <w:u w:val="wave"/>
              </w:rPr>
              <w:t>大气环境</w:t>
            </w:r>
          </w:p>
        </w:tc>
        <w:tc>
          <w:tcPr>
            <w:tcW w:w="3826" w:type="dxa"/>
            <w:vAlign w:val="center"/>
          </w:tcPr>
          <w:p>
            <w:pPr>
              <w:pStyle w:val="90"/>
              <w:rPr>
                <w:rFonts w:ascii="Times New Roman" w:hAnsi="Times New Roman" w:eastAsia="宋体" w:cs="Times New Roman"/>
                <w:color w:val="FF0000"/>
                <w:sz w:val="21"/>
                <w:szCs w:val="21"/>
                <w:u w:val="wave"/>
              </w:rPr>
            </w:pPr>
            <w:r>
              <w:rPr>
                <w:rFonts w:ascii="Times New Roman" w:hAnsi="Times New Roman" w:eastAsia="宋体" w:cs="Times New Roman"/>
                <w:color w:val="FF0000"/>
                <w:sz w:val="21"/>
                <w:szCs w:val="21"/>
                <w:u w:val="wave"/>
              </w:rPr>
              <w:t>SO</w:t>
            </w:r>
            <w:r>
              <w:rPr>
                <w:rFonts w:ascii="Times New Roman" w:hAnsi="Times New Roman" w:eastAsia="宋体" w:cs="Times New Roman"/>
                <w:color w:val="FF0000"/>
                <w:sz w:val="21"/>
                <w:szCs w:val="21"/>
                <w:u w:val="wave"/>
                <w:vertAlign w:val="subscript"/>
              </w:rPr>
              <w:t>2</w:t>
            </w:r>
            <w:r>
              <w:rPr>
                <w:rFonts w:ascii="Times New Roman" w:hAnsi="Times New Roman" w:eastAsia="宋体" w:cs="Times New Roman"/>
                <w:color w:val="FF0000"/>
                <w:sz w:val="21"/>
                <w:szCs w:val="21"/>
                <w:u w:val="wave"/>
              </w:rPr>
              <w:t>、NO</w:t>
            </w:r>
            <w:r>
              <w:rPr>
                <w:rFonts w:ascii="Times New Roman" w:hAnsi="Times New Roman" w:eastAsia="宋体" w:cs="Times New Roman"/>
                <w:color w:val="FF0000"/>
                <w:sz w:val="21"/>
                <w:szCs w:val="21"/>
                <w:u w:val="wave"/>
                <w:vertAlign w:val="subscript"/>
              </w:rPr>
              <w:t>2</w:t>
            </w:r>
            <w:r>
              <w:rPr>
                <w:rFonts w:ascii="Times New Roman" w:hAnsi="Times New Roman" w:eastAsia="宋体" w:cs="Times New Roman"/>
                <w:color w:val="FF0000"/>
                <w:sz w:val="21"/>
                <w:szCs w:val="21"/>
                <w:u w:val="wave"/>
              </w:rPr>
              <w:t>、PM</w:t>
            </w:r>
            <w:r>
              <w:rPr>
                <w:rFonts w:ascii="Times New Roman" w:hAnsi="Times New Roman" w:eastAsia="宋体" w:cs="Times New Roman"/>
                <w:color w:val="FF0000"/>
                <w:sz w:val="21"/>
                <w:szCs w:val="21"/>
                <w:u w:val="wave"/>
                <w:vertAlign w:val="subscript"/>
              </w:rPr>
              <w:t>10</w:t>
            </w:r>
            <w:r>
              <w:rPr>
                <w:rFonts w:ascii="Times New Roman" w:hAnsi="Times New Roman" w:eastAsia="宋体" w:cs="Times New Roman"/>
                <w:color w:val="FF0000"/>
                <w:sz w:val="21"/>
                <w:szCs w:val="21"/>
                <w:u w:val="wave"/>
              </w:rPr>
              <w:t>、PM</w:t>
            </w:r>
            <w:r>
              <w:rPr>
                <w:rFonts w:ascii="Times New Roman" w:hAnsi="Times New Roman" w:eastAsia="宋体" w:cs="Times New Roman"/>
                <w:color w:val="FF0000"/>
                <w:sz w:val="21"/>
                <w:szCs w:val="21"/>
                <w:u w:val="wave"/>
                <w:vertAlign w:val="subscript"/>
              </w:rPr>
              <w:t>2.5</w:t>
            </w:r>
            <w:r>
              <w:rPr>
                <w:rFonts w:ascii="Times New Roman" w:hAnsi="Times New Roman" w:eastAsia="宋体" w:cs="Times New Roman"/>
                <w:color w:val="FF0000"/>
                <w:sz w:val="21"/>
                <w:szCs w:val="21"/>
                <w:u w:val="wave"/>
              </w:rPr>
              <w:t>、CO、O</w:t>
            </w:r>
            <w:r>
              <w:rPr>
                <w:rFonts w:ascii="Times New Roman" w:hAnsi="Times New Roman" w:eastAsia="宋体" w:cs="Times New Roman"/>
                <w:color w:val="FF0000"/>
                <w:sz w:val="21"/>
                <w:szCs w:val="21"/>
                <w:u w:val="wave"/>
                <w:vertAlign w:val="subscript"/>
              </w:rPr>
              <w:t>3</w:t>
            </w:r>
            <w:r>
              <w:rPr>
                <w:rFonts w:ascii="Times New Roman" w:hAnsi="Times New Roman" w:eastAsia="宋体" w:cs="Times New Roman"/>
                <w:color w:val="FF0000"/>
                <w:sz w:val="21"/>
                <w:szCs w:val="21"/>
                <w:u w:val="wave"/>
              </w:rPr>
              <w:t>、NH</w:t>
            </w:r>
            <w:r>
              <w:rPr>
                <w:rFonts w:ascii="Times New Roman" w:hAnsi="Times New Roman" w:eastAsia="宋体" w:cs="Times New Roman"/>
                <w:color w:val="FF0000"/>
                <w:sz w:val="21"/>
                <w:szCs w:val="21"/>
                <w:u w:val="wave"/>
                <w:vertAlign w:val="subscript"/>
              </w:rPr>
              <w:t>3</w:t>
            </w:r>
            <w:r>
              <w:rPr>
                <w:rFonts w:ascii="Times New Roman" w:hAnsi="Times New Roman" w:eastAsia="宋体" w:cs="Times New Roman"/>
                <w:color w:val="FF0000"/>
                <w:sz w:val="21"/>
                <w:szCs w:val="21"/>
                <w:u w:val="wave"/>
              </w:rPr>
              <w:t>、H</w:t>
            </w:r>
            <w:r>
              <w:rPr>
                <w:rFonts w:ascii="Times New Roman" w:hAnsi="Times New Roman" w:eastAsia="宋体" w:cs="Times New Roman"/>
                <w:color w:val="FF0000"/>
                <w:sz w:val="21"/>
                <w:szCs w:val="21"/>
                <w:u w:val="wave"/>
                <w:vertAlign w:val="subscript"/>
              </w:rPr>
              <w:t>2</w:t>
            </w:r>
            <w:r>
              <w:rPr>
                <w:rFonts w:ascii="Times New Roman" w:hAnsi="Times New Roman" w:eastAsia="宋体" w:cs="Times New Roman"/>
                <w:color w:val="FF0000"/>
                <w:sz w:val="21"/>
                <w:szCs w:val="21"/>
                <w:u w:val="wave"/>
              </w:rPr>
              <w:t>S、臭气浓度</w:t>
            </w:r>
          </w:p>
        </w:tc>
        <w:tc>
          <w:tcPr>
            <w:tcW w:w="3175" w:type="dxa"/>
            <w:vAlign w:val="center"/>
          </w:tcPr>
          <w:p>
            <w:pPr>
              <w:pStyle w:val="90"/>
              <w:rPr>
                <w:rFonts w:ascii="Times New Roman" w:hAnsi="Times New Roman" w:eastAsia="宋体" w:cs="Times New Roman"/>
                <w:color w:val="FF0000"/>
                <w:sz w:val="21"/>
                <w:szCs w:val="21"/>
                <w:u w:val="wave"/>
                <w:lang w:val="pt-BR"/>
              </w:rPr>
            </w:pPr>
            <w:r>
              <w:rPr>
                <w:rFonts w:ascii="Times New Roman" w:hAnsi="Times New Roman" w:eastAsia="宋体" w:cs="Times New Roman"/>
                <w:color w:val="FF0000"/>
                <w:sz w:val="21"/>
                <w:szCs w:val="21"/>
                <w:u w:val="wave"/>
              </w:rPr>
              <w:t>NH</w:t>
            </w:r>
            <w:r>
              <w:rPr>
                <w:rFonts w:ascii="Times New Roman" w:hAnsi="Times New Roman" w:eastAsia="宋体" w:cs="Times New Roman"/>
                <w:color w:val="FF0000"/>
                <w:sz w:val="21"/>
                <w:szCs w:val="21"/>
                <w:u w:val="wave"/>
                <w:vertAlign w:val="subscript"/>
              </w:rPr>
              <w:t>3</w:t>
            </w:r>
            <w:r>
              <w:rPr>
                <w:rFonts w:ascii="Times New Roman" w:hAnsi="Times New Roman" w:eastAsia="宋体" w:cs="Times New Roman"/>
                <w:color w:val="FF0000"/>
                <w:sz w:val="21"/>
                <w:szCs w:val="21"/>
                <w:u w:val="wave"/>
              </w:rPr>
              <w:t>、H</w:t>
            </w:r>
            <w:r>
              <w:rPr>
                <w:rFonts w:ascii="Times New Roman" w:hAnsi="Times New Roman" w:eastAsia="宋体" w:cs="Times New Roman"/>
                <w:color w:val="FF0000"/>
                <w:sz w:val="21"/>
                <w:szCs w:val="21"/>
                <w:u w:val="wave"/>
                <w:vertAlign w:val="subscript"/>
              </w:rPr>
              <w:t>2</w:t>
            </w:r>
            <w:r>
              <w:rPr>
                <w:rFonts w:ascii="Times New Roman" w:hAnsi="Times New Roman" w:eastAsia="宋体" w:cs="Times New Roman"/>
                <w:color w:val="FF0000"/>
                <w:sz w:val="21"/>
                <w:szCs w:val="21"/>
                <w:u w:val="wave"/>
              </w:rPr>
              <w:t>S、臭气浓度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27" w:type="dxa"/>
            <w:vAlign w:val="center"/>
          </w:tcPr>
          <w:p>
            <w:pPr>
              <w:pStyle w:val="90"/>
              <w:rPr>
                <w:rFonts w:ascii="Times New Roman" w:hAnsi="Times New Roman" w:eastAsia="宋体" w:cs="Times New Roman"/>
                <w:color w:val="FF0000"/>
                <w:sz w:val="21"/>
                <w:szCs w:val="21"/>
                <w:u w:val="wave"/>
              </w:rPr>
            </w:pPr>
            <w:r>
              <w:rPr>
                <w:rFonts w:ascii="Times New Roman" w:hAnsi="Times New Roman" w:eastAsia="宋体" w:cs="Times New Roman"/>
                <w:color w:val="FF0000"/>
                <w:sz w:val="21"/>
                <w:szCs w:val="21"/>
                <w:u w:val="wave"/>
              </w:rPr>
              <w:t>地表水环境</w:t>
            </w:r>
          </w:p>
        </w:tc>
        <w:tc>
          <w:tcPr>
            <w:tcW w:w="3826" w:type="dxa"/>
            <w:vAlign w:val="center"/>
          </w:tcPr>
          <w:p>
            <w:pPr>
              <w:pStyle w:val="90"/>
              <w:rPr>
                <w:rFonts w:ascii="Times New Roman" w:hAnsi="Times New Roman" w:cs="Times New Roman" w:eastAsiaTheme="minorEastAsia"/>
                <w:color w:val="FF0000"/>
                <w:sz w:val="21"/>
                <w:szCs w:val="21"/>
                <w:u w:val="wave"/>
              </w:rPr>
            </w:pPr>
            <w:r>
              <w:rPr>
                <w:rFonts w:hint="eastAsia" w:ascii="Times New Roman" w:hAnsi="Times New Roman" w:eastAsia="宋体" w:cs="Times New Roman"/>
                <w:color w:val="FF0000"/>
                <w:sz w:val="21"/>
                <w:szCs w:val="21"/>
                <w:u w:val="wave"/>
              </w:rPr>
              <w:t>pH、COD</w:t>
            </w:r>
            <w:r>
              <w:rPr>
                <w:rFonts w:hint="eastAsia" w:ascii="Times New Roman" w:hAnsi="Times New Roman" w:eastAsia="宋体" w:cs="Times New Roman"/>
                <w:color w:val="FF0000"/>
                <w:sz w:val="21"/>
                <w:szCs w:val="21"/>
                <w:u w:val="wave"/>
                <w:vertAlign w:val="subscript"/>
              </w:rPr>
              <w:t>Cr</w:t>
            </w:r>
            <w:r>
              <w:rPr>
                <w:rFonts w:hint="eastAsia" w:ascii="Times New Roman" w:hAnsi="Times New Roman" w:eastAsia="宋体" w:cs="Times New Roman"/>
                <w:color w:val="FF0000"/>
                <w:sz w:val="21"/>
                <w:szCs w:val="21"/>
                <w:u w:val="wave"/>
              </w:rPr>
              <w:t>、BOD</w:t>
            </w:r>
            <w:r>
              <w:rPr>
                <w:rFonts w:hint="eastAsia" w:ascii="Times New Roman" w:hAnsi="Times New Roman" w:eastAsia="宋体" w:cs="Times New Roman"/>
                <w:color w:val="FF0000"/>
                <w:sz w:val="21"/>
                <w:szCs w:val="21"/>
                <w:u w:val="wave"/>
                <w:vertAlign w:val="subscript"/>
              </w:rPr>
              <w:t>5</w:t>
            </w:r>
            <w:r>
              <w:rPr>
                <w:rFonts w:hint="eastAsia" w:ascii="Times New Roman" w:hAnsi="Times New Roman" w:eastAsia="宋体" w:cs="Times New Roman"/>
                <w:color w:val="FF0000"/>
                <w:sz w:val="21"/>
                <w:szCs w:val="21"/>
                <w:u w:val="wave"/>
              </w:rPr>
              <w:t>、氨氮、总磷、总氮、SS、粪大肠菌群</w:t>
            </w:r>
          </w:p>
        </w:tc>
        <w:tc>
          <w:tcPr>
            <w:tcW w:w="3175" w:type="dxa"/>
            <w:vAlign w:val="center"/>
          </w:tcPr>
          <w:p>
            <w:pPr>
              <w:pStyle w:val="90"/>
              <w:rPr>
                <w:rFonts w:ascii="Times New Roman" w:hAnsi="Times New Roman" w:eastAsia="宋体" w:cs="Times New Roman"/>
                <w:color w:val="FF0000"/>
                <w:sz w:val="21"/>
                <w:szCs w:val="21"/>
                <w:u w:val="wave"/>
              </w:rPr>
            </w:pPr>
            <w:r>
              <w:rPr>
                <w:rFonts w:ascii="Times New Roman" w:hAnsi="Times New Roman" w:eastAsia="宋体" w:cs="Times New Roman"/>
                <w:color w:val="FF0000"/>
                <w:sz w:val="21"/>
                <w:szCs w:val="21"/>
                <w:u w:val="wave"/>
                <w:lang w:val="pt-B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27" w:type="dxa"/>
            <w:vAlign w:val="center"/>
          </w:tcPr>
          <w:p>
            <w:pPr>
              <w:pStyle w:val="90"/>
              <w:rPr>
                <w:rFonts w:ascii="Times New Roman" w:hAnsi="Times New Roman" w:eastAsia="宋体" w:cs="Times New Roman"/>
                <w:color w:val="FF0000"/>
                <w:sz w:val="21"/>
                <w:szCs w:val="21"/>
                <w:u w:val="wave"/>
              </w:rPr>
            </w:pPr>
            <w:r>
              <w:rPr>
                <w:rFonts w:ascii="Times New Roman" w:hAnsi="Times New Roman" w:eastAsia="宋体" w:cs="Times New Roman"/>
                <w:color w:val="FF0000"/>
                <w:sz w:val="21"/>
                <w:szCs w:val="21"/>
                <w:u w:val="wave"/>
              </w:rPr>
              <w:t>地下水环境</w:t>
            </w:r>
          </w:p>
        </w:tc>
        <w:tc>
          <w:tcPr>
            <w:tcW w:w="3826" w:type="dxa"/>
            <w:vAlign w:val="center"/>
          </w:tcPr>
          <w:p>
            <w:pPr>
              <w:pStyle w:val="90"/>
              <w:rPr>
                <w:rFonts w:ascii="Times New Roman" w:hAnsi="Times New Roman" w:eastAsia="宋体" w:cs="Times New Roman"/>
                <w:color w:val="FF0000"/>
                <w:sz w:val="21"/>
                <w:szCs w:val="21"/>
                <w:u w:val="wave"/>
                <w:lang w:val="pt-BR"/>
              </w:rPr>
            </w:pPr>
            <w:r>
              <w:rPr>
                <w:rFonts w:ascii="Times New Roman" w:hAnsi="Times New Roman" w:eastAsia="宋体" w:cs="Times New Roman"/>
                <w:color w:val="FF0000"/>
                <w:sz w:val="21"/>
                <w:szCs w:val="21"/>
                <w:u w:val="wave"/>
              </w:rPr>
              <w:t>Na</w:t>
            </w:r>
            <w:r>
              <w:rPr>
                <w:rFonts w:ascii="Times New Roman" w:hAnsi="Times New Roman" w:eastAsia="宋体" w:cs="Times New Roman"/>
                <w:color w:val="FF0000"/>
                <w:sz w:val="21"/>
                <w:szCs w:val="21"/>
                <w:u w:val="wave"/>
                <w:vertAlign w:val="superscript"/>
              </w:rPr>
              <w:t>+</w:t>
            </w:r>
            <w:r>
              <w:rPr>
                <w:rFonts w:ascii="Times New Roman" w:hAnsi="Times New Roman" w:eastAsia="宋体" w:cs="Times New Roman"/>
                <w:color w:val="FF0000"/>
                <w:sz w:val="21"/>
                <w:szCs w:val="21"/>
                <w:u w:val="wave"/>
              </w:rPr>
              <w:t>、K</w:t>
            </w:r>
            <w:r>
              <w:rPr>
                <w:rFonts w:ascii="Times New Roman" w:hAnsi="Times New Roman" w:eastAsia="宋体" w:cs="Times New Roman"/>
                <w:color w:val="FF0000"/>
                <w:sz w:val="21"/>
                <w:szCs w:val="21"/>
                <w:u w:val="wave"/>
                <w:vertAlign w:val="superscript"/>
              </w:rPr>
              <w:t>+</w:t>
            </w:r>
            <w:r>
              <w:rPr>
                <w:rFonts w:ascii="Times New Roman" w:hAnsi="Times New Roman" w:eastAsia="宋体" w:cs="Times New Roman"/>
                <w:color w:val="FF0000"/>
                <w:sz w:val="21"/>
                <w:szCs w:val="21"/>
                <w:u w:val="wave"/>
              </w:rPr>
              <w:t>、Ca</w:t>
            </w:r>
            <w:r>
              <w:rPr>
                <w:rFonts w:ascii="Times New Roman" w:hAnsi="Times New Roman" w:eastAsia="宋体" w:cs="Times New Roman"/>
                <w:color w:val="FF0000"/>
                <w:sz w:val="21"/>
                <w:szCs w:val="21"/>
                <w:u w:val="wave"/>
                <w:vertAlign w:val="superscript"/>
              </w:rPr>
              <w:t>2+</w:t>
            </w:r>
            <w:r>
              <w:rPr>
                <w:rFonts w:ascii="Times New Roman" w:hAnsi="Times New Roman" w:eastAsia="宋体" w:cs="Times New Roman"/>
                <w:color w:val="FF0000"/>
                <w:sz w:val="21"/>
                <w:szCs w:val="21"/>
                <w:u w:val="wave"/>
              </w:rPr>
              <w:t>、Mg</w:t>
            </w:r>
            <w:r>
              <w:rPr>
                <w:rFonts w:ascii="Times New Roman" w:hAnsi="Times New Roman" w:eastAsia="宋体" w:cs="Times New Roman"/>
                <w:color w:val="FF0000"/>
                <w:sz w:val="21"/>
                <w:szCs w:val="21"/>
                <w:u w:val="wave"/>
                <w:vertAlign w:val="superscript"/>
              </w:rPr>
              <w:t>2+</w:t>
            </w:r>
            <w:r>
              <w:rPr>
                <w:rFonts w:ascii="Times New Roman" w:hAnsi="Times New Roman" w:eastAsia="宋体" w:cs="Times New Roman"/>
                <w:color w:val="FF0000"/>
                <w:sz w:val="21"/>
                <w:szCs w:val="21"/>
                <w:u w:val="wave"/>
              </w:rPr>
              <w:t>、CO</w:t>
            </w:r>
            <w:r>
              <w:rPr>
                <w:rFonts w:ascii="Times New Roman" w:hAnsi="Times New Roman" w:eastAsia="宋体" w:cs="Times New Roman"/>
                <w:color w:val="FF0000"/>
                <w:sz w:val="21"/>
                <w:szCs w:val="21"/>
                <w:u w:val="wave"/>
                <w:vertAlign w:val="subscript"/>
              </w:rPr>
              <w:t>3</w:t>
            </w:r>
            <w:r>
              <w:rPr>
                <w:rFonts w:ascii="Times New Roman" w:hAnsi="Times New Roman" w:eastAsia="宋体" w:cs="Times New Roman"/>
                <w:color w:val="FF0000"/>
                <w:sz w:val="21"/>
                <w:szCs w:val="21"/>
                <w:u w:val="wave"/>
                <w:vertAlign w:val="superscript"/>
              </w:rPr>
              <w:t>2-</w:t>
            </w:r>
            <w:r>
              <w:rPr>
                <w:rFonts w:ascii="Times New Roman" w:hAnsi="Times New Roman" w:eastAsia="宋体" w:cs="Times New Roman"/>
                <w:color w:val="FF0000"/>
                <w:sz w:val="21"/>
                <w:szCs w:val="21"/>
                <w:u w:val="wave"/>
              </w:rPr>
              <w:t>、HCO</w:t>
            </w:r>
            <w:r>
              <w:rPr>
                <w:rFonts w:ascii="Times New Roman" w:hAnsi="Times New Roman" w:eastAsia="宋体" w:cs="Times New Roman"/>
                <w:color w:val="FF0000"/>
                <w:sz w:val="21"/>
                <w:szCs w:val="21"/>
                <w:u w:val="wave"/>
                <w:vertAlign w:val="subscript"/>
              </w:rPr>
              <w:t>3</w:t>
            </w:r>
            <w:r>
              <w:rPr>
                <w:rFonts w:ascii="Times New Roman" w:hAnsi="Times New Roman" w:eastAsia="宋体" w:cs="Times New Roman"/>
                <w:color w:val="FF0000"/>
                <w:sz w:val="21"/>
                <w:szCs w:val="21"/>
                <w:u w:val="wave"/>
                <w:vertAlign w:val="superscript"/>
              </w:rPr>
              <w:t>-</w:t>
            </w:r>
            <w:r>
              <w:rPr>
                <w:rFonts w:hint="eastAsia" w:ascii="Times New Roman" w:hAnsi="Times New Roman" w:eastAsia="宋体" w:cs="Times New Roman"/>
                <w:color w:val="FF0000"/>
                <w:sz w:val="21"/>
                <w:szCs w:val="21"/>
                <w:u w:val="wave"/>
              </w:rPr>
              <w:t>、</w:t>
            </w:r>
            <w:r>
              <w:rPr>
                <w:rFonts w:ascii="Times New Roman" w:hAnsi="Times New Roman" w:eastAsia="宋体" w:cs="Times New Roman"/>
                <w:color w:val="FF0000"/>
                <w:sz w:val="21"/>
                <w:szCs w:val="21"/>
                <w:u w:val="wave"/>
              </w:rPr>
              <w:t>Cl</w:t>
            </w:r>
            <w:r>
              <w:rPr>
                <w:rFonts w:ascii="Times New Roman" w:hAnsi="Times New Roman" w:eastAsia="宋体" w:cs="Times New Roman"/>
                <w:color w:val="FF0000"/>
                <w:sz w:val="21"/>
                <w:szCs w:val="21"/>
                <w:u w:val="wave"/>
                <w:vertAlign w:val="superscript"/>
              </w:rPr>
              <w:t>-</w:t>
            </w:r>
            <w:r>
              <w:rPr>
                <w:rFonts w:hint="eastAsia" w:ascii="Times New Roman" w:hAnsi="Times New Roman" w:eastAsia="宋体" w:cs="Times New Roman"/>
                <w:color w:val="FF0000"/>
                <w:sz w:val="21"/>
                <w:szCs w:val="21"/>
                <w:u w:val="wave"/>
              </w:rPr>
              <w:t>、</w:t>
            </w:r>
            <w:r>
              <w:rPr>
                <w:rFonts w:ascii="Times New Roman" w:hAnsi="Times New Roman" w:eastAsia="宋体" w:cs="Times New Roman"/>
                <w:color w:val="FF0000"/>
                <w:sz w:val="21"/>
                <w:szCs w:val="21"/>
                <w:u w:val="wave"/>
              </w:rPr>
              <w:t>SO</w:t>
            </w:r>
            <w:r>
              <w:rPr>
                <w:rFonts w:ascii="Times New Roman" w:hAnsi="Times New Roman" w:eastAsia="宋体" w:cs="Times New Roman"/>
                <w:color w:val="FF0000"/>
                <w:sz w:val="21"/>
                <w:szCs w:val="21"/>
                <w:u w:val="wave"/>
                <w:vertAlign w:val="subscript"/>
              </w:rPr>
              <w:t>4</w:t>
            </w:r>
            <w:r>
              <w:rPr>
                <w:rFonts w:ascii="Times New Roman" w:hAnsi="Times New Roman" w:eastAsia="宋体" w:cs="Times New Roman"/>
                <w:color w:val="FF0000"/>
                <w:sz w:val="21"/>
                <w:szCs w:val="21"/>
                <w:u w:val="wave"/>
                <w:vertAlign w:val="superscript"/>
              </w:rPr>
              <w:t>2-</w:t>
            </w:r>
            <w:r>
              <w:rPr>
                <w:rFonts w:ascii="Times New Roman" w:hAnsi="Times New Roman" w:eastAsia="宋体" w:cs="Times New Roman"/>
                <w:color w:val="FF0000"/>
                <w:sz w:val="21"/>
                <w:szCs w:val="21"/>
                <w:u w:val="wave"/>
              </w:rPr>
              <w:t>、pH、总硬度、耗氧量（</w:t>
            </w:r>
            <w:r>
              <w:rPr>
                <w:rFonts w:hint="eastAsia" w:ascii="Times New Roman" w:hAnsi="Times New Roman" w:eastAsia="宋体" w:cs="Times New Roman"/>
                <w:color w:val="FF0000"/>
                <w:sz w:val="21"/>
                <w:szCs w:val="21"/>
                <w:u w:val="wave"/>
              </w:rPr>
              <w:t>COD</w:t>
            </w:r>
            <w:r>
              <w:rPr>
                <w:rFonts w:hint="eastAsia" w:ascii="Times New Roman" w:hAnsi="Times New Roman" w:eastAsia="宋体" w:cs="Times New Roman"/>
                <w:color w:val="FF0000"/>
                <w:sz w:val="21"/>
                <w:szCs w:val="21"/>
                <w:u w:val="wave"/>
                <w:vertAlign w:val="subscript"/>
              </w:rPr>
              <w:t>Mn</w:t>
            </w:r>
            <w:r>
              <w:rPr>
                <w:rFonts w:hint="eastAsia" w:ascii="Times New Roman" w:hAnsi="Times New Roman" w:eastAsia="宋体" w:cs="Times New Roman"/>
                <w:color w:val="FF0000"/>
                <w:sz w:val="21"/>
                <w:szCs w:val="21"/>
                <w:u w:val="wave"/>
              </w:rPr>
              <w:t>法</w:t>
            </w:r>
            <w:r>
              <w:rPr>
                <w:rFonts w:ascii="Times New Roman" w:hAnsi="Times New Roman" w:eastAsia="宋体" w:cs="Times New Roman"/>
                <w:color w:val="FF0000"/>
                <w:sz w:val="21"/>
                <w:szCs w:val="21"/>
                <w:u w:val="wave"/>
              </w:rPr>
              <w:t>）、氨氮、硝酸盐、亚硝酸盐、总大肠菌群</w:t>
            </w:r>
          </w:p>
        </w:tc>
        <w:tc>
          <w:tcPr>
            <w:tcW w:w="3175" w:type="dxa"/>
            <w:vAlign w:val="center"/>
          </w:tcPr>
          <w:p>
            <w:pPr>
              <w:pStyle w:val="90"/>
              <w:rPr>
                <w:rFonts w:ascii="Times New Roman" w:hAnsi="Times New Roman" w:eastAsia="宋体" w:cs="Times New Roman"/>
                <w:color w:val="FF0000"/>
                <w:sz w:val="21"/>
                <w:szCs w:val="21"/>
                <w:u w:val="wave"/>
                <w:lang w:val="pt-BR"/>
              </w:rPr>
            </w:pPr>
            <w:r>
              <w:rPr>
                <w:rFonts w:ascii="Times New Roman" w:hAnsi="Times New Roman" w:eastAsia="宋体" w:cs="Times New Roman"/>
                <w:color w:val="FF0000"/>
                <w:sz w:val="21"/>
                <w:szCs w:val="21"/>
                <w:u w:val="wave"/>
                <w:lang w:val="pt-BR"/>
              </w:rPr>
              <w:t>COD</w:t>
            </w:r>
            <w:r>
              <w:rPr>
                <w:rFonts w:hint="eastAsia" w:ascii="Times New Roman" w:hAnsi="Times New Roman" w:eastAsia="宋体" w:cs="Times New Roman"/>
                <w:color w:val="FF0000"/>
                <w:sz w:val="21"/>
                <w:szCs w:val="21"/>
                <w:u w:val="wave"/>
                <w:vertAlign w:val="subscript"/>
                <w:lang w:val="pt-BR"/>
              </w:rPr>
              <w:t>Mn</w:t>
            </w:r>
            <w:r>
              <w:rPr>
                <w:rFonts w:ascii="Times New Roman" w:hAnsi="Times New Roman" w:eastAsia="宋体" w:cs="Times New Roman"/>
                <w:color w:val="FF0000"/>
                <w:sz w:val="21"/>
                <w:szCs w:val="21"/>
                <w:u w:val="wave"/>
              </w:rPr>
              <w:t>、NH</w:t>
            </w:r>
            <w:r>
              <w:rPr>
                <w:rFonts w:ascii="Times New Roman" w:hAnsi="Times New Roman" w:eastAsia="宋体" w:cs="Times New Roman"/>
                <w:color w:val="FF0000"/>
                <w:sz w:val="21"/>
                <w:szCs w:val="21"/>
                <w:u w:val="wave"/>
                <w:vertAlign w:val="subscript"/>
              </w:rPr>
              <w:t>3</w:t>
            </w:r>
            <w:r>
              <w:rPr>
                <w:rFonts w:ascii="Times New Roman" w:hAnsi="Times New Roman" w:eastAsia="宋体" w:cs="Times New Roman"/>
                <w:color w:val="FF0000"/>
                <w:sz w:val="21"/>
                <w:szCs w:val="21"/>
                <w:u w:val="wave"/>
              </w:rPr>
              <w:t>-N</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27" w:type="dxa"/>
            <w:vAlign w:val="center"/>
          </w:tcPr>
          <w:p>
            <w:pPr>
              <w:pStyle w:val="90"/>
              <w:rPr>
                <w:rFonts w:ascii="Times New Roman" w:hAnsi="Times New Roman" w:eastAsia="宋体" w:cs="Times New Roman"/>
                <w:color w:val="FF0000"/>
                <w:sz w:val="21"/>
                <w:szCs w:val="21"/>
                <w:u w:val="wave"/>
              </w:rPr>
            </w:pPr>
            <w:r>
              <w:rPr>
                <w:rFonts w:ascii="Times New Roman" w:hAnsi="Times New Roman" w:eastAsia="宋体" w:cs="Times New Roman"/>
                <w:color w:val="FF0000"/>
                <w:sz w:val="21"/>
                <w:szCs w:val="21"/>
                <w:u w:val="wave"/>
              </w:rPr>
              <w:t>声环境</w:t>
            </w:r>
          </w:p>
        </w:tc>
        <w:tc>
          <w:tcPr>
            <w:tcW w:w="3826" w:type="dxa"/>
            <w:vAlign w:val="center"/>
          </w:tcPr>
          <w:p>
            <w:pPr>
              <w:pStyle w:val="90"/>
              <w:rPr>
                <w:rFonts w:ascii="Times New Roman" w:hAnsi="Times New Roman" w:eastAsia="宋体" w:cs="Times New Roman"/>
                <w:color w:val="FF0000"/>
                <w:sz w:val="21"/>
                <w:szCs w:val="21"/>
                <w:u w:val="wave"/>
              </w:rPr>
            </w:pPr>
            <w:r>
              <w:rPr>
                <w:rFonts w:ascii="Times New Roman" w:hAnsi="Times New Roman" w:eastAsia="宋体" w:cs="Times New Roman"/>
                <w:color w:val="FF0000"/>
                <w:sz w:val="21"/>
                <w:szCs w:val="21"/>
                <w:u w:val="wave"/>
              </w:rPr>
              <w:t>LeqdB（A）</w:t>
            </w:r>
          </w:p>
        </w:tc>
        <w:tc>
          <w:tcPr>
            <w:tcW w:w="3175" w:type="dxa"/>
            <w:vAlign w:val="center"/>
          </w:tcPr>
          <w:p>
            <w:pPr>
              <w:pStyle w:val="90"/>
              <w:rPr>
                <w:rFonts w:ascii="Times New Roman" w:hAnsi="Times New Roman" w:eastAsia="宋体" w:cs="Times New Roman"/>
                <w:color w:val="FF0000"/>
                <w:sz w:val="21"/>
                <w:szCs w:val="21"/>
                <w:u w:val="wave"/>
                <w:lang w:val="pt-BR"/>
              </w:rPr>
            </w:pPr>
            <w:r>
              <w:rPr>
                <w:rFonts w:ascii="Times New Roman" w:hAnsi="Times New Roman" w:eastAsia="宋体" w:cs="Times New Roman"/>
                <w:color w:val="FF0000"/>
                <w:sz w:val="21"/>
                <w:szCs w:val="21"/>
                <w:u w:val="wave"/>
              </w:rPr>
              <w:t>LeqdB（A）</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27" w:type="dxa"/>
            <w:vAlign w:val="center"/>
          </w:tcPr>
          <w:p>
            <w:pPr>
              <w:pStyle w:val="90"/>
              <w:rPr>
                <w:rFonts w:ascii="Times New Roman" w:hAnsi="Times New Roman" w:eastAsia="宋体" w:cs="Times New Roman"/>
                <w:color w:val="FF0000"/>
                <w:sz w:val="21"/>
                <w:szCs w:val="21"/>
                <w:u w:val="wave"/>
              </w:rPr>
            </w:pPr>
            <w:r>
              <w:rPr>
                <w:rFonts w:ascii="Times New Roman" w:hAnsi="Times New Roman" w:eastAsia="宋体" w:cs="Times New Roman"/>
                <w:color w:val="FF0000"/>
                <w:sz w:val="21"/>
                <w:szCs w:val="21"/>
                <w:u w:val="wave"/>
              </w:rPr>
              <w:t>固体废物</w:t>
            </w:r>
          </w:p>
        </w:tc>
        <w:tc>
          <w:tcPr>
            <w:tcW w:w="3826" w:type="dxa"/>
            <w:vAlign w:val="center"/>
          </w:tcPr>
          <w:p>
            <w:pPr>
              <w:pStyle w:val="90"/>
              <w:rPr>
                <w:rFonts w:ascii="Times New Roman" w:hAnsi="Times New Roman" w:eastAsia="宋体" w:cs="Times New Roman"/>
                <w:color w:val="FF0000"/>
                <w:sz w:val="21"/>
                <w:szCs w:val="21"/>
                <w:u w:val="wave"/>
                <w:lang w:val="pt-BR"/>
              </w:rPr>
            </w:pPr>
            <w:r>
              <w:rPr>
                <w:rFonts w:ascii="Times New Roman" w:hAnsi="Times New Roman" w:eastAsia="宋体" w:cs="Times New Roman"/>
                <w:color w:val="FF0000"/>
                <w:sz w:val="21"/>
                <w:szCs w:val="21"/>
                <w:u w:val="wave"/>
                <w:lang w:val="pt-BR"/>
              </w:rPr>
              <w:t>——</w:t>
            </w:r>
          </w:p>
        </w:tc>
        <w:tc>
          <w:tcPr>
            <w:tcW w:w="3175" w:type="dxa"/>
            <w:vAlign w:val="center"/>
          </w:tcPr>
          <w:p>
            <w:pPr>
              <w:pStyle w:val="90"/>
              <w:rPr>
                <w:rFonts w:ascii="Times New Roman" w:hAnsi="Times New Roman" w:eastAsia="宋体" w:cs="Times New Roman"/>
                <w:color w:val="FF0000"/>
                <w:sz w:val="21"/>
                <w:szCs w:val="21"/>
                <w:u w:val="wave"/>
                <w:lang w:val="pt-BR"/>
              </w:rPr>
            </w:pPr>
            <w:r>
              <w:rPr>
                <w:rFonts w:ascii="Times New Roman" w:hAnsi="Times New Roman" w:eastAsia="宋体" w:cs="Times New Roman"/>
                <w:color w:val="FF0000"/>
                <w:sz w:val="21"/>
                <w:szCs w:val="21"/>
                <w:u w:val="wave"/>
                <w:lang w:val="pt-BR"/>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27" w:type="dxa"/>
            <w:vAlign w:val="center"/>
          </w:tcPr>
          <w:p>
            <w:pPr>
              <w:pStyle w:val="90"/>
              <w:rPr>
                <w:rFonts w:ascii="Times New Roman" w:hAnsi="Times New Roman" w:eastAsia="宋体" w:cs="Times New Roman"/>
                <w:color w:val="FF0000"/>
                <w:sz w:val="21"/>
                <w:szCs w:val="21"/>
                <w:u w:val="wave"/>
              </w:rPr>
            </w:pPr>
            <w:r>
              <w:rPr>
                <w:rFonts w:ascii="Times New Roman" w:hAnsi="Times New Roman" w:eastAsia="宋体" w:cs="Times New Roman"/>
                <w:color w:val="FF0000"/>
                <w:sz w:val="21"/>
                <w:szCs w:val="21"/>
                <w:u w:val="wave"/>
              </w:rPr>
              <w:t>土壤环境</w:t>
            </w:r>
          </w:p>
        </w:tc>
        <w:tc>
          <w:tcPr>
            <w:tcW w:w="3826" w:type="dxa"/>
            <w:vAlign w:val="center"/>
          </w:tcPr>
          <w:p>
            <w:pPr>
              <w:pStyle w:val="90"/>
              <w:rPr>
                <w:rFonts w:ascii="Times New Roman" w:hAnsi="Times New Roman" w:eastAsia="宋体" w:cs="Times New Roman"/>
                <w:color w:val="FF0000"/>
                <w:sz w:val="21"/>
                <w:szCs w:val="21"/>
                <w:u w:val="wave"/>
                <w:lang w:val="pt-BR"/>
              </w:rPr>
            </w:pPr>
            <w:r>
              <w:rPr>
                <w:rFonts w:hint="eastAsia" w:ascii="Times New Roman" w:hAnsi="Times New Roman" w:eastAsia="宋体" w:cs="Times New Roman"/>
                <w:color w:val="FF0000"/>
                <w:sz w:val="21"/>
                <w:szCs w:val="21"/>
                <w:u w:val="wave"/>
                <w:lang w:val="pt-BR"/>
              </w:rPr>
              <w:t>pH、镉、汞、砷、铅、铬、铜、镍、锌</w:t>
            </w:r>
          </w:p>
        </w:tc>
        <w:tc>
          <w:tcPr>
            <w:tcW w:w="3175" w:type="dxa"/>
            <w:vAlign w:val="center"/>
          </w:tcPr>
          <w:p>
            <w:pPr>
              <w:pStyle w:val="90"/>
              <w:rPr>
                <w:rFonts w:ascii="Times New Roman" w:hAnsi="Times New Roman" w:eastAsia="宋体" w:cs="Times New Roman"/>
                <w:color w:val="FF0000"/>
                <w:sz w:val="21"/>
                <w:szCs w:val="21"/>
                <w:u w:val="wave"/>
                <w:lang w:val="pt-BR"/>
              </w:rPr>
            </w:pPr>
            <w:r>
              <w:rPr>
                <w:rFonts w:ascii="Times New Roman" w:hAnsi="Times New Roman" w:eastAsia="宋体" w:cs="Times New Roman"/>
                <w:color w:val="FF0000"/>
                <w:sz w:val="21"/>
                <w:szCs w:val="21"/>
                <w:u w:val="wave"/>
                <w:lang w:val="pt-BR"/>
              </w:rPr>
              <w:t>——</w:t>
            </w:r>
          </w:p>
        </w:tc>
      </w:tr>
    </w:tbl>
    <w:p>
      <w:pPr>
        <w:pStyle w:val="7"/>
        <w:adjustRightInd w:val="0"/>
        <w:snapToGrid w:val="0"/>
        <w:spacing w:before="0" w:after="0" w:line="360" w:lineRule="auto"/>
        <w:jc w:val="left"/>
        <w:rPr>
          <w:sz w:val="24"/>
          <w:szCs w:val="24"/>
        </w:rPr>
      </w:pPr>
      <w:bookmarkStart w:id="116" w:name="_Toc4675"/>
      <w:bookmarkStart w:id="117" w:name="_Toc2810"/>
      <w:bookmarkStart w:id="118" w:name="_Toc16997"/>
      <w:bookmarkStart w:id="119" w:name="_Toc31280"/>
      <w:bookmarkStart w:id="120" w:name="_Toc27235"/>
      <w:bookmarkStart w:id="121" w:name="_Toc685"/>
      <w:bookmarkStart w:id="122" w:name="_Toc517522253"/>
      <w:r>
        <w:rPr>
          <w:sz w:val="24"/>
          <w:szCs w:val="24"/>
        </w:rPr>
        <w:t>2.</w:t>
      </w:r>
      <w:r>
        <w:rPr>
          <w:rFonts w:hint="eastAsia"/>
          <w:sz w:val="24"/>
          <w:szCs w:val="24"/>
        </w:rPr>
        <w:t>3</w:t>
      </w:r>
      <w:r>
        <w:rPr>
          <w:sz w:val="24"/>
          <w:szCs w:val="24"/>
        </w:rPr>
        <w:t>.2 评价标准</w:t>
      </w:r>
      <w:bookmarkEnd w:id="116"/>
      <w:bookmarkEnd w:id="117"/>
      <w:bookmarkEnd w:id="118"/>
      <w:bookmarkEnd w:id="119"/>
      <w:bookmarkEnd w:id="120"/>
      <w:bookmarkEnd w:id="121"/>
      <w:bookmarkEnd w:id="122"/>
    </w:p>
    <w:p>
      <w:pPr>
        <w:spacing w:line="360" w:lineRule="auto"/>
        <w:ind w:firstLine="482" w:firstLineChars="200"/>
        <w:rPr>
          <w:b/>
          <w:sz w:val="24"/>
        </w:rPr>
      </w:pPr>
      <w:bookmarkStart w:id="123" w:name="_Toc16745"/>
      <w:bookmarkStart w:id="124" w:name="_Toc11634"/>
      <w:bookmarkStart w:id="125" w:name="_Toc27096"/>
      <w:bookmarkStart w:id="126" w:name="_Toc15377"/>
      <w:bookmarkStart w:id="127" w:name="_Toc22775"/>
      <w:r>
        <w:rPr>
          <w:rFonts w:hint="eastAsia"/>
          <w:b/>
          <w:sz w:val="24"/>
        </w:rPr>
        <w:t>1、</w:t>
      </w:r>
      <w:r>
        <w:rPr>
          <w:b/>
          <w:sz w:val="24"/>
        </w:rPr>
        <w:t>环境质量标准</w:t>
      </w:r>
      <w:bookmarkEnd w:id="123"/>
      <w:bookmarkEnd w:id="124"/>
      <w:bookmarkEnd w:id="125"/>
      <w:bookmarkEnd w:id="126"/>
      <w:bookmarkEnd w:id="127"/>
    </w:p>
    <w:p>
      <w:pPr>
        <w:spacing w:line="360" w:lineRule="auto"/>
        <w:ind w:firstLine="480" w:firstLineChars="200"/>
        <w:rPr>
          <w:sz w:val="24"/>
        </w:rPr>
      </w:pPr>
      <w:r>
        <w:rPr>
          <w:sz w:val="24"/>
        </w:rPr>
        <w:t>（1）大气环境</w:t>
      </w:r>
    </w:p>
    <w:p>
      <w:pPr>
        <w:spacing w:line="360" w:lineRule="auto"/>
        <w:ind w:firstLine="480" w:firstLineChars="200"/>
        <w:rPr>
          <w:sz w:val="24"/>
          <w:lang w:val="zh-CN"/>
        </w:rPr>
      </w:pPr>
      <w:r>
        <w:rPr>
          <w:rFonts w:hint="eastAsia"/>
          <w:sz w:val="24"/>
        </w:rPr>
        <w:t>SO</w:t>
      </w:r>
      <w:r>
        <w:rPr>
          <w:rFonts w:hint="eastAsia"/>
          <w:sz w:val="24"/>
          <w:vertAlign w:val="subscript"/>
        </w:rPr>
        <w:t>2</w:t>
      </w:r>
      <w:r>
        <w:rPr>
          <w:rFonts w:hint="eastAsia"/>
          <w:sz w:val="24"/>
        </w:rPr>
        <w:t>、NO</w:t>
      </w:r>
      <w:r>
        <w:rPr>
          <w:rFonts w:hint="eastAsia"/>
          <w:sz w:val="24"/>
          <w:vertAlign w:val="subscript"/>
        </w:rPr>
        <w:t>2</w:t>
      </w:r>
      <w:r>
        <w:rPr>
          <w:rFonts w:hint="eastAsia"/>
          <w:sz w:val="24"/>
        </w:rPr>
        <w:t>、PM</w:t>
      </w:r>
      <w:r>
        <w:rPr>
          <w:rFonts w:hint="eastAsia"/>
          <w:sz w:val="24"/>
          <w:vertAlign w:val="subscript"/>
        </w:rPr>
        <w:t>10</w:t>
      </w:r>
      <w:r>
        <w:rPr>
          <w:rFonts w:hint="eastAsia"/>
          <w:sz w:val="24"/>
        </w:rPr>
        <w:t>、PM</w:t>
      </w:r>
      <w:r>
        <w:rPr>
          <w:rFonts w:hint="eastAsia"/>
          <w:sz w:val="24"/>
          <w:vertAlign w:val="subscript"/>
        </w:rPr>
        <w:t>2.5</w:t>
      </w:r>
      <w:r>
        <w:rPr>
          <w:rFonts w:hint="eastAsia"/>
          <w:sz w:val="24"/>
        </w:rPr>
        <w:t>、CO、O</w:t>
      </w:r>
      <w:r>
        <w:rPr>
          <w:rFonts w:hint="eastAsia"/>
          <w:sz w:val="24"/>
          <w:vertAlign w:val="subscript"/>
        </w:rPr>
        <w:t>3</w:t>
      </w:r>
      <w:r>
        <w:rPr>
          <w:sz w:val="24"/>
          <w:lang w:val="zh-CN"/>
        </w:rPr>
        <w:t>执行《环境空气质量标准》（GB3095-2012）</w:t>
      </w:r>
      <w:r>
        <w:rPr>
          <w:rFonts w:hint="eastAsia"/>
          <w:sz w:val="24"/>
        </w:rPr>
        <w:t>及其修改单</w:t>
      </w:r>
      <w:r>
        <w:rPr>
          <w:sz w:val="24"/>
          <w:lang w:val="zh-CN"/>
        </w:rPr>
        <w:t>二级标准浓度限值，</w:t>
      </w:r>
      <w:r>
        <w:rPr>
          <w:rFonts w:hint="eastAsia"/>
          <w:sz w:val="24"/>
        </w:rPr>
        <w:t>NH</w:t>
      </w:r>
      <w:r>
        <w:rPr>
          <w:rFonts w:hint="eastAsia"/>
          <w:sz w:val="24"/>
          <w:vertAlign w:val="subscript"/>
        </w:rPr>
        <w:t>3</w:t>
      </w:r>
      <w:r>
        <w:rPr>
          <w:rFonts w:hint="eastAsia"/>
          <w:sz w:val="24"/>
        </w:rPr>
        <w:t>、H</w:t>
      </w:r>
      <w:r>
        <w:rPr>
          <w:rFonts w:hint="eastAsia"/>
          <w:sz w:val="24"/>
          <w:vertAlign w:val="subscript"/>
        </w:rPr>
        <w:t>2</w:t>
      </w:r>
      <w:r>
        <w:rPr>
          <w:rFonts w:hint="eastAsia"/>
          <w:sz w:val="24"/>
        </w:rPr>
        <w:t>S参照执行</w:t>
      </w:r>
      <w:r>
        <w:rPr>
          <w:rFonts w:eastAsiaTheme="minorEastAsia"/>
          <w:sz w:val="24"/>
        </w:rPr>
        <w:t>《环境影响评价技术导则大气环境》</w:t>
      </w:r>
      <w:r>
        <w:rPr>
          <w:sz w:val="24"/>
        </w:rPr>
        <w:t>（</w:t>
      </w:r>
      <w:r>
        <w:rPr>
          <w:rFonts w:eastAsiaTheme="minorEastAsia"/>
          <w:sz w:val="24"/>
        </w:rPr>
        <w:t>HJ2.2-2018</w:t>
      </w:r>
      <w:r>
        <w:rPr>
          <w:sz w:val="24"/>
        </w:rPr>
        <w:t>）</w:t>
      </w:r>
      <w:r>
        <w:rPr>
          <w:rFonts w:eastAsiaTheme="minorEastAsia"/>
          <w:sz w:val="24"/>
        </w:rPr>
        <w:t>附</w:t>
      </w:r>
      <w:r>
        <w:rPr>
          <w:sz w:val="24"/>
        </w:rPr>
        <w:t>录D的参考限值，臭气浓度参照执行《恶臭污染物排放标准》（GB 14554-93）中表1二级新改扩建标准值</w:t>
      </w:r>
      <w:r>
        <w:rPr>
          <w:rFonts w:hint="eastAsia"/>
          <w:sz w:val="24"/>
        </w:rPr>
        <w:t>。</w:t>
      </w:r>
    </w:p>
    <w:p>
      <w:pPr>
        <w:pStyle w:val="17"/>
        <w:spacing w:beforeLines="50"/>
        <w:rPr>
          <w:rFonts w:ascii="Times New Roman" w:hAnsi="Times New Roman" w:cs="Times New Roman"/>
          <w:color w:val="auto"/>
          <w:sz w:val="21"/>
        </w:rPr>
      </w:pPr>
      <w:r>
        <w:rPr>
          <w:rFonts w:ascii="Times New Roman" w:hAnsi="Times New Roman" w:cs="Times New Roman"/>
          <w:color w:val="auto"/>
          <w:sz w:val="21"/>
        </w:rPr>
        <w:t>表2.</w:t>
      </w:r>
      <w:r>
        <w:rPr>
          <w:rFonts w:hint="eastAsia" w:ascii="Times New Roman" w:hAnsi="Times New Roman" w:cs="Times New Roman"/>
          <w:color w:val="auto"/>
          <w:sz w:val="21"/>
        </w:rPr>
        <w:t>3</w:t>
      </w:r>
      <w:r>
        <w:rPr>
          <w:rFonts w:ascii="Times New Roman" w:hAnsi="Times New Roman" w:cs="Times New Roman"/>
          <w:color w:val="auto"/>
          <w:sz w:val="21"/>
        </w:rPr>
        <w:t>-</w:t>
      </w:r>
      <w:r>
        <w:rPr>
          <w:rFonts w:hint="eastAsia" w:ascii="Times New Roman" w:hAnsi="Times New Roman" w:cs="Times New Roman"/>
          <w:color w:val="auto"/>
          <w:sz w:val="21"/>
        </w:rPr>
        <w:t xml:space="preserve">3  </w:t>
      </w:r>
      <w:r>
        <w:rPr>
          <w:rFonts w:ascii="Times New Roman" w:hAnsi="Times New Roman" w:cs="Times New Roman"/>
          <w:color w:val="auto"/>
          <w:sz w:val="21"/>
        </w:rPr>
        <w:t>环境空气质量标准限值</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166"/>
        <w:gridCol w:w="2361"/>
        <w:gridCol w:w="1667"/>
        <w:gridCol w:w="314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699" w:type="pct"/>
            <w:vAlign w:val="center"/>
          </w:tcPr>
          <w:p>
            <w:pPr>
              <w:adjustRightInd w:val="0"/>
              <w:snapToGrid w:val="0"/>
              <w:jc w:val="center"/>
              <w:rPr>
                <w:b/>
                <w:kern w:val="0"/>
                <w:szCs w:val="21"/>
              </w:rPr>
            </w:pPr>
            <w:r>
              <w:rPr>
                <w:b/>
                <w:kern w:val="0"/>
                <w:szCs w:val="21"/>
              </w:rPr>
              <w:t>染物物项目</w:t>
            </w:r>
          </w:p>
        </w:tc>
        <w:tc>
          <w:tcPr>
            <w:tcW w:w="1415" w:type="pct"/>
            <w:vAlign w:val="center"/>
          </w:tcPr>
          <w:p>
            <w:pPr>
              <w:adjustRightInd w:val="0"/>
              <w:snapToGrid w:val="0"/>
              <w:jc w:val="center"/>
              <w:rPr>
                <w:b/>
                <w:kern w:val="0"/>
                <w:szCs w:val="21"/>
              </w:rPr>
            </w:pPr>
            <w:r>
              <w:rPr>
                <w:b/>
                <w:kern w:val="0"/>
                <w:szCs w:val="21"/>
              </w:rPr>
              <w:t>取样时间</w:t>
            </w:r>
          </w:p>
        </w:tc>
        <w:tc>
          <w:tcPr>
            <w:tcW w:w="999" w:type="pct"/>
            <w:vAlign w:val="center"/>
          </w:tcPr>
          <w:p>
            <w:pPr>
              <w:adjustRightInd w:val="0"/>
              <w:snapToGrid w:val="0"/>
              <w:jc w:val="center"/>
              <w:rPr>
                <w:b/>
                <w:kern w:val="0"/>
                <w:szCs w:val="21"/>
              </w:rPr>
            </w:pPr>
            <w:r>
              <w:rPr>
                <w:b/>
                <w:kern w:val="0"/>
                <w:szCs w:val="21"/>
              </w:rPr>
              <w:t>浓度限值</w:t>
            </w:r>
          </w:p>
        </w:tc>
        <w:tc>
          <w:tcPr>
            <w:tcW w:w="1886" w:type="pct"/>
            <w:vAlign w:val="center"/>
          </w:tcPr>
          <w:p>
            <w:pPr>
              <w:adjustRightInd w:val="0"/>
              <w:snapToGrid w:val="0"/>
              <w:jc w:val="center"/>
              <w:rPr>
                <w:b/>
                <w:kern w:val="0"/>
                <w:szCs w:val="21"/>
              </w:rPr>
            </w:pPr>
            <w:r>
              <w:rPr>
                <w:b/>
                <w:kern w:val="0"/>
                <w:szCs w:val="21"/>
              </w:rPr>
              <w:t>执行标准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699" w:type="pct"/>
            <w:vMerge w:val="restart"/>
            <w:vAlign w:val="center"/>
          </w:tcPr>
          <w:p>
            <w:pPr>
              <w:adjustRightInd w:val="0"/>
              <w:snapToGrid w:val="0"/>
              <w:jc w:val="center"/>
              <w:rPr>
                <w:kern w:val="0"/>
                <w:szCs w:val="21"/>
              </w:rPr>
            </w:pPr>
            <w:r>
              <w:rPr>
                <w:kern w:val="0"/>
                <w:szCs w:val="21"/>
              </w:rPr>
              <w:t>SO</w:t>
            </w:r>
            <w:r>
              <w:rPr>
                <w:kern w:val="0"/>
                <w:szCs w:val="21"/>
                <w:vertAlign w:val="subscript"/>
              </w:rPr>
              <w:t>2</w:t>
            </w:r>
          </w:p>
        </w:tc>
        <w:tc>
          <w:tcPr>
            <w:tcW w:w="1415" w:type="pct"/>
            <w:vAlign w:val="center"/>
          </w:tcPr>
          <w:p>
            <w:pPr>
              <w:adjustRightInd w:val="0"/>
              <w:snapToGrid w:val="0"/>
              <w:jc w:val="center"/>
              <w:rPr>
                <w:kern w:val="0"/>
                <w:szCs w:val="21"/>
              </w:rPr>
            </w:pPr>
            <w:r>
              <w:rPr>
                <w:kern w:val="0"/>
                <w:szCs w:val="21"/>
              </w:rPr>
              <w:t>年平均</w:t>
            </w:r>
          </w:p>
        </w:tc>
        <w:tc>
          <w:tcPr>
            <w:tcW w:w="999" w:type="pct"/>
            <w:vAlign w:val="center"/>
          </w:tcPr>
          <w:p>
            <w:pPr>
              <w:adjustRightInd w:val="0"/>
              <w:snapToGrid w:val="0"/>
              <w:jc w:val="center"/>
              <w:rPr>
                <w:kern w:val="0"/>
                <w:szCs w:val="21"/>
              </w:rPr>
            </w:pPr>
            <w:r>
              <w:rPr>
                <w:kern w:val="0"/>
                <w:szCs w:val="21"/>
              </w:rPr>
              <w:t>60μg/m</w:t>
            </w:r>
            <w:r>
              <w:rPr>
                <w:kern w:val="0"/>
                <w:szCs w:val="21"/>
                <w:vertAlign w:val="superscript"/>
              </w:rPr>
              <w:t>3</w:t>
            </w:r>
          </w:p>
        </w:tc>
        <w:tc>
          <w:tcPr>
            <w:tcW w:w="1886" w:type="pct"/>
            <w:vMerge w:val="restart"/>
            <w:vAlign w:val="center"/>
          </w:tcPr>
          <w:p>
            <w:pPr>
              <w:adjustRightInd w:val="0"/>
              <w:snapToGrid w:val="0"/>
              <w:jc w:val="center"/>
              <w:rPr>
                <w:kern w:val="0"/>
                <w:szCs w:val="21"/>
              </w:rPr>
            </w:pPr>
            <w:r>
              <w:rPr>
                <w:kern w:val="0"/>
                <w:szCs w:val="21"/>
              </w:rPr>
              <w:t>《环境空气质量标准》（GB3095-2012）</w:t>
            </w:r>
            <w:r>
              <w:rPr>
                <w:rFonts w:hint="eastAsia"/>
                <w:kern w:val="0"/>
                <w:szCs w:val="21"/>
              </w:rPr>
              <w:t>及其修改单</w:t>
            </w:r>
            <w:r>
              <w:rPr>
                <w:kern w:val="0"/>
                <w:szCs w:val="21"/>
              </w:rPr>
              <w:t>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699" w:type="pct"/>
            <w:vMerge w:val="continue"/>
            <w:vAlign w:val="center"/>
          </w:tcPr>
          <w:p>
            <w:pPr>
              <w:adjustRightInd w:val="0"/>
              <w:snapToGrid w:val="0"/>
              <w:jc w:val="center"/>
              <w:rPr>
                <w:kern w:val="0"/>
                <w:szCs w:val="21"/>
              </w:rPr>
            </w:pPr>
          </w:p>
        </w:tc>
        <w:tc>
          <w:tcPr>
            <w:tcW w:w="1415" w:type="pct"/>
            <w:vAlign w:val="center"/>
          </w:tcPr>
          <w:p>
            <w:pPr>
              <w:adjustRightInd w:val="0"/>
              <w:snapToGrid w:val="0"/>
              <w:jc w:val="center"/>
              <w:rPr>
                <w:kern w:val="0"/>
                <w:szCs w:val="21"/>
              </w:rPr>
            </w:pPr>
            <w:r>
              <w:rPr>
                <w:kern w:val="0"/>
                <w:szCs w:val="21"/>
              </w:rPr>
              <w:t>24小时平均</w:t>
            </w:r>
          </w:p>
        </w:tc>
        <w:tc>
          <w:tcPr>
            <w:tcW w:w="999" w:type="pct"/>
            <w:vAlign w:val="center"/>
          </w:tcPr>
          <w:p>
            <w:pPr>
              <w:adjustRightInd w:val="0"/>
              <w:snapToGrid w:val="0"/>
              <w:jc w:val="center"/>
              <w:rPr>
                <w:kern w:val="0"/>
                <w:szCs w:val="21"/>
              </w:rPr>
            </w:pPr>
            <w:r>
              <w:rPr>
                <w:kern w:val="0"/>
                <w:szCs w:val="21"/>
              </w:rPr>
              <w:t>150μg/m</w:t>
            </w:r>
            <w:r>
              <w:rPr>
                <w:kern w:val="0"/>
                <w:szCs w:val="21"/>
                <w:vertAlign w:val="superscript"/>
              </w:rPr>
              <w:t>3</w:t>
            </w:r>
          </w:p>
        </w:tc>
        <w:tc>
          <w:tcPr>
            <w:tcW w:w="1886" w:type="pct"/>
            <w:vMerge w:val="continue"/>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699" w:type="pct"/>
            <w:vMerge w:val="continue"/>
            <w:vAlign w:val="center"/>
          </w:tcPr>
          <w:p>
            <w:pPr>
              <w:adjustRightInd w:val="0"/>
              <w:snapToGrid w:val="0"/>
              <w:jc w:val="center"/>
              <w:rPr>
                <w:kern w:val="0"/>
                <w:szCs w:val="21"/>
              </w:rPr>
            </w:pPr>
          </w:p>
        </w:tc>
        <w:tc>
          <w:tcPr>
            <w:tcW w:w="1415" w:type="pct"/>
            <w:vAlign w:val="center"/>
          </w:tcPr>
          <w:p>
            <w:pPr>
              <w:adjustRightInd w:val="0"/>
              <w:snapToGrid w:val="0"/>
              <w:jc w:val="center"/>
              <w:rPr>
                <w:kern w:val="0"/>
                <w:szCs w:val="21"/>
              </w:rPr>
            </w:pPr>
            <w:r>
              <w:rPr>
                <w:kern w:val="0"/>
                <w:szCs w:val="21"/>
              </w:rPr>
              <w:t>1小时平均</w:t>
            </w:r>
          </w:p>
        </w:tc>
        <w:tc>
          <w:tcPr>
            <w:tcW w:w="999" w:type="pct"/>
            <w:vAlign w:val="center"/>
          </w:tcPr>
          <w:p>
            <w:pPr>
              <w:adjustRightInd w:val="0"/>
              <w:snapToGrid w:val="0"/>
              <w:jc w:val="center"/>
              <w:rPr>
                <w:kern w:val="0"/>
                <w:szCs w:val="21"/>
              </w:rPr>
            </w:pPr>
            <w:r>
              <w:rPr>
                <w:kern w:val="0"/>
                <w:szCs w:val="21"/>
              </w:rPr>
              <w:t>500μg/m</w:t>
            </w:r>
            <w:r>
              <w:rPr>
                <w:kern w:val="0"/>
                <w:szCs w:val="21"/>
                <w:vertAlign w:val="superscript"/>
              </w:rPr>
              <w:t>3</w:t>
            </w:r>
          </w:p>
        </w:tc>
        <w:tc>
          <w:tcPr>
            <w:tcW w:w="1886" w:type="pct"/>
            <w:vMerge w:val="continue"/>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699" w:type="pct"/>
            <w:vMerge w:val="restart"/>
            <w:vAlign w:val="center"/>
          </w:tcPr>
          <w:p>
            <w:pPr>
              <w:adjustRightInd w:val="0"/>
              <w:snapToGrid w:val="0"/>
              <w:jc w:val="center"/>
              <w:rPr>
                <w:kern w:val="0"/>
                <w:szCs w:val="21"/>
              </w:rPr>
            </w:pPr>
            <w:r>
              <w:rPr>
                <w:kern w:val="0"/>
                <w:szCs w:val="21"/>
              </w:rPr>
              <w:t>NO</w:t>
            </w:r>
            <w:r>
              <w:rPr>
                <w:kern w:val="0"/>
                <w:szCs w:val="21"/>
                <w:vertAlign w:val="subscript"/>
              </w:rPr>
              <w:t>2</w:t>
            </w:r>
          </w:p>
        </w:tc>
        <w:tc>
          <w:tcPr>
            <w:tcW w:w="1415" w:type="pct"/>
            <w:vAlign w:val="center"/>
          </w:tcPr>
          <w:p>
            <w:pPr>
              <w:adjustRightInd w:val="0"/>
              <w:snapToGrid w:val="0"/>
              <w:jc w:val="center"/>
              <w:rPr>
                <w:kern w:val="0"/>
                <w:szCs w:val="21"/>
              </w:rPr>
            </w:pPr>
            <w:r>
              <w:rPr>
                <w:kern w:val="0"/>
                <w:szCs w:val="21"/>
              </w:rPr>
              <w:t>年平均</w:t>
            </w:r>
          </w:p>
        </w:tc>
        <w:tc>
          <w:tcPr>
            <w:tcW w:w="999" w:type="pct"/>
            <w:vAlign w:val="center"/>
          </w:tcPr>
          <w:p>
            <w:pPr>
              <w:adjustRightInd w:val="0"/>
              <w:snapToGrid w:val="0"/>
              <w:jc w:val="center"/>
              <w:rPr>
                <w:kern w:val="0"/>
                <w:szCs w:val="21"/>
              </w:rPr>
            </w:pPr>
            <w:r>
              <w:rPr>
                <w:kern w:val="0"/>
                <w:szCs w:val="21"/>
              </w:rPr>
              <w:t>40μg/m</w:t>
            </w:r>
            <w:r>
              <w:rPr>
                <w:kern w:val="0"/>
                <w:szCs w:val="21"/>
                <w:vertAlign w:val="superscript"/>
              </w:rPr>
              <w:t>3</w:t>
            </w:r>
          </w:p>
        </w:tc>
        <w:tc>
          <w:tcPr>
            <w:tcW w:w="1886" w:type="pct"/>
            <w:vMerge w:val="continue"/>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699" w:type="pct"/>
            <w:vMerge w:val="continue"/>
            <w:vAlign w:val="center"/>
          </w:tcPr>
          <w:p>
            <w:pPr>
              <w:adjustRightInd w:val="0"/>
              <w:snapToGrid w:val="0"/>
              <w:jc w:val="center"/>
              <w:rPr>
                <w:kern w:val="0"/>
                <w:szCs w:val="21"/>
              </w:rPr>
            </w:pPr>
          </w:p>
        </w:tc>
        <w:tc>
          <w:tcPr>
            <w:tcW w:w="1415" w:type="pct"/>
            <w:vAlign w:val="center"/>
          </w:tcPr>
          <w:p>
            <w:pPr>
              <w:adjustRightInd w:val="0"/>
              <w:snapToGrid w:val="0"/>
              <w:jc w:val="center"/>
              <w:rPr>
                <w:kern w:val="0"/>
                <w:szCs w:val="21"/>
              </w:rPr>
            </w:pPr>
            <w:r>
              <w:rPr>
                <w:kern w:val="0"/>
                <w:szCs w:val="21"/>
              </w:rPr>
              <w:t>24小时平均</w:t>
            </w:r>
          </w:p>
        </w:tc>
        <w:tc>
          <w:tcPr>
            <w:tcW w:w="999" w:type="pct"/>
            <w:vAlign w:val="center"/>
          </w:tcPr>
          <w:p>
            <w:pPr>
              <w:adjustRightInd w:val="0"/>
              <w:snapToGrid w:val="0"/>
              <w:jc w:val="center"/>
              <w:rPr>
                <w:kern w:val="0"/>
                <w:szCs w:val="21"/>
              </w:rPr>
            </w:pPr>
            <w:r>
              <w:rPr>
                <w:kern w:val="0"/>
                <w:szCs w:val="21"/>
              </w:rPr>
              <w:t>80μg/m</w:t>
            </w:r>
            <w:r>
              <w:rPr>
                <w:kern w:val="0"/>
                <w:szCs w:val="21"/>
                <w:vertAlign w:val="superscript"/>
              </w:rPr>
              <w:t>3</w:t>
            </w:r>
          </w:p>
        </w:tc>
        <w:tc>
          <w:tcPr>
            <w:tcW w:w="1886" w:type="pct"/>
            <w:vMerge w:val="continue"/>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699" w:type="pct"/>
            <w:vMerge w:val="continue"/>
            <w:vAlign w:val="center"/>
          </w:tcPr>
          <w:p>
            <w:pPr>
              <w:adjustRightInd w:val="0"/>
              <w:snapToGrid w:val="0"/>
              <w:jc w:val="center"/>
              <w:rPr>
                <w:kern w:val="0"/>
                <w:szCs w:val="21"/>
              </w:rPr>
            </w:pPr>
          </w:p>
        </w:tc>
        <w:tc>
          <w:tcPr>
            <w:tcW w:w="1415" w:type="pct"/>
            <w:vAlign w:val="center"/>
          </w:tcPr>
          <w:p>
            <w:pPr>
              <w:adjustRightInd w:val="0"/>
              <w:snapToGrid w:val="0"/>
              <w:jc w:val="center"/>
              <w:rPr>
                <w:kern w:val="0"/>
                <w:szCs w:val="21"/>
              </w:rPr>
            </w:pPr>
            <w:r>
              <w:rPr>
                <w:kern w:val="0"/>
                <w:szCs w:val="21"/>
              </w:rPr>
              <w:t>1小时平均</w:t>
            </w:r>
          </w:p>
        </w:tc>
        <w:tc>
          <w:tcPr>
            <w:tcW w:w="999" w:type="pct"/>
            <w:vAlign w:val="center"/>
          </w:tcPr>
          <w:p>
            <w:pPr>
              <w:adjustRightInd w:val="0"/>
              <w:snapToGrid w:val="0"/>
              <w:jc w:val="center"/>
              <w:rPr>
                <w:kern w:val="0"/>
                <w:szCs w:val="21"/>
              </w:rPr>
            </w:pPr>
            <w:r>
              <w:rPr>
                <w:kern w:val="0"/>
                <w:szCs w:val="21"/>
              </w:rPr>
              <w:t>200μg/m</w:t>
            </w:r>
            <w:r>
              <w:rPr>
                <w:kern w:val="0"/>
                <w:szCs w:val="21"/>
                <w:vertAlign w:val="superscript"/>
              </w:rPr>
              <w:t>3</w:t>
            </w:r>
          </w:p>
        </w:tc>
        <w:tc>
          <w:tcPr>
            <w:tcW w:w="1886" w:type="pct"/>
            <w:vMerge w:val="continue"/>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699" w:type="pct"/>
            <w:vMerge w:val="restart"/>
            <w:vAlign w:val="center"/>
          </w:tcPr>
          <w:p>
            <w:pPr>
              <w:adjustRightInd w:val="0"/>
              <w:snapToGrid w:val="0"/>
              <w:jc w:val="center"/>
              <w:rPr>
                <w:kern w:val="0"/>
                <w:szCs w:val="21"/>
                <w:vertAlign w:val="subscript"/>
              </w:rPr>
            </w:pPr>
            <w:r>
              <w:rPr>
                <w:kern w:val="0"/>
                <w:szCs w:val="21"/>
              </w:rPr>
              <w:t>PM</w:t>
            </w:r>
            <w:r>
              <w:rPr>
                <w:kern w:val="0"/>
                <w:szCs w:val="21"/>
                <w:vertAlign w:val="subscript"/>
              </w:rPr>
              <w:t>10</w:t>
            </w:r>
          </w:p>
        </w:tc>
        <w:tc>
          <w:tcPr>
            <w:tcW w:w="1415" w:type="pct"/>
            <w:vAlign w:val="center"/>
          </w:tcPr>
          <w:p>
            <w:pPr>
              <w:adjustRightInd w:val="0"/>
              <w:snapToGrid w:val="0"/>
              <w:jc w:val="center"/>
              <w:rPr>
                <w:kern w:val="0"/>
                <w:szCs w:val="21"/>
              </w:rPr>
            </w:pPr>
            <w:r>
              <w:rPr>
                <w:kern w:val="0"/>
                <w:szCs w:val="21"/>
              </w:rPr>
              <w:t>年平均</w:t>
            </w:r>
          </w:p>
        </w:tc>
        <w:tc>
          <w:tcPr>
            <w:tcW w:w="999" w:type="pct"/>
            <w:vAlign w:val="center"/>
          </w:tcPr>
          <w:p>
            <w:pPr>
              <w:adjustRightInd w:val="0"/>
              <w:snapToGrid w:val="0"/>
              <w:jc w:val="center"/>
              <w:rPr>
                <w:kern w:val="0"/>
                <w:szCs w:val="21"/>
              </w:rPr>
            </w:pPr>
            <w:r>
              <w:rPr>
                <w:kern w:val="0"/>
                <w:szCs w:val="21"/>
              </w:rPr>
              <w:t>70μg/m</w:t>
            </w:r>
            <w:r>
              <w:rPr>
                <w:kern w:val="0"/>
                <w:szCs w:val="21"/>
                <w:vertAlign w:val="superscript"/>
              </w:rPr>
              <w:t>3</w:t>
            </w:r>
          </w:p>
        </w:tc>
        <w:tc>
          <w:tcPr>
            <w:tcW w:w="1886" w:type="pct"/>
            <w:vMerge w:val="continue"/>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699" w:type="pct"/>
            <w:vMerge w:val="continue"/>
            <w:vAlign w:val="center"/>
          </w:tcPr>
          <w:p>
            <w:pPr>
              <w:adjustRightInd w:val="0"/>
              <w:snapToGrid w:val="0"/>
              <w:jc w:val="center"/>
              <w:rPr>
                <w:kern w:val="0"/>
                <w:szCs w:val="21"/>
              </w:rPr>
            </w:pPr>
          </w:p>
        </w:tc>
        <w:tc>
          <w:tcPr>
            <w:tcW w:w="1415" w:type="pct"/>
            <w:vAlign w:val="center"/>
          </w:tcPr>
          <w:p>
            <w:pPr>
              <w:adjustRightInd w:val="0"/>
              <w:snapToGrid w:val="0"/>
              <w:jc w:val="center"/>
              <w:rPr>
                <w:kern w:val="0"/>
                <w:szCs w:val="21"/>
              </w:rPr>
            </w:pPr>
            <w:r>
              <w:rPr>
                <w:kern w:val="0"/>
                <w:szCs w:val="21"/>
              </w:rPr>
              <w:t>24小时平均</w:t>
            </w:r>
          </w:p>
        </w:tc>
        <w:tc>
          <w:tcPr>
            <w:tcW w:w="999" w:type="pct"/>
            <w:vAlign w:val="center"/>
          </w:tcPr>
          <w:p>
            <w:pPr>
              <w:adjustRightInd w:val="0"/>
              <w:snapToGrid w:val="0"/>
              <w:jc w:val="center"/>
              <w:rPr>
                <w:kern w:val="0"/>
                <w:szCs w:val="21"/>
              </w:rPr>
            </w:pPr>
            <w:r>
              <w:rPr>
                <w:kern w:val="0"/>
                <w:szCs w:val="21"/>
              </w:rPr>
              <w:t>150μg/m</w:t>
            </w:r>
            <w:r>
              <w:rPr>
                <w:kern w:val="0"/>
                <w:szCs w:val="21"/>
                <w:vertAlign w:val="superscript"/>
              </w:rPr>
              <w:t>3</w:t>
            </w:r>
          </w:p>
        </w:tc>
        <w:tc>
          <w:tcPr>
            <w:tcW w:w="1886" w:type="pct"/>
            <w:vMerge w:val="continue"/>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699" w:type="pct"/>
            <w:vMerge w:val="restart"/>
            <w:vAlign w:val="center"/>
          </w:tcPr>
          <w:p>
            <w:pPr>
              <w:spacing w:line="0" w:lineRule="atLeast"/>
              <w:jc w:val="center"/>
              <w:rPr>
                <w:szCs w:val="21"/>
              </w:rPr>
            </w:pPr>
            <w:r>
              <w:rPr>
                <w:szCs w:val="21"/>
              </w:rPr>
              <w:t>PM</w:t>
            </w:r>
            <w:r>
              <w:rPr>
                <w:szCs w:val="21"/>
                <w:vertAlign w:val="subscript"/>
              </w:rPr>
              <w:t>2.5</w:t>
            </w:r>
          </w:p>
        </w:tc>
        <w:tc>
          <w:tcPr>
            <w:tcW w:w="1415" w:type="pct"/>
            <w:vAlign w:val="center"/>
          </w:tcPr>
          <w:p>
            <w:pPr>
              <w:spacing w:line="0" w:lineRule="atLeast"/>
              <w:jc w:val="center"/>
              <w:rPr>
                <w:szCs w:val="21"/>
              </w:rPr>
            </w:pPr>
            <w:r>
              <w:rPr>
                <w:szCs w:val="21"/>
              </w:rPr>
              <w:t>年平均</w:t>
            </w:r>
          </w:p>
        </w:tc>
        <w:tc>
          <w:tcPr>
            <w:tcW w:w="999" w:type="pct"/>
            <w:vAlign w:val="center"/>
          </w:tcPr>
          <w:p>
            <w:pPr>
              <w:adjustRightInd w:val="0"/>
              <w:snapToGrid w:val="0"/>
              <w:jc w:val="center"/>
              <w:rPr>
                <w:kern w:val="0"/>
                <w:szCs w:val="21"/>
              </w:rPr>
            </w:pPr>
            <w:r>
              <w:rPr>
                <w:rFonts w:hint="eastAsia"/>
                <w:kern w:val="0"/>
                <w:szCs w:val="21"/>
              </w:rPr>
              <w:t>35</w:t>
            </w:r>
            <w:r>
              <w:rPr>
                <w:kern w:val="0"/>
                <w:szCs w:val="21"/>
              </w:rPr>
              <w:t>μg/m</w:t>
            </w:r>
            <w:r>
              <w:rPr>
                <w:kern w:val="0"/>
                <w:szCs w:val="21"/>
                <w:vertAlign w:val="superscript"/>
              </w:rPr>
              <w:t>3</w:t>
            </w:r>
          </w:p>
        </w:tc>
        <w:tc>
          <w:tcPr>
            <w:tcW w:w="1886" w:type="pct"/>
            <w:vMerge w:val="continue"/>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699" w:type="pct"/>
            <w:vMerge w:val="continue"/>
            <w:vAlign w:val="center"/>
          </w:tcPr>
          <w:p>
            <w:pPr>
              <w:adjustRightInd w:val="0"/>
              <w:snapToGrid w:val="0"/>
              <w:jc w:val="center"/>
              <w:rPr>
                <w:kern w:val="0"/>
                <w:szCs w:val="21"/>
              </w:rPr>
            </w:pPr>
          </w:p>
        </w:tc>
        <w:tc>
          <w:tcPr>
            <w:tcW w:w="1415" w:type="pct"/>
            <w:vAlign w:val="center"/>
          </w:tcPr>
          <w:p>
            <w:pPr>
              <w:adjustRightInd w:val="0"/>
              <w:snapToGrid w:val="0"/>
              <w:jc w:val="center"/>
              <w:rPr>
                <w:kern w:val="0"/>
                <w:szCs w:val="21"/>
              </w:rPr>
            </w:pPr>
            <w:r>
              <w:rPr>
                <w:szCs w:val="21"/>
              </w:rPr>
              <w:t>24小时平均</w:t>
            </w:r>
          </w:p>
        </w:tc>
        <w:tc>
          <w:tcPr>
            <w:tcW w:w="999" w:type="pct"/>
            <w:vAlign w:val="center"/>
          </w:tcPr>
          <w:p>
            <w:pPr>
              <w:adjustRightInd w:val="0"/>
              <w:snapToGrid w:val="0"/>
              <w:jc w:val="center"/>
              <w:rPr>
                <w:kern w:val="0"/>
                <w:szCs w:val="21"/>
              </w:rPr>
            </w:pPr>
            <w:r>
              <w:rPr>
                <w:rFonts w:hint="eastAsia"/>
                <w:kern w:val="0"/>
                <w:szCs w:val="21"/>
              </w:rPr>
              <w:t>75</w:t>
            </w:r>
            <w:r>
              <w:rPr>
                <w:kern w:val="0"/>
                <w:szCs w:val="21"/>
              </w:rPr>
              <w:t>μg/m</w:t>
            </w:r>
            <w:r>
              <w:rPr>
                <w:kern w:val="0"/>
                <w:szCs w:val="21"/>
                <w:vertAlign w:val="superscript"/>
              </w:rPr>
              <w:t>3</w:t>
            </w:r>
          </w:p>
        </w:tc>
        <w:tc>
          <w:tcPr>
            <w:tcW w:w="1886" w:type="pct"/>
            <w:vMerge w:val="continue"/>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699" w:type="pct"/>
            <w:vMerge w:val="restart"/>
            <w:vAlign w:val="center"/>
          </w:tcPr>
          <w:p>
            <w:pPr>
              <w:spacing w:line="0" w:lineRule="atLeast"/>
              <w:jc w:val="center"/>
              <w:rPr>
                <w:szCs w:val="21"/>
              </w:rPr>
            </w:pPr>
            <w:r>
              <w:rPr>
                <w:szCs w:val="21"/>
              </w:rPr>
              <w:t>CO</w:t>
            </w:r>
          </w:p>
        </w:tc>
        <w:tc>
          <w:tcPr>
            <w:tcW w:w="1415" w:type="pct"/>
            <w:vAlign w:val="center"/>
          </w:tcPr>
          <w:p>
            <w:pPr>
              <w:spacing w:line="0" w:lineRule="atLeast"/>
              <w:jc w:val="center"/>
              <w:rPr>
                <w:szCs w:val="21"/>
              </w:rPr>
            </w:pPr>
            <w:r>
              <w:rPr>
                <w:szCs w:val="21"/>
              </w:rPr>
              <w:t>24小时平均</w:t>
            </w:r>
          </w:p>
        </w:tc>
        <w:tc>
          <w:tcPr>
            <w:tcW w:w="999" w:type="pct"/>
            <w:vAlign w:val="center"/>
          </w:tcPr>
          <w:p>
            <w:pPr>
              <w:spacing w:line="0" w:lineRule="atLeast"/>
              <w:jc w:val="center"/>
              <w:rPr>
                <w:szCs w:val="21"/>
              </w:rPr>
            </w:pPr>
            <w:r>
              <w:rPr>
                <w:rFonts w:hint="eastAsia"/>
                <w:szCs w:val="21"/>
              </w:rPr>
              <w:t>4</w:t>
            </w:r>
            <w:r>
              <w:rPr>
                <w:szCs w:val="21"/>
              </w:rPr>
              <w:t>mg/m</w:t>
            </w:r>
            <w:r>
              <w:rPr>
                <w:szCs w:val="21"/>
                <w:vertAlign w:val="superscript"/>
              </w:rPr>
              <w:t>3</w:t>
            </w:r>
          </w:p>
        </w:tc>
        <w:tc>
          <w:tcPr>
            <w:tcW w:w="1886" w:type="pct"/>
            <w:vMerge w:val="continue"/>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699" w:type="pct"/>
            <w:vMerge w:val="continue"/>
            <w:vAlign w:val="center"/>
          </w:tcPr>
          <w:p>
            <w:pPr>
              <w:spacing w:line="0" w:lineRule="atLeast"/>
              <w:jc w:val="center"/>
              <w:rPr>
                <w:szCs w:val="21"/>
              </w:rPr>
            </w:pPr>
          </w:p>
        </w:tc>
        <w:tc>
          <w:tcPr>
            <w:tcW w:w="1415" w:type="pct"/>
            <w:vAlign w:val="center"/>
          </w:tcPr>
          <w:p>
            <w:pPr>
              <w:adjustRightInd w:val="0"/>
              <w:snapToGrid w:val="0"/>
              <w:jc w:val="center"/>
              <w:rPr>
                <w:kern w:val="0"/>
                <w:szCs w:val="21"/>
              </w:rPr>
            </w:pPr>
            <w:r>
              <w:rPr>
                <w:kern w:val="0"/>
                <w:szCs w:val="21"/>
              </w:rPr>
              <w:t>1小时平均</w:t>
            </w:r>
          </w:p>
        </w:tc>
        <w:tc>
          <w:tcPr>
            <w:tcW w:w="999" w:type="pct"/>
            <w:vAlign w:val="center"/>
          </w:tcPr>
          <w:p>
            <w:pPr>
              <w:adjustRightInd w:val="0"/>
              <w:snapToGrid w:val="0"/>
              <w:jc w:val="center"/>
              <w:rPr>
                <w:kern w:val="0"/>
                <w:szCs w:val="21"/>
              </w:rPr>
            </w:pPr>
            <w:r>
              <w:rPr>
                <w:rFonts w:hint="eastAsia"/>
                <w:kern w:val="0"/>
                <w:szCs w:val="21"/>
              </w:rPr>
              <w:t>1</w:t>
            </w:r>
            <w:r>
              <w:rPr>
                <w:kern w:val="0"/>
                <w:szCs w:val="21"/>
              </w:rPr>
              <w:t>0</w:t>
            </w:r>
            <w:r>
              <w:rPr>
                <w:rFonts w:hint="eastAsia"/>
                <w:kern w:val="0"/>
                <w:szCs w:val="21"/>
              </w:rPr>
              <w:t>m</w:t>
            </w:r>
            <w:r>
              <w:rPr>
                <w:kern w:val="0"/>
                <w:szCs w:val="21"/>
              </w:rPr>
              <w:t>g/m</w:t>
            </w:r>
            <w:r>
              <w:rPr>
                <w:kern w:val="0"/>
                <w:szCs w:val="21"/>
                <w:vertAlign w:val="superscript"/>
              </w:rPr>
              <w:t>3</w:t>
            </w:r>
          </w:p>
        </w:tc>
        <w:tc>
          <w:tcPr>
            <w:tcW w:w="1886" w:type="pct"/>
            <w:vMerge w:val="continue"/>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699" w:type="pct"/>
            <w:vMerge w:val="restart"/>
            <w:vAlign w:val="center"/>
          </w:tcPr>
          <w:p>
            <w:pPr>
              <w:spacing w:line="0" w:lineRule="atLeast"/>
              <w:jc w:val="center"/>
              <w:rPr>
                <w:szCs w:val="21"/>
                <w:vertAlign w:val="subscript"/>
              </w:rPr>
            </w:pPr>
            <w:r>
              <w:rPr>
                <w:szCs w:val="21"/>
              </w:rPr>
              <w:t>O</w:t>
            </w:r>
            <w:r>
              <w:rPr>
                <w:szCs w:val="21"/>
                <w:vertAlign w:val="subscript"/>
              </w:rPr>
              <w:t>3</w:t>
            </w:r>
          </w:p>
        </w:tc>
        <w:tc>
          <w:tcPr>
            <w:tcW w:w="1415" w:type="pct"/>
            <w:vAlign w:val="center"/>
          </w:tcPr>
          <w:p>
            <w:pPr>
              <w:spacing w:line="0" w:lineRule="atLeast"/>
              <w:jc w:val="center"/>
              <w:rPr>
                <w:szCs w:val="21"/>
              </w:rPr>
            </w:pPr>
            <w:r>
              <w:rPr>
                <w:szCs w:val="21"/>
              </w:rPr>
              <w:t>日最大8小时平均</w:t>
            </w:r>
          </w:p>
        </w:tc>
        <w:tc>
          <w:tcPr>
            <w:tcW w:w="999" w:type="pct"/>
            <w:vAlign w:val="center"/>
          </w:tcPr>
          <w:p>
            <w:pPr>
              <w:spacing w:line="0" w:lineRule="atLeast"/>
              <w:jc w:val="center"/>
              <w:rPr>
                <w:szCs w:val="21"/>
              </w:rPr>
            </w:pPr>
            <w:r>
              <w:rPr>
                <w:rFonts w:hint="eastAsia"/>
                <w:szCs w:val="21"/>
              </w:rPr>
              <w:t>160</w:t>
            </w:r>
            <w:r>
              <w:rPr>
                <w:szCs w:val="21"/>
              </w:rPr>
              <w:t>µg/m</w:t>
            </w:r>
            <w:r>
              <w:rPr>
                <w:szCs w:val="21"/>
                <w:vertAlign w:val="superscript"/>
              </w:rPr>
              <w:t>3</w:t>
            </w:r>
          </w:p>
        </w:tc>
        <w:tc>
          <w:tcPr>
            <w:tcW w:w="1886" w:type="pct"/>
            <w:vMerge w:val="continue"/>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699" w:type="pct"/>
            <w:vMerge w:val="continue"/>
            <w:vAlign w:val="center"/>
          </w:tcPr>
          <w:p>
            <w:pPr>
              <w:spacing w:line="0" w:lineRule="atLeast"/>
              <w:jc w:val="center"/>
              <w:rPr>
                <w:szCs w:val="21"/>
              </w:rPr>
            </w:pPr>
          </w:p>
        </w:tc>
        <w:tc>
          <w:tcPr>
            <w:tcW w:w="1415" w:type="pct"/>
            <w:vAlign w:val="center"/>
          </w:tcPr>
          <w:p>
            <w:pPr>
              <w:adjustRightInd w:val="0"/>
              <w:snapToGrid w:val="0"/>
              <w:jc w:val="center"/>
              <w:rPr>
                <w:kern w:val="0"/>
                <w:szCs w:val="21"/>
              </w:rPr>
            </w:pPr>
            <w:r>
              <w:rPr>
                <w:kern w:val="0"/>
                <w:szCs w:val="21"/>
              </w:rPr>
              <w:t>1小时平均</w:t>
            </w:r>
          </w:p>
        </w:tc>
        <w:tc>
          <w:tcPr>
            <w:tcW w:w="999" w:type="pct"/>
            <w:vAlign w:val="center"/>
          </w:tcPr>
          <w:p>
            <w:pPr>
              <w:adjustRightInd w:val="0"/>
              <w:snapToGrid w:val="0"/>
              <w:jc w:val="center"/>
              <w:rPr>
                <w:kern w:val="0"/>
                <w:szCs w:val="21"/>
              </w:rPr>
            </w:pPr>
            <w:r>
              <w:rPr>
                <w:kern w:val="0"/>
                <w:szCs w:val="21"/>
              </w:rPr>
              <w:t>200μg/m</w:t>
            </w:r>
            <w:r>
              <w:rPr>
                <w:kern w:val="0"/>
                <w:szCs w:val="21"/>
                <w:vertAlign w:val="superscript"/>
              </w:rPr>
              <w:t>3</w:t>
            </w:r>
          </w:p>
        </w:tc>
        <w:tc>
          <w:tcPr>
            <w:tcW w:w="1886" w:type="pct"/>
            <w:vMerge w:val="continue"/>
            <w:vAlign w:val="center"/>
          </w:tcPr>
          <w:p>
            <w:pPr>
              <w:adjustRightInd w:val="0"/>
              <w:snapToGrid w:val="0"/>
              <w:jc w:val="center"/>
              <w:rPr>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699" w:type="pct"/>
            <w:vAlign w:val="center"/>
          </w:tcPr>
          <w:p>
            <w:pPr>
              <w:spacing w:line="0" w:lineRule="atLeast"/>
              <w:jc w:val="center"/>
              <w:rPr>
                <w:szCs w:val="21"/>
              </w:rPr>
            </w:pPr>
            <w:r>
              <w:rPr>
                <w:rFonts w:hint="eastAsia"/>
                <w:szCs w:val="21"/>
              </w:rPr>
              <w:t>NH</w:t>
            </w:r>
            <w:r>
              <w:rPr>
                <w:rFonts w:hint="eastAsia"/>
                <w:szCs w:val="21"/>
                <w:vertAlign w:val="subscript"/>
              </w:rPr>
              <w:t>3</w:t>
            </w:r>
          </w:p>
        </w:tc>
        <w:tc>
          <w:tcPr>
            <w:tcW w:w="1415" w:type="pct"/>
            <w:vAlign w:val="center"/>
          </w:tcPr>
          <w:p>
            <w:pPr>
              <w:adjustRightInd w:val="0"/>
              <w:snapToGrid w:val="0"/>
              <w:jc w:val="center"/>
              <w:rPr>
                <w:kern w:val="0"/>
                <w:szCs w:val="21"/>
              </w:rPr>
            </w:pPr>
            <w:r>
              <w:rPr>
                <w:rFonts w:hint="eastAsia"/>
                <w:kern w:val="18"/>
                <w:szCs w:val="21"/>
              </w:rPr>
              <w:t>1</w:t>
            </w:r>
            <w:r>
              <w:rPr>
                <w:rFonts w:hint="eastAsia" w:hAnsi="宋体"/>
                <w:kern w:val="18"/>
                <w:szCs w:val="21"/>
              </w:rPr>
              <w:t>小时均值</w:t>
            </w:r>
          </w:p>
        </w:tc>
        <w:tc>
          <w:tcPr>
            <w:tcW w:w="999" w:type="pct"/>
            <w:vAlign w:val="center"/>
          </w:tcPr>
          <w:p>
            <w:pPr>
              <w:adjustRightInd w:val="0"/>
              <w:snapToGrid w:val="0"/>
              <w:jc w:val="center"/>
              <w:rPr>
                <w:kern w:val="0"/>
                <w:szCs w:val="21"/>
              </w:rPr>
            </w:pPr>
            <w:r>
              <w:rPr>
                <w:rFonts w:hint="eastAsia"/>
                <w:kern w:val="0"/>
                <w:szCs w:val="21"/>
              </w:rPr>
              <w:t>20</w:t>
            </w:r>
            <w:r>
              <w:rPr>
                <w:kern w:val="0"/>
                <w:szCs w:val="21"/>
              </w:rPr>
              <w:t>0μg/m</w:t>
            </w:r>
            <w:r>
              <w:rPr>
                <w:kern w:val="0"/>
                <w:szCs w:val="21"/>
                <w:vertAlign w:val="superscript"/>
              </w:rPr>
              <w:t>3</w:t>
            </w:r>
          </w:p>
        </w:tc>
        <w:tc>
          <w:tcPr>
            <w:tcW w:w="1886" w:type="pct"/>
            <w:vMerge w:val="restart"/>
            <w:vAlign w:val="center"/>
          </w:tcPr>
          <w:p>
            <w:pPr>
              <w:adjustRightInd w:val="0"/>
              <w:snapToGrid w:val="0"/>
              <w:jc w:val="center"/>
              <w:rPr>
                <w:kern w:val="0"/>
                <w:szCs w:val="21"/>
              </w:rPr>
            </w:pPr>
            <w:r>
              <w:rPr>
                <w:rFonts w:hint="eastAsia"/>
                <w:kern w:val="18"/>
                <w:szCs w:val="21"/>
              </w:rPr>
              <w:t>《环境影响评价技术导则大气环境》</w:t>
            </w:r>
            <w:r>
              <w:rPr>
                <w:kern w:val="18"/>
                <w:szCs w:val="21"/>
              </w:rPr>
              <w:t>（HJ2.2-2018）</w:t>
            </w:r>
            <w:r>
              <w:rPr>
                <w:rFonts w:hint="eastAsia"/>
                <w:kern w:val="18"/>
                <w:szCs w:val="21"/>
              </w:rPr>
              <w:t>附录</w:t>
            </w:r>
            <w:r>
              <w:rPr>
                <w:kern w:val="18"/>
                <w:szCs w:val="21"/>
              </w:rPr>
              <w:t>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699" w:type="pct"/>
            <w:vAlign w:val="center"/>
          </w:tcPr>
          <w:p>
            <w:pPr>
              <w:spacing w:line="0" w:lineRule="atLeast"/>
              <w:jc w:val="center"/>
              <w:rPr>
                <w:szCs w:val="21"/>
              </w:rPr>
            </w:pPr>
            <w:r>
              <w:rPr>
                <w:rFonts w:hint="eastAsia"/>
                <w:szCs w:val="21"/>
              </w:rPr>
              <w:t>H</w:t>
            </w:r>
            <w:r>
              <w:rPr>
                <w:rFonts w:hint="eastAsia"/>
                <w:szCs w:val="21"/>
                <w:vertAlign w:val="subscript"/>
              </w:rPr>
              <w:t>2</w:t>
            </w:r>
            <w:r>
              <w:rPr>
                <w:rFonts w:hint="eastAsia"/>
                <w:szCs w:val="21"/>
              </w:rPr>
              <w:t>S</w:t>
            </w:r>
          </w:p>
        </w:tc>
        <w:tc>
          <w:tcPr>
            <w:tcW w:w="1415" w:type="pct"/>
            <w:vAlign w:val="center"/>
          </w:tcPr>
          <w:p>
            <w:pPr>
              <w:adjustRightInd w:val="0"/>
              <w:snapToGrid w:val="0"/>
              <w:jc w:val="center"/>
              <w:rPr>
                <w:kern w:val="18"/>
                <w:szCs w:val="21"/>
              </w:rPr>
            </w:pPr>
            <w:r>
              <w:rPr>
                <w:rFonts w:hint="eastAsia"/>
                <w:kern w:val="18"/>
                <w:szCs w:val="21"/>
              </w:rPr>
              <w:t>1</w:t>
            </w:r>
            <w:r>
              <w:rPr>
                <w:rFonts w:hint="eastAsia" w:hAnsi="宋体"/>
                <w:kern w:val="18"/>
                <w:szCs w:val="21"/>
              </w:rPr>
              <w:t>小时均值</w:t>
            </w:r>
          </w:p>
        </w:tc>
        <w:tc>
          <w:tcPr>
            <w:tcW w:w="999" w:type="pct"/>
            <w:vAlign w:val="center"/>
          </w:tcPr>
          <w:p>
            <w:pPr>
              <w:adjustRightInd w:val="0"/>
              <w:snapToGrid w:val="0"/>
              <w:jc w:val="center"/>
              <w:rPr>
                <w:kern w:val="0"/>
                <w:szCs w:val="21"/>
              </w:rPr>
            </w:pPr>
            <w:r>
              <w:rPr>
                <w:rFonts w:hint="eastAsia"/>
                <w:kern w:val="0"/>
                <w:szCs w:val="21"/>
              </w:rPr>
              <w:t>1</w:t>
            </w:r>
            <w:r>
              <w:rPr>
                <w:kern w:val="0"/>
                <w:szCs w:val="21"/>
              </w:rPr>
              <w:t>0μg/m</w:t>
            </w:r>
            <w:r>
              <w:rPr>
                <w:kern w:val="0"/>
                <w:szCs w:val="21"/>
                <w:vertAlign w:val="superscript"/>
              </w:rPr>
              <w:t>3</w:t>
            </w:r>
          </w:p>
        </w:tc>
        <w:tc>
          <w:tcPr>
            <w:tcW w:w="1886" w:type="pct"/>
            <w:vMerge w:val="continue"/>
            <w:vAlign w:val="center"/>
          </w:tcPr>
          <w:p>
            <w:pPr>
              <w:adjustRightInd w:val="0"/>
              <w:snapToGrid w:val="0"/>
              <w:jc w:val="center"/>
              <w:rPr>
                <w:kern w:val="18"/>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397" w:hRule="atLeast"/>
          <w:jc w:val="center"/>
        </w:trPr>
        <w:tc>
          <w:tcPr>
            <w:tcW w:w="699" w:type="pct"/>
            <w:vAlign w:val="center"/>
          </w:tcPr>
          <w:p>
            <w:pPr>
              <w:spacing w:line="0" w:lineRule="atLeast"/>
              <w:jc w:val="center"/>
              <w:rPr>
                <w:szCs w:val="21"/>
              </w:rPr>
            </w:pPr>
            <w:r>
              <w:rPr>
                <w:szCs w:val="21"/>
              </w:rPr>
              <w:t>臭气浓度</w:t>
            </w:r>
          </w:p>
        </w:tc>
        <w:tc>
          <w:tcPr>
            <w:tcW w:w="1415" w:type="pct"/>
            <w:vAlign w:val="center"/>
          </w:tcPr>
          <w:p>
            <w:pPr>
              <w:adjustRightInd w:val="0"/>
              <w:snapToGrid w:val="0"/>
              <w:jc w:val="center"/>
              <w:rPr>
                <w:kern w:val="18"/>
                <w:szCs w:val="21"/>
              </w:rPr>
            </w:pPr>
            <w:r>
              <w:rPr>
                <w:kern w:val="18"/>
                <w:szCs w:val="21"/>
              </w:rPr>
              <w:t>1小时均值</w:t>
            </w:r>
          </w:p>
        </w:tc>
        <w:tc>
          <w:tcPr>
            <w:tcW w:w="999" w:type="pct"/>
            <w:vAlign w:val="center"/>
          </w:tcPr>
          <w:p>
            <w:pPr>
              <w:adjustRightInd w:val="0"/>
              <w:snapToGrid w:val="0"/>
              <w:jc w:val="center"/>
              <w:rPr>
                <w:kern w:val="0"/>
                <w:szCs w:val="21"/>
              </w:rPr>
            </w:pPr>
            <w:r>
              <w:rPr>
                <w:kern w:val="0"/>
                <w:szCs w:val="21"/>
              </w:rPr>
              <w:t>20</w:t>
            </w:r>
          </w:p>
        </w:tc>
        <w:tc>
          <w:tcPr>
            <w:tcW w:w="1886" w:type="pct"/>
            <w:vAlign w:val="center"/>
          </w:tcPr>
          <w:p>
            <w:pPr>
              <w:adjustRightInd w:val="0"/>
              <w:snapToGrid w:val="0"/>
              <w:jc w:val="center"/>
              <w:rPr>
                <w:kern w:val="18"/>
                <w:szCs w:val="21"/>
              </w:rPr>
            </w:pPr>
            <w:r>
              <w:rPr>
                <w:kern w:val="18"/>
                <w:szCs w:val="21"/>
              </w:rPr>
              <w:t>《恶臭污染物排放标准》（GB 14554-93）中表1二级新改扩建标准值</w:t>
            </w:r>
          </w:p>
        </w:tc>
      </w:tr>
    </w:tbl>
    <w:p>
      <w:pPr>
        <w:spacing w:line="360" w:lineRule="auto"/>
        <w:ind w:firstLine="480" w:firstLineChars="200"/>
        <w:rPr>
          <w:sz w:val="24"/>
        </w:rPr>
      </w:pPr>
      <w:r>
        <w:rPr>
          <w:sz w:val="24"/>
        </w:rPr>
        <w:t>（2）地表水环境</w:t>
      </w:r>
    </w:p>
    <w:p>
      <w:pPr>
        <w:pStyle w:val="152"/>
        <w:spacing w:line="360" w:lineRule="auto"/>
        <w:ind w:firstLine="480"/>
      </w:pPr>
      <w:r>
        <w:rPr>
          <w:rFonts w:hint="eastAsia"/>
        </w:rPr>
        <w:t>本项目周边水塘为农业用水，执行</w:t>
      </w:r>
      <w:r>
        <w:t>《地表水环境质量标准》</w:t>
      </w:r>
      <w:r>
        <w:rPr>
          <w:rFonts w:hint="eastAsia"/>
        </w:rPr>
        <w:t>（</w:t>
      </w:r>
      <w:r>
        <w:t>GB3838-2002</w:t>
      </w:r>
      <w:r>
        <w:rPr>
          <w:rFonts w:hint="eastAsia"/>
        </w:rPr>
        <w:t>）</w:t>
      </w:r>
      <w:r>
        <w:t>表1中</w:t>
      </w:r>
      <w:r>
        <w:rPr>
          <w:rFonts w:hint="eastAsia" w:ascii="宋体" w:hAnsi="宋体"/>
        </w:rPr>
        <w:t>Ⅲ</w:t>
      </w:r>
      <w:r>
        <w:t>类标准</w:t>
      </w:r>
      <w:r>
        <w:rPr>
          <w:szCs w:val="24"/>
        </w:rPr>
        <w:t>，SS执行《地表水资源质量标准》（SL63-94）中3</w:t>
      </w:r>
      <w:r>
        <w:rPr>
          <w:rFonts w:hAnsi="宋体"/>
          <w:szCs w:val="24"/>
        </w:rPr>
        <w:t>级</w:t>
      </w:r>
      <w:r>
        <w:rPr>
          <w:szCs w:val="24"/>
        </w:rPr>
        <w:t>标准</w:t>
      </w:r>
      <w:r>
        <w:rPr>
          <w:rFonts w:hint="eastAsia"/>
        </w:rPr>
        <w:t>，</w:t>
      </w:r>
      <w:r>
        <w:rPr>
          <w:szCs w:val="24"/>
        </w:rPr>
        <w:t>具体标准值详见表</w:t>
      </w:r>
      <w:r>
        <w:rPr>
          <w:rFonts w:hint="eastAsia"/>
          <w:szCs w:val="24"/>
        </w:rPr>
        <w:t>2.3-4</w:t>
      </w:r>
      <w:r>
        <w:t>。</w:t>
      </w:r>
    </w:p>
    <w:p>
      <w:pPr>
        <w:pStyle w:val="17"/>
        <w:spacing w:beforeLines="50"/>
        <w:rPr>
          <w:rFonts w:ascii="Times New Roman" w:hAnsi="Times New Roman" w:cs="Times New Roman"/>
          <w:color w:val="auto"/>
          <w:sz w:val="21"/>
        </w:rPr>
      </w:pPr>
      <w:r>
        <w:rPr>
          <w:rFonts w:ascii="Times New Roman" w:hAnsi="Times New Roman" w:cs="Times New Roman"/>
          <w:color w:val="auto"/>
          <w:sz w:val="21"/>
        </w:rPr>
        <w:t>表2.</w:t>
      </w:r>
      <w:r>
        <w:rPr>
          <w:rFonts w:hint="eastAsia" w:ascii="Times New Roman" w:hAnsi="Times New Roman" w:cs="Times New Roman"/>
          <w:color w:val="auto"/>
          <w:sz w:val="21"/>
        </w:rPr>
        <w:t>3</w:t>
      </w:r>
      <w:r>
        <w:rPr>
          <w:rFonts w:ascii="Times New Roman" w:hAnsi="Times New Roman" w:cs="Times New Roman"/>
          <w:color w:val="auto"/>
          <w:sz w:val="21"/>
        </w:rPr>
        <w:t>-</w:t>
      </w:r>
      <w:r>
        <w:rPr>
          <w:rFonts w:hint="eastAsia" w:ascii="Times New Roman" w:hAnsi="Times New Roman" w:cs="Times New Roman"/>
          <w:color w:val="auto"/>
          <w:sz w:val="21"/>
        </w:rPr>
        <w:t xml:space="preserve">4  水环境质量标准  </w:t>
      </w:r>
      <w:r>
        <w:rPr>
          <w:rFonts w:ascii="Times New Roman" w:hAnsi="Times New Roman" w:cs="Times New Roman"/>
          <w:color w:val="auto"/>
          <w:sz w:val="21"/>
        </w:rPr>
        <w:t>单位mg/L</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2764"/>
        <w:gridCol w:w="2448"/>
        <w:gridCol w:w="24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9" w:type="pct"/>
            <w:vAlign w:val="center"/>
          </w:tcPr>
          <w:p>
            <w:pPr>
              <w:jc w:val="center"/>
              <w:rPr>
                <w:b/>
                <w:szCs w:val="21"/>
              </w:rPr>
            </w:pPr>
            <w:r>
              <w:rPr>
                <w:b/>
                <w:szCs w:val="21"/>
              </w:rPr>
              <w:t>序号</w:t>
            </w:r>
          </w:p>
        </w:tc>
        <w:tc>
          <w:tcPr>
            <w:tcW w:w="1620" w:type="pct"/>
            <w:vAlign w:val="center"/>
          </w:tcPr>
          <w:p>
            <w:pPr>
              <w:jc w:val="center"/>
              <w:rPr>
                <w:b/>
                <w:szCs w:val="21"/>
              </w:rPr>
            </w:pPr>
            <w:r>
              <w:rPr>
                <w:b/>
                <w:szCs w:val="21"/>
              </w:rPr>
              <w:t>项目</w:t>
            </w:r>
          </w:p>
        </w:tc>
        <w:tc>
          <w:tcPr>
            <w:tcW w:w="1435" w:type="pct"/>
            <w:vAlign w:val="center"/>
          </w:tcPr>
          <w:p>
            <w:pPr>
              <w:jc w:val="center"/>
              <w:rPr>
                <w:b/>
                <w:szCs w:val="21"/>
              </w:rPr>
            </w:pPr>
            <w:r>
              <w:rPr>
                <w:rFonts w:hint="eastAsia" w:ascii="宋体" w:hAnsi="宋体"/>
                <w:b/>
                <w:szCs w:val="21"/>
              </w:rPr>
              <w:t>Ⅲ</w:t>
            </w:r>
            <w:r>
              <w:rPr>
                <w:b/>
                <w:szCs w:val="21"/>
              </w:rPr>
              <w:t>类标准</w:t>
            </w:r>
          </w:p>
        </w:tc>
        <w:tc>
          <w:tcPr>
            <w:tcW w:w="1435" w:type="pct"/>
            <w:vAlign w:val="center"/>
          </w:tcPr>
          <w:p>
            <w:pPr>
              <w:jc w:val="center"/>
              <w:rPr>
                <w:rFonts w:ascii="宋体" w:hAnsi="宋体"/>
                <w:b/>
                <w:szCs w:val="21"/>
              </w:rPr>
            </w:pPr>
            <w:r>
              <w:rPr>
                <w:rFonts w:hint="eastAsia" w:ascii="宋体" w:hAnsi="宋体"/>
                <w:b/>
                <w:szCs w:val="21"/>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9" w:type="pct"/>
            <w:vAlign w:val="center"/>
          </w:tcPr>
          <w:p>
            <w:pPr>
              <w:jc w:val="center"/>
              <w:rPr>
                <w:szCs w:val="21"/>
              </w:rPr>
            </w:pPr>
            <w:r>
              <w:rPr>
                <w:szCs w:val="21"/>
              </w:rPr>
              <w:t>1</w:t>
            </w:r>
          </w:p>
        </w:tc>
        <w:tc>
          <w:tcPr>
            <w:tcW w:w="1620" w:type="pct"/>
            <w:vAlign w:val="center"/>
          </w:tcPr>
          <w:p>
            <w:pPr>
              <w:jc w:val="center"/>
              <w:rPr>
                <w:szCs w:val="21"/>
              </w:rPr>
            </w:pPr>
            <w:r>
              <w:rPr>
                <w:szCs w:val="21"/>
              </w:rPr>
              <w:t>pH</w:t>
            </w:r>
          </w:p>
        </w:tc>
        <w:tc>
          <w:tcPr>
            <w:tcW w:w="1435" w:type="pct"/>
            <w:vAlign w:val="center"/>
          </w:tcPr>
          <w:p>
            <w:pPr>
              <w:jc w:val="center"/>
              <w:rPr>
                <w:szCs w:val="21"/>
              </w:rPr>
            </w:pPr>
            <w:r>
              <w:rPr>
                <w:szCs w:val="21"/>
              </w:rPr>
              <w:t>6</w:t>
            </w:r>
            <w:r>
              <w:rPr>
                <w:szCs w:val="21"/>
                <w:lang w:val="en-GB"/>
              </w:rPr>
              <w:t>-</w:t>
            </w:r>
            <w:r>
              <w:rPr>
                <w:szCs w:val="21"/>
              </w:rPr>
              <w:t>9</w:t>
            </w:r>
          </w:p>
        </w:tc>
        <w:tc>
          <w:tcPr>
            <w:tcW w:w="1435" w:type="pct"/>
            <w:vMerge w:val="restart"/>
            <w:vAlign w:val="center"/>
          </w:tcPr>
          <w:p>
            <w:pPr>
              <w:jc w:val="center"/>
              <w:rPr>
                <w:szCs w:val="21"/>
              </w:rPr>
            </w:pPr>
            <w:r>
              <w:t>《地表水环境质量标准》（GB3838－2002）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9" w:type="pct"/>
            <w:vAlign w:val="center"/>
          </w:tcPr>
          <w:p>
            <w:pPr>
              <w:jc w:val="center"/>
              <w:rPr>
                <w:szCs w:val="21"/>
              </w:rPr>
            </w:pPr>
            <w:r>
              <w:rPr>
                <w:szCs w:val="21"/>
              </w:rPr>
              <w:t>2</w:t>
            </w:r>
          </w:p>
        </w:tc>
        <w:tc>
          <w:tcPr>
            <w:tcW w:w="1620" w:type="pct"/>
            <w:vAlign w:val="center"/>
          </w:tcPr>
          <w:p>
            <w:pPr>
              <w:jc w:val="center"/>
              <w:rPr>
                <w:szCs w:val="21"/>
              </w:rPr>
            </w:pPr>
            <w:r>
              <w:rPr>
                <w:szCs w:val="21"/>
              </w:rPr>
              <w:t>COD</w:t>
            </w:r>
          </w:p>
        </w:tc>
        <w:tc>
          <w:tcPr>
            <w:tcW w:w="1435" w:type="pct"/>
            <w:vAlign w:val="center"/>
          </w:tcPr>
          <w:p>
            <w:pPr>
              <w:jc w:val="center"/>
              <w:rPr>
                <w:szCs w:val="21"/>
              </w:rPr>
            </w:pPr>
            <w:r>
              <w:rPr>
                <w:szCs w:val="21"/>
              </w:rPr>
              <w:t>≤20</w:t>
            </w:r>
          </w:p>
        </w:tc>
        <w:tc>
          <w:tcPr>
            <w:tcW w:w="1435" w:type="pct"/>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9" w:type="pct"/>
            <w:vAlign w:val="center"/>
          </w:tcPr>
          <w:p>
            <w:pPr>
              <w:jc w:val="center"/>
              <w:rPr>
                <w:szCs w:val="21"/>
              </w:rPr>
            </w:pPr>
            <w:r>
              <w:rPr>
                <w:szCs w:val="21"/>
              </w:rPr>
              <w:t>3</w:t>
            </w:r>
          </w:p>
        </w:tc>
        <w:tc>
          <w:tcPr>
            <w:tcW w:w="1620" w:type="pct"/>
            <w:vAlign w:val="center"/>
          </w:tcPr>
          <w:p>
            <w:pPr>
              <w:jc w:val="center"/>
              <w:rPr>
                <w:szCs w:val="21"/>
              </w:rPr>
            </w:pPr>
            <w:r>
              <w:rPr>
                <w:szCs w:val="21"/>
              </w:rPr>
              <w:t>BOD</w:t>
            </w:r>
            <w:r>
              <w:rPr>
                <w:szCs w:val="21"/>
                <w:vertAlign w:val="subscript"/>
              </w:rPr>
              <w:t>5</w:t>
            </w:r>
          </w:p>
        </w:tc>
        <w:tc>
          <w:tcPr>
            <w:tcW w:w="1435" w:type="pct"/>
            <w:vAlign w:val="center"/>
          </w:tcPr>
          <w:p>
            <w:pPr>
              <w:jc w:val="center"/>
              <w:rPr>
                <w:szCs w:val="21"/>
              </w:rPr>
            </w:pPr>
            <w:r>
              <w:rPr>
                <w:szCs w:val="21"/>
              </w:rPr>
              <w:t>≤4</w:t>
            </w:r>
          </w:p>
        </w:tc>
        <w:tc>
          <w:tcPr>
            <w:tcW w:w="1435" w:type="pct"/>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9" w:type="pct"/>
            <w:vAlign w:val="center"/>
          </w:tcPr>
          <w:p>
            <w:pPr>
              <w:jc w:val="center"/>
              <w:rPr>
                <w:szCs w:val="21"/>
              </w:rPr>
            </w:pPr>
            <w:r>
              <w:rPr>
                <w:szCs w:val="21"/>
              </w:rPr>
              <w:t>4</w:t>
            </w:r>
          </w:p>
        </w:tc>
        <w:tc>
          <w:tcPr>
            <w:tcW w:w="1620" w:type="pct"/>
            <w:vAlign w:val="center"/>
          </w:tcPr>
          <w:p>
            <w:pPr>
              <w:jc w:val="center"/>
              <w:rPr>
                <w:szCs w:val="21"/>
              </w:rPr>
            </w:pPr>
            <w:r>
              <w:rPr>
                <w:szCs w:val="21"/>
              </w:rPr>
              <w:t>NH</w:t>
            </w:r>
            <w:r>
              <w:rPr>
                <w:szCs w:val="21"/>
                <w:vertAlign w:val="subscript"/>
              </w:rPr>
              <w:t>3</w:t>
            </w:r>
            <w:r>
              <w:rPr>
                <w:szCs w:val="21"/>
              </w:rPr>
              <w:t>-N</w:t>
            </w:r>
          </w:p>
        </w:tc>
        <w:tc>
          <w:tcPr>
            <w:tcW w:w="1435" w:type="pct"/>
            <w:vAlign w:val="center"/>
          </w:tcPr>
          <w:p>
            <w:pPr>
              <w:jc w:val="center"/>
              <w:rPr>
                <w:szCs w:val="21"/>
              </w:rPr>
            </w:pPr>
            <w:r>
              <w:rPr>
                <w:szCs w:val="21"/>
              </w:rPr>
              <w:t>≤1.0</w:t>
            </w:r>
          </w:p>
        </w:tc>
        <w:tc>
          <w:tcPr>
            <w:tcW w:w="1435" w:type="pct"/>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9" w:type="pct"/>
            <w:vAlign w:val="center"/>
          </w:tcPr>
          <w:p>
            <w:pPr>
              <w:jc w:val="center"/>
              <w:rPr>
                <w:szCs w:val="21"/>
              </w:rPr>
            </w:pPr>
            <w:r>
              <w:rPr>
                <w:szCs w:val="21"/>
              </w:rPr>
              <w:t>5</w:t>
            </w:r>
          </w:p>
        </w:tc>
        <w:tc>
          <w:tcPr>
            <w:tcW w:w="1620" w:type="pct"/>
            <w:vAlign w:val="center"/>
          </w:tcPr>
          <w:p>
            <w:pPr>
              <w:jc w:val="center"/>
              <w:rPr>
                <w:szCs w:val="21"/>
              </w:rPr>
            </w:pPr>
            <w:r>
              <w:rPr>
                <w:szCs w:val="21"/>
              </w:rPr>
              <w:t>总磷</w:t>
            </w:r>
          </w:p>
        </w:tc>
        <w:tc>
          <w:tcPr>
            <w:tcW w:w="1435" w:type="pct"/>
            <w:vAlign w:val="center"/>
          </w:tcPr>
          <w:p>
            <w:pPr>
              <w:jc w:val="center"/>
              <w:rPr>
                <w:szCs w:val="21"/>
              </w:rPr>
            </w:pPr>
            <w:r>
              <w:rPr>
                <w:szCs w:val="21"/>
              </w:rPr>
              <w:t>≤0.2（湖、库0.05）</w:t>
            </w:r>
          </w:p>
        </w:tc>
        <w:tc>
          <w:tcPr>
            <w:tcW w:w="1435" w:type="pct"/>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9" w:type="pct"/>
            <w:vAlign w:val="center"/>
          </w:tcPr>
          <w:p>
            <w:pPr>
              <w:jc w:val="center"/>
              <w:rPr>
                <w:szCs w:val="21"/>
              </w:rPr>
            </w:pPr>
            <w:r>
              <w:rPr>
                <w:rFonts w:hint="eastAsia"/>
                <w:szCs w:val="21"/>
              </w:rPr>
              <w:t>6</w:t>
            </w:r>
          </w:p>
        </w:tc>
        <w:tc>
          <w:tcPr>
            <w:tcW w:w="1620" w:type="pct"/>
            <w:vAlign w:val="center"/>
          </w:tcPr>
          <w:p>
            <w:pPr>
              <w:jc w:val="center"/>
              <w:rPr>
                <w:szCs w:val="21"/>
              </w:rPr>
            </w:pPr>
            <w:r>
              <w:rPr>
                <w:rFonts w:hint="eastAsia"/>
                <w:szCs w:val="21"/>
              </w:rPr>
              <w:t>粪大肠菌群（个/L）</w:t>
            </w:r>
          </w:p>
        </w:tc>
        <w:tc>
          <w:tcPr>
            <w:tcW w:w="1435" w:type="pct"/>
            <w:vAlign w:val="center"/>
          </w:tcPr>
          <w:p>
            <w:pPr>
              <w:jc w:val="center"/>
              <w:rPr>
                <w:szCs w:val="21"/>
              </w:rPr>
            </w:pPr>
            <w:r>
              <w:rPr>
                <w:szCs w:val="21"/>
              </w:rPr>
              <w:t>≤10000</w:t>
            </w:r>
          </w:p>
        </w:tc>
        <w:tc>
          <w:tcPr>
            <w:tcW w:w="1435" w:type="pct"/>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09" w:type="pct"/>
            <w:vAlign w:val="center"/>
          </w:tcPr>
          <w:p>
            <w:pPr>
              <w:jc w:val="center"/>
              <w:rPr>
                <w:szCs w:val="21"/>
              </w:rPr>
            </w:pPr>
            <w:r>
              <w:rPr>
                <w:rFonts w:hint="eastAsia"/>
                <w:szCs w:val="21"/>
              </w:rPr>
              <w:t>7</w:t>
            </w:r>
          </w:p>
        </w:tc>
        <w:tc>
          <w:tcPr>
            <w:tcW w:w="1620" w:type="pct"/>
            <w:vAlign w:val="center"/>
          </w:tcPr>
          <w:p>
            <w:pPr>
              <w:jc w:val="center"/>
              <w:rPr>
                <w:szCs w:val="21"/>
              </w:rPr>
            </w:pPr>
            <w:r>
              <w:rPr>
                <w:rFonts w:hint="eastAsia"/>
                <w:szCs w:val="21"/>
              </w:rPr>
              <w:t>SS</w:t>
            </w:r>
          </w:p>
        </w:tc>
        <w:tc>
          <w:tcPr>
            <w:tcW w:w="1435" w:type="pct"/>
            <w:vAlign w:val="center"/>
          </w:tcPr>
          <w:p>
            <w:pPr>
              <w:jc w:val="center"/>
              <w:rPr>
                <w:szCs w:val="21"/>
              </w:rPr>
            </w:pPr>
            <w:r>
              <w:rPr>
                <w:szCs w:val="21"/>
              </w:rPr>
              <w:t>≤</w:t>
            </w:r>
            <w:r>
              <w:rPr>
                <w:rFonts w:hint="eastAsia"/>
                <w:szCs w:val="21"/>
              </w:rPr>
              <w:t>30</w:t>
            </w:r>
          </w:p>
        </w:tc>
        <w:tc>
          <w:tcPr>
            <w:tcW w:w="1435" w:type="pct"/>
            <w:vAlign w:val="center"/>
          </w:tcPr>
          <w:p>
            <w:pPr>
              <w:jc w:val="center"/>
              <w:rPr>
                <w:szCs w:val="21"/>
              </w:rPr>
            </w:pPr>
            <w:r>
              <w:t>《地表水资源质量标准》（SL63-94）</w:t>
            </w:r>
          </w:p>
        </w:tc>
      </w:tr>
    </w:tbl>
    <w:p>
      <w:pPr>
        <w:pStyle w:val="5"/>
        <w:adjustRightInd w:val="0"/>
        <w:snapToGrid w:val="0"/>
        <w:spacing w:after="0" w:line="360" w:lineRule="auto"/>
        <w:ind w:firstLine="480" w:firstLineChars="200"/>
        <w:rPr>
          <w:rFonts w:ascii="Times New Roman" w:hAnsi="Times New Roman" w:cs="Times New Roman"/>
          <w:sz w:val="24"/>
        </w:rPr>
      </w:pPr>
      <w:r>
        <w:rPr>
          <w:rFonts w:ascii="Times New Roman" w:hAnsi="Times New Roman" w:cs="Times New Roman"/>
          <w:sz w:val="24"/>
        </w:rPr>
        <w:t>（</w:t>
      </w:r>
      <w:r>
        <w:rPr>
          <w:rFonts w:ascii="Times New Roman" w:hAnsi="Times New Roman" w:eastAsia="宋体" w:cs="Times New Roman"/>
          <w:sz w:val="24"/>
        </w:rPr>
        <w:t>3）地下水环境</w:t>
      </w:r>
    </w:p>
    <w:p>
      <w:pPr>
        <w:pStyle w:val="5"/>
        <w:spacing w:after="0" w:line="360" w:lineRule="auto"/>
        <w:ind w:firstLine="480" w:firstLineChars="200"/>
        <w:rPr>
          <w:rFonts w:ascii="Times New Roman" w:hAnsi="Times New Roman" w:cs="Times New Roman"/>
          <w:sz w:val="24"/>
        </w:rPr>
      </w:pPr>
      <w:r>
        <w:rPr>
          <w:rFonts w:ascii="Times New Roman" w:hAnsi="Times New Roman" w:cs="Times New Roman"/>
          <w:sz w:val="24"/>
        </w:rPr>
        <w:t>建设项目所在区域地下水</w:t>
      </w:r>
      <w:r>
        <w:rPr>
          <w:rFonts w:hint="eastAsia" w:ascii="Times New Roman" w:hAnsi="Times New Roman" w:cs="Times New Roman"/>
          <w:sz w:val="24"/>
        </w:rPr>
        <w:t>水质</w:t>
      </w:r>
      <w:r>
        <w:rPr>
          <w:rFonts w:ascii="Times New Roman" w:hAnsi="Times New Roman" w:cs="Times New Roman"/>
          <w:sz w:val="24"/>
        </w:rPr>
        <w:t>执行《地下水质量标准》（GB/T14848-2017）中</w:t>
      </w:r>
      <w:r>
        <w:rPr>
          <w:rFonts w:hint="eastAsia" w:ascii="宋体" w:hAnsi="宋体" w:eastAsia="宋体" w:cs="Times New Roman"/>
          <w:sz w:val="24"/>
        </w:rPr>
        <w:t>Ⅲ</w:t>
      </w:r>
      <w:r>
        <w:rPr>
          <w:rFonts w:ascii="Times New Roman" w:hAnsi="Times New Roman" w:cs="Times New Roman"/>
          <w:sz w:val="24"/>
        </w:rPr>
        <w:t>类标准</w:t>
      </w:r>
      <w:r>
        <w:rPr>
          <w:rFonts w:hint="eastAsia" w:ascii="Times New Roman" w:hAnsi="Times New Roman" w:cs="Times New Roman"/>
          <w:sz w:val="24"/>
        </w:rPr>
        <w:t>，</w:t>
      </w:r>
      <w:r>
        <w:rPr>
          <w:rFonts w:ascii="Times New Roman" w:hAnsi="Times New Roman" w:cs="Times New Roman"/>
          <w:sz w:val="24"/>
        </w:rPr>
        <w:t>具体标准值详见表</w:t>
      </w:r>
      <w:r>
        <w:rPr>
          <w:rFonts w:hint="eastAsia" w:ascii="Times New Roman" w:hAnsi="Times New Roman" w:cs="Times New Roman"/>
          <w:sz w:val="24"/>
        </w:rPr>
        <w:t>2.3-5</w:t>
      </w:r>
      <w:r>
        <w:rPr>
          <w:rFonts w:ascii="Times New Roman" w:hAnsi="Times New Roman" w:cs="Times New Roman"/>
          <w:sz w:val="24"/>
        </w:rPr>
        <w:t>。</w:t>
      </w:r>
    </w:p>
    <w:p>
      <w:pPr>
        <w:pStyle w:val="17"/>
        <w:spacing w:beforeLines="50"/>
        <w:rPr>
          <w:rFonts w:ascii="Times New Roman" w:hAnsi="Times New Roman" w:cs="Times New Roman"/>
          <w:color w:val="auto"/>
          <w:sz w:val="21"/>
        </w:rPr>
      </w:pPr>
      <w:r>
        <w:rPr>
          <w:rFonts w:ascii="Times New Roman" w:hAnsi="Times New Roman" w:cs="Times New Roman"/>
          <w:color w:val="auto"/>
          <w:sz w:val="21"/>
        </w:rPr>
        <w:t>表2.</w:t>
      </w:r>
      <w:r>
        <w:rPr>
          <w:rFonts w:hint="eastAsia" w:ascii="Times New Roman" w:hAnsi="Times New Roman" w:cs="Times New Roman"/>
          <w:color w:val="auto"/>
          <w:sz w:val="21"/>
        </w:rPr>
        <w:t>3</w:t>
      </w:r>
      <w:r>
        <w:rPr>
          <w:rFonts w:ascii="Times New Roman" w:hAnsi="Times New Roman" w:cs="Times New Roman"/>
          <w:color w:val="auto"/>
          <w:sz w:val="21"/>
        </w:rPr>
        <w:t>-</w:t>
      </w:r>
      <w:r>
        <w:rPr>
          <w:rFonts w:hint="eastAsia" w:ascii="Times New Roman" w:hAnsi="Times New Roman" w:cs="Times New Roman"/>
          <w:color w:val="auto"/>
          <w:sz w:val="21"/>
        </w:rPr>
        <w:t xml:space="preserve">5  </w:t>
      </w:r>
      <w:r>
        <w:rPr>
          <w:rFonts w:ascii="Times New Roman" w:hAnsi="Times New Roman" w:cs="Times New Roman"/>
          <w:color w:val="auto"/>
          <w:sz w:val="21"/>
        </w:rPr>
        <w:t>《地下水质量标准》（GB/T14848-2017）</w:t>
      </w:r>
      <w:r>
        <w:rPr>
          <w:rFonts w:hint="eastAsia" w:ascii="Times New Roman" w:hAnsi="Times New Roman" w:cs="Times New Roman"/>
          <w:color w:val="auto"/>
          <w:sz w:val="21"/>
        </w:rPr>
        <w:t xml:space="preserve">  </w:t>
      </w:r>
      <w:r>
        <w:rPr>
          <w:rFonts w:ascii="Times New Roman" w:hAnsi="Times New Roman" w:cs="Times New Roman"/>
          <w:color w:val="auto"/>
          <w:sz w:val="21"/>
        </w:rPr>
        <w:t>单位mg/L，pH值除外</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4255"/>
        <w:gridCol w:w="31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6" w:type="pct"/>
            <w:vAlign w:val="center"/>
          </w:tcPr>
          <w:p>
            <w:pPr>
              <w:pStyle w:val="87"/>
              <w:spacing w:line="240" w:lineRule="auto"/>
              <w:rPr>
                <w:rFonts w:ascii="Times New Roman" w:hAnsi="Times New Roman" w:cs="Times New Roman"/>
                <w:b/>
                <w:sz w:val="21"/>
                <w:szCs w:val="21"/>
              </w:rPr>
            </w:pPr>
            <w:r>
              <w:rPr>
                <w:rFonts w:ascii="Times New Roman" w:cs="Times New Roman"/>
                <w:b/>
                <w:sz w:val="21"/>
                <w:szCs w:val="21"/>
              </w:rPr>
              <w:t>序号</w:t>
            </w:r>
          </w:p>
        </w:tc>
        <w:tc>
          <w:tcPr>
            <w:tcW w:w="2494" w:type="pct"/>
            <w:vAlign w:val="center"/>
          </w:tcPr>
          <w:p>
            <w:pPr>
              <w:pStyle w:val="87"/>
              <w:spacing w:line="240" w:lineRule="auto"/>
              <w:rPr>
                <w:rFonts w:ascii="Times New Roman" w:hAnsi="Times New Roman" w:cs="Times New Roman"/>
                <w:b/>
                <w:sz w:val="21"/>
                <w:szCs w:val="21"/>
              </w:rPr>
            </w:pPr>
            <w:r>
              <w:rPr>
                <w:rFonts w:ascii="Times New Roman" w:cs="Times New Roman"/>
                <w:b/>
                <w:sz w:val="21"/>
                <w:szCs w:val="21"/>
              </w:rPr>
              <w:t>污染物</w:t>
            </w:r>
          </w:p>
        </w:tc>
        <w:tc>
          <w:tcPr>
            <w:tcW w:w="1859" w:type="pct"/>
            <w:vAlign w:val="center"/>
          </w:tcPr>
          <w:p>
            <w:pPr>
              <w:pStyle w:val="87"/>
              <w:spacing w:line="240" w:lineRule="auto"/>
              <w:rPr>
                <w:rFonts w:ascii="Times New Roman" w:hAnsi="Times New Roman" w:cs="Times New Roman"/>
                <w:b/>
                <w:sz w:val="21"/>
                <w:szCs w:val="21"/>
              </w:rPr>
            </w:pPr>
            <w:r>
              <w:rPr>
                <w:rFonts w:ascii="Times New Roman" w:cs="Times New Roman"/>
                <w:b/>
                <w:sz w:val="21"/>
                <w:szCs w:val="21"/>
              </w:rPr>
              <w:t>（</w:t>
            </w:r>
            <w:r>
              <w:rPr>
                <w:rFonts w:ascii="Times New Roman" w:hAnsi="Times New Roman" w:cs="Times New Roman"/>
                <w:b/>
                <w:bCs/>
                <w:sz w:val="21"/>
                <w:szCs w:val="21"/>
              </w:rPr>
              <w:t>GB/T 14848-2017</w:t>
            </w:r>
            <w:r>
              <w:rPr>
                <w:rFonts w:ascii="Times New Roman" w:cs="Times New Roman"/>
                <w:b/>
                <w:sz w:val="21"/>
                <w:szCs w:val="21"/>
              </w:rPr>
              <w:t>）中</w:t>
            </w:r>
            <w:r>
              <w:rPr>
                <w:rFonts w:ascii="Times New Roman" w:hAnsi="Times New Roman" w:cs="Times New Roman"/>
                <w:b/>
                <w:sz w:val="21"/>
                <w:szCs w:val="21"/>
              </w:rPr>
              <w:t>Ⅲ</w:t>
            </w:r>
            <w:r>
              <w:rPr>
                <w:rFonts w:ascii="Times New Roman" w:cs="Times New Roman"/>
                <w:b/>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6" w:type="pct"/>
            <w:vAlign w:val="center"/>
          </w:tcPr>
          <w:p>
            <w:pPr>
              <w:pStyle w:val="87"/>
              <w:spacing w:line="240" w:lineRule="auto"/>
              <w:rPr>
                <w:rFonts w:ascii="Times New Roman" w:hAnsi="Times New Roman" w:cs="Times New Roman"/>
                <w:sz w:val="21"/>
                <w:szCs w:val="21"/>
              </w:rPr>
            </w:pPr>
            <w:r>
              <w:rPr>
                <w:rFonts w:ascii="Times New Roman" w:hAnsi="Times New Roman" w:cs="Times New Roman"/>
                <w:sz w:val="21"/>
                <w:szCs w:val="21"/>
              </w:rPr>
              <w:t>1</w:t>
            </w:r>
          </w:p>
        </w:tc>
        <w:tc>
          <w:tcPr>
            <w:tcW w:w="2494" w:type="pct"/>
            <w:vAlign w:val="center"/>
          </w:tcPr>
          <w:p>
            <w:pPr>
              <w:widowControl/>
              <w:tabs>
                <w:tab w:val="left" w:pos="480"/>
              </w:tabs>
              <w:jc w:val="center"/>
              <w:rPr>
                <w:szCs w:val="21"/>
              </w:rPr>
            </w:pPr>
            <w:r>
              <w:rPr>
                <w:szCs w:val="21"/>
              </w:rPr>
              <w:t>pH</w:t>
            </w:r>
          </w:p>
        </w:tc>
        <w:tc>
          <w:tcPr>
            <w:tcW w:w="1859" w:type="pct"/>
            <w:vAlign w:val="center"/>
          </w:tcPr>
          <w:p>
            <w:pPr>
              <w:tabs>
                <w:tab w:val="left" w:pos="480"/>
              </w:tabs>
              <w:jc w:val="center"/>
              <w:rPr>
                <w:szCs w:val="21"/>
              </w:rPr>
            </w:pPr>
            <w:r>
              <w:rPr>
                <w:szCs w:val="21"/>
              </w:rPr>
              <w:t>6.5~8.5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6" w:type="pct"/>
            <w:vAlign w:val="center"/>
          </w:tcPr>
          <w:p>
            <w:pPr>
              <w:pStyle w:val="87"/>
              <w:spacing w:line="240" w:lineRule="auto"/>
              <w:rPr>
                <w:rFonts w:ascii="Times New Roman" w:hAnsi="Times New Roman" w:cs="Times New Roman"/>
                <w:sz w:val="21"/>
                <w:szCs w:val="21"/>
              </w:rPr>
            </w:pPr>
            <w:r>
              <w:rPr>
                <w:rFonts w:ascii="Times New Roman" w:hAnsi="Times New Roman" w:cs="Times New Roman"/>
                <w:sz w:val="21"/>
                <w:szCs w:val="21"/>
              </w:rPr>
              <w:t>2</w:t>
            </w:r>
          </w:p>
        </w:tc>
        <w:tc>
          <w:tcPr>
            <w:tcW w:w="2494" w:type="pct"/>
            <w:vAlign w:val="center"/>
          </w:tcPr>
          <w:p>
            <w:pPr>
              <w:widowControl/>
              <w:tabs>
                <w:tab w:val="left" w:pos="480"/>
              </w:tabs>
              <w:jc w:val="center"/>
              <w:rPr>
                <w:szCs w:val="21"/>
              </w:rPr>
            </w:pPr>
            <w:r>
              <w:rPr>
                <w:bCs/>
                <w:szCs w:val="21"/>
              </w:rPr>
              <w:t>总硬度</w:t>
            </w:r>
          </w:p>
        </w:tc>
        <w:tc>
          <w:tcPr>
            <w:tcW w:w="1859" w:type="pct"/>
            <w:vAlign w:val="center"/>
          </w:tcPr>
          <w:p>
            <w:pPr>
              <w:tabs>
                <w:tab w:val="left" w:pos="480"/>
              </w:tabs>
              <w:jc w:val="center"/>
              <w:rPr>
                <w:szCs w:val="21"/>
              </w:rPr>
            </w:pPr>
            <w:r>
              <w:rPr>
                <w:szCs w:val="21"/>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6" w:type="pct"/>
            <w:vAlign w:val="center"/>
          </w:tcPr>
          <w:p>
            <w:pPr>
              <w:pStyle w:val="87"/>
              <w:spacing w:line="240" w:lineRule="auto"/>
              <w:rPr>
                <w:rFonts w:ascii="Times New Roman" w:hAnsi="Times New Roman" w:cs="Times New Roman"/>
                <w:sz w:val="21"/>
                <w:szCs w:val="21"/>
              </w:rPr>
            </w:pPr>
            <w:r>
              <w:rPr>
                <w:rFonts w:ascii="Times New Roman" w:hAnsi="Times New Roman" w:cs="Times New Roman"/>
                <w:sz w:val="21"/>
                <w:szCs w:val="21"/>
              </w:rPr>
              <w:t>3</w:t>
            </w:r>
          </w:p>
        </w:tc>
        <w:tc>
          <w:tcPr>
            <w:tcW w:w="2494" w:type="pct"/>
            <w:vAlign w:val="center"/>
          </w:tcPr>
          <w:p>
            <w:pPr>
              <w:widowControl/>
              <w:tabs>
                <w:tab w:val="left" w:pos="480"/>
              </w:tabs>
              <w:jc w:val="center"/>
              <w:rPr>
                <w:szCs w:val="21"/>
              </w:rPr>
            </w:pPr>
            <w:r>
              <w:rPr>
                <w:szCs w:val="21"/>
              </w:rPr>
              <w:t>氨氮</w:t>
            </w:r>
          </w:p>
        </w:tc>
        <w:tc>
          <w:tcPr>
            <w:tcW w:w="1859" w:type="pct"/>
            <w:vAlign w:val="center"/>
          </w:tcPr>
          <w:p>
            <w:pPr>
              <w:tabs>
                <w:tab w:val="left" w:pos="480"/>
              </w:tabs>
              <w:jc w:val="center"/>
              <w:rPr>
                <w:szCs w:val="21"/>
              </w:rPr>
            </w:pPr>
            <w:r>
              <w:rPr>
                <w:szCs w:val="21"/>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6" w:type="pct"/>
            <w:vAlign w:val="center"/>
          </w:tcPr>
          <w:p>
            <w:pPr>
              <w:pStyle w:val="87"/>
              <w:spacing w:line="240" w:lineRule="auto"/>
              <w:rPr>
                <w:rFonts w:ascii="Times New Roman" w:hAnsi="Times New Roman" w:cs="Times New Roman"/>
                <w:sz w:val="21"/>
                <w:szCs w:val="21"/>
              </w:rPr>
            </w:pPr>
            <w:r>
              <w:rPr>
                <w:rFonts w:ascii="Times New Roman" w:hAnsi="Times New Roman" w:cs="Times New Roman"/>
                <w:sz w:val="21"/>
                <w:szCs w:val="21"/>
              </w:rPr>
              <w:t>4</w:t>
            </w:r>
          </w:p>
        </w:tc>
        <w:tc>
          <w:tcPr>
            <w:tcW w:w="2494" w:type="pct"/>
            <w:vAlign w:val="center"/>
          </w:tcPr>
          <w:p>
            <w:pPr>
              <w:widowControl/>
              <w:tabs>
                <w:tab w:val="left" w:pos="480"/>
              </w:tabs>
              <w:jc w:val="center"/>
              <w:rPr>
                <w:szCs w:val="21"/>
              </w:rPr>
            </w:pPr>
            <w:r>
              <w:rPr>
                <w:szCs w:val="21"/>
              </w:rPr>
              <w:t>耗氧量（COD</w:t>
            </w:r>
            <w:r>
              <w:rPr>
                <w:szCs w:val="21"/>
                <w:vertAlign w:val="subscript"/>
              </w:rPr>
              <w:t>Mn</w:t>
            </w:r>
            <w:r>
              <w:rPr>
                <w:szCs w:val="21"/>
              </w:rPr>
              <w:t>法，以O</w:t>
            </w:r>
            <w:r>
              <w:rPr>
                <w:szCs w:val="21"/>
                <w:vertAlign w:val="subscript"/>
              </w:rPr>
              <w:t>2</w:t>
            </w:r>
            <w:r>
              <w:rPr>
                <w:szCs w:val="21"/>
              </w:rPr>
              <w:t>计）</w:t>
            </w:r>
          </w:p>
        </w:tc>
        <w:tc>
          <w:tcPr>
            <w:tcW w:w="1859" w:type="pct"/>
            <w:vAlign w:val="center"/>
          </w:tcPr>
          <w:p>
            <w:pPr>
              <w:tabs>
                <w:tab w:val="left" w:pos="480"/>
              </w:tabs>
              <w:jc w:val="center"/>
              <w:rPr>
                <w:szCs w:val="21"/>
              </w:rPr>
            </w:pPr>
            <w:r>
              <w:rPr>
                <w:szCs w:val="21"/>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6" w:type="pct"/>
            <w:vAlign w:val="center"/>
          </w:tcPr>
          <w:p>
            <w:pPr>
              <w:pStyle w:val="87"/>
              <w:spacing w:line="240" w:lineRule="auto"/>
              <w:rPr>
                <w:rFonts w:ascii="Times New Roman" w:hAnsi="Times New Roman" w:cs="Times New Roman"/>
                <w:sz w:val="21"/>
                <w:szCs w:val="21"/>
              </w:rPr>
            </w:pPr>
            <w:r>
              <w:rPr>
                <w:rFonts w:ascii="Times New Roman" w:hAnsi="Times New Roman" w:cs="Times New Roman"/>
                <w:sz w:val="21"/>
                <w:szCs w:val="21"/>
              </w:rPr>
              <w:t>5</w:t>
            </w:r>
          </w:p>
        </w:tc>
        <w:tc>
          <w:tcPr>
            <w:tcW w:w="2494" w:type="pct"/>
            <w:vAlign w:val="center"/>
          </w:tcPr>
          <w:p>
            <w:pPr>
              <w:widowControl/>
              <w:tabs>
                <w:tab w:val="left" w:pos="480"/>
              </w:tabs>
              <w:jc w:val="center"/>
              <w:rPr>
                <w:szCs w:val="21"/>
              </w:rPr>
            </w:pPr>
            <w:r>
              <w:rPr>
                <w:szCs w:val="21"/>
              </w:rPr>
              <w:t>硝酸盐</w:t>
            </w:r>
          </w:p>
        </w:tc>
        <w:tc>
          <w:tcPr>
            <w:tcW w:w="1859" w:type="pct"/>
            <w:vAlign w:val="center"/>
          </w:tcPr>
          <w:p>
            <w:pPr>
              <w:tabs>
                <w:tab w:val="left" w:pos="480"/>
              </w:tabs>
              <w:jc w:val="center"/>
              <w:rPr>
                <w:szCs w:val="21"/>
              </w:rPr>
            </w:pPr>
            <w:r>
              <w:rPr>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6" w:type="pct"/>
            <w:vAlign w:val="center"/>
          </w:tcPr>
          <w:p>
            <w:pPr>
              <w:pStyle w:val="87"/>
              <w:spacing w:line="240" w:lineRule="auto"/>
              <w:rPr>
                <w:rFonts w:ascii="Times New Roman" w:hAnsi="Times New Roman" w:cs="Times New Roman"/>
                <w:sz w:val="21"/>
                <w:szCs w:val="21"/>
              </w:rPr>
            </w:pPr>
            <w:r>
              <w:rPr>
                <w:rFonts w:ascii="Times New Roman" w:hAnsi="Times New Roman" w:cs="Times New Roman"/>
                <w:sz w:val="21"/>
                <w:szCs w:val="21"/>
              </w:rPr>
              <w:t>6</w:t>
            </w:r>
          </w:p>
        </w:tc>
        <w:tc>
          <w:tcPr>
            <w:tcW w:w="2494" w:type="pct"/>
            <w:vAlign w:val="center"/>
          </w:tcPr>
          <w:p>
            <w:pPr>
              <w:widowControl/>
              <w:jc w:val="center"/>
              <w:textAlignment w:val="center"/>
              <w:rPr>
                <w:kern w:val="0"/>
                <w:sz w:val="22"/>
                <w:szCs w:val="22"/>
              </w:rPr>
            </w:pPr>
            <w:r>
              <w:rPr>
                <w:kern w:val="0"/>
                <w:sz w:val="22"/>
                <w:szCs w:val="22"/>
              </w:rPr>
              <w:t>亚硝酸盐</w:t>
            </w:r>
          </w:p>
        </w:tc>
        <w:tc>
          <w:tcPr>
            <w:tcW w:w="1859" w:type="pct"/>
            <w:vAlign w:val="center"/>
          </w:tcPr>
          <w:p>
            <w:pPr>
              <w:overflowPunct w:val="0"/>
              <w:autoSpaceDE w:val="0"/>
              <w:autoSpaceDN w:val="0"/>
              <w:adjustRightInd w:val="0"/>
              <w:jc w:val="center"/>
              <w:textAlignment w:val="baseline"/>
              <w:rPr>
                <w:kern w:val="0"/>
                <w:szCs w:val="21"/>
              </w:rPr>
            </w:pPr>
            <w:r>
              <w:rPr>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6" w:type="pct"/>
            <w:vAlign w:val="center"/>
          </w:tcPr>
          <w:p>
            <w:pPr>
              <w:pStyle w:val="87"/>
              <w:spacing w:line="240" w:lineRule="auto"/>
              <w:rPr>
                <w:rFonts w:ascii="Times New Roman" w:hAnsi="Times New Roman" w:cs="Times New Roman"/>
                <w:sz w:val="21"/>
                <w:szCs w:val="21"/>
              </w:rPr>
            </w:pPr>
            <w:r>
              <w:rPr>
                <w:rFonts w:ascii="Times New Roman" w:hAnsi="Times New Roman" w:cs="Times New Roman"/>
                <w:sz w:val="21"/>
                <w:szCs w:val="21"/>
              </w:rPr>
              <w:t>7</w:t>
            </w:r>
          </w:p>
        </w:tc>
        <w:tc>
          <w:tcPr>
            <w:tcW w:w="2494" w:type="pct"/>
            <w:vAlign w:val="center"/>
          </w:tcPr>
          <w:p>
            <w:pPr>
              <w:widowControl/>
              <w:tabs>
                <w:tab w:val="left" w:pos="480"/>
              </w:tabs>
              <w:jc w:val="center"/>
              <w:rPr>
                <w:szCs w:val="21"/>
              </w:rPr>
            </w:pPr>
            <w:r>
              <w:rPr>
                <w:szCs w:val="21"/>
              </w:rPr>
              <w:t>总大肠菌群（MPN</w:t>
            </w:r>
            <w:r>
              <w:rPr>
                <w:szCs w:val="21"/>
                <w:vertAlign w:val="superscript"/>
              </w:rPr>
              <w:t>b</w:t>
            </w:r>
            <w:r>
              <w:rPr>
                <w:szCs w:val="21"/>
              </w:rPr>
              <w:t>/100mL或CFU</w:t>
            </w:r>
            <w:r>
              <w:rPr>
                <w:szCs w:val="21"/>
                <w:vertAlign w:val="superscript"/>
              </w:rPr>
              <w:t>c</w:t>
            </w:r>
            <w:r>
              <w:rPr>
                <w:szCs w:val="21"/>
              </w:rPr>
              <w:t>/100mL）</w:t>
            </w:r>
          </w:p>
        </w:tc>
        <w:tc>
          <w:tcPr>
            <w:tcW w:w="1859" w:type="pct"/>
            <w:vAlign w:val="center"/>
          </w:tcPr>
          <w:p>
            <w:pPr>
              <w:tabs>
                <w:tab w:val="left" w:pos="480"/>
              </w:tabs>
              <w:jc w:val="center"/>
              <w:rPr>
                <w:szCs w:val="21"/>
              </w:rPr>
            </w:pPr>
            <w:r>
              <w:rPr>
                <w:szCs w:val="21"/>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6" w:type="pct"/>
            <w:vAlign w:val="center"/>
          </w:tcPr>
          <w:p>
            <w:pPr>
              <w:pStyle w:val="87"/>
              <w:spacing w:line="240" w:lineRule="auto"/>
              <w:rPr>
                <w:rFonts w:ascii="Times New Roman" w:hAnsi="Times New Roman" w:cs="Times New Roman"/>
                <w:sz w:val="21"/>
                <w:szCs w:val="21"/>
              </w:rPr>
            </w:pPr>
            <w:r>
              <w:rPr>
                <w:rFonts w:ascii="Times New Roman" w:hAnsi="Times New Roman" w:cs="Times New Roman"/>
                <w:sz w:val="21"/>
                <w:szCs w:val="21"/>
              </w:rPr>
              <w:t>8</w:t>
            </w:r>
          </w:p>
        </w:tc>
        <w:tc>
          <w:tcPr>
            <w:tcW w:w="2494" w:type="pct"/>
            <w:vAlign w:val="center"/>
          </w:tcPr>
          <w:p>
            <w:pPr>
              <w:widowControl/>
              <w:tabs>
                <w:tab w:val="left" w:pos="480"/>
              </w:tabs>
              <w:jc w:val="center"/>
              <w:rPr>
                <w:szCs w:val="21"/>
              </w:rPr>
            </w:pPr>
            <w:r>
              <w:rPr>
                <w:szCs w:val="21"/>
              </w:rPr>
              <w:t>钾</w:t>
            </w:r>
          </w:p>
        </w:tc>
        <w:tc>
          <w:tcPr>
            <w:tcW w:w="1859" w:type="pct"/>
            <w:vAlign w:val="center"/>
          </w:tcPr>
          <w:p>
            <w:pPr>
              <w:tabs>
                <w:tab w:val="left" w:pos="480"/>
              </w:tabs>
              <w:jc w:val="center"/>
              <w:rPr>
                <w:szCs w:val="21"/>
              </w:rPr>
            </w:pPr>
            <w:r>
              <w:rPr>
                <w:rFonts w:hint="eastAsia"/>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6" w:type="pct"/>
            <w:vAlign w:val="center"/>
          </w:tcPr>
          <w:p>
            <w:pPr>
              <w:pStyle w:val="87"/>
              <w:spacing w:line="240" w:lineRule="auto"/>
              <w:rPr>
                <w:rFonts w:ascii="Times New Roman" w:hAnsi="Times New Roman" w:cs="Times New Roman"/>
                <w:sz w:val="21"/>
                <w:szCs w:val="21"/>
              </w:rPr>
            </w:pPr>
            <w:r>
              <w:rPr>
                <w:rFonts w:ascii="Times New Roman" w:hAnsi="Times New Roman" w:cs="Times New Roman"/>
                <w:sz w:val="21"/>
                <w:szCs w:val="21"/>
              </w:rPr>
              <w:t>9</w:t>
            </w:r>
          </w:p>
        </w:tc>
        <w:tc>
          <w:tcPr>
            <w:tcW w:w="2494" w:type="pct"/>
            <w:vAlign w:val="center"/>
          </w:tcPr>
          <w:p>
            <w:pPr>
              <w:widowControl/>
              <w:tabs>
                <w:tab w:val="left" w:pos="480"/>
              </w:tabs>
              <w:jc w:val="center"/>
              <w:rPr>
                <w:szCs w:val="21"/>
              </w:rPr>
            </w:pPr>
            <w:r>
              <w:rPr>
                <w:szCs w:val="21"/>
              </w:rPr>
              <w:t>钠</w:t>
            </w:r>
          </w:p>
        </w:tc>
        <w:tc>
          <w:tcPr>
            <w:tcW w:w="1859" w:type="pct"/>
            <w:vAlign w:val="center"/>
          </w:tcPr>
          <w:p>
            <w:pPr>
              <w:tabs>
                <w:tab w:val="left" w:pos="480"/>
              </w:tabs>
              <w:jc w:val="center"/>
              <w:rPr>
                <w:szCs w:val="21"/>
              </w:rPr>
            </w:pPr>
            <w:r>
              <w:rPr>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6" w:type="pct"/>
            <w:vAlign w:val="center"/>
          </w:tcPr>
          <w:p>
            <w:pPr>
              <w:jc w:val="center"/>
              <w:rPr>
                <w:szCs w:val="21"/>
              </w:rPr>
            </w:pPr>
            <w:r>
              <w:rPr>
                <w:szCs w:val="21"/>
              </w:rPr>
              <w:t>10</w:t>
            </w:r>
          </w:p>
        </w:tc>
        <w:tc>
          <w:tcPr>
            <w:tcW w:w="2494" w:type="pct"/>
            <w:vAlign w:val="center"/>
          </w:tcPr>
          <w:p>
            <w:pPr>
              <w:spacing w:line="240" w:lineRule="exact"/>
              <w:jc w:val="center"/>
              <w:rPr>
                <w:szCs w:val="21"/>
              </w:rPr>
            </w:pPr>
            <w:r>
              <w:rPr>
                <w:bCs/>
                <w:szCs w:val="21"/>
              </w:rPr>
              <w:t>钙</w:t>
            </w:r>
          </w:p>
        </w:tc>
        <w:tc>
          <w:tcPr>
            <w:tcW w:w="1859" w:type="pct"/>
            <w:vAlign w:val="center"/>
          </w:tcPr>
          <w:p>
            <w:pPr>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6" w:type="pct"/>
            <w:vAlign w:val="center"/>
          </w:tcPr>
          <w:p>
            <w:pPr>
              <w:jc w:val="center"/>
              <w:rPr>
                <w:szCs w:val="21"/>
              </w:rPr>
            </w:pPr>
            <w:r>
              <w:rPr>
                <w:szCs w:val="21"/>
              </w:rPr>
              <w:t>11</w:t>
            </w:r>
          </w:p>
        </w:tc>
        <w:tc>
          <w:tcPr>
            <w:tcW w:w="2494" w:type="pct"/>
            <w:vAlign w:val="center"/>
          </w:tcPr>
          <w:p>
            <w:pPr>
              <w:spacing w:line="240" w:lineRule="exact"/>
              <w:jc w:val="center"/>
              <w:rPr>
                <w:szCs w:val="21"/>
              </w:rPr>
            </w:pPr>
            <w:r>
              <w:rPr>
                <w:bCs/>
                <w:szCs w:val="21"/>
              </w:rPr>
              <w:t>镁</w:t>
            </w:r>
          </w:p>
        </w:tc>
        <w:tc>
          <w:tcPr>
            <w:tcW w:w="1859" w:type="pct"/>
            <w:vAlign w:val="center"/>
          </w:tcPr>
          <w:p>
            <w:pPr>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6" w:type="pct"/>
            <w:vAlign w:val="center"/>
          </w:tcPr>
          <w:p>
            <w:pPr>
              <w:jc w:val="center"/>
              <w:rPr>
                <w:szCs w:val="21"/>
              </w:rPr>
            </w:pPr>
            <w:r>
              <w:rPr>
                <w:szCs w:val="21"/>
              </w:rPr>
              <w:t>12</w:t>
            </w:r>
          </w:p>
        </w:tc>
        <w:tc>
          <w:tcPr>
            <w:tcW w:w="2494" w:type="pct"/>
            <w:vAlign w:val="center"/>
          </w:tcPr>
          <w:p>
            <w:pPr>
              <w:spacing w:line="240" w:lineRule="exact"/>
              <w:jc w:val="center"/>
              <w:rPr>
                <w:szCs w:val="21"/>
              </w:rPr>
            </w:pPr>
            <w:r>
              <w:rPr>
                <w:kern w:val="0"/>
                <w:szCs w:val="21"/>
              </w:rPr>
              <w:t>硫酸盐</w:t>
            </w:r>
          </w:p>
        </w:tc>
        <w:tc>
          <w:tcPr>
            <w:tcW w:w="1859" w:type="pct"/>
            <w:vAlign w:val="center"/>
          </w:tcPr>
          <w:p>
            <w:pPr>
              <w:jc w:val="center"/>
              <w:rPr>
                <w:szCs w:val="21"/>
              </w:rPr>
            </w:pPr>
            <w:r>
              <w:rPr>
                <w:szCs w:val="21"/>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6" w:type="pct"/>
            <w:vAlign w:val="center"/>
          </w:tcPr>
          <w:p>
            <w:pPr>
              <w:jc w:val="center"/>
              <w:rPr>
                <w:szCs w:val="21"/>
              </w:rPr>
            </w:pPr>
            <w:r>
              <w:rPr>
                <w:szCs w:val="21"/>
              </w:rPr>
              <w:t>13</w:t>
            </w:r>
          </w:p>
        </w:tc>
        <w:tc>
          <w:tcPr>
            <w:tcW w:w="2494" w:type="pct"/>
            <w:vAlign w:val="center"/>
          </w:tcPr>
          <w:p>
            <w:pPr>
              <w:spacing w:line="240" w:lineRule="exact"/>
              <w:jc w:val="center"/>
              <w:rPr>
                <w:szCs w:val="21"/>
              </w:rPr>
            </w:pPr>
            <w:r>
              <w:rPr>
                <w:kern w:val="0"/>
                <w:szCs w:val="21"/>
              </w:rPr>
              <w:t>氯化物</w:t>
            </w:r>
          </w:p>
        </w:tc>
        <w:tc>
          <w:tcPr>
            <w:tcW w:w="1859" w:type="pct"/>
            <w:vAlign w:val="center"/>
          </w:tcPr>
          <w:p>
            <w:pPr>
              <w:jc w:val="center"/>
              <w:rPr>
                <w:szCs w:val="21"/>
              </w:rPr>
            </w:pPr>
            <w:r>
              <w:rPr>
                <w:szCs w:val="21"/>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6" w:type="pct"/>
            <w:vAlign w:val="center"/>
          </w:tcPr>
          <w:p>
            <w:pPr>
              <w:jc w:val="center"/>
              <w:rPr>
                <w:szCs w:val="21"/>
              </w:rPr>
            </w:pPr>
            <w:r>
              <w:rPr>
                <w:szCs w:val="21"/>
              </w:rPr>
              <w:t>14</w:t>
            </w:r>
          </w:p>
        </w:tc>
        <w:tc>
          <w:tcPr>
            <w:tcW w:w="2494" w:type="pct"/>
            <w:vAlign w:val="center"/>
          </w:tcPr>
          <w:p>
            <w:pPr>
              <w:spacing w:line="240" w:lineRule="exact"/>
              <w:jc w:val="center"/>
              <w:rPr>
                <w:szCs w:val="21"/>
              </w:rPr>
            </w:pPr>
            <w:r>
              <w:rPr>
                <w:bCs/>
                <w:szCs w:val="21"/>
              </w:rPr>
              <w:t>碳酸根</w:t>
            </w:r>
          </w:p>
        </w:tc>
        <w:tc>
          <w:tcPr>
            <w:tcW w:w="1859" w:type="pct"/>
            <w:vAlign w:val="center"/>
          </w:tcPr>
          <w:p>
            <w:pPr>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646" w:type="pct"/>
            <w:vAlign w:val="center"/>
          </w:tcPr>
          <w:p>
            <w:pPr>
              <w:jc w:val="center"/>
              <w:rPr>
                <w:szCs w:val="21"/>
              </w:rPr>
            </w:pPr>
            <w:r>
              <w:rPr>
                <w:szCs w:val="21"/>
              </w:rPr>
              <w:t>15</w:t>
            </w:r>
          </w:p>
        </w:tc>
        <w:tc>
          <w:tcPr>
            <w:tcW w:w="2494" w:type="pct"/>
            <w:vAlign w:val="center"/>
          </w:tcPr>
          <w:p>
            <w:pPr>
              <w:spacing w:line="240" w:lineRule="exact"/>
              <w:jc w:val="center"/>
              <w:rPr>
                <w:szCs w:val="21"/>
              </w:rPr>
            </w:pPr>
            <w:r>
              <w:rPr>
                <w:bCs/>
                <w:szCs w:val="21"/>
              </w:rPr>
              <w:t>碳酸氢根</w:t>
            </w:r>
          </w:p>
        </w:tc>
        <w:tc>
          <w:tcPr>
            <w:tcW w:w="1859" w:type="pct"/>
            <w:vAlign w:val="center"/>
          </w:tcPr>
          <w:p>
            <w:pPr>
              <w:jc w:val="center"/>
              <w:rPr>
                <w:szCs w:val="21"/>
              </w:rPr>
            </w:pPr>
            <w:r>
              <w:rPr>
                <w:szCs w:val="21"/>
              </w:rPr>
              <w:t>/</w:t>
            </w:r>
          </w:p>
        </w:tc>
      </w:tr>
    </w:tbl>
    <w:p>
      <w:pPr>
        <w:pStyle w:val="5"/>
        <w:adjustRightInd w:val="0"/>
        <w:snapToGrid w:val="0"/>
        <w:spacing w:after="0" w:line="360" w:lineRule="auto"/>
        <w:ind w:firstLine="480" w:firstLineChars="200"/>
        <w:rPr>
          <w:rFonts w:ascii="Times New Roman" w:hAnsi="Times New Roman" w:cs="Times New Roman"/>
          <w:sz w:val="24"/>
        </w:rPr>
      </w:pPr>
      <w:r>
        <w:rPr>
          <w:rFonts w:ascii="Times New Roman" w:hAnsi="Times New Roman" w:cs="Times New Roman"/>
          <w:sz w:val="24"/>
        </w:rPr>
        <w:t>（</w:t>
      </w:r>
      <w:r>
        <w:rPr>
          <w:rFonts w:hint="eastAsia" w:ascii="Times New Roman" w:hAnsi="Times New Roman" w:cs="Times New Roman"/>
          <w:sz w:val="24"/>
        </w:rPr>
        <w:t>4</w:t>
      </w:r>
      <w:r>
        <w:rPr>
          <w:rFonts w:ascii="Times New Roman" w:hAnsi="Times New Roman" w:cs="Times New Roman"/>
          <w:sz w:val="24"/>
        </w:rPr>
        <w:t>）声环境</w:t>
      </w:r>
    </w:p>
    <w:p>
      <w:pPr>
        <w:pStyle w:val="5"/>
        <w:adjustRightInd w:val="0"/>
        <w:snapToGrid w:val="0"/>
        <w:spacing w:after="0" w:line="360" w:lineRule="auto"/>
        <w:ind w:firstLine="480" w:firstLineChars="200"/>
        <w:rPr>
          <w:rFonts w:ascii="Times New Roman" w:hAnsi="Times New Roman" w:cs="Times New Roman"/>
          <w:sz w:val="24"/>
        </w:rPr>
      </w:pPr>
      <w:r>
        <w:rPr>
          <w:rFonts w:ascii="Times New Roman" w:hAnsi="Times New Roman" w:cs="Times New Roman"/>
          <w:sz w:val="24"/>
        </w:rPr>
        <w:t>项目区域声环境质量执行《声环境质量标准》（GB3096-2008）中</w:t>
      </w:r>
      <w:r>
        <w:rPr>
          <w:rFonts w:hint="eastAsia" w:ascii="Times New Roman" w:hAnsi="Times New Roman" w:cs="Times New Roman"/>
          <w:sz w:val="24"/>
        </w:rPr>
        <w:t>2</w:t>
      </w:r>
      <w:r>
        <w:rPr>
          <w:rFonts w:ascii="Times New Roman" w:hAnsi="Times New Roman" w:cs="Times New Roman"/>
          <w:sz w:val="24"/>
        </w:rPr>
        <w:t>类标准</w:t>
      </w:r>
      <w:r>
        <w:rPr>
          <w:rFonts w:hint="eastAsia" w:ascii="Times New Roman" w:hAnsi="Times New Roman" w:cs="Times New Roman"/>
          <w:sz w:val="24"/>
        </w:rPr>
        <w:t>，</w:t>
      </w:r>
      <w:r>
        <w:rPr>
          <w:rFonts w:ascii="Times New Roman" w:hAnsi="Times New Roman" w:cs="Times New Roman"/>
          <w:sz w:val="24"/>
        </w:rPr>
        <w:t>其具体限值详见表</w:t>
      </w:r>
      <w:r>
        <w:rPr>
          <w:rFonts w:hint="eastAsia" w:ascii="Times New Roman" w:hAnsi="Times New Roman" w:cs="Times New Roman"/>
          <w:sz w:val="24"/>
        </w:rPr>
        <w:t>2.3-6</w:t>
      </w:r>
      <w:r>
        <w:rPr>
          <w:rFonts w:ascii="Times New Roman" w:hAnsi="Times New Roman" w:cs="Times New Roman"/>
          <w:sz w:val="24"/>
        </w:rPr>
        <w:t>。</w:t>
      </w:r>
    </w:p>
    <w:p>
      <w:pPr>
        <w:pStyle w:val="17"/>
        <w:spacing w:beforeLines="50"/>
        <w:rPr>
          <w:rFonts w:ascii="Times New Roman" w:hAnsi="Times New Roman" w:cs="Times New Roman"/>
          <w:color w:val="auto"/>
          <w:sz w:val="21"/>
        </w:rPr>
      </w:pPr>
      <w:r>
        <w:rPr>
          <w:rFonts w:ascii="Times New Roman" w:hAnsi="Times New Roman" w:cs="Times New Roman"/>
          <w:color w:val="auto"/>
          <w:sz w:val="21"/>
        </w:rPr>
        <w:t>表</w:t>
      </w:r>
      <w:r>
        <w:rPr>
          <w:rFonts w:hint="eastAsia" w:ascii="Times New Roman" w:hAnsi="Times New Roman" w:cs="Times New Roman"/>
          <w:color w:val="auto"/>
          <w:sz w:val="21"/>
        </w:rPr>
        <w:t xml:space="preserve">2.3-6  </w:t>
      </w:r>
      <w:r>
        <w:rPr>
          <w:rFonts w:ascii="Times New Roman" w:hAnsi="Times New Roman" w:cs="Times New Roman"/>
          <w:color w:val="auto"/>
          <w:sz w:val="21"/>
        </w:rPr>
        <w:t>声环境质量标准单位：dB（A）</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656"/>
        <w:gridCol w:w="1956"/>
        <w:gridCol w:w="1958"/>
        <w:gridCol w:w="19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57" w:type="pct"/>
            <w:vAlign w:val="center"/>
          </w:tcPr>
          <w:p>
            <w:pPr>
              <w:tabs>
                <w:tab w:val="left" w:pos="360"/>
              </w:tabs>
              <w:jc w:val="center"/>
              <w:rPr>
                <w:b/>
                <w:szCs w:val="21"/>
              </w:rPr>
            </w:pPr>
            <w:r>
              <w:rPr>
                <w:rFonts w:hint="eastAsia"/>
                <w:b/>
                <w:szCs w:val="21"/>
              </w:rPr>
              <w:t>标准名称</w:t>
            </w:r>
          </w:p>
        </w:tc>
        <w:tc>
          <w:tcPr>
            <w:tcW w:w="1147" w:type="pct"/>
            <w:vAlign w:val="center"/>
          </w:tcPr>
          <w:p>
            <w:pPr>
              <w:tabs>
                <w:tab w:val="left" w:pos="360"/>
              </w:tabs>
              <w:jc w:val="center"/>
              <w:rPr>
                <w:b/>
                <w:szCs w:val="21"/>
              </w:rPr>
            </w:pPr>
            <w:r>
              <w:rPr>
                <w:b/>
                <w:szCs w:val="21"/>
              </w:rPr>
              <w:t>类别</w:t>
            </w:r>
          </w:p>
        </w:tc>
        <w:tc>
          <w:tcPr>
            <w:tcW w:w="1148" w:type="pct"/>
            <w:vAlign w:val="center"/>
          </w:tcPr>
          <w:p>
            <w:pPr>
              <w:tabs>
                <w:tab w:val="left" w:pos="360"/>
              </w:tabs>
              <w:jc w:val="center"/>
              <w:rPr>
                <w:b/>
                <w:szCs w:val="21"/>
              </w:rPr>
            </w:pPr>
            <w:r>
              <w:rPr>
                <w:b/>
                <w:szCs w:val="21"/>
              </w:rPr>
              <w:t>昼间</w:t>
            </w:r>
          </w:p>
        </w:tc>
        <w:tc>
          <w:tcPr>
            <w:tcW w:w="1148" w:type="pct"/>
            <w:vAlign w:val="center"/>
          </w:tcPr>
          <w:p>
            <w:pPr>
              <w:tabs>
                <w:tab w:val="left" w:pos="360"/>
              </w:tabs>
              <w:jc w:val="center"/>
              <w:rPr>
                <w:b/>
                <w:szCs w:val="21"/>
              </w:rPr>
            </w:pPr>
            <w:r>
              <w:rPr>
                <w:b/>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557" w:type="pct"/>
            <w:vAlign w:val="center"/>
          </w:tcPr>
          <w:p>
            <w:pPr>
              <w:tabs>
                <w:tab w:val="left" w:pos="360"/>
              </w:tabs>
              <w:jc w:val="center"/>
              <w:rPr>
                <w:szCs w:val="21"/>
              </w:rPr>
            </w:pPr>
            <w:r>
              <w:rPr>
                <w:szCs w:val="21"/>
              </w:rPr>
              <w:t>《声环境质量标准》（GB3096-2008）</w:t>
            </w:r>
          </w:p>
        </w:tc>
        <w:tc>
          <w:tcPr>
            <w:tcW w:w="1147" w:type="pct"/>
            <w:vAlign w:val="center"/>
          </w:tcPr>
          <w:p>
            <w:pPr>
              <w:tabs>
                <w:tab w:val="left" w:pos="360"/>
              </w:tabs>
              <w:jc w:val="center"/>
              <w:rPr>
                <w:szCs w:val="21"/>
              </w:rPr>
            </w:pPr>
            <w:r>
              <w:rPr>
                <w:rFonts w:hint="eastAsia"/>
                <w:szCs w:val="21"/>
              </w:rPr>
              <w:t>2</w:t>
            </w:r>
            <w:r>
              <w:rPr>
                <w:szCs w:val="21"/>
              </w:rPr>
              <w:t>类</w:t>
            </w:r>
          </w:p>
        </w:tc>
        <w:tc>
          <w:tcPr>
            <w:tcW w:w="1148" w:type="pct"/>
            <w:vAlign w:val="center"/>
          </w:tcPr>
          <w:p>
            <w:pPr>
              <w:tabs>
                <w:tab w:val="left" w:pos="360"/>
              </w:tabs>
              <w:jc w:val="center"/>
              <w:rPr>
                <w:szCs w:val="21"/>
              </w:rPr>
            </w:pPr>
            <w:r>
              <w:rPr>
                <w:szCs w:val="21"/>
              </w:rPr>
              <w:t>6</w:t>
            </w:r>
            <w:r>
              <w:rPr>
                <w:rFonts w:hint="eastAsia"/>
                <w:szCs w:val="21"/>
              </w:rPr>
              <w:t>0</w:t>
            </w:r>
          </w:p>
        </w:tc>
        <w:tc>
          <w:tcPr>
            <w:tcW w:w="1148" w:type="pct"/>
            <w:vAlign w:val="center"/>
          </w:tcPr>
          <w:p>
            <w:pPr>
              <w:tabs>
                <w:tab w:val="left" w:pos="360"/>
              </w:tabs>
              <w:jc w:val="center"/>
              <w:rPr>
                <w:szCs w:val="21"/>
              </w:rPr>
            </w:pPr>
            <w:r>
              <w:rPr>
                <w:szCs w:val="21"/>
              </w:rPr>
              <w:t>5</w:t>
            </w:r>
            <w:r>
              <w:rPr>
                <w:rFonts w:hint="eastAsia"/>
                <w:szCs w:val="21"/>
              </w:rPr>
              <w:t>0</w:t>
            </w:r>
          </w:p>
        </w:tc>
      </w:tr>
    </w:tbl>
    <w:p>
      <w:pPr>
        <w:pStyle w:val="5"/>
        <w:adjustRightInd w:val="0"/>
        <w:snapToGrid w:val="0"/>
        <w:spacing w:after="0" w:line="360" w:lineRule="auto"/>
        <w:ind w:firstLine="480" w:firstLineChars="200"/>
        <w:rPr>
          <w:rFonts w:ascii="Times New Roman" w:hAnsi="Times New Roman" w:cs="Times New Roman"/>
          <w:sz w:val="24"/>
        </w:rPr>
      </w:pPr>
      <w:bookmarkStart w:id="128" w:name="_Toc8063"/>
      <w:bookmarkStart w:id="129" w:name="_Toc26630"/>
      <w:bookmarkStart w:id="130" w:name="_Toc4433"/>
      <w:bookmarkStart w:id="131" w:name="_Toc23283"/>
      <w:bookmarkStart w:id="132" w:name="_Toc3039"/>
      <w:r>
        <w:rPr>
          <w:rFonts w:hint="eastAsia" w:ascii="Times New Roman" w:hAnsi="Times New Roman" w:cs="Times New Roman"/>
          <w:sz w:val="24"/>
        </w:rPr>
        <w:t>（5）</w:t>
      </w:r>
      <w:r>
        <w:rPr>
          <w:rFonts w:ascii="Times New Roman" w:hAnsi="Times New Roman" w:cs="Times New Roman"/>
          <w:sz w:val="24"/>
        </w:rPr>
        <w:t>土壤环境</w:t>
      </w:r>
    </w:p>
    <w:p>
      <w:pPr>
        <w:pStyle w:val="5"/>
        <w:adjustRightInd w:val="0"/>
        <w:snapToGrid w:val="0"/>
        <w:spacing w:after="0" w:line="360" w:lineRule="auto"/>
        <w:ind w:firstLine="480" w:firstLineChars="200"/>
        <w:rPr>
          <w:rFonts w:ascii="Times New Roman" w:hAnsi="Times New Roman" w:cs="Times New Roman"/>
          <w:sz w:val="24"/>
        </w:rPr>
      </w:pPr>
      <w:r>
        <w:rPr>
          <w:rFonts w:hint="eastAsia" w:ascii="Times New Roman" w:hAnsi="Times New Roman" w:cs="Times New Roman"/>
          <w:sz w:val="24"/>
        </w:rPr>
        <w:t>根据《</w:t>
      </w:r>
      <w:r>
        <w:rPr>
          <w:rFonts w:ascii="Times New Roman" w:hAnsi="Times New Roman" w:cs="Times New Roman"/>
          <w:sz w:val="24"/>
        </w:rPr>
        <w:t>土地利用现状分类</w:t>
      </w:r>
      <w:r>
        <w:rPr>
          <w:rFonts w:hint="eastAsia" w:ascii="Times New Roman" w:hAnsi="Times New Roman" w:cs="Times New Roman"/>
          <w:sz w:val="24"/>
        </w:rPr>
        <w:t>》（GB-T21010-2017）表1土地利用现状分类和编码：指直接用于经营性畜禽养殖生产设施及附属设施用地属于1202设施农用地，因此，本项目场内土壤</w:t>
      </w:r>
      <w:r>
        <w:rPr>
          <w:rFonts w:ascii="Times New Roman" w:hAnsi="Times New Roman" w:cs="Times New Roman"/>
          <w:sz w:val="24"/>
        </w:rPr>
        <w:t>执行《土壤环境质量</w:t>
      </w:r>
      <w:r>
        <w:rPr>
          <w:rFonts w:hint="eastAsia" w:ascii="Times New Roman" w:hAnsi="Times New Roman" w:cs="Times New Roman"/>
          <w:sz w:val="24"/>
        </w:rPr>
        <w:t xml:space="preserve">  </w:t>
      </w:r>
      <w:r>
        <w:rPr>
          <w:rFonts w:ascii="Times New Roman" w:hAnsi="Times New Roman" w:cs="Times New Roman"/>
          <w:sz w:val="24"/>
        </w:rPr>
        <w:t>农用地土壤污染风险管控标准（试行）》（GB15618-2018）</w:t>
      </w:r>
      <w:r>
        <w:rPr>
          <w:rFonts w:hint="eastAsia" w:ascii="Times New Roman" w:hAnsi="Times New Roman" w:cs="Times New Roman"/>
          <w:sz w:val="24"/>
        </w:rPr>
        <w:t>。</w:t>
      </w:r>
    </w:p>
    <w:p>
      <w:pPr>
        <w:pStyle w:val="17"/>
        <w:spacing w:beforeLines="50"/>
        <w:rPr>
          <w:rFonts w:ascii="Times New Roman" w:hAnsi="Times New Roman" w:cs="Times New Roman"/>
          <w:color w:val="auto"/>
          <w:sz w:val="21"/>
        </w:rPr>
      </w:pPr>
      <w:r>
        <w:rPr>
          <w:rFonts w:hint="eastAsia" w:ascii="Times New Roman" w:hAnsi="Times New Roman" w:cs="Times New Roman"/>
          <w:color w:val="auto"/>
          <w:sz w:val="21"/>
        </w:rPr>
        <w:t>表2.3-7  农用地土壤污染风险筛选值  单位：mg/kg</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69"/>
        <w:gridCol w:w="943"/>
        <w:gridCol w:w="1706"/>
        <w:gridCol w:w="1704"/>
        <w:gridCol w:w="1707"/>
        <w:gridCol w:w="16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4" w:type="pct"/>
            <w:gridSpan w:val="2"/>
            <w:vAlign w:val="center"/>
          </w:tcPr>
          <w:p>
            <w:pPr>
              <w:adjustRightInd w:val="0"/>
              <w:jc w:val="center"/>
              <w:rPr>
                <w:b/>
                <w:szCs w:val="21"/>
              </w:rPr>
            </w:pPr>
            <w:r>
              <w:rPr>
                <w:b/>
                <w:szCs w:val="21"/>
              </w:rPr>
              <w:t>项目</w:t>
            </w:r>
          </w:p>
        </w:tc>
        <w:tc>
          <w:tcPr>
            <w:tcW w:w="3996" w:type="pct"/>
            <w:gridSpan w:val="4"/>
            <w:vAlign w:val="center"/>
          </w:tcPr>
          <w:p>
            <w:pPr>
              <w:adjustRightInd w:val="0"/>
              <w:jc w:val="center"/>
              <w:rPr>
                <w:b/>
                <w:szCs w:val="21"/>
              </w:rPr>
            </w:pPr>
            <w:r>
              <w:rPr>
                <w:b/>
                <w:szCs w:val="21"/>
              </w:rPr>
              <w:t>《土壤环境质量</w:t>
            </w:r>
            <w:r>
              <w:rPr>
                <w:rFonts w:hint="eastAsia"/>
                <w:b/>
                <w:szCs w:val="21"/>
              </w:rPr>
              <w:t xml:space="preserve">  </w:t>
            </w:r>
            <w:r>
              <w:rPr>
                <w:b/>
                <w:szCs w:val="21"/>
              </w:rPr>
              <w:t>农用地土壤污染风险管控标准（试行）》GB15618-2018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4" w:type="pct"/>
            <w:gridSpan w:val="2"/>
            <w:vAlign w:val="center"/>
          </w:tcPr>
          <w:p>
            <w:pPr>
              <w:adjustRightInd w:val="0"/>
              <w:jc w:val="center"/>
              <w:rPr>
                <w:b/>
                <w:szCs w:val="21"/>
              </w:rPr>
            </w:pPr>
            <w:r>
              <w:rPr>
                <w:b/>
                <w:szCs w:val="21"/>
              </w:rPr>
              <w:t>pH</w:t>
            </w:r>
          </w:p>
        </w:tc>
        <w:tc>
          <w:tcPr>
            <w:tcW w:w="1000" w:type="pct"/>
            <w:vAlign w:val="center"/>
          </w:tcPr>
          <w:p>
            <w:pPr>
              <w:adjustRightInd w:val="0"/>
              <w:jc w:val="center"/>
              <w:rPr>
                <w:b/>
                <w:szCs w:val="21"/>
              </w:rPr>
            </w:pPr>
            <w:r>
              <w:rPr>
                <w:b/>
                <w:szCs w:val="21"/>
              </w:rPr>
              <w:t>pH≤5.5</w:t>
            </w:r>
          </w:p>
        </w:tc>
        <w:tc>
          <w:tcPr>
            <w:tcW w:w="999" w:type="pct"/>
            <w:vAlign w:val="center"/>
          </w:tcPr>
          <w:p>
            <w:pPr>
              <w:adjustRightInd w:val="0"/>
              <w:jc w:val="center"/>
              <w:rPr>
                <w:b/>
                <w:szCs w:val="21"/>
              </w:rPr>
            </w:pPr>
            <w:r>
              <w:rPr>
                <w:b/>
                <w:szCs w:val="21"/>
              </w:rPr>
              <w:t>5.5＜pH≤6.5</w:t>
            </w:r>
          </w:p>
        </w:tc>
        <w:tc>
          <w:tcPr>
            <w:tcW w:w="1001" w:type="pct"/>
            <w:vAlign w:val="center"/>
          </w:tcPr>
          <w:p>
            <w:pPr>
              <w:adjustRightInd w:val="0"/>
              <w:jc w:val="center"/>
              <w:rPr>
                <w:b/>
                <w:szCs w:val="21"/>
              </w:rPr>
            </w:pPr>
            <w:r>
              <w:rPr>
                <w:b/>
                <w:szCs w:val="21"/>
              </w:rPr>
              <w:t>6.5＜pH≤7.5</w:t>
            </w:r>
          </w:p>
        </w:tc>
        <w:tc>
          <w:tcPr>
            <w:tcW w:w="997" w:type="pct"/>
            <w:vAlign w:val="center"/>
          </w:tcPr>
          <w:p>
            <w:pPr>
              <w:adjustRightInd w:val="0"/>
              <w:jc w:val="center"/>
              <w:rPr>
                <w:b/>
                <w:szCs w:val="21"/>
              </w:rPr>
            </w:pPr>
            <w:r>
              <w:rPr>
                <w:b/>
                <w:szCs w:val="21"/>
              </w:rPr>
              <w:t>pH&gt;7.5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1" w:type="pct"/>
            <w:vMerge w:val="restart"/>
            <w:vAlign w:val="center"/>
          </w:tcPr>
          <w:p>
            <w:pPr>
              <w:adjustRightInd w:val="0"/>
              <w:jc w:val="center"/>
              <w:rPr>
                <w:szCs w:val="21"/>
              </w:rPr>
            </w:pPr>
            <w:r>
              <w:rPr>
                <w:szCs w:val="21"/>
              </w:rPr>
              <w:t>镉</w:t>
            </w:r>
          </w:p>
        </w:tc>
        <w:tc>
          <w:tcPr>
            <w:tcW w:w="552" w:type="pct"/>
            <w:vAlign w:val="center"/>
          </w:tcPr>
          <w:p>
            <w:pPr>
              <w:adjustRightInd w:val="0"/>
              <w:jc w:val="center"/>
              <w:rPr>
                <w:szCs w:val="21"/>
              </w:rPr>
            </w:pPr>
            <w:r>
              <w:rPr>
                <w:szCs w:val="21"/>
              </w:rPr>
              <w:t>水田</w:t>
            </w:r>
          </w:p>
        </w:tc>
        <w:tc>
          <w:tcPr>
            <w:tcW w:w="1000" w:type="pct"/>
            <w:vAlign w:val="center"/>
          </w:tcPr>
          <w:p>
            <w:pPr>
              <w:adjustRightInd w:val="0"/>
              <w:jc w:val="center"/>
              <w:rPr>
                <w:szCs w:val="21"/>
              </w:rPr>
            </w:pPr>
            <w:r>
              <w:rPr>
                <w:szCs w:val="21"/>
              </w:rPr>
              <w:t>≤0.3</w:t>
            </w:r>
          </w:p>
        </w:tc>
        <w:tc>
          <w:tcPr>
            <w:tcW w:w="999" w:type="pct"/>
            <w:vAlign w:val="center"/>
          </w:tcPr>
          <w:p>
            <w:pPr>
              <w:adjustRightInd w:val="0"/>
              <w:jc w:val="center"/>
              <w:rPr>
                <w:szCs w:val="21"/>
              </w:rPr>
            </w:pPr>
            <w:r>
              <w:rPr>
                <w:szCs w:val="21"/>
              </w:rPr>
              <w:t>≤0.4</w:t>
            </w:r>
          </w:p>
        </w:tc>
        <w:tc>
          <w:tcPr>
            <w:tcW w:w="1001" w:type="pct"/>
            <w:vAlign w:val="center"/>
          </w:tcPr>
          <w:p>
            <w:pPr>
              <w:adjustRightInd w:val="0"/>
              <w:jc w:val="center"/>
              <w:rPr>
                <w:szCs w:val="21"/>
              </w:rPr>
            </w:pPr>
            <w:r>
              <w:rPr>
                <w:szCs w:val="21"/>
              </w:rPr>
              <w:t>≤0.6</w:t>
            </w:r>
          </w:p>
        </w:tc>
        <w:tc>
          <w:tcPr>
            <w:tcW w:w="997" w:type="pct"/>
            <w:vAlign w:val="center"/>
          </w:tcPr>
          <w:p>
            <w:pPr>
              <w:adjustRightInd w:val="0"/>
              <w:jc w:val="center"/>
              <w:rPr>
                <w:szCs w:val="21"/>
              </w:rPr>
            </w:pPr>
            <w:r>
              <w:rPr>
                <w:szCs w:val="21"/>
              </w:rPr>
              <w:t>≤0.8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1" w:type="pct"/>
            <w:vMerge w:val="continue"/>
            <w:vAlign w:val="center"/>
          </w:tcPr>
          <w:p>
            <w:pPr>
              <w:adjustRightInd w:val="0"/>
              <w:jc w:val="center"/>
              <w:rPr>
                <w:szCs w:val="21"/>
              </w:rPr>
            </w:pPr>
          </w:p>
        </w:tc>
        <w:tc>
          <w:tcPr>
            <w:tcW w:w="552" w:type="pct"/>
            <w:vAlign w:val="center"/>
          </w:tcPr>
          <w:p>
            <w:pPr>
              <w:adjustRightInd w:val="0"/>
              <w:jc w:val="center"/>
              <w:rPr>
                <w:szCs w:val="21"/>
              </w:rPr>
            </w:pPr>
            <w:r>
              <w:rPr>
                <w:szCs w:val="21"/>
              </w:rPr>
              <w:t>其他</w:t>
            </w:r>
          </w:p>
        </w:tc>
        <w:tc>
          <w:tcPr>
            <w:tcW w:w="1000" w:type="pct"/>
            <w:vAlign w:val="center"/>
          </w:tcPr>
          <w:p>
            <w:pPr>
              <w:adjustRightInd w:val="0"/>
              <w:jc w:val="center"/>
              <w:rPr>
                <w:szCs w:val="21"/>
              </w:rPr>
            </w:pPr>
            <w:r>
              <w:rPr>
                <w:szCs w:val="21"/>
              </w:rPr>
              <w:t>≤0.3</w:t>
            </w:r>
          </w:p>
        </w:tc>
        <w:tc>
          <w:tcPr>
            <w:tcW w:w="999" w:type="pct"/>
            <w:vAlign w:val="center"/>
          </w:tcPr>
          <w:p>
            <w:pPr>
              <w:adjustRightInd w:val="0"/>
              <w:jc w:val="center"/>
              <w:rPr>
                <w:szCs w:val="21"/>
              </w:rPr>
            </w:pPr>
            <w:r>
              <w:rPr>
                <w:szCs w:val="21"/>
              </w:rPr>
              <w:t>≤0.3</w:t>
            </w:r>
          </w:p>
        </w:tc>
        <w:tc>
          <w:tcPr>
            <w:tcW w:w="1001" w:type="pct"/>
            <w:vAlign w:val="center"/>
          </w:tcPr>
          <w:p>
            <w:pPr>
              <w:adjustRightInd w:val="0"/>
              <w:jc w:val="center"/>
              <w:rPr>
                <w:szCs w:val="21"/>
              </w:rPr>
            </w:pPr>
            <w:r>
              <w:rPr>
                <w:szCs w:val="21"/>
              </w:rPr>
              <w:t>≤0.3</w:t>
            </w:r>
          </w:p>
        </w:tc>
        <w:tc>
          <w:tcPr>
            <w:tcW w:w="997" w:type="pct"/>
            <w:vAlign w:val="center"/>
          </w:tcPr>
          <w:p>
            <w:pPr>
              <w:adjustRightInd w:val="0"/>
              <w:jc w:val="center"/>
              <w:rPr>
                <w:szCs w:val="21"/>
              </w:rPr>
            </w:pPr>
            <w:r>
              <w:rPr>
                <w:szCs w:val="21"/>
              </w:rPr>
              <w:t>≤0.6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1" w:type="pct"/>
            <w:vMerge w:val="restart"/>
            <w:vAlign w:val="center"/>
          </w:tcPr>
          <w:p>
            <w:pPr>
              <w:adjustRightInd w:val="0"/>
              <w:jc w:val="center"/>
              <w:rPr>
                <w:szCs w:val="21"/>
              </w:rPr>
            </w:pPr>
            <w:r>
              <w:rPr>
                <w:rFonts w:hint="eastAsia"/>
                <w:szCs w:val="21"/>
              </w:rPr>
              <w:t>汞</w:t>
            </w:r>
          </w:p>
        </w:tc>
        <w:tc>
          <w:tcPr>
            <w:tcW w:w="552" w:type="pct"/>
            <w:vAlign w:val="center"/>
          </w:tcPr>
          <w:p>
            <w:pPr>
              <w:adjustRightInd w:val="0"/>
              <w:jc w:val="center"/>
              <w:rPr>
                <w:szCs w:val="21"/>
              </w:rPr>
            </w:pPr>
            <w:r>
              <w:rPr>
                <w:szCs w:val="21"/>
              </w:rPr>
              <w:t>水田</w:t>
            </w:r>
          </w:p>
        </w:tc>
        <w:tc>
          <w:tcPr>
            <w:tcW w:w="1000" w:type="pct"/>
            <w:vAlign w:val="center"/>
          </w:tcPr>
          <w:p>
            <w:pPr>
              <w:adjustRightInd w:val="0"/>
              <w:jc w:val="center"/>
              <w:rPr>
                <w:szCs w:val="21"/>
              </w:rPr>
            </w:pPr>
            <w:r>
              <w:rPr>
                <w:szCs w:val="21"/>
              </w:rPr>
              <w:t>≤0.</w:t>
            </w:r>
            <w:r>
              <w:rPr>
                <w:rFonts w:hint="eastAsia"/>
                <w:szCs w:val="21"/>
              </w:rPr>
              <w:t>5</w:t>
            </w:r>
          </w:p>
        </w:tc>
        <w:tc>
          <w:tcPr>
            <w:tcW w:w="999" w:type="pct"/>
            <w:vAlign w:val="center"/>
          </w:tcPr>
          <w:p>
            <w:pPr>
              <w:adjustRightInd w:val="0"/>
              <w:jc w:val="center"/>
              <w:rPr>
                <w:szCs w:val="21"/>
              </w:rPr>
            </w:pPr>
            <w:r>
              <w:rPr>
                <w:szCs w:val="21"/>
              </w:rPr>
              <w:t>≤0.</w:t>
            </w:r>
            <w:r>
              <w:rPr>
                <w:rFonts w:hint="eastAsia"/>
                <w:szCs w:val="21"/>
              </w:rPr>
              <w:t>5</w:t>
            </w:r>
          </w:p>
        </w:tc>
        <w:tc>
          <w:tcPr>
            <w:tcW w:w="1001" w:type="pct"/>
            <w:vAlign w:val="center"/>
          </w:tcPr>
          <w:p>
            <w:pPr>
              <w:adjustRightInd w:val="0"/>
              <w:jc w:val="center"/>
              <w:rPr>
                <w:szCs w:val="21"/>
              </w:rPr>
            </w:pPr>
            <w:r>
              <w:rPr>
                <w:szCs w:val="21"/>
              </w:rPr>
              <w:t>≤0.6</w:t>
            </w:r>
          </w:p>
        </w:tc>
        <w:tc>
          <w:tcPr>
            <w:tcW w:w="997" w:type="pct"/>
            <w:vAlign w:val="center"/>
          </w:tcPr>
          <w:p>
            <w:pPr>
              <w:adjustRightInd w:val="0"/>
              <w:jc w:val="center"/>
              <w:rPr>
                <w:szCs w:val="21"/>
              </w:rPr>
            </w:pPr>
            <w:r>
              <w:rPr>
                <w:szCs w:val="21"/>
              </w:rPr>
              <w:t>≤</w:t>
            </w:r>
            <w:r>
              <w:rPr>
                <w:rFonts w:hint="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1" w:type="pct"/>
            <w:vMerge w:val="continue"/>
            <w:vAlign w:val="center"/>
          </w:tcPr>
          <w:p>
            <w:pPr>
              <w:adjustRightInd w:val="0"/>
              <w:jc w:val="center"/>
              <w:rPr>
                <w:szCs w:val="21"/>
              </w:rPr>
            </w:pPr>
          </w:p>
        </w:tc>
        <w:tc>
          <w:tcPr>
            <w:tcW w:w="552" w:type="pct"/>
            <w:vAlign w:val="center"/>
          </w:tcPr>
          <w:p>
            <w:pPr>
              <w:adjustRightInd w:val="0"/>
              <w:jc w:val="center"/>
              <w:rPr>
                <w:szCs w:val="21"/>
              </w:rPr>
            </w:pPr>
            <w:r>
              <w:rPr>
                <w:szCs w:val="21"/>
              </w:rPr>
              <w:t>其他</w:t>
            </w:r>
          </w:p>
        </w:tc>
        <w:tc>
          <w:tcPr>
            <w:tcW w:w="1000" w:type="pct"/>
            <w:vAlign w:val="center"/>
          </w:tcPr>
          <w:p>
            <w:pPr>
              <w:adjustRightInd w:val="0"/>
              <w:jc w:val="center"/>
              <w:rPr>
                <w:szCs w:val="21"/>
              </w:rPr>
            </w:pPr>
            <w:r>
              <w:rPr>
                <w:szCs w:val="21"/>
              </w:rPr>
              <w:t>≤</w:t>
            </w:r>
            <w:r>
              <w:rPr>
                <w:rFonts w:hint="eastAsia"/>
                <w:szCs w:val="21"/>
              </w:rPr>
              <w:t>1.3</w:t>
            </w:r>
          </w:p>
        </w:tc>
        <w:tc>
          <w:tcPr>
            <w:tcW w:w="999" w:type="pct"/>
            <w:vAlign w:val="center"/>
          </w:tcPr>
          <w:p>
            <w:pPr>
              <w:adjustRightInd w:val="0"/>
              <w:jc w:val="center"/>
              <w:rPr>
                <w:szCs w:val="21"/>
              </w:rPr>
            </w:pPr>
            <w:r>
              <w:rPr>
                <w:szCs w:val="21"/>
              </w:rPr>
              <w:t>≤</w:t>
            </w:r>
            <w:r>
              <w:rPr>
                <w:rFonts w:hint="eastAsia"/>
                <w:szCs w:val="21"/>
              </w:rPr>
              <w:t>1.8</w:t>
            </w:r>
          </w:p>
        </w:tc>
        <w:tc>
          <w:tcPr>
            <w:tcW w:w="1001" w:type="pct"/>
            <w:vAlign w:val="center"/>
          </w:tcPr>
          <w:p>
            <w:pPr>
              <w:adjustRightInd w:val="0"/>
              <w:jc w:val="center"/>
              <w:rPr>
                <w:szCs w:val="21"/>
              </w:rPr>
            </w:pPr>
            <w:r>
              <w:rPr>
                <w:szCs w:val="21"/>
              </w:rPr>
              <w:t>≤</w:t>
            </w:r>
            <w:r>
              <w:rPr>
                <w:rFonts w:hint="eastAsia"/>
                <w:szCs w:val="21"/>
              </w:rPr>
              <w:t>2.4</w:t>
            </w:r>
          </w:p>
        </w:tc>
        <w:tc>
          <w:tcPr>
            <w:tcW w:w="997" w:type="pct"/>
            <w:vAlign w:val="center"/>
          </w:tcPr>
          <w:p>
            <w:pPr>
              <w:adjustRightInd w:val="0"/>
              <w:jc w:val="center"/>
              <w:rPr>
                <w:szCs w:val="21"/>
              </w:rPr>
            </w:pPr>
            <w:r>
              <w:rPr>
                <w:szCs w:val="21"/>
              </w:rPr>
              <w:t>≤</w:t>
            </w:r>
            <w:r>
              <w:rPr>
                <w:rFonts w:hint="eastAsia"/>
                <w:szCs w:val="21"/>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1" w:type="pct"/>
            <w:vMerge w:val="restart"/>
            <w:vAlign w:val="center"/>
          </w:tcPr>
          <w:p>
            <w:pPr>
              <w:adjustRightInd w:val="0"/>
              <w:jc w:val="center"/>
              <w:rPr>
                <w:szCs w:val="21"/>
              </w:rPr>
            </w:pPr>
            <w:r>
              <w:rPr>
                <w:szCs w:val="21"/>
              </w:rPr>
              <w:t>砷</w:t>
            </w:r>
          </w:p>
        </w:tc>
        <w:tc>
          <w:tcPr>
            <w:tcW w:w="552" w:type="pct"/>
            <w:vAlign w:val="center"/>
          </w:tcPr>
          <w:p>
            <w:pPr>
              <w:adjustRightInd w:val="0"/>
              <w:jc w:val="center"/>
              <w:rPr>
                <w:szCs w:val="21"/>
              </w:rPr>
            </w:pPr>
            <w:r>
              <w:rPr>
                <w:szCs w:val="21"/>
              </w:rPr>
              <w:t>水田</w:t>
            </w:r>
          </w:p>
        </w:tc>
        <w:tc>
          <w:tcPr>
            <w:tcW w:w="1000" w:type="pct"/>
            <w:vAlign w:val="center"/>
          </w:tcPr>
          <w:p>
            <w:pPr>
              <w:adjustRightInd w:val="0"/>
              <w:jc w:val="center"/>
              <w:rPr>
                <w:szCs w:val="21"/>
              </w:rPr>
            </w:pPr>
            <w:r>
              <w:rPr>
                <w:szCs w:val="21"/>
              </w:rPr>
              <w:t>≤30</w:t>
            </w:r>
          </w:p>
        </w:tc>
        <w:tc>
          <w:tcPr>
            <w:tcW w:w="999" w:type="pct"/>
            <w:vAlign w:val="center"/>
          </w:tcPr>
          <w:p>
            <w:pPr>
              <w:adjustRightInd w:val="0"/>
              <w:jc w:val="center"/>
              <w:rPr>
                <w:szCs w:val="21"/>
              </w:rPr>
            </w:pPr>
            <w:r>
              <w:rPr>
                <w:szCs w:val="21"/>
              </w:rPr>
              <w:t>≤30</w:t>
            </w:r>
          </w:p>
        </w:tc>
        <w:tc>
          <w:tcPr>
            <w:tcW w:w="1001" w:type="pct"/>
            <w:vAlign w:val="center"/>
          </w:tcPr>
          <w:p>
            <w:pPr>
              <w:adjustRightInd w:val="0"/>
              <w:jc w:val="center"/>
              <w:rPr>
                <w:szCs w:val="21"/>
              </w:rPr>
            </w:pPr>
            <w:r>
              <w:rPr>
                <w:szCs w:val="21"/>
              </w:rPr>
              <w:t>≤25</w:t>
            </w:r>
          </w:p>
        </w:tc>
        <w:tc>
          <w:tcPr>
            <w:tcW w:w="997" w:type="pct"/>
            <w:vAlign w:val="center"/>
          </w:tcPr>
          <w:p>
            <w:pPr>
              <w:adjustRightInd w:val="0"/>
              <w:jc w:val="center"/>
              <w:rPr>
                <w:szCs w:val="21"/>
              </w:rPr>
            </w:pPr>
            <w:r>
              <w:rPr>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1" w:type="pct"/>
            <w:vMerge w:val="continue"/>
            <w:vAlign w:val="center"/>
          </w:tcPr>
          <w:p>
            <w:pPr>
              <w:adjustRightInd w:val="0"/>
              <w:jc w:val="center"/>
              <w:rPr>
                <w:szCs w:val="21"/>
              </w:rPr>
            </w:pPr>
          </w:p>
        </w:tc>
        <w:tc>
          <w:tcPr>
            <w:tcW w:w="552" w:type="pct"/>
            <w:vAlign w:val="center"/>
          </w:tcPr>
          <w:p>
            <w:pPr>
              <w:adjustRightInd w:val="0"/>
              <w:jc w:val="center"/>
              <w:rPr>
                <w:szCs w:val="21"/>
              </w:rPr>
            </w:pPr>
            <w:r>
              <w:rPr>
                <w:szCs w:val="21"/>
              </w:rPr>
              <w:t>其他</w:t>
            </w:r>
          </w:p>
        </w:tc>
        <w:tc>
          <w:tcPr>
            <w:tcW w:w="1000" w:type="pct"/>
            <w:vAlign w:val="center"/>
          </w:tcPr>
          <w:p>
            <w:pPr>
              <w:adjustRightInd w:val="0"/>
              <w:jc w:val="center"/>
              <w:rPr>
                <w:szCs w:val="21"/>
              </w:rPr>
            </w:pPr>
            <w:r>
              <w:rPr>
                <w:szCs w:val="21"/>
              </w:rPr>
              <w:t>≤40</w:t>
            </w:r>
          </w:p>
        </w:tc>
        <w:tc>
          <w:tcPr>
            <w:tcW w:w="999" w:type="pct"/>
            <w:vAlign w:val="center"/>
          </w:tcPr>
          <w:p>
            <w:pPr>
              <w:adjustRightInd w:val="0"/>
              <w:jc w:val="center"/>
              <w:rPr>
                <w:szCs w:val="21"/>
              </w:rPr>
            </w:pPr>
            <w:r>
              <w:rPr>
                <w:szCs w:val="21"/>
              </w:rPr>
              <w:t>≤40</w:t>
            </w:r>
          </w:p>
        </w:tc>
        <w:tc>
          <w:tcPr>
            <w:tcW w:w="1001" w:type="pct"/>
            <w:vAlign w:val="center"/>
          </w:tcPr>
          <w:p>
            <w:pPr>
              <w:adjustRightInd w:val="0"/>
              <w:jc w:val="center"/>
              <w:rPr>
                <w:szCs w:val="21"/>
              </w:rPr>
            </w:pPr>
            <w:r>
              <w:rPr>
                <w:szCs w:val="21"/>
              </w:rPr>
              <w:t>≤30</w:t>
            </w:r>
          </w:p>
        </w:tc>
        <w:tc>
          <w:tcPr>
            <w:tcW w:w="997" w:type="pct"/>
            <w:vAlign w:val="center"/>
          </w:tcPr>
          <w:p>
            <w:pPr>
              <w:adjustRightInd w:val="0"/>
              <w:jc w:val="center"/>
              <w:rPr>
                <w:szCs w:val="21"/>
              </w:rPr>
            </w:pPr>
            <w:r>
              <w:rPr>
                <w:szCs w:val="21"/>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1" w:type="pct"/>
            <w:vMerge w:val="restart"/>
            <w:vAlign w:val="center"/>
          </w:tcPr>
          <w:p>
            <w:pPr>
              <w:adjustRightInd w:val="0"/>
              <w:jc w:val="center"/>
              <w:rPr>
                <w:szCs w:val="21"/>
              </w:rPr>
            </w:pPr>
            <w:r>
              <w:rPr>
                <w:szCs w:val="21"/>
              </w:rPr>
              <w:t>铅</w:t>
            </w:r>
          </w:p>
        </w:tc>
        <w:tc>
          <w:tcPr>
            <w:tcW w:w="552" w:type="pct"/>
            <w:vAlign w:val="center"/>
          </w:tcPr>
          <w:p>
            <w:pPr>
              <w:adjustRightInd w:val="0"/>
              <w:jc w:val="center"/>
              <w:rPr>
                <w:szCs w:val="21"/>
              </w:rPr>
            </w:pPr>
            <w:r>
              <w:rPr>
                <w:szCs w:val="21"/>
              </w:rPr>
              <w:t>水田</w:t>
            </w:r>
          </w:p>
        </w:tc>
        <w:tc>
          <w:tcPr>
            <w:tcW w:w="1000" w:type="pct"/>
            <w:vAlign w:val="center"/>
          </w:tcPr>
          <w:p>
            <w:pPr>
              <w:adjustRightInd w:val="0"/>
              <w:jc w:val="center"/>
              <w:rPr>
                <w:szCs w:val="21"/>
              </w:rPr>
            </w:pPr>
            <w:r>
              <w:rPr>
                <w:szCs w:val="21"/>
              </w:rPr>
              <w:t>≤80</w:t>
            </w:r>
          </w:p>
        </w:tc>
        <w:tc>
          <w:tcPr>
            <w:tcW w:w="999" w:type="pct"/>
            <w:vAlign w:val="center"/>
          </w:tcPr>
          <w:p>
            <w:pPr>
              <w:adjustRightInd w:val="0"/>
              <w:jc w:val="center"/>
              <w:rPr>
                <w:szCs w:val="21"/>
              </w:rPr>
            </w:pPr>
            <w:r>
              <w:rPr>
                <w:szCs w:val="21"/>
              </w:rPr>
              <w:t>≤100</w:t>
            </w:r>
          </w:p>
        </w:tc>
        <w:tc>
          <w:tcPr>
            <w:tcW w:w="1001" w:type="pct"/>
            <w:vAlign w:val="center"/>
          </w:tcPr>
          <w:p>
            <w:pPr>
              <w:adjustRightInd w:val="0"/>
              <w:jc w:val="center"/>
              <w:rPr>
                <w:szCs w:val="21"/>
              </w:rPr>
            </w:pPr>
            <w:r>
              <w:rPr>
                <w:szCs w:val="21"/>
              </w:rPr>
              <w:t>≤140</w:t>
            </w:r>
          </w:p>
        </w:tc>
        <w:tc>
          <w:tcPr>
            <w:tcW w:w="997" w:type="pct"/>
            <w:vAlign w:val="center"/>
          </w:tcPr>
          <w:p>
            <w:pPr>
              <w:adjustRightInd w:val="0"/>
              <w:jc w:val="center"/>
              <w:rPr>
                <w:szCs w:val="21"/>
              </w:rPr>
            </w:pPr>
            <w:r>
              <w:rPr>
                <w:szCs w:val="21"/>
              </w:rPr>
              <w:t>≤240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1" w:type="pct"/>
            <w:vMerge w:val="continue"/>
            <w:vAlign w:val="center"/>
          </w:tcPr>
          <w:p>
            <w:pPr>
              <w:adjustRightInd w:val="0"/>
              <w:jc w:val="center"/>
              <w:rPr>
                <w:szCs w:val="21"/>
              </w:rPr>
            </w:pPr>
          </w:p>
        </w:tc>
        <w:tc>
          <w:tcPr>
            <w:tcW w:w="552" w:type="pct"/>
            <w:vAlign w:val="center"/>
          </w:tcPr>
          <w:p>
            <w:pPr>
              <w:adjustRightInd w:val="0"/>
              <w:jc w:val="center"/>
              <w:rPr>
                <w:szCs w:val="21"/>
              </w:rPr>
            </w:pPr>
            <w:r>
              <w:rPr>
                <w:szCs w:val="21"/>
              </w:rPr>
              <w:t>其他</w:t>
            </w:r>
          </w:p>
        </w:tc>
        <w:tc>
          <w:tcPr>
            <w:tcW w:w="1000" w:type="pct"/>
            <w:vAlign w:val="center"/>
          </w:tcPr>
          <w:p>
            <w:pPr>
              <w:adjustRightInd w:val="0"/>
              <w:jc w:val="center"/>
              <w:rPr>
                <w:szCs w:val="21"/>
              </w:rPr>
            </w:pPr>
            <w:r>
              <w:rPr>
                <w:szCs w:val="21"/>
              </w:rPr>
              <w:t>≤70</w:t>
            </w:r>
          </w:p>
        </w:tc>
        <w:tc>
          <w:tcPr>
            <w:tcW w:w="999" w:type="pct"/>
            <w:vAlign w:val="center"/>
          </w:tcPr>
          <w:p>
            <w:pPr>
              <w:adjustRightInd w:val="0"/>
              <w:jc w:val="center"/>
              <w:rPr>
                <w:szCs w:val="21"/>
              </w:rPr>
            </w:pPr>
            <w:r>
              <w:rPr>
                <w:szCs w:val="21"/>
              </w:rPr>
              <w:t>≤90</w:t>
            </w:r>
          </w:p>
        </w:tc>
        <w:tc>
          <w:tcPr>
            <w:tcW w:w="1001" w:type="pct"/>
            <w:vAlign w:val="center"/>
          </w:tcPr>
          <w:p>
            <w:pPr>
              <w:adjustRightInd w:val="0"/>
              <w:jc w:val="center"/>
              <w:rPr>
                <w:szCs w:val="21"/>
              </w:rPr>
            </w:pPr>
            <w:r>
              <w:rPr>
                <w:szCs w:val="21"/>
              </w:rPr>
              <w:t>≤120</w:t>
            </w:r>
          </w:p>
        </w:tc>
        <w:tc>
          <w:tcPr>
            <w:tcW w:w="997" w:type="pct"/>
            <w:vAlign w:val="center"/>
          </w:tcPr>
          <w:p>
            <w:pPr>
              <w:adjustRightInd w:val="0"/>
              <w:jc w:val="center"/>
              <w:rPr>
                <w:szCs w:val="21"/>
              </w:rPr>
            </w:pPr>
            <w:r>
              <w:rPr>
                <w:szCs w:val="21"/>
              </w:rPr>
              <w:t>≤170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1" w:type="pct"/>
            <w:vMerge w:val="restart"/>
            <w:vAlign w:val="center"/>
          </w:tcPr>
          <w:p>
            <w:pPr>
              <w:adjustRightInd w:val="0"/>
              <w:jc w:val="center"/>
              <w:rPr>
                <w:szCs w:val="21"/>
              </w:rPr>
            </w:pPr>
            <w:r>
              <w:rPr>
                <w:szCs w:val="21"/>
              </w:rPr>
              <w:t>铬</w:t>
            </w:r>
          </w:p>
        </w:tc>
        <w:tc>
          <w:tcPr>
            <w:tcW w:w="552" w:type="pct"/>
            <w:vAlign w:val="center"/>
          </w:tcPr>
          <w:p>
            <w:pPr>
              <w:adjustRightInd w:val="0"/>
              <w:jc w:val="center"/>
              <w:rPr>
                <w:szCs w:val="21"/>
              </w:rPr>
            </w:pPr>
            <w:r>
              <w:rPr>
                <w:szCs w:val="21"/>
              </w:rPr>
              <w:t>水田</w:t>
            </w:r>
          </w:p>
        </w:tc>
        <w:tc>
          <w:tcPr>
            <w:tcW w:w="1000" w:type="pct"/>
            <w:vAlign w:val="center"/>
          </w:tcPr>
          <w:p>
            <w:pPr>
              <w:adjustRightInd w:val="0"/>
              <w:jc w:val="center"/>
              <w:rPr>
                <w:szCs w:val="21"/>
              </w:rPr>
            </w:pPr>
            <w:r>
              <w:rPr>
                <w:szCs w:val="21"/>
              </w:rPr>
              <w:t>≤250</w:t>
            </w:r>
          </w:p>
        </w:tc>
        <w:tc>
          <w:tcPr>
            <w:tcW w:w="999" w:type="pct"/>
            <w:vAlign w:val="center"/>
          </w:tcPr>
          <w:p>
            <w:pPr>
              <w:adjustRightInd w:val="0"/>
              <w:jc w:val="center"/>
              <w:rPr>
                <w:szCs w:val="21"/>
              </w:rPr>
            </w:pPr>
            <w:r>
              <w:rPr>
                <w:szCs w:val="21"/>
              </w:rPr>
              <w:t>≤250</w:t>
            </w:r>
          </w:p>
        </w:tc>
        <w:tc>
          <w:tcPr>
            <w:tcW w:w="1001" w:type="pct"/>
            <w:vAlign w:val="center"/>
          </w:tcPr>
          <w:p>
            <w:pPr>
              <w:adjustRightInd w:val="0"/>
              <w:jc w:val="center"/>
              <w:rPr>
                <w:szCs w:val="21"/>
              </w:rPr>
            </w:pPr>
            <w:r>
              <w:rPr>
                <w:szCs w:val="21"/>
              </w:rPr>
              <w:t>≤300</w:t>
            </w:r>
          </w:p>
        </w:tc>
        <w:tc>
          <w:tcPr>
            <w:tcW w:w="997" w:type="pct"/>
            <w:vAlign w:val="center"/>
          </w:tcPr>
          <w:p>
            <w:pPr>
              <w:adjustRightInd w:val="0"/>
              <w:jc w:val="center"/>
              <w:rPr>
                <w:szCs w:val="21"/>
              </w:rPr>
            </w:pPr>
            <w:r>
              <w:rPr>
                <w:szCs w:val="21"/>
              </w:rPr>
              <w:t>≤350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1" w:type="pct"/>
            <w:vMerge w:val="continue"/>
            <w:vAlign w:val="center"/>
          </w:tcPr>
          <w:p>
            <w:pPr>
              <w:adjustRightInd w:val="0"/>
              <w:jc w:val="center"/>
              <w:rPr>
                <w:szCs w:val="21"/>
              </w:rPr>
            </w:pPr>
          </w:p>
        </w:tc>
        <w:tc>
          <w:tcPr>
            <w:tcW w:w="552" w:type="pct"/>
            <w:vAlign w:val="center"/>
          </w:tcPr>
          <w:p>
            <w:pPr>
              <w:adjustRightInd w:val="0"/>
              <w:jc w:val="center"/>
              <w:rPr>
                <w:szCs w:val="21"/>
              </w:rPr>
            </w:pPr>
            <w:r>
              <w:rPr>
                <w:szCs w:val="21"/>
              </w:rPr>
              <w:t>其他</w:t>
            </w:r>
          </w:p>
        </w:tc>
        <w:tc>
          <w:tcPr>
            <w:tcW w:w="1000" w:type="pct"/>
            <w:vAlign w:val="center"/>
          </w:tcPr>
          <w:p>
            <w:pPr>
              <w:adjustRightInd w:val="0"/>
              <w:jc w:val="center"/>
              <w:rPr>
                <w:szCs w:val="21"/>
              </w:rPr>
            </w:pPr>
            <w:r>
              <w:rPr>
                <w:szCs w:val="21"/>
              </w:rPr>
              <w:t>≤150</w:t>
            </w:r>
          </w:p>
        </w:tc>
        <w:tc>
          <w:tcPr>
            <w:tcW w:w="999" w:type="pct"/>
            <w:vAlign w:val="center"/>
          </w:tcPr>
          <w:p>
            <w:pPr>
              <w:adjustRightInd w:val="0"/>
              <w:jc w:val="center"/>
              <w:rPr>
                <w:szCs w:val="21"/>
              </w:rPr>
            </w:pPr>
            <w:r>
              <w:rPr>
                <w:szCs w:val="21"/>
              </w:rPr>
              <w:t>≤150</w:t>
            </w:r>
          </w:p>
        </w:tc>
        <w:tc>
          <w:tcPr>
            <w:tcW w:w="1001" w:type="pct"/>
            <w:vAlign w:val="center"/>
          </w:tcPr>
          <w:p>
            <w:pPr>
              <w:adjustRightInd w:val="0"/>
              <w:jc w:val="center"/>
              <w:rPr>
                <w:szCs w:val="21"/>
              </w:rPr>
            </w:pPr>
            <w:r>
              <w:rPr>
                <w:szCs w:val="21"/>
              </w:rPr>
              <w:t>≤200</w:t>
            </w:r>
          </w:p>
        </w:tc>
        <w:tc>
          <w:tcPr>
            <w:tcW w:w="997" w:type="pct"/>
            <w:vAlign w:val="center"/>
          </w:tcPr>
          <w:p>
            <w:pPr>
              <w:adjustRightInd w:val="0"/>
              <w:jc w:val="center"/>
              <w:rPr>
                <w:szCs w:val="21"/>
              </w:rPr>
            </w:pPr>
            <w:r>
              <w:rPr>
                <w:szCs w:val="21"/>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1" w:type="pct"/>
            <w:vMerge w:val="restart"/>
            <w:vAlign w:val="center"/>
          </w:tcPr>
          <w:p>
            <w:pPr>
              <w:adjustRightInd w:val="0"/>
              <w:jc w:val="center"/>
              <w:rPr>
                <w:szCs w:val="21"/>
              </w:rPr>
            </w:pPr>
            <w:r>
              <w:rPr>
                <w:szCs w:val="21"/>
              </w:rPr>
              <w:t>铜</w:t>
            </w:r>
          </w:p>
        </w:tc>
        <w:tc>
          <w:tcPr>
            <w:tcW w:w="552" w:type="pct"/>
            <w:vAlign w:val="center"/>
          </w:tcPr>
          <w:p>
            <w:pPr>
              <w:adjustRightInd w:val="0"/>
              <w:jc w:val="center"/>
              <w:rPr>
                <w:szCs w:val="21"/>
              </w:rPr>
            </w:pPr>
            <w:r>
              <w:rPr>
                <w:szCs w:val="21"/>
              </w:rPr>
              <w:t>果园</w:t>
            </w:r>
          </w:p>
        </w:tc>
        <w:tc>
          <w:tcPr>
            <w:tcW w:w="1000" w:type="pct"/>
            <w:vAlign w:val="center"/>
          </w:tcPr>
          <w:p>
            <w:pPr>
              <w:adjustRightInd w:val="0"/>
              <w:jc w:val="center"/>
              <w:rPr>
                <w:szCs w:val="21"/>
              </w:rPr>
            </w:pPr>
            <w:r>
              <w:rPr>
                <w:szCs w:val="21"/>
              </w:rPr>
              <w:t>≤150</w:t>
            </w:r>
          </w:p>
        </w:tc>
        <w:tc>
          <w:tcPr>
            <w:tcW w:w="999" w:type="pct"/>
            <w:vAlign w:val="center"/>
          </w:tcPr>
          <w:p>
            <w:pPr>
              <w:adjustRightInd w:val="0"/>
              <w:jc w:val="center"/>
              <w:rPr>
                <w:szCs w:val="21"/>
              </w:rPr>
            </w:pPr>
            <w:r>
              <w:rPr>
                <w:szCs w:val="21"/>
              </w:rPr>
              <w:t>≤150</w:t>
            </w:r>
          </w:p>
        </w:tc>
        <w:tc>
          <w:tcPr>
            <w:tcW w:w="1001" w:type="pct"/>
            <w:vAlign w:val="center"/>
          </w:tcPr>
          <w:p>
            <w:pPr>
              <w:adjustRightInd w:val="0"/>
              <w:jc w:val="center"/>
              <w:rPr>
                <w:szCs w:val="21"/>
              </w:rPr>
            </w:pPr>
            <w:r>
              <w:rPr>
                <w:szCs w:val="21"/>
              </w:rPr>
              <w:t>≤200</w:t>
            </w:r>
          </w:p>
        </w:tc>
        <w:tc>
          <w:tcPr>
            <w:tcW w:w="997" w:type="pct"/>
            <w:vAlign w:val="center"/>
          </w:tcPr>
          <w:p>
            <w:pPr>
              <w:adjustRightInd w:val="0"/>
              <w:jc w:val="center"/>
              <w:rPr>
                <w:szCs w:val="21"/>
              </w:rPr>
            </w:pPr>
            <w:r>
              <w:rPr>
                <w:szCs w:val="21"/>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1" w:type="pct"/>
            <w:vMerge w:val="continue"/>
            <w:vAlign w:val="center"/>
          </w:tcPr>
          <w:p>
            <w:pPr>
              <w:adjustRightInd w:val="0"/>
              <w:jc w:val="center"/>
              <w:rPr>
                <w:szCs w:val="21"/>
              </w:rPr>
            </w:pPr>
          </w:p>
        </w:tc>
        <w:tc>
          <w:tcPr>
            <w:tcW w:w="552" w:type="pct"/>
            <w:vAlign w:val="center"/>
          </w:tcPr>
          <w:p>
            <w:pPr>
              <w:adjustRightInd w:val="0"/>
              <w:jc w:val="center"/>
              <w:rPr>
                <w:szCs w:val="21"/>
              </w:rPr>
            </w:pPr>
            <w:r>
              <w:rPr>
                <w:szCs w:val="21"/>
              </w:rPr>
              <w:t>其他</w:t>
            </w:r>
          </w:p>
        </w:tc>
        <w:tc>
          <w:tcPr>
            <w:tcW w:w="1000" w:type="pct"/>
            <w:vAlign w:val="center"/>
          </w:tcPr>
          <w:p>
            <w:pPr>
              <w:adjustRightInd w:val="0"/>
              <w:jc w:val="center"/>
              <w:rPr>
                <w:szCs w:val="21"/>
              </w:rPr>
            </w:pPr>
            <w:r>
              <w:rPr>
                <w:szCs w:val="21"/>
              </w:rPr>
              <w:t>≤50</w:t>
            </w:r>
          </w:p>
        </w:tc>
        <w:tc>
          <w:tcPr>
            <w:tcW w:w="999" w:type="pct"/>
            <w:vAlign w:val="center"/>
          </w:tcPr>
          <w:p>
            <w:pPr>
              <w:adjustRightInd w:val="0"/>
              <w:jc w:val="center"/>
              <w:rPr>
                <w:szCs w:val="21"/>
              </w:rPr>
            </w:pPr>
            <w:r>
              <w:rPr>
                <w:szCs w:val="21"/>
              </w:rPr>
              <w:t>≤50</w:t>
            </w:r>
          </w:p>
        </w:tc>
        <w:tc>
          <w:tcPr>
            <w:tcW w:w="1001" w:type="pct"/>
            <w:vAlign w:val="center"/>
          </w:tcPr>
          <w:p>
            <w:pPr>
              <w:adjustRightInd w:val="0"/>
              <w:jc w:val="center"/>
              <w:rPr>
                <w:szCs w:val="21"/>
              </w:rPr>
            </w:pPr>
            <w:r>
              <w:rPr>
                <w:szCs w:val="21"/>
              </w:rPr>
              <w:t>≤100</w:t>
            </w:r>
          </w:p>
        </w:tc>
        <w:tc>
          <w:tcPr>
            <w:tcW w:w="997" w:type="pct"/>
            <w:vAlign w:val="center"/>
          </w:tcPr>
          <w:p>
            <w:pPr>
              <w:adjustRightInd w:val="0"/>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4" w:type="pct"/>
            <w:gridSpan w:val="2"/>
            <w:vAlign w:val="center"/>
          </w:tcPr>
          <w:p>
            <w:pPr>
              <w:adjustRightInd w:val="0"/>
              <w:jc w:val="center"/>
              <w:rPr>
                <w:szCs w:val="21"/>
              </w:rPr>
            </w:pPr>
            <w:r>
              <w:rPr>
                <w:rFonts w:hint="eastAsia"/>
                <w:szCs w:val="21"/>
              </w:rPr>
              <w:t>镍</w:t>
            </w:r>
          </w:p>
        </w:tc>
        <w:tc>
          <w:tcPr>
            <w:tcW w:w="1000" w:type="pct"/>
            <w:vAlign w:val="center"/>
          </w:tcPr>
          <w:p>
            <w:pPr>
              <w:adjustRightInd w:val="0"/>
              <w:jc w:val="center"/>
              <w:rPr>
                <w:szCs w:val="21"/>
              </w:rPr>
            </w:pPr>
            <w:r>
              <w:rPr>
                <w:szCs w:val="21"/>
              </w:rPr>
              <w:t>≤</w:t>
            </w:r>
            <w:r>
              <w:rPr>
                <w:rFonts w:hint="eastAsia"/>
                <w:szCs w:val="21"/>
              </w:rPr>
              <w:t>6</w:t>
            </w:r>
            <w:r>
              <w:rPr>
                <w:szCs w:val="21"/>
              </w:rPr>
              <w:t>0</w:t>
            </w:r>
          </w:p>
        </w:tc>
        <w:tc>
          <w:tcPr>
            <w:tcW w:w="999" w:type="pct"/>
            <w:vAlign w:val="center"/>
          </w:tcPr>
          <w:p>
            <w:pPr>
              <w:adjustRightInd w:val="0"/>
              <w:jc w:val="center"/>
              <w:rPr>
                <w:szCs w:val="21"/>
              </w:rPr>
            </w:pPr>
            <w:r>
              <w:rPr>
                <w:szCs w:val="21"/>
              </w:rPr>
              <w:t>≤</w:t>
            </w:r>
            <w:r>
              <w:rPr>
                <w:rFonts w:hint="eastAsia"/>
                <w:szCs w:val="21"/>
              </w:rPr>
              <w:t>7</w:t>
            </w:r>
            <w:r>
              <w:rPr>
                <w:szCs w:val="21"/>
              </w:rPr>
              <w:t>0</w:t>
            </w:r>
          </w:p>
        </w:tc>
        <w:tc>
          <w:tcPr>
            <w:tcW w:w="1001" w:type="pct"/>
            <w:vAlign w:val="center"/>
          </w:tcPr>
          <w:p>
            <w:pPr>
              <w:adjustRightInd w:val="0"/>
              <w:jc w:val="center"/>
              <w:rPr>
                <w:szCs w:val="21"/>
              </w:rPr>
            </w:pPr>
            <w:r>
              <w:rPr>
                <w:szCs w:val="21"/>
              </w:rPr>
              <w:t>≤</w:t>
            </w:r>
            <w:r>
              <w:rPr>
                <w:rFonts w:hint="eastAsia"/>
                <w:szCs w:val="21"/>
              </w:rPr>
              <w:t>10</w:t>
            </w:r>
            <w:r>
              <w:rPr>
                <w:szCs w:val="21"/>
              </w:rPr>
              <w:t>0</w:t>
            </w:r>
          </w:p>
        </w:tc>
        <w:tc>
          <w:tcPr>
            <w:tcW w:w="997" w:type="pct"/>
            <w:vAlign w:val="center"/>
          </w:tcPr>
          <w:p>
            <w:pPr>
              <w:adjustRightInd w:val="0"/>
              <w:jc w:val="center"/>
              <w:rPr>
                <w:szCs w:val="21"/>
              </w:rPr>
            </w:pPr>
            <w:r>
              <w:rPr>
                <w:szCs w:val="21"/>
              </w:rPr>
              <w:t>≤</w:t>
            </w:r>
            <w:r>
              <w:rPr>
                <w:rFonts w:hint="eastAsia"/>
                <w:szCs w:val="21"/>
              </w:rPr>
              <w:t>19</w:t>
            </w:r>
            <w:r>
              <w:rPr>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4" w:type="pct"/>
            <w:gridSpan w:val="2"/>
            <w:vAlign w:val="center"/>
          </w:tcPr>
          <w:p>
            <w:pPr>
              <w:adjustRightInd w:val="0"/>
              <w:jc w:val="center"/>
              <w:rPr>
                <w:szCs w:val="21"/>
              </w:rPr>
            </w:pPr>
            <w:r>
              <w:rPr>
                <w:szCs w:val="21"/>
              </w:rPr>
              <w:t>锌</w:t>
            </w:r>
          </w:p>
        </w:tc>
        <w:tc>
          <w:tcPr>
            <w:tcW w:w="1000" w:type="pct"/>
            <w:vAlign w:val="center"/>
          </w:tcPr>
          <w:p>
            <w:pPr>
              <w:adjustRightInd w:val="0"/>
              <w:jc w:val="center"/>
              <w:rPr>
                <w:szCs w:val="21"/>
              </w:rPr>
            </w:pPr>
            <w:r>
              <w:rPr>
                <w:szCs w:val="21"/>
              </w:rPr>
              <w:t>≤200</w:t>
            </w:r>
          </w:p>
        </w:tc>
        <w:tc>
          <w:tcPr>
            <w:tcW w:w="999" w:type="pct"/>
            <w:vAlign w:val="center"/>
          </w:tcPr>
          <w:p>
            <w:pPr>
              <w:adjustRightInd w:val="0"/>
              <w:jc w:val="center"/>
              <w:rPr>
                <w:szCs w:val="21"/>
              </w:rPr>
            </w:pPr>
            <w:r>
              <w:rPr>
                <w:szCs w:val="21"/>
              </w:rPr>
              <w:t>≤200</w:t>
            </w:r>
          </w:p>
        </w:tc>
        <w:tc>
          <w:tcPr>
            <w:tcW w:w="1001" w:type="pct"/>
            <w:vAlign w:val="center"/>
          </w:tcPr>
          <w:p>
            <w:pPr>
              <w:adjustRightInd w:val="0"/>
              <w:jc w:val="center"/>
              <w:rPr>
                <w:szCs w:val="21"/>
              </w:rPr>
            </w:pPr>
            <w:r>
              <w:rPr>
                <w:szCs w:val="21"/>
              </w:rPr>
              <w:t>≤250</w:t>
            </w:r>
          </w:p>
        </w:tc>
        <w:tc>
          <w:tcPr>
            <w:tcW w:w="997" w:type="pct"/>
            <w:vAlign w:val="center"/>
          </w:tcPr>
          <w:p>
            <w:pPr>
              <w:adjustRightInd w:val="0"/>
              <w:jc w:val="center"/>
              <w:rPr>
                <w:szCs w:val="21"/>
              </w:rPr>
            </w:pPr>
            <w:r>
              <w:rPr>
                <w:szCs w:val="21"/>
              </w:rPr>
              <w:t>≤300</w:t>
            </w:r>
          </w:p>
        </w:tc>
      </w:tr>
    </w:tbl>
    <w:p>
      <w:pPr>
        <w:pStyle w:val="17"/>
        <w:spacing w:beforeLines="50"/>
        <w:rPr>
          <w:bCs/>
        </w:rPr>
      </w:pPr>
      <w:r>
        <w:rPr>
          <w:rFonts w:hint="eastAsia" w:ascii="Times New Roman" w:hAnsi="Times New Roman" w:cs="Times New Roman"/>
          <w:color w:val="auto"/>
          <w:sz w:val="21"/>
        </w:rPr>
        <w:t>表2.3-8  农用地土壤污染风险管制值  单位：mg/kg</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31"/>
        <w:gridCol w:w="1724"/>
        <w:gridCol w:w="1724"/>
        <w:gridCol w:w="1728"/>
        <w:gridCol w:w="16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15" w:type="pct"/>
            <w:vAlign w:val="center"/>
          </w:tcPr>
          <w:p>
            <w:pPr>
              <w:adjustRightInd w:val="0"/>
              <w:jc w:val="center"/>
              <w:rPr>
                <w:b/>
                <w:szCs w:val="21"/>
              </w:rPr>
            </w:pPr>
            <w:r>
              <w:rPr>
                <w:b/>
                <w:szCs w:val="21"/>
              </w:rPr>
              <w:t>项目</w:t>
            </w:r>
          </w:p>
        </w:tc>
        <w:tc>
          <w:tcPr>
            <w:tcW w:w="3985" w:type="pct"/>
            <w:gridSpan w:val="4"/>
            <w:vAlign w:val="center"/>
          </w:tcPr>
          <w:p>
            <w:pPr>
              <w:adjustRightInd w:val="0"/>
              <w:jc w:val="center"/>
              <w:rPr>
                <w:b/>
                <w:szCs w:val="21"/>
              </w:rPr>
            </w:pPr>
            <w:r>
              <w:rPr>
                <w:b/>
                <w:szCs w:val="21"/>
              </w:rPr>
              <w:t>《土壤环境质量农用地土壤污染风险管控标准（试行）》GB15618-2018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15" w:type="pct"/>
            <w:vAlign w:val="center"/>
          </w:tcPr>
          <w:p>
            <w:pPr>
              <w:adjustRightInd w:val="0"/>
              <w:jc w:val="center"/>
              <w:rPr>
                <w:b/>
                <w:szCs w:val="21"/>
              </w:rPr>
            </w:pPr>
            <w:r>
              <w:rPr>
                <w:b/>
                <w:szCs w:val="21"/>
              </w:rPr>
              <w:t>pH</w:t>
            </w:r>
          </w:p>
        </w:tc>
        <w:tc>
          <w:tcPr>
            <w:tcW w:w="1011" w:type="pct"/>
            <w:vAlign w:val="center"/>
          </w:tcPr>
          <w:p>
            <w:pPr>
              <w:adjustRightInd w:val="0"/>
              <w:jc w:val="center"/>
              <w:rPr>
                <w:b/>
                <w:szCs w:val="21"/>
              </w:rPr>
            </w:pPr>
            <w:r>
              <w:rPr>
                <w:b/>
                <w:szCs w:val="21"/>
              </w:rPr>
              <w:t>pH≤5.5</w:t>
            </w:r>
          </w:p>
        </w:tc>
        <w:tc>
          <w:tcPr>
            <w:tcW w:w="1011" w:type="pct"/>
            <w:vAlign w:val="center"/>
          </w:tcPr>
          <w:p>
            <w:pPr>
              <w:adjustRightInd w:val="0"/>
              <w:jc w:val="center"/>
              <w:rPr>
                <w:b/>
                <w:szCs w:val="21"/>
              </w:rPr>
            </w:pPr>
            <w:r>
              <w:rPr>
                <w:b/>
                <w:szCs w:val="21"/>
              </w:rPr>
              <w:t>5.5＜pH≤6.5</w:t>
            </w:r>
          </w:p>
        </w:tc>
        <w:tc>
          <w:tcPr>
            <w:tcW w:w="1013" w:type="pct"/>
            <w:vAlign w:val="center"/>
          </w:tcPr>
          <w:p>
            <w:pPr>
              <w:adjustRightInd w:val="0"/>
              <w:jc w:val="center"/>
              <w:rPr>
                <w:b/>
                <w:szCs w:val="21"/>
              </w:rPr>
            </w:pPr>
            <w:r>
              <w:rPr>
                <w:b/>
                <w:szCs w:val="21"/>
              </w:rPr>
              <w:t>6.5＜pH≤7.5</w:t>
            </w:r>
          </w:p>
        </w:tc>
        <w:tc>
          <w:tcPr>
            <w:tcW w:w="950" w:type="pct"/>
            <w:vAlign w:val="center"/>
          </w:tcPr>
          <w:p>
            <w:pPr>
              <w:adjustRightInd w:val="0"/>
              <w:jc w:val="center"/>
              <w:rPr>
                <w:b/>
                <w:szCs w:val="21"/>
              </w:rPr>
            </w:pPr>
            <w:r>
              <w:rPr>
                <w:b/>
                <w:szCs w:val="21"/>
              </w:rPr>
              <w:t>pH&gt;7.5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15" w:type="pct"/>
            <w:vAlign w:val="center"/>
          </w:tcPr>
          <w:p>
            <w:pPr>
              <w:adjustRightInd w:val="0"/>
              <w:jc w:val="center"/>
              <w:rPr>
                <w:szCs w:val="21"/>
              </w:rPr>
            </w:pPr>
            <w:r>
              <w:rPr>
                <w:szCs w:val="21"/>
              </w:rPr>
              <w:t>镉</w:t>
            </w:r>
          </w:p>
        </w:tc>
        <w:tc>
          <w:tcPr>
            <w:tcW w:w="1011" w:type="pct"/>
            <w:vAlign w:val="center"/>
          </w:tcPr>
          <w:p>
            <w:pPr>
              <w:adjustRightInd w:val="0"/>
              <w:jc w:val="center"/>
              <w:rPr>
                <w:szCs w:val="21"/>
              </w:rPr>
            </w:pPr>
            <w:r>
              <w:rPr>
                <w:szCs w:val="21"/>
              </w:rPr>
              <w:t>≤1.5</w:t>
            </w:r>
          </w:p>
        </w:tc>
        <w:tc>
          <w:tcPr>
            <w:tcW w:w="1011" w:type="pct"/>
            <w:vAlign w:val="center"/>
          </w:tcPr>
          <w:p>
            <w:pPr>
              <w:adjustRightInd w:val="0"/>
              <w:jc w:val="center"/>
              <w:rPr>
                <w:szCs w:val="21"/>
              </w:rPr>
            </w:pPr>
            <w:r>
              <w:rPr>
                <w:szCs w:val="21"/>
              </w:rPr>
              <w:t>≤2.0</w:t>
            </w:r>
          </w:p>
        </w:tc>
        <w:tc>
          <w:tcPr>
            <w:tcW w:w="1013" w:type="pct"/>
            <w:vAlign w:val="center"/>
          </w:tcPr>
          <w:p>
            <w:pPr>
              <w:adjustRightInd w:val="0"/>
              <w:jc w:val="center"/>
              <w:rPr>
                <w:szCs w:val="21"/>
              </w:rPr>
            </w:pPr>
            <w:r>
              <w:rPr>
                <w:szCs w:val="21"/>
              </w:rPr>
              <w:t>≤3.0</w:t>
            </w:r>
          </w:p>
        </w:tc>
        <w:tc>
          <w:tcPr>
            <w:tcW w:w="950" w:type="pct"/>
            <w:vAlign w:val="center"/>
          </w:tcPr>
          <w:p>
            <w:pPr>
              <w:adjustRightInd w:val="0"/>
              <w:jc w:val="center"/>
              <w:rPr>
                <w:szCs w:val="21"/>
              </w:rPr>
            </w:pPr>
            <w:r>
              <w:rPr>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15" w:type="pct"/>
            <w:vAlign w:val="center"/>
          </w:tcPr>
          <w:p>
            <w:pPr>
              <w:adjustRightInd w:val="0"/>
              <w:jc w:val="center"/>
              <w:rPr>
                <w:szCs w:val="21"/>
              </w:rPr>
            </w:pPr>
            <w:r>
              <w:rPr>
                <w:szCs w:val="21"/>
              </w:rPr>
              <w:t>砷</w:t>
            </w:r>
          </w:p>
        </w:tc>
        <w:tc>
          <w:tcPr>
            <w:tcW w:w="1011" w:type="pct"/>
            <w:vAlign w:val="center"/>
          </w:tcPr>
          <w:p>
            <w:pPr>
              <w:adjustRightInd w:val="0"/>
              <w:jc w:val="center"/>
              <w:rPr>
                <w:szCs w:val="21"/>
              </w:rPr>
            </w:pPr>
            <w:r>
              <w:rPr>
                <w:szCs w:val="21"/>
              </w:rPr>
              <w:t>≤200</w:t>
            </w:r>
          </w:p>
        </w:tc>
        <w:tc>
          <w:tcPr>
            <w:tcW w:w="1011" w:type="pct"/>
            <w:vAlign w:val="center"/>
          </w:tcPr>
          <w:p>
            <w:pPr>
              <w:adjustRightInd w:val="0"/>
              <w:jc w:val="center"/>
              <w:rPr>
                <w:szCs w:val="21"/>
              </w:rPr>
            </w:pPr>
            <w:r>
              <w:rPr>
                <w:szCs w:val="21"/>
              </w:rPr>
              <w:t>≤150</w:t>
            </w:r>
          </w:p>
        </w:tc>
        <w:tc>
          <w:tcPr>
            <w:tcW w:w="1013" w:type="pct"/>
            <w:vAlign w:val="center"/>
          </w:tcPr>
          <w:p>
            <w:pPr>
              <w:adjustRightInd w:val="0"/>
              <w:jc w:val="center"/>
              <w:rPr>
                <w:szCs w:val="21"/>
              </w:rPr>
            </w:pPr>
            <w:r>
              <w:rPr>
                <w:szCs w:val="21"/>
              </w:rPr>
              <w:t>≤120</w:t>
            </w:r>
          </w:p>
        </w:tc>
        <w:tc>
          <w:tcPr>
            <w:tcW w:w="950" w:type="pct"/>
            <w:vAlign w:val="center"/>
          </w:tcPr>
          <w:p>
            <w:pPr>
              <w:adjustRightInd w:val="0"/>
              <w:jc w:val="center"/>
              <w:rPr>
                <w:szCs w:val="21"/>
              </w:rPr>
            </w:pPr>
            <w:r>
              <w:rPr>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15" w:type="pct"/>
            <w:vAlign w:val="center"/>
          </w:tcPr>
          <w:p>
            <w:pPr>
              <w:adjustRightInd w:val="0"/>
              <w:jc w:val="center"/>
              <w:rPr>
                <w:szCs w:val="21"/>
              </w:rPr>
            </w:pPr>
            <w:r>
              <w:rPr>
                <w:szCs w:val="21"/>
              </w:rPr>
              <w:t>铅</w:t>
            </w:r>
          </w:p>
        </w:tc>
        <w:tc>
          <w:tcPr>
            <w:tcW w:w="1011" w:type="pct"/>
            <w:vAlign w:val="center"/>
          </w:tcPr>
          <w:p>
            <w:pPr>
              <w:adjustRightInd w:val="0"/>
              <w:jc w:val="center"/>
              <w:rPr>
                <w:szCs w:val="21"/>
              </w:rPr>
            </w:pPr>
            <w:r>
              <w:rPr>
                <w:szCs w:val="21"/>
              </w:rPr>
              <w:t>≤400</w:t>
            </w:r>
          </w:p>
        </w:tc>
        <w:tc>
          <w:tcPr>
            <w:tcW w:w="1011" w:type="pct"/>
            <w:vAlign w:val="center"/>
          </w:tcPr>
          <w:p>
            <w:pPr>
              <w:adjustRightInd w:val="0"/>
              <w:jc w:val="center"/>
              <w:rPr>
                <w:szCs w:val="21"/>
              </w:rPr>
            </w:pPr>
            <w:r>
              <w:rPr>
                <w:szCs w:val="21"/>
              </w:rPr>
              <w:t>≤500</w:t>
            </w:r>
          </w:p>
        </w:tc>
        <w:tc>
          <w:tcPr>
            <w:tcW w:w="1013" w:type="pct"/>
            <w:vAlign w:val="center"/>
          </w:tcPr>
          <w:p>
            <w:pPr>
              <w:adjustRightInd w:val="0"/>
              <w:jc w:val="center"/>
              <w:rPr>
                <w:szCs w:val="21"/>
              </w:rPr>
            </w:pPr>
            <w:r>
              <w:rPr>
                <w:szCs w:val="21"/>
              </w:rPr>
              <w:t>≤700</w:t>
            </w:r>
          </w:p>
        </w:tc>
        <w:tc>
          <w:tcPr>
            <w:tcW w:w="950" w:type="pct"/>
            <w:vAlign w:val="center"/>
          </w:tcPr>
          <w:p>
            <w:pPr>
              <w:adjustRightInd w:val="0"/>
              <w:jc w:val="center"/>
              <w:rPr>
                <w:szCs w:val="21"/>
              </w:rPr>
            </w:pPr>
            <w:r>
              <w:rPr>
                <w:szCs w:val="21"/>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15" w:type="pct"/>
            <w:vAlign w:val="center"/>
          </w:tcPr>
          <w:p>
            <w:pPr>
              <w:adjustRightInd w:val="0"/>
              <w:jc w:val="center"/>
              <w:rPr>
                <w:szCs w:val="21"/>
              </w:rPr>
            </w:pPr>
            <w:r>
              <w:rPr>
                <w:szCs w:val="21"/>
              </w:rPr>
              <w:t>铬</w:t>
            </w:r>
          </w:p>
        </w:tc>
        <w:tc>
          <w:tcPr>
            <w:tcW w:w="1011" w:type="pct"/>
            <w:vAlign w:val="center"/>
          </w:tcPr>
          <w:p>
            <w:pPr>
              <w:adjustRightInd w:val="0"/>
              <w:jc w:val="center"/>
              <w:rPr>
                <w:szCs w:val="21"/>
              </w:rPr>
            </w:pPr>
            <w:r>
              <w:rPr>
                <w:szCs w:val="21"/>
              </w:rPr>
              <w:t>≤800</w:t>
            </w:r>
          </w:p>
        </w:tc>
        <w:tc>
          <w:tcPr>
            <w:tcW w:w="1011" w:type="pct"/>
            <w:vAlign w:val="center"/>
          </w:tcPr>
          <w:p>
            <w:pPr>
              <w:adjustRightInd w:val="0"/>
              <w:jc w:val="center"/>
              <w:rPr>
                <w:szCs w:val="21"/>
              </w:rPr>
            </w:pPr>
            <w:r>
              <w:rPr>
                <w:szCs w:val="21"/>
              </w:rPr>
              <w:t>≤850</w:t>
            </w:r>
          </w:p>
        </w:tc>
        <w:tc>
          <w:tcPr>
            <w:tcW w:w="1013" w:type="pct"/>
            <w:vAlign w:val="center"/>
          </w:tcPr>
          <w:p>
            <w:pPr>
              <w:adjustRightInd w:val="0"/>
              <w:jc w:val="center"/>
              <w:rPr>
                <w:szCs w:val="21"/>
              </w:rPr>
            </w:pPr>
            <w:r>
              <w:rPr>
                <w:szCs w:val="21"/>
              </w:rPr>
              <w:t>≤1000</w:t>
            </w:r>
          </w:p>
        </w:tc>
        <w:tc>
          <w:tcPr>
            <w:tcW w:w="950" w:type="pct"/>
            <w:vAlign w:val="center"/>
          </w:tcPr>
          <w:p>
            <w:pPr>
              <w:adjustRightInd w:val="0"/>
              <w:jc w:val="center"/>
              <w:rPr>
                <w:szCs w:val="21"/>
              </w:rPr>
            </w:pPr>
            <w:r>
              <w:rPr>
                <w:szCs w:val="21"/>
              </w:rPr>
              <w:t>≤1300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15" w:type="pct"/>
            <w:vAlign w:val="center"/>
          </w:tcPr>
          <w:p>
            <w:pPr>
              <w:adjustRightInd w:val="0"/>
              <w:jc w:val="center"/>
              <w:rPr>
                <w:szCs w:val="21"/>
              </w:rPr>
            </w:pPr>
            <w:r>
              <w:rPr>
                <w:szCs w:val="21"/>
              </w:rPr>
              <w:t>汞</w:t>
            </w:r>
          </w:p>
        </w:tc>
        <w:tc>
          <w:tcPr>
            <w:tcW w:w="1011" w:type="pct"/>
            <w:vAlign w:val="center"/>
          </w:tcPr>
          <w:p>
            <w:pPr>
              <w:adjustRightInd w:val="0"/>
              <w:jc w:val="center"/>
              <w:rPr>
                <w:szCs w:val="21"/>
              </w:rPr>
            </w:pPr>
            <w:r>
              <w:rPr>
                <w:szCs w:val="21"/>
              </w:rPr>
              <w:t>≤2.0</w:t>
            </w:r>
          </w:p>
        </w:tc>
        <w:tc>
          <w:tcPr>
            <w:tcW w:w="1011" w:type="pct"/>
            <w:vAlign w:val="center"/>
          </w:tcPr>
          <w:p>
            <w:pPr>
              <w:adjustRightInd w:val="0"/>
              <w:jc w:val="center"/>
              <w:rPr>
                <w:szCs w:val="21"/>
              </w:rPr>
            </w:pPr>
            <w:r>
              <w:rPr>
                <w:szCs w:val="21"/>
              </w:rPr>
              <w:t>≤2.5</w:t>
            </w:r>
          </w:p>
        </w:tc>
        <w:tc>
          <w:tcPr>
            <w:tcW w:w="1013" w:type="pct"/>
            <w:vAlign w:val="center"/>
          </w:tcPr>
          <w:p>
            <w:pPr>
              <w:adjustRightInd w:val="0"/>
              <w:jc w:val="center"/>
              <w:rPr>
                <w:szCs w:val="21"/>
              </w:rPr>
            </w:pPr>
            <w:r>
              <w:rPr>
                <w:szCs w:val="21"/>
              </w:rPr>
              <w:t>≤4.0</w:t>
            </w:r>
          </w:p>
        </w:tc>
        <w:tc>
          <w:tcPr>
            <w:tcW w:w="950" w:type="pct"/>
            <w:vAlign w:val="center"/>
          </w:tcPr>
          <w:p>
            <w:pPr>
              <w:adjustRightInd w:val="0"/>
              <w:jc w:val="center"/>
              <w:rPr>
                <w:szCs w:val="21"/>
              </w:rPr>
            </w:pPr>
            <w:r>
              <w:rPr>
                <w:szCs w:val="21"/>
              </w:rPr>
              <w:t>≤6.0</w:t>
            </w:r>
          </w:p>
        </w:tc>
      </w:tr>
    </w:tbl>
    <w:p>
      <w:pPr>
        <w:spacing w:line="360" w:lineRule="auto"/>
        <w:ind w:firstLine="482" w:firstLineChars="200"/>
        <w:rPr>
          <w:b/>
          <w:sz w:val="24"/>
        </w:rPr>
      </w:pPr>
      <w:r>
        <w:rPr>
          <w:rFonts w:hint="eastAsia"/>
          <w:b/>
          <w:sz w:val="24"/>
        </w:rPr>
        <w:t>2、</w:t>
      </w:r>
      <w:r>
        <w:rPr>
          <w:b/>
          <w:sz w:val="24"/>
        </w:rPr>
        <w:t>污染物排放标准</w:t>
      </w:r>
      <w:bookmarkEnd w:id="128"/>
      <w:bookmarkEnd w:id="129"/>
      <w:bookmarkEnd w:id="130"/>
      <w:bookmarkEnd w:id="131"/>
      <w:bookmarkEnd w:id="132"/>
    </w:p>
    <w:p>
      <w:pPr>
        <w:pStyle w:val="5"/>
        <w:adjustRightInd w:val="0"/>
        <w:snapToGrid w:val="0"/>
        <w:spacing w:after="0" w:line="360" w:lineRule="auto"/>
        <w:ind w:firstLine="480" w:firstLineChars="200"/>
        <w:rPr>
          <w:rFonts w:ascii="Times New Roman" w:hAnsi="Times New Roman" w:cs="Times New Roman"/>
          <w:sz w:val="24"/>
        </w:rPr>
      </w:pPr>
      <w:r>
        <w:rPr>
          <w:rFonts w:ascii="Times New Roman" w:hAnsi="Times New Roman" w:cs="Times New Roman"/>
          <w:sz w:val="24"/>
        </w:rPr>
        <w:t>（1）废气</w:t>
      </w:r>
    </w:p>
    <w:p>
      <w:pPr>
        <w:pStyle w:val="5"/>
        <w:adjustRightInd w:val="0"/>
        <w:snapToGrid w:val="0"/>
        <w:spacing w:after="0" w:line="360" w:lineRule="auto"/>
        <w:ind w:firstLine="480" w:firstLineChars="200"/>
        <w:rPr>
          <w:rFonts w:ascii="Times New Roman" w:hAnsi="Times New Roman" w:cs="Times New Roman"/>
          <w:sz w:val="24"/>
        </w:rPr>
      </w:pPr>
      <w:r>
        <w:rPr>
          <w:rFonts w:hint="eastAsia" w:ascii="Times New Roman" w:hAnsi="Times New Roman" w:cs="Times New Roman"/>
          <w:sz w:val="24"/>
        </w:rPr>
        <w:t>项目施工期的大气污染物因子主要为施工扬尘，排放执行《大气污染物综合排放标准》（GB16297-1996）中无组织排放标准，详见表2.</w:t>
      </w:r>
      <w:r>
        <w:rPr>
          <w:rFonts w:hint="eastAsia" w:ascii="Times New Roman" w:hAnsi="Times New Roman" w:cs="Times New Roman"/>
          <w:sz w:val="24"/>
          <w:lang w:val="en-US" w:eastAsia="zh-CN"/>
        </w:rPr>
        <w:t>3-12</w:t>
      </w:r>
      <w:r>
        <w:rPr>
          <w:rFonts w:hint="eastAsia" w:ascii="Times New Roman" w:hAnsi="Times New Roman" w:cs="Times New Roman"/>
          <w:sz w:val="24"/>
        </w:rPr>
        <w:t>。</w:t>
      </w:r>
    </w:p>
    <w:p>
      <w:pPr>
        <w:pStyle w:val="5"/>
        <w:adjustRightInd w:val="0"/>
        <w:snapToGrid w:val="0"/>
        <w:spacing w:after="0" w:line="360" w:lineRule="auto"/>
        <w:ind w:firstLine="480" w:firstLineChars="200"/>
        <w:rPr>
          <w:rFonts w:ascii="Times New Roman" w:hAnsi="Times New Roman" w:cs="Times New Roman"/>
          <w:sz w:val="24"/>
        </w:rPr>
      </w:pPr>
      <w:r>
        <w:rPr>
          <w:rFonts w:ascii="Times New Roman" w:hAnsi="Times New Roman" w:cs="Times New Roman"/>
          <w:sz w:val="24"/>
        </w:rPr>
        <w:t>项目运营期恶臭排放标准执行《畜禽养殖业污染物排放标准》（GB18596-2001）表</w:t>
      </w:r>
      <w:r>
        <w:rPr>
          <w:rFonts w:hint="eastAsia" w:ascii="Times New Roman" w:hAnsi="Times New Roman" w:cs="Times New Roman"/>
          <w:sz w:val="24"/>
        </w:rPr>
        <w:t>7标准，H</w:t>
      </w:r>
      <w:r>
        <w:rPr>
          <w:rFonts w:hint="eastAsia" w:ascii="Times New Roman" w:hAnsi="Times New Roman" w:cs="Times New Roman"/>
          <w:sz w:val="24"/>
          <w:vertAlign w:val="subscript"/>
        </w:rPr>
        <w:t>2</w:t>
      </w:r>
      <w:r>
        <w:rPr>
          <w:rFonts w:hint="eastAsia" w:ascii="Times New Roman" w:hAnsi="Times New Roman" w:cs="Times New Roman"/>
          <w:sz w:val="24"/>
        </w:rPr>
        <w:t>S和NH</w:t>
      </w:r>
      <w:r>
        <w:rPr>
          <w:rFonts w:hint="eastAsia" w:ascii="Times New Roman" w:hAnsi="Times New Roman" w:cs="Times New Roman"/>
          <w:sz w:val="24"/>
          <w:vertAlign w:val="subscript"/>
        </w:rPr>
        <w:t>3</w:t>
      </w:r>
      <w:r>
        <w:rPr>
          <w:rFonts w:ascii="Times New Roman" w:hAnsi="Times New Roman" w:cs="Times New Roman"/>
          <w:sz w:val="24"/>
        </w:rPr>
        <w:t>排放标准执行《恶臭污染物排放标准》（GB14554-93）中二级新改扩建标准</w:t>
      </w:r>
      <w:r>
        <w:rPr>
          <w:rFonts w:hint="eastAsia" w:cs="Times New Roman" w:asciiTheme="minorEastAsia" w:hAnsiTheme="minorEastAsia"/>
          <w:sz w:val="24"/>
        </w:rPr>
        <w:t>；食堂油</w:t>
      </w:r>
      <w:r>
        <w:rPr>
          <w:rFonts w:ascii="Times New Roman" w:hAnsi="Times New Roman" w:cs="Times New Roman"/>
          <w:sz w:val="24"/>
        </w:rPr>
        <w:t>烟废气执行《饮食业油烟排放标准》（GB1848-2001）小型规模排放标准；</w:t>
      </w:r>
      <w:r>
        <w:rPr>
          <w:rFonts w:hint="eastAsia" w:ascii="Times New Roman" w:hAnsi="Times New Roman" w:cs="Times New Roman"/>
          <w:sz w:val="24"/>
          <w:lang w:val="en-US" w:eastAsia="zh-CN"/>
        </w:rPr>
        <w:t>备用</w:t>
      </w:r>
      <w:r>
        <w:rPr>
          <w:rFonts w:ascii="Times New Roman" w:hAnsi="Times New Roman" w:cs="Times New Roman"/>
          <w:sz w:val="24"/>
        </w:rPr>
        <w:t>柴油发电机</w:t>
      </w:r>
      <w:r>
        <w:rPr>
          <w:rFonts w:hint="eastAsia" w:ascii="Times New Roman" w:hAnsi="Times New Roman" w:cs="Times New Roman"/>
          <w:sz w:val="24"/>
          <w:lang w:val="en-US" w:eastAsia="zh-CN"/>
        </w:rPr>
        <w:t>尾气</w:t>
      </w:r>
      <w:r>
        <w:rPr>
          <w:rFonts w:ascii="Times New Roman" w:hAnsi="Times New Roman" w:cs="Times New Roman"/>
          <w:sz w:val="24"/>
        </w:rPr>
        <w:t>执行</w:t>
      </w:r>
      <w:r>
        <w:rPr>
          <w:rFonts w:hint="eastAsia" w:ascii="Times New Roman" w:hAnsi="Times New Roman" w:cs="Times New Roman"/>
          <w:sz w:val="24"/>
        </w:rPr>
        <w:t>《大气污染物综合排放标准》（GB16297-1996）表2中大气污染物排放限值，</w:t>
      </w:r>
      <w:r>
        <w:rPr>
          <w:rFonts w:ascii="Times New Roman" w:hAnsi="Times New Roman" w:cs="Times New Roman"/>
          <w:sz w:val="24"/>
        </w:rPr>
        <w:t>具体浓度限值见表</w:t>
      </w:r>
      <w:r>
        <w:rPr>
          <w:rFonts w:hint="eastAsia" w:ascii="Times New Roman" w:hAnsi="Times New Roman" w:cs="Times New Roman"/>
          <w:sz w:val="24"/>
        </w:rPr>
        <w:t>2.3-9~2.3-10。</w:t>
      </w:r>
    </w:p>
    <w:p>
      <w:pPr>
        <w:pStyle w:val="17"/>
        <w:spacing w:beforeLines="50"/>
        <w:rPr>
          <w:rFonts w:ascii="Times New Roman" w:hAnsi="Times New Roman" w:cs="Times New Roman"/>
          <w:color w:val="auto"/>
          <w:sz w:val="21"/>
        </w:rPr>
      </w:pPr>
      <w:r>
        <w:rPr>
          <w:rFonts w:ascii="Times New Roman" w:hAnsi="Times New Roman" w:cs="Times New Roman"/>
          <w:color w:val="auto"/>
          <w:sz w:val="21"/>
        </w:rPr>
        <w:t>表</w:t>
      </w:r>
      <w:r>
        <w:rPr>
          <w:rFonts w:hint="eastAsia" w:ascii="Times New Roman" w:hAnsi="Times New Roman" w:cs="Times New Roman"/>
          <w:color w:val="auto"/>
          <w:sz w:val="21"/>
        </w:rPr>
        <w:t>2.3-9  恶臭污染物排放标准（摘录）</w:t>
      </w:r>
    </w:p>
    <w:tbl>
      <w:tblPr>
        <w:tblStyle w:val="4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27"/>
        <w:gridCol w:w="2135"/>
        <w:gridCol w:w="2134"/>
        <w:gridCol w:w="21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47" w:type="pct"/>
            <w:vAlign w:val="center"/>
          </w:tcPr>
          <w:p>
            <w:pPr>
              <w:jc w:val="center"/>
              <w:rPr>
                <w:b/>
                <w:szCs w:val="21"/>
              </w:rPr>
            </w:pPr>
            <w:r>
              <w:rPr>
                <w:b/>
                <w:szCs w:val="21"/>
              </w:rPr>
              <w:t>控制项目</w:t>
            </w:r>
          </w:p>
        </w:tc>
        <w:tc>
          <w:tcPr>
            <w:tcW w:w="1252" w:type="pct"/>
            <w:vAlign w:val="center"/>
          </w:tcPr>
          <w:p>
            <w:pPr>
              <w:jc w:val="center"/>
              <w:rPr>
                <w:b/>
                <w:szCs w:val="21"/>
              </w:rPr>
            </w:pPr>
            <w:r>
              <w:rPr>
                <w:b/>
                <w:szCs w:val="21"/>
              </w:rPr>
              <w:t>最高允许排放浓度（mg/m</w:t>
            </w:r>
            <w:r>
              <w:rPr>
                <w:b/>
                <w:szCs w:val="21"/>
                <w:vertAlign w:val="superscript"/>
              </w:rPr>
              <w:t>3</w:t>
            </w:r>
            <w:r>
              <w:rPr>
                <w:b/>
                <w:szCs w:val="21"/>
              </w:rPr>
              <w:t>）</w:t>
            </w:r>
          </w:p>
        </w:tc>
        <w:tc>
          <w:tcPr>
            <w:tcW w:w="1251" w:type="pct"/>
            <w:vAlign w:val="center"/>
          </w:tcPr>
          <w:p>
            <w:pPr>
              <w:jc w:val="center"/>
              <w:rPr>
                <w:b/>
                <w:szCs w:val="21"/>
              </w:rPr>
            </w:pPr>
            <w:r>
              <w:rPr>
                <w:rFonts w:hint="eastAsia"/>
                <w:b/>
                <w:szCs w:val="21"/>
              </w:rPr>
              <w:t>15m排气筒高度排放量（kg/h）</w:t>
            </w:r>
          </w:p>
        </w:tc>
        <w:tc>
          <w:tcPr>
            <w:tcW w:w="1250" w:type="pct"/>
            <w:vAlign w:val="center"/>
          </w:tcPr>
          <w:p>
            <w:pPr>
              <w:jc w:val="center"/>
              <w:rPr>
                <w:b/>
                <w:szCs w:val="21"/>
              </w:rPr>
            </w:pPr>
            <w:r>
              <w:rPr>
                <w:b/>
                <w:szCs w:val="21"/>
              </w:rPr>
              <w:t>恶臭污染物厂界标准值二级标准（mg/m</w:t>
            </w:r>
            <w:r>
              <w:rPr>
                <w:b/>
                <w:szCs w:val="21"/>
                <w:vertAlign w:val="superscript"/>
              </w:rPr>
              <w:t>3</w:t>
            </w:r>
            <w:r>
              <w:rPr>
                <w:b/>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47" w:type="pct"/>
            <w:vAlign w:val="center"/>
          </w:tcPr>
          <w:p>
            <w:pPr>
              <w:jc w:val="center"/>
              <w:rPr>
                <w:szCs w:val="21"/>
              </w:rPr>
            </w:pPr>
            <w:r>
              <w:rPr>
                <w:rFonts w:hint="eastAsia"/>
                <w:szCs w:val="21"/>
              </w:rPr>
              <w:t>H</w:t>
            </w:r>
            <w:r>
              <w:rPr>
                <w:rFonts w:hint="eastAsia"/>
                <w:szCs w:val="21"/>
                <w:vertAlign w:val="subscript"/>
              </w:rPr>
              <w:t>2</w:t>
            </w:r>
            <w:r>
              <w:rPr>
                <w:rFonts w:hint="eastAsia"/>
                <w:szCs w:val="21"/>
              </w:rPr>
              <w:t>S</w:t>
            </w:r>
          </w:p>
        </w:tc>
        <w:tc>
          <w:tcPr>
            <w:tcW w:w="1252" w:type="pct"/>
            <w:vAlign w:val="center"/>
          </w:tcPr>
          <w:p>
            <w:pPr>
              <w:jc w:val="center"/>
              <w:rPr>
                <w:szCs w:val="21"/>
              </w:rPr>
            </w:pPr>
            <w:r>
              <w:rPr>
                <w:rFonts w:hint="eastAsia"/>
                <w:szCs w:val="21"/>
              </w:rPr>
              <w:t>/</w:t>
            </w:r>
          </w:p>
        </w:tc>
        <w:tc>
          <w:tcPr>
            <w:tcW w:w="1251" w:type="pct"/>
            <w:vAlign w:val="center"/>
          </w:tcPr>
          <w:p>
            <w:pPr>
              <w:jc w:val="center"/>
              <w:rPr>
                <w:szCs w:val="21"/>
              </w:rPr>
            </w:pPr>
            <w:r>
              <w:rPr>
                <w:rFonts w:hint="eastAsia"/>
                <w:szCs w:val="21"/>
              </w:rPr>
              <w:t>4.9</w:t>
            </w:r>
          </w:p>
        </w:tc>
        <w:tc>
          <w:tcPr>
            <w:tcW w:w="1250" w:type="pct"/>
            <w:vAlign w:val="center"/>
          </w:tcPr>
          <w:p>
            <w:pPr>
              <w:jc w:val="center"/>
              <w:rPr>
                <w:szCs w:val="21"/>
              </w:rPr>
            </w:pPr>
            <w:r>
              <w:rPr>
                <w:rFonts w:hint="eastAsia"/>
                <w:szCs w:val="21"/>
              </w:rPr>
              <w:t>0.06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47" w:type="pct"/>
            <w:vAlign w:val="center"/>
          </w:tcPr>
          <w:p>
            <w:pPr>
              <w:jc w:val="center"/>
              <w:rPr>
                <w:szCs w:val="21"/>
              </w:rPr>
            </w:pPr>
            <w:r>
              <w:rPr>
                <w:rFonts w:hint="eastAsia"/>
                <w:szCs w:val="21"/>
              </w:rPr>
              <w:t>NH</w:t>
            </w:r>
            <w:r>
              <w:rPr>
                <w:rFonts w:hint="eastAsia"/>
                <w:szCs w:val="21"/>
                <w:vertAlign w:val="subscript"/>
              </w:rPr>
              <w:t>3</w:t>
            </w:r>
          </w:p>
        </w:tc>
        <w:tc>
          <w:tcPr>
            <w:tcW w:w="1252" w:type="pct"/>
            <w:vAlign w:val="center"/>
          </w:tcPr>
          <w:p>
            <w:pPr>
              <w:jc w:val="center"/>
              <w:rPr>
                <w:szCs w:val="21"/>
              </w:rPr>
            </w:pPr>
            <w:r>
              <w:rPr>
                <w:rFonts w:hint="eastAsia"/>
                <w:szCs w:val="21"/>
              </w:rPr>
              <w:t>/</w:t>
            </w:r>
          </w:p>
        </w:tc>
        <w:tc>
          <w:tcPr>
            <w:tcW w:w="1251" w:type="pct"/>
            <w:vAlign w:val="center"/>
          </w:tcPr>
          <w:p>
            <w:pPr>
              <w:jc w:val="center"/>
              <w:rPr>
                <w:szCs w:val="21"/>
              </w:rPr>
            </w:pPr>
            <w:r>
              <w:rPr>
                <w:rFonts w:hint="eastAsia"/>
                <w:szCs w:val="21"/>
              </w:rPr>
              <w:t>0.33</w:t>
            </w:r>
          </w:p>
        </w:tc>
        <w:tc>
          <w:tcPr>
            <w:tcW w:w="1250" w:type="pct"/>
            <w:vAlign w:val="center"/>
          </w:tcPr>
          <w:p>
            <w:pPr>
              <w:jc w:val="center"/>
              <w:rPr>
                <w:szCs w:val="21"/>
              </w:rPr>
            </w:pPr>
            <w:r>
              <w:rPr>
                <w:rFonts w:hint="eastAsia"/>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47" w:type="pct"/>
            <w:vAlign w:val="center"/>
          </w:tcPr>
          <w:p>
            <w:pPr>
              <w:jc w:val="center"/>
              <w:rPr>
                <w:szCs w:val="21"/>
              </w:rPr>
            </w:pPr>
            <w:r>
              <w:rPr>
                <w:szCs w:val="21"/>
              </w:rPr>
              <w:t>臭气浓度</w:t>
            </w:r>
          </w:p>
        </w:tc>
        <w:tc>
          <w:tcPr>
            <w:tcW w:w="1252" w:type="pct"/>
            <w:vAlign w:val="center"/>
          </w:tcPr>
          <w:p>
            <w:pPr>
              <w:jc w:val="center"/>
              <w:rPr>
                <w:szCs w:val="21"/>
              </w:rPr>
            </w:pPr>
            <w:r>
              <w:rPr>
                <w:rFonts w:hint="eastAsia"/>
                <w:szCs w:val="21"/>
              </w:rPr>
              <w:t>/</w:t>
            </w:r>
          </w:p>
        </w:tc>
        <w:tc>
          <w:tcPr>
            <w:tcW w:w="1251" w:type="pct"/>
            <w:vAlign w:val="center"/>
          </w:tcPr>
          <w:p>
            <w:pPr>
              <w:jc w:val="center"/>
              <w:rPr>
                <w:szCs w:val="21"/>
              </w:rPr>
            </w:pPr>
            <w:r>
              <w:rPr>
                <w:rFonts w:hint="eastAsia"/>
                <w:szCs w:val="21"/>
              </w:rPr>
              <w:t>2000</w:t>
            </w:r>
            <w:r>
              <w:rPr>
                <w:szCs w:val="21"/>
              </w:rPr>
              <w:t>（无量纲）</w:t>
            </w:r>
          </w:p>
        </w:tc>
        <w:tc>
          <w:tcPr>
            <w:tcW w:w="1250" w:type="pct"/>
            <w:vAlign w:val="center"/>
          </w:tcPr>
          <w:p>
            <w:pPr>
              <w:jc w:val="center"/>
              <w:rPr>
                <w:szCs w:val="21"/>
              </w:rPr>
            </w:pPr>
            <w:r>
              <w:rPr>
                <w:rFonts w:hint="eastAsia"/>
                <w:szCs w:val="21"/>
              </w:rPr>
              <w:t>/</w:t>
            </w:r>
          </w:p>
        </w:tc>
      </w:tr>
    </w:tbl>
    <w:p>
      <w:pPr>
        <w:pStyle w:val="17"/>
        <w:spacing w:beforeLines="50"/>
        <w:rPr>
          <w:rFonts w:ascii="Times New Roman" w:hAnsi="Times New Roman" w:cs="Times New Roman"/>
          <w:color w:val="auto"/>
          <w:sz w:val="21"/>
        </w:rPr>
      </w:pPr>
      <w:r>
        <w:rPr>
          <w:rFonts w:ascii="Times New Roman" w:hAnsi="Times New Roman" w:cs="Times New Roman"/>
          <w:color w:val="auto"/>
          <w:sz w:val="21"/>
        </w:rPr>
        <w:t>表</w:t>
      </w:r>
      <w:r>
        <w:rPr>
          <w:rFonts w:hint="eastAsia" w:ascii="Times New Roman" w:hAnsi="Times New Roman" w:cs="Times New Roman"/>
          <w:color w:val="auto"/>
          <w:sz w:val="21"/>
        </w:rPr>
        <w:t>2.3-10  集约化畜禽养殖业</w:t>
      </w:r>
      <w:r>
        <w:rPr>
          <w:rFonts w:ascii="Times New Roman" w:hAnsi="Times New Roman" w:cs="Times New Roman"/>
          <w:color w:val="auto"/>
          <w:sz w:val="21"/>
        </w:rPr>
        <w:t>恶臭污染物场界排放标准</w:t>
      </w:r>
      <w:r>
        <w:rPr>
          <w:rFonts w:hint="eastAsia" w:ascii="Times New Roman" w:hAnsi="Times New Roman" w:cs="Times New Roman"/>
          <w:color w:val="auto"/>
          <w:sz w:val="21"/>
        </w:rPr>
        <w:t>（摘录）</w:t>
      </w:r>
    </w:p>
    <w:tbl>
      <w:tblPr>
        <w:tblStyle w:val="47"/>
        <w:tblW w:w="8504"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51"/>
        <w:gridCol w:w="42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1" w:type="dxa"/>
            <w:vAlign w:val="center"/>
          </w:tcPr>
          <w:p>
            <w:pPr>
              <w:pStyle w:val="2"/>
              <w:spacing w:after="0"/>
              <w:jc w:val="center"/>
              <w:rPr>
                <w:b/>
                <w:szCs w:val="21"/>
              </w:rPr>
            </w:pPr>
            <w:r>
              <w:rPr>
                <w:b/>
                <w:szCs w:val="21"/>
              </w:rPr>
              <w:t>控制项目</w:t>
            </w:r>
          </w:p>
        </w:tc>
        <w:tc>
          <w:tcPr>
            <w:tcW w:w="4253" w:type="dxa"/>
            <w:vAlign w:val="center"/>
          </w:tcPr>
          <w:p>
            <w:pPr>
              <w:pStyle w:val="2"/>
              <w:spacing w:after="0"/>
              <w:jc w:val="center"/>
              <w:rPr>
                <w:b/>
                <w:szCs w:val="21"/>
              </w:rPr>
            </w:pPr>
            <w:r>
              <w:rPr>
                <w:b/>
                <w:szCs w:val="21"/>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51" w:type="dxa"/>
            <w:vAlign w:val="center"/>
          </w:tcPr>
          <w:p>
            <w:pPr>
              <w:pStyle w:val="2"/>
              <w:spacing w:after="0"/>
              <w:jc w:val="center"/>
              <w:rPr>
                <w:szCs w:val="21"/>
              </w:rPr>
            </w:pPr>
            <w:r>
              <w:rPr>
                <w:szCs w:val="21"/>
              </w:rPr>
              <w:t>臭气浓度</w:t>
            </w:r>
          </w:p>
        </w:tc>
        <w:tc>
          <w:tcPr>
            <w:tcW w:w="4253" w:type="dxa"/>
            <w:vAlign w:val="center"/>
          </w:tcPr>
          <w:p>
            <w:pPr>
              <w:pStyle w:val="2"/>
              <w:spacing w:after="0"/>
              <w:jc w:val="center"/>
              <w:rPr>
                <w:szCs w:val="21"/>
              </w:rPr>
            </w:pPr>
            <w:r>
              <w:rPr>
                <w:rFonts w:hint="eastAsia"/>
                <w:szCs w:val="21"/>
              </w:rPr>
              <w:t>70</w:t>
            </w:r>
            <w:r>
              <w:rPr>
                <w:szCs w:val="21"/>
              </w:rPr>
              <w:t>（无量纲）</w:t>
            </w:r>
          </w:p>
        </w:tc>
      </w:tr>
    </w:tbl>
    <w:p>
      <w:pPr>
        <w:pStyle w:val="17"/>
        <w:spacing w:beforeLines="50"/>
        <w:rPr>
          <w:rFonts w:ascii="Times New Roman" w:hAnsi="Times New Roman" w:cs="Times New Roman"/>
          <w:color w:val="auto"/>
          <w:sz w:val="21"/>
        </w:rPr>
      </w:pPr>
      <w:r>
        <w:rPr>
          <w:rFonts w:ascii="Times New Roman" w:hAnsi="Times New Roman" w:cs="Times New Roman"/>
          <w:color w:val="auto"/>
          <w:sz w:val="21"/>
        </w:rPr>
        <w:t>表</w:t>
      </w:r>
      <w:r>
        <w:rPr>
          <w:rFonts w:hint="eastAsia" w:ascii="Times New Roman" w:hAnsi="Times New Roman" w:cs="Times New Roman"/>
          <w:color w:val="auto"/>
          <w:sz w:val="21"/>
        </w:rPr>
        <w:t xml:space="preserve">2.3-11  </w:t>
      </w:r>
      <w:r>
        <w:rPr>
          <w:rFonts w:ascii="Times New Roman" w:hAnsi="Times New Roman" w:cs="Times New Roman"/>
          <w:color w:val="auto"/>
          <w:sz w:val="21"/>
        </w:rPr>
        <w:t>《饮食业油烟排放标准》（GB18483-2001</w:t>
      </w:r>
      <w:r>
        <w:rPr>
          <w:rFonts w:hint="eastAsia" w:ascii="Times New Roman" w:hAnsi="Times New Roman" w:cs="Times New Roman"/>
          <w:color w:val="auto"/>
          <w:sz w:val="21"/>
        </w:rPr>
        <w:t>）</w:t>
      </w:r>
    </w:p>
    <w:tbl>
      <w:tblPr>
        <w:tblStyle w:val="4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65"/>
        <w:gridCol w:w="1769"/>
        <w:gridCol w:w="2497"/>
        <w:gridCol w:w="24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35" w:type="pct"/>
            <w:vAlign w:val="center"/>
          </w:tcPr>
          <w:p>
            <w:pPr>
              <w:pStyle w:val="5"/>
              <w:adjustRightInd w:val="0"/>
              <w:snapToGrid w:val="0"/>
              <w:spacing w:after="0"/>
              <w:ind w:firstLine="0" w:firstLineChars="0"/>
              <w:jc w:val="center"/>
              <w:rPr>
                <w:rFonts w:ascii="Times New Roman" w:hAnsi="Times New Roman" w:cs="Times New Roman"/>
                <w:b/>
                <w:szCs w:val="21"/>
              </w:rPr>
            </w:pPr>
            <w:r>
              <w:rPr>
                <w:rFonts w:ascii="Times New Roman" w:hAnsi="Times New Roman" w:cs="Times New Roman"/>
                <w:b/>
                <w:szCs w:val="21"/>
              </w:rPr>
              <w:t>规模</w:t>
            </w:r>
          </w:p>
        </w:tc>
        <w:tc>
          <w:tcPr>
            <w:tcW w:w="1037" w:type="pct"/>
            <w:vAlign w:val="center"/>
          </w:tcPr>
          <w:p>
            <w:pPr>
              <w:pStyle w:val="5"/>
              <w:adjustRightInd w:val="0"/>
              <w:snapToGrid w:val="0"/>
              <w:spacing w:after="0"/>
              <w:ind w:firstLine="0" w:firstLineChars="0"/>
              <w:jc w:val="center"/>
              <w:rPr>
                <w:rFonts w:ascii="Times New Roman" w:hAnsi="Times New Roman" w:cs="Times New Roman"/>
                <w:b/>
                <w:szCs w:val="21"/>
              </w:rPr>
            </w:pPr>
            <w:r>
              <w:rPr>
                <w:rFonts w:ascii="Times New Roman" w:hAnsi="Times New Roman" w:cs="Times New Roman"/>
                <w:b/>
                <w:szCs w:val="21"/>
              </w:rPr>
              <w:t>小型</w:t>
            </w:r>
          </w:p>
        </w:tc>
        <w:tc>
          <w:tcPr>
            <w:tcW w:w="1464" w:type="pct"/>
            <w:vAlign w:val="center"/>
          </w:tcPr>
          <w:p>
            <w:pPr>
              <w:pStyle w:val="5"/>
              <w:adjustRightInd w:val="0"/>
              <w:snapToGrid w:val="0"/>
              <w:spacing w:after="0"/>
              <w:ind w:firstLine="0" w:firstLineChars="0"/>
              <w:jc w:val="center"/>
              <w:rPr>
                <w:rFonts w:ascii="Times New Roman" w:hAnsi="Times New Roman" w:cs="Times New Roman"/>
                <w:b/>
                <w:szCs w:val="21"/>
              </w:rPr>
            </w:pPr>
            <w:r>
              <w:rPr>
                <w:rFonts w:ascii="Times New Roman" w:hAnsi="Times New Roman" w:cs="Times New Roman"/>
                <w:b/>
                <w:szCs w:val="21"/>
              </w:rPr>
              <w:t>中型</w:t>
            </w:r>
          </w:p>
        </w:tc>
        <w:tc>
          <w:tcPr>
            <w:tcW w:w="1464" w:type="pct"/>
            <w:vAlign w:val="center"/>
          </w:tcPr>
          <w:p>
            <w:pPr>
              <w:pStyle w:val="5"/>
              <w:adjustRightInd w:val="0"/>
              <w:snapToGrid w:val="0"/>
              <w:spacing w:after="0"/>
              <w:ind w:firstLine="0" w:firstLineChars="0"/>
              <w:jc w:val="center"/>
              <w:rPr>
                <w:rFonts w:ascii="Times New Roman" w:hAnsi="Times New Roman" w:cs="Times New Roman"/>
                <w:b/>
                <w:szCs w:val="21"/>
              </w:rPr>
            </w:pPr>
            <w:r>
              <w:rPr>
                <w:rFonts w:ascii="Times New Roman" w:hAnsi="Times New Roman" w:cs="Times New Roman"/>
                <w:b/>
                <w:szCs w:val="21"/>
              </w:rPr>
              <w:t>大型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35" w:type="pct"/>
            <w:vAlign w:val="center"/>
          </w:tcPr>
          <w:p>
            <w:pPr>
              <w:pStyle w:val="5"/>
              <w:adjustRightInd w:val="0"/>
              <w:snapToGrid w:val="0"/>
              <w:spacing w:after="0"/>
              <w:ind w:firstLine="0" w:firstLineChars="0"/>
              <w:jc w:val="center"/>
              <w:rPr>
                <w:rFonts w:ascii="Times New Roman" w:hAnsi="Times New Roman" w:cs="Times New Roman"/>
                <w:szCs w:val="21"/>
              </w:rPr>
            </w:pPr>
            <w:r>
              <w:rPr>
                <w:rFonts w:ascii="Times New Roman" w:hAnsi="Times New Roman" w:cs="Times New Roman"/>
                <w:szCs w:val="21"/>
              </w:rPr>
              <w:t>基准灶头数</w:t>
            </w:r>
          </w:p>
        </w:tc>
        <w:tc>
          <w:tcPr>
            <w:tcW w:w="1037" w:type="pct"/>
            <w:vAlign w:val="center"/>
          </w:tcPr>
          <w:p>
            <w:pPr>
              <w:pStyle w:val="5"/>
              <w:adjustRightInd w:val="0"/>
              <w:snapToGrid w:val="0"/>
              <w:spacing w:after="0"/>
              <w:ind w:firstLine="0" w:firstLineChars="0"/>
              <w:jc w:val="center"/>
              <w:rPr>
                <w:rFonts w:ascii="Times New Roman" w:hAnsi="Times New Roman" w:cs="Times New Roman"/>
                <w:szCs w:val="21"/>
              </w:rPr>
            </w:pPr>
            <w:r>
              <w:rPr>
                <w:rFonts w:ascii="Times New Roman" w:hAnsi="Times New Roman" w:cs="Times New Roman"/>
                <w:szCs w:val="21"/>
              </w:rPr>
              <w:t>≥</w:t>
            </w:r>
            <w:r>
              <w:rPr>
                <w:rFonts w:hint="eastAsia" w:ascii="Times New Roman" w:hAnsi="Times New Roman" w:cs="Times New Roman"/>
                <w:szCs w:val="21"/>
              </w:rPr>
              <w:t>1，＜3</w:t>
            </w:r>
          </w:p>
        </w:tc>
        <w:tc>
          <w:tcPr>
            <w:tcW w:w="1464" w:type="pct"/>
            <w:vAlign w:val="center"/>
          </w:tcPr>
          <w:p>
            <w:pPr>
              <w:pStyle w:val="5"/>
              <w:adjustRightInd w:val="0"/>
              <w:snapToGrid w:val="0"/>
              <w:spacing w:after="0"/>
              <w:ind w:firstLine="0" w:firstLineChars="0"/>
              <w:jc w:val="center"/>
              <w:rPr>
                <w:rFonts w:ascii="Times New Roman" w:hAnsi="Times New Roman" w:cs="Times New Roman"/>
                <w:szCs w:val="21"/>
              </w:rPr>
            </w:pPr>
            <w:r>
              <w:rPr>
                <w:rFonts w:ascii="Times New Roman" w:hAnsi="Times New Roman" w:cs="Times New Roman"/>
                <w:szCs w:val="21"/>
              </w:rPr>
              <w:t>≥</w:t>
            </w:r>
            <w:r>
              <w:rPr>
                <w:rFonts w:hint="eastAsia" w:ascii="Times New Roman" w:hAnsi="Times New Roman" w:cs="Times New Roman"/>
                <w:szCs w:val="21"/>
              </w:rPr>
              <w:t>3，＜6</w:t>
            </w:r>
          </w:p>
        </w:tc>
        <w:tc>
          <w:tcPr>
            <w:tcW w:w="1464" w:type="pct"/>
            <w:vAlign w:val="center"/>
          </w:tcPr>
          <w:p>
            <w:pPr>
              <w:pStyle w:val="5"/>
              <w:adjustRightInd w:val="0"/>
              <w:snapToGrid w:val="0"/>
              <w:spacing w:after="0"/>
              <w:ind w:firstLine="0" w:firstLineChars="0"/>
              <w:jc w:val="center"/>
              <w:rPr>
                <w:rFonts w:ascii="Times New Roman" w:hAnsi="Times New Roman" w:cs="Times New Roman"/>
                <w:szCs w:val="21"/>
              </w:rPr>
            </w:pPr>
            <w:r>
              <w:rPr>
                <w:rFonts w:ascii="Times New Roman" w:hAnsi="Times New Roman" w:cs="Times New Roman"/>
                <w:szCs w:val="21"/>
              </w:rPr>
              <w:t>≥</w:t>
            </w:r>
            <w:r>
              <w:rPr>
                <w:rFonts w:hint="eastAsia" w:ascii="Times New Roman" w:hAnsi="Times New Roman" w:cs="Times New Roman"/>
                <w:szCs w:val="21"/>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35" w:type="pct"/>
            <w:vAlign w:val="center"/>
          </w:tcPr>
          <w:p>
            <w:pPr>
              <w:pStyle w:val="5"/>
              <w:adjustRightInd w:val="0"/>
              <w:snapToGrid w:val="0"/>
              <w:spacing w:after="0"/>
              <w:ind w:firstLine="0" w:firstLineChars="0"/>
              <w:jc w:val="center"/>
              <w:rPr>
                <w:rFonts w:ascii="Times New Roman" w:hAnsi="Times New Roman" w:cs="Times New Roman"/>
                <w:szCs w:val="21"/>
              </w:rPr>
            </w:pPr>
            <w:r>
              <w:rPr>
                <w:rFonts w:ascii="Times New Roman" w:hAnsi="Times New Roman" w:cs="Times New Roman"/>
                <w:szCs w:val="21"/>
              </w:rPr>
              <w:t>最高允许排放浓度（</w:t>
            </w:r>
            <w:r>
              <w:rPr>
                <w:rFonts w:hint="eastAsia" w:ascii="Times New Roman" w:hAnsi="Times New Roman" w:cs="Times New Roman"/>
                <w:szCs w:val="21"/>
              </w:rPr>
              <w:t>mg/m</w:t>
            </w:r>
            <w:r>
              <w:rPr>
                <w:rFonts w:hint="eastAsia" w:ascii="Times New Roman" w:hAnsi="Times New Roman" w:cs="Times New Roman"/>
                <w:szCs w:val="21"/>
                <w:vertAlign w:val="superscript"/>
              </w:rPr>
              <w:t>3</w:t>
            </w:r>
            <w:r>
              <w:rPr>
                <w:rFonts w:ascii="Times New Roman" w:hAnsi="Times New Roman" w:cs="Times New Roman"/>
                <w:szCs w:val="21"/>
              </w:rPr>
              <w:t>）</w:t>
            </w:r>
          </w:p>
        </w:tc>
        <w:tc>
          <w:tcPr>
            <w:tcW w:w="3965" w:type="pct"/>
            <w:gridSpan w:val="3"/>
            <w:vAlign w:val="center"/>
          </w:tcPr>
          <w:p>
            <w:pPr>
              <w:pStyle w:val="5"/>
              <w:adjustRightInd w:val="0"/>
              <w:snapToGrid w:val="0"/>
              <w:spacing w:after="0"/>
              <w:ind w:firstLine="0" w:firstLineChars="0"/>
              <w:jc w:val="center"/>
              <w:rPr>
                <w:rFonts w:ascii="Times New Roman" w:hAnsi="Times New Roman" w:cs="Times New Roman"/>
                <w:b/>
                <w:szCs w:val="21"/>
              </w:rPr>
            </w:pPr>
            <w:r>
              <w:rPr>
                <w:rFonts w:hint="eastAsia" w:ascii="Times New Roman" w:hAnsi="Times New Roman" w:cs="Times New Roman"/>
                <w:b/>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35" w:type="pct"/>
            <w:vAlign w:val="center"/>
          </w:tcPr>
          <w:p>
            <w:pPr>
              <w:pStyle w:val="5"/>
              <w:adjustRightInd w:val="0"/>
              <w:snapToGrid w:val="0"/>
              <w:spacing w:after="0"/>
              <w:ind w:firstLine="0" w:firstLineChars="0"/>
              <w:jc w:val="center"/>
              <w:rPr>
                <w:rFonts w:ascii="Times New Roman" w:hAnsi="Times New Roman" w:cs="Times New Roman"/>
                <w:szCs w:val="21"/>
              </w:rPr>
            </w:pPr>
            <w:r>
              <w:rPr>
                <w:rFonts w:ascii="Times New Roman" w:hAnsi="Times New Roman" w:cs="Times New Roman"/>
                <w:szCs w:val="21"/>
              </w:rPr>
              <w:t>净化设施最低去除效率（%）</w:t>
            </w:r>
          </w:p>
        </w:tc>
        <w:tc>
          <w:tcPr>
            <w:tcW w:w="1037" w:type="pct"/>
            <w:vAlign w:val="center"/>
          </w:tcPr>
          <w:p>
            <w:pPr>
              <w:pStyle w:val="5"/>
              <w:adjustRightInd w:val="0"/>
              <w:snapToGrid w:val="0"/>
              <w:spacing w:after="0"/>
              <w:ind w:firstLine="0" w:firstLineChars="0"/>
              <w:jc w:val="center"/>
              <w:rPr>
                <w:rFonts w:ascii="Times New Roman" w:hAnsi="Times New Roman" w:cs="Times New Roman"/>
                <w:b/>
                <w:szCs w:val="21"/>
              </w:rPr>
            </w:pPr>
            <w:r>
              <w:rPr>
                <w:rFonts w:hint="eastAsia" w:ascii="Times New Roman" w:hAnsi="Times New Roman" w:cs="Times New Roman"/>
                <w:b/>
                <w:szCs w:val="21"/>
              </w:rPr>
              <w:t>60</w:t>
            </w:r>
          </w:p>
        </w:tc>
        <w:tc>
          <w:tcPr>
            <w:tcW w:w="1464" w:type="pct"/>
            <w:vAlign w:val="center"/>
          </w:tcPr>
          <w:p>
            <w:pPr>
              <w:pStyle w:val="5"/>
              <w:adjustRightInd w:val="0"/>
              <w:snapToGrid w:val="0"/>
              <w:spacing w:after="0"/>
              <w:ind w:firstLine="0" w:firstLineChars="0"/>
              <w:jc w:val="center"/>
              <w:rPr>
                <w:rFonts w:ascii="Times New Roman" w:hAnsi="Times New Roman" w:cs="Times New Roman"/>
                <w:szCs w:val="21"/>
              </w:rPr>
            </w:pPr>
            <w:r>
              <w:rPr>
                <w:rFonts w:hint="eastAsia" w:ascii="Times New Roman" w:hAnsi="Times New Roman" w:cs="Times New Roman"/>
                <w:szCs w:val="21"/>
              </w:rPr>
              <w:t>75</w:t>
            </w:r>
          </w:p>
        </w:tc>
        <w:tc>
          <w:tcPr>
            <w:tcW w:w="1464" w:type="pct"/>
            <w:vAlign w:val="center"/>
          </w:tcPr>
          <w:p>
            <w:pPr>
              <w:pStyle w:val="5"/>
              <w:adjustRightInd w:val="0"/>
              <w:snapToGrid w:val="0"/>
              <w:spacing w:after="0"/>
              <w:ind w:firstLine="0" w:firstLineChars="0"/>
              <w:jc w:val="center"/>
              <w:rPr>
                <w:rFonts w:ascii="Times New Roman" w:hAnsi="Times New Roman" w:cs="Times New Roman"/>
                <w:szCs w:val="21"/>
              </w:rPr>
            </w:pPr>
            <w:r>
              <w:rPr>
                <w:rFonts w:hint="eastAsia" w:ascii="Times New Roman" w:hAnsi="Times New Roman" w:cs="Times New Roman"/>
                <w:szCs w:val="21"/>
              </w:rPr>
              <w:t>85</w:t>
            </w:r>
          </w:p>
        </w:tc>
      </w:tr>
    </w:tbl>
    <w:p>
      <w:pPr>
        <w:pStyle w:val="17"/>
        <w:spacing w:beforeLines="50"/>
        <w:rPr>
          <w:rFonts w:ascii="Times New Roman" w:hAnsi="Times New Roman" w:cs="Times New Roman"/>
          <w:color w:val="auto"/>
          <w:sz w:val="21"/>
        </w:rPr>
      </w:pPr>
      <w:r>
        <w:rPr>
          <w:rFonts w:ascii="Times New Roman" w:hAnsi="Times New Roman" w:cs="Times New Roman"/>
          <w:color w:val="auto"/>
          <w:sz w:val="21"/>
        </w:rPr>
        <w:t>表</w:t>
      </w:r>
      <w:r>
        <w:rPr>
          <w:rFonts w:hint="eastAsia" w:ascii="Times New Roman" w:hAnsi="Times New Roman" w:cs="Times New Roman"/>
          <w:color w:val="auto"/>
          <w:sz w:val="21"/>
        </w:rPr>
        <w:t>2.3-12</w:t>
      </w:r>
      <w:r>
        <w:rPr>
          <w:rFonts w:ascii="Times New Roman" w:hAnsi="Times New Roman" w:cs="Times New Roman"/>
          <w:color w:val="auto"/>
          <w:sz w:val="21"/>
        </w:rPr>
        <w:t xml:space="preserve"> </w:t>
      </w:r>
      <w:r>
        <w:rPr>
          <w:rFonts w:hint="eastAsia" w:ascii="Times New Roman" w:hAnsi="Times New Roman" w:cs="Times New Roman"/>
          <w:color w:val="auto"/>
          <w:sz w:val="21"/>
        </w:rPr>
        <w:t xml:space="preserve"> </w:t>
      </w:r>
      <w:r>
        <w:rPr>
          <w:rFonts w:ascii="Times New Roman" w:hAnsi="Times New Roman" w:cs="Times New Roman"/>
          <w:color w:val="auto"/>
          <w:sz w:val="21"/>
        </w:rPr>
        <w:t>大气污染物综合排放标准</w:t>
      </w:r>
    </w:p>
    <w:tbl>
      <w:tblPr>
        <w:tblStyle w:val="4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35"/>
        <w:gridCol w:w="1545"/>
        <w:gridCol w:w="1247"/>
        <w:gridCol w:w="1411"/>
        <w:gridCol w:w="1532"/>
        <w:gridCol w:w="17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607" w:type="pct"/>
            <w:vMerge w:val="restart"/>
            <w:vAlign w:val="center"/>
          </w:tcPr>
          <w:p>
            <w:pPr>
              <w:jc w:val="center"/>
              <w:rPr>
                <w:b/>
                <w:szCs w:val="21"/>
              </w:rPr>
            </w:pPr>
            <w:r>
              <w:rPr>
                <w:b/>
                <w:szCs w:val="21"/>
              </w:rPr>
              <w:t>污染物</w:t>
            </w:r>
          </w:p>
        </w:tc>
        <w:tc>
          <w:tcPr>
            <w:tcW w:w="906" w:type="pct"/>
            <w:vMerge w:val="restart"/>
            <w:vAlign w:val="center"/>
          </w:tcPr>
          <w:p>
            <w:pPr>
              <w:jc w:val="center"/>
              <w:rPr>
                <w:b/>
                <w:szCs w:val="21"/>
              </w:rPr>
            </w:pPr>
            <w:r>
              <w:rPr>
                <w:b/>
                <w:szCs w:val="21"/>
              </w:rPr>
              <w:t>最高允许排放浓度（mg/m</w:t>
            </w:r>
            <w:r>
              <w:rPr>
                <w:b/>
                <w:szCs w:val="21"/>
                <w:vertAlign w:val="superscript"/>
              </w:rPr>
              <w:t>3</w:t>
            </w:r>
            <w:r>
              <w:rPr>
                <w:b/>
                <w:szCs w:val="21"/>
              </w:rPr>
              <w:t>）</w:t>
            </w:r>
          </w:p>
        </w:tc>
        <w:tc>
          <w:tcPr>
            <w:tcW w:w="1558" w:type="pct"/>
            <w:gridSpan w:val="2"/>
            <w:vAlign w:val="center"/>
          </w:tcPr>
          <w:p>
            <w:pPr>
              <w:jc w:val="center"/>
              <w:rPr>
                <w:b/>
                <w:szCs w:val="21"/>
              </w:rPr>
            </w:pPr>
            <w:r>
              <w:rPr>
                <w:b/>
                <w:szCs w:val="21"/>
              </w:rPr>
              <w:t>污染物排放标准值</w:t>
            </w:r>
          </w:p>
        </w:tc>
        <w:tc>
          <w:tcPr>
            <w:tcW w:w="1929" w:type="pct"/>
            <w:gridSpan w:val="2"/>
            <w:vAlign w:val="center"/>
          </w:tcPr>
          <w:p>
            <w:pPr>
              <w:jc w:val="center"/>
              <w:rPr>
                <w:b/>
                <w:szCs w:val="21"/>
              </w:rPr>
            </w:pPr>
            <w:r>
              <w:rPr>
                <w:b/>
                <w:szCs w:val="21"/>
              </w:rPr>
              <w:t>无组织排放监控浓度限值（mg/m</w:t>
            </w:r>
            <w:r>
              <w:rPr>
                <w:b/>
                <w:szCs w:val="21"/>
                <w:vertAlign w:val="superscript"/>
              </w:rPr>
              <w:t>3</w:t>
            </w:r>
            <w:r>
              <w:rPr>
                <w:b/>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7" w:type="pct"/>
            <w:vMerge w:val="continue"/>
            <w:vAlign w:val="center"/>
          </w:tcPr>
          <w:p>
            <w:pPr>
              <w:jc w:val="center"/>
              <w:rPr>
                <w:szCs w:val="21"/>
              </w:rPr>
            </w:pPr>
          </w:p>
        </w:tc>
        <w:tc>
          <w:tcPr>
            <w:tcW w:w="906" w:type="pct"/>
            <w:vMerge w:val="continue"/>
            <w:vAlign w:val="center"/>
          </w:tcPr>
          <w:p>
            <w:pPr>
              <w:jc w:val="center"/>
              <w:rPr>
                <w:szCs w:val="21"/>
              </w:rPr>
            </w:pPr>
          </w:p>
        </w:tc>
        <w:tc>
          <w:tcPr>
            <w:tcW w:w="731" w:type="pct"/>
            <w:vAlign w:val="center"/>
          </w:tcPr>
          <w:p>
            <w:pPr>
              <w:jc w:val="center"/>
              <w:rPr>
                <w:b/>
                <w:szCs w:val="21"/>
              </w:rPr>
            </w:pPr>
            <w:r>
              <w:rPr>
                <w:b/>
                <w:szCs w:val="21"/>
              </w:rPr>
              <w:t>排放高度（</w:t>
            </w:r>
            <w:r>
              <w:rPr>
                <w:rFonts w:hint="eastAsia"/>
                <w:b/>
                <w:szCs w:val="21"/>
              </w:rPr>
              <w:t>m</w:t>
            </w:r>
            <w:r>
              <w:rPr>
                <w:b/>
                <w:szCs w:val="21"/>
              </w:rPr>
              <w:t>）</w:t>
            </w:r>
          </w:p>
        </w:tc>
        <w:tc>
          <w:tcPr>
            <w:tcW w:w="826" w:type="pct"/>
            <w:vAlign w:val="center"/>
          </w:tcPr>
          <w:p>
            <w:pPr>
              <w:jc w:val="center"/>
              <w:rPr>
                <w:b/>
                <w:szCs w:val="21"/>
              </w:rPr>
            </w:pPr>
            <w:r>
              <w:rPr>
                <w:b/>
                <w:szCs w:val="21"/>
              </w:rPr>
              <w:t>排放量（</w:t>
            </w:r>
            <w:r>
              <w:rPr>
                <w:rFonts w:hint="eastAsia"/>
                <w:b/>
                <w:szCs w:val="21"/>
              </w:rPr>
              <w:t>kg/h</w:t>
            </w:r>
            <w:r>
              <w:rPr>
                <w:b/>
                <w:szCs w:val="21"/>
              </w:rPr>
              <w:t>）</w:t>
            </w:r>
          </w:p>
        </w:tc>
        <w:tc>
          <w:tcPr>
            <w:tcW w:w="898" w:type="pct"/>
            <w:vAlign w:val="center"/>
          </w:tcPr>
          <w:p>
            <w:pPr>
              <w:jc w:val="center"/>
              <w:rPr>
                <w:b/>
                <w:szCs w:val="21"/>
              </w:rPr>
            </w:pPr>
            <w:r>
              <w:rPr>
                <w:b/>
                <w:szCs w:val="21"/>
              </w:rPr>
              <w:t>监控点</w:t>
            </w:r>
          </w:p>
        </w:tc>
        <w:tc>
          <w:tcPr>
            <w:tcW w:w="1032" w:type="pct"/>
            <w:vAlign w:val="center"/>
          </w:tcPr>
          <w:p>
            <w:pPr>
              <w:jc w:val="center"/>
              <w:rPr>
                <w:b/>
                <w:szCs w:val="21"/>
              </w:rPr>
            </w:pPr>
            <w:r>
              <w:rPr>
                <w:b/>
                <w:szCs w:val="21"/>
              </w:rPr>
              <w:t>浓度（mg/m</w:t>
            </w:r>
            <w:r>
              <w:rPr>
                <w:b/>
                <w:szCs w:val="21"/>
                <w:vertAlign w:val="superscript"/>
              </w:rPr>
              <w:t>3</w:t>
            </w:r>
            <w:r>
              <w:rPr>
                <w:b/>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7" w:type="pct"/>
            <w:vAlign w:val="center"/>
          </w:tcPr>
          <w:p>
            <w:pPr>
              <w:jc w:val="center"/>
              <w:rPr>
                <w:szCs w:val="21"/>
              </w:rPr>
            </w:pPr>
            <w:r>
              <w:rPr>
                <w:szCs w:val="21"/>
              </w:rPr>
              <w:t>颗粒物</w:t>
            </w:r>
          </w:p>
        </w:tc>
        <w:tc>
          <w:tcPr>
            <w:tcW w:w="906" w:type="pct"/>
            <w:vAlign w:val="center"/>
          </w:tcPr>
          <w:p>
            <w:pPr>
              <w:jc w:val="center"/>
              <w:rPr>
                <w:szCs w:val="21"/>
              </w:rPr>
            </w:pPr>
            <w:r>
              <w:rPr>
                <w:rFonts w:hint="eastAsia"/>
                <w:szCs w:val="21"/>
              </w:rPr>
              <w:t>120</w:t>
            </w:r>
          </w:p>
        </w:tc>
        <w:tc>
          <w:tcPr>
            <w:tcW w:w="731" w:type="pct"/>
            <w:vAlign w:val="center"/>
          </w:tcPr>
          <w:p>
            <w:pPr>
              <w:jc w:val="center"/>
              <w:rPr>
                <w:szCs w:val="21"/>
              </w:rPr>
            </w:pPr>
            <w:r>
              <w:rPr>
                <w:rFonts w:hint="eastAsia"/>
                <w:szCs w:val="21"/>
              </w:rPr>
              <w:t>15</w:t>
            </w:r>
          </w:p>
        </w:tc>
        <w:tc>
          <w:tcPr>
            <w:tcW w:w="826" w:type="pct"/>
            <w:vAlign w:val="center"/>
          </w:tcPr>
          <w:p>
            <w:pPr>
              <w:jc w:val="center"/>
              <w:rPr>
                <w:szCs w:val="21"/>
              </w:rPr>
            </w:pPr>
            <w:r>
              <w:rPr>
                <w:rFonts w:hint="eastAsia"/>
                <w:szCs w:val="21"/>
              </w:rPr>
              <w:t>3.5</w:t>
            </w:r>
          </w:p>
        </w:tc>
        <w:tc>
          <w:tcPr>
            <w:tcW w:w="898" w:type="pct"/>
            <w:vAlign w:val="center"/>
          </w:tcPr>
          <w:p>
            <w:pPr>
              <w:jc w:val="center"/>
              <w:rPr>
                <w:szCs w:val="21"/>
              </w:rPr>
            </w:pPr>
            <w:r>
              <w:rPr>
                <w:rFonts w:hint="eastAsia"/>
                <w:szCs w:val="21"/>
              </w:rPr>
              <w:t>周界外浓度最高点</w:t>
            </w:r>
          </w:p>
        </w:tc>
        <w:tc>
          <w:tcPr>
            <w:tcW w:w="1032" w:type="pct"/>
            <w:vAlign w:val="center"/>
          </w:tcPr>
          <w:p>
            <w:pPr>
              <w:jc w:val="center"/>
              <w:rPr>
                <w:szCs w:val="21"/>
              </w:rPr>
            </w:pPr>
            <w:r>
              <w:rPr>
                <w:rFonts w:hint="eastAsia"/>
                <w:szCs w:val="21"/>
              </w:rPr>
              <w:t>1.0</w:t>
            </w:r>
          </w:p>
        </w:tc>
      </w:tr>
    </w:tbl>
    <w:p>
      <w:pPr>
        <w:pStyle w:val="5"/>
        <w:adjustRightInd w:val="0"/>
        <w:snapToGrid w:val="0"/>
        <w:spacing w:after="0" w:line="360" w:lineRule="auto"/>
        <w:ind w:firstLine="480" w:firstLineChars="200"/>
        <w:rPr>
          <w:rFonts w:ascii="Times New Roman" w:hAnsi="Times New Roman" w:cs="Times New Roman"/>
          <w:sz w:val="24"/>
        </w:rPr>
      </w:pPr>
      <w:r>
        <w:rPr>
          <w:rFonts w:ascii="Times New Roman" w:hAnsi="Times New Roman" w:cs="Times New Roman"/>
          <w:sz w:val="24"/>
        </w:rPr>
        <w:t>（2）废水</w:t>
      </w:r>
    </w:p>
    <w:p>
      <w:pPr>
        <w:pStyle w:val="5"/>
        <w:adjustRightInd w:val="0"/>
        <w:snapToGrid w:val="0"/>
        <w:spacing w:after="0" w:line="360" w:lineRule="auto"/>
        <w:ind w:firstLine="480" w:firstLineChars="200"/>
        <w:rPr>
          <w:rFonts w:ascii="Times New Roman" w:hAnsi="Times New Roman" w:cs="Times New Roman"/>
          <w:sz w:val="24"/>
        </w:rPr>
      </w:pPr>
      <w:r>
        <w:rPr>
          <w:rFonts w:hint="eastAsia" w:ascii="Times New Roman" w:hAnsi="Times New Roman" w:cs="Times New Roman"/>
          <w:sz w:val="24"/>
        </w:rPr>
        <w:t>本项目施工期的生产废水经沉淀池处理后回用，不外排；生活污水经化粪池处理后用于项目绿化用水，不外排。</w:t>
      </w:r>
    </w:p>
    <w:p>
      <w:pPr>
        <w:pStyle w:val="5"/>
        <w:adjustRightInd w:val="0"/>
        <w:snapToGrid w:val="0"/>
        <w:spacing w:after="0" w:line="360" w:lineRule="auto"/>
        <w:ind w:firstLine="480" w:firstLineChars="200"/>
        <w:rPr>
          <w:rFonts w:ascii="Times New Roman" w:hAnsi="Times New Roman" w:cs="Times New Roman"/>
          <w:sz w:val="24"/>
        </w:rPr>
      </w:pPr>
      <w:r>
        <w:rPr>
          <w:rFonts w:hint="eastAsia" w:ascii="Times New Roman" w:hAnsi="Times New Roman" w:cs="Times New Roman"/>
          <w:sz w:val="24"/>
        </w:rPr>
        <w:t>运营期养鸡场废水经污水处理站处理后用于种植基地灌溉，不外排</w:t>
      </w:r>
      <w:r>
        <w:rPr>
          <w:rFonts w:ascii="Times New Roman" w:hAnsi="Times New Roman" w:cs="Times New Roman"/>
          <w:sz w:val="24"/>
        </w:rPr>
        <w:t>。</w:t>
      </w:r>
    </w:p>
    <w:p>
      <w:pPr>
        <w:pStyle w:val="5"/>
        <w:adjustRightInd w:val="0"/>
        <w:snapToGrid w:val="0"/>
        <w:spacing w:after="0" w:line="360" w:lineRule="auto"/>
        <w:ind w:firstLine="480" w:firstLineChars="200"/>
        <w:rPr>
          <w:rFonts w:ascii="Times New Roman" w:hAnsi="Times New Roman" w:cs="Times New Roman"/>
          <w:sz w:val="24"/>
        </w:rPr>
      </w:pPr>
      <w:r>
        <w:rPr>
          <w:rFonts w:hint="eastAsia" w:ascii="Times New Roman" w:hAnsi="Times New Roman" w:cs="Times New Roman"/>
          <w:sz w:val="24"/>
        </w:rPr>
        <w:t>鸡舍冲洗废水排放量执行《畜禽养殖业污染物排放标准》（GB18596-2001）中表5规定标准。</w:t>
      </w:r>
      <w:r>
        <w:rPr>
          <w:rFonts w:ascii="Times New Roman" w:hAnsi="Times New Roman" w:cs="Times New Roman"/>
          <w:sz w:val="24"/>
        </w:rPr>
        <w:t>具体标准值见表2.3-1</w:t>
      </w:r>
      <w:r>
        <w:rPr>
          <w:rFonts w:hint="eastAsia" w:ascii="Times New Roman" w:hAnsi="Times New Roman" w:cs="Times New Roman"/>
          <w:sz w:val="24"/>
        </w:rPr>
        <w:t>3</w:t>
      </w:r>
      <w:r>
        <w:rPr>
          <w:rFonts w:ascii="Times New Roman" w:hAnsi="Times New Roman" w:cs="Times New Roman"/>
          <w:sz w:val="24"/>
        </w:rPr>
        <w:t>。</w:t>
      </w:r>
    </w:p>
    <w:p>
      <w:pPr>
        <w:adjustRightInd w:val="0"/>
        <w:snapToGrid w:val="0"/>
        <w:spacing w:beforeLines="50"/>
        <w:jc w:val="center"/>
        <w:rPr>
          <w:b/>
          <w:kern w:val="0"/>
          <w:szCs w:val="21"/>
        </w:rPr>
      </w:pPr>
      <w:r>
        <w:rPr>
          <w:b/>
          <w:kern w:val="0"/>
          <w:szCs w:val="21"/>
        </w:rPr>
        <w:t>表</w:t>
      </w:r>
      <w:r>
        <w:rPr>
          <w:rFonts w:hint="eastAsia"/>
          <w:b/>
          <w:kern w:val="0"/>
          <w:szCs w:val="21"/>
        </w:rPr>
        <w:t>2.3-13  集约化</w:t>
      </w:r>
      <w:r>
        <w:rPr>
          <w:b/>
          <w:kern w:val="0"/>
          <w:szCs w:val="21"/>
        </w:rPr>
        <w:t>畜禽养殖业干清粪工艺最高允许排水量</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78"/>
        <w:gridCol w:w="2028"/>
        <w:gridCol w:w="19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4" w:type="pct"/>
            <w:vAlign w:val="center"/>
          </w:tcPr>
          <w:p>
            <w:pPr>
              <w:pStyle w:val="210"/>
              <w:spacing w:line="240" w:lineRule="auto"/>
              <w:jc w:val="center"/>
              <w:rPr>
                <w:rFonts w:eastAsia="宋体"/>
                <w:b/>
                <w:sz w:val="21"/>
                <w:szCs w:val="21"/>
              </w:rPr>
            </w:pPr>
            <w:r>
              <w:rPr>
                <w:rFonts w:eastAsia="宋体"/>
                <w:b/>
                <w:sz w:val="21"/>
                <w:szCs w:val="21"/>
              </w:rPr>
              <w:t>种类</w:t>
            </w:r>
          </w:p>
        </w:tc>
        <w:tc>
          <w:tcPr>
            <w:tcW w:w="2316" w:type="pct"/>
            <w:gridSpan w:val="2"/>
            <w:vAlign w:val="center"/>
          </w:tcPr>
          <w:p>
            <w:pPr>
              <w:pStyle w:val="210"/>
              <w:spacing w:line="240" w:lineRule="auto"/>
              <w:jc w:val="center"/>
              <w:rPr>
                <w:rFonts w:eastAsia="宋体"/>
                <w:b/>
                <w:sz w:val="21"/>
                <w:szCs w:val="21"/>
              </w:rPr>
            </w:pPr>
            <w:r>
              <w:rPr>
                <w:rFonts w:eastAsia="宋体"/>
                <w:b/>
                <w:sz w:val="21"/>
                <w:szCs w:val="21"/>
              </w:rPr>
              <w:t>鸡（</w:t>
            </w:r>
            <w:r>
              <w:rPr>
                <w:rFonts w:hint="eastAsia" w:eastAsia="宋体"/>
                <w:b/>
                <w:sz w:val="21"/>
                <w:szCs w:val="21"/>
              </w:rPr>
              <w:t>m</w:t>
            </w:r>
            <w:r>
              <w:rPr>
                <w:rFonts w:hint="eastAsia" w:eastAsia="宋体"/>
                <w:b/>
                <w:sz w:val="21"/>
                <w:szCs w:val="21"/>
                <w:vertAlign w:val="superscript"/>
              </w:rPr>
              <w:t>3</w:t>
            </w:r>
            <w:r>
              <w:rPr>
                <w:rFonts w:hint="eastAsia" w:eastAsia="宋体"/>
                <w:b/>
                <w:sz w:val="21"/>
                <w:szCs w:val="21"/>
              </w:rPr>
              <w:t>/（百头</w:t>
            </w:r>
            <w:r>
              <w:rPr>
                <w:rFonts w:hint="eastAsia" w:ascii="宋体" w:hAnsi="宋体" w:eastAsia="宋体"/>
                <w:b/>
                <w:sz w:val="21"/>
                <w:szCs w:val="21"/>
              </w:rPr>
              <w:t>•</w:t>
            </w:r>
            <w:r>
              <w:rPr>
                <w:rFonts w:hint="eastAsia" w:eastAsia="宋体"/>
                <w:b/>
                <w:sz w:val="21"/>
                <w:szCs w:val="21"/>
              </w:rPr>
              <w:t>d）</w:t>
            </w:r>
            <w:r>
              <w:rPr>
                <w:rFonts w:eastAsia="宋体"/>
                <w:b/>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2684" w:type="pct"/>
            <w:vAlign w:val="center"/>
          </w:tcPr>
          <w:p>
            <w:pPr>
              <w:pStyle w:val="210"/>
              <w:spacing w:line="240" w:lineRule="auto"/>
              <w:jc w:val="center"/>
              <w:rPr>
                <w:rFonts w:eastAsia="宋体"/>
                <w:b/>
                <w:sz w:val="21"/>
                <w:szCs w:val="21"/>
              </w:rPr>
            </w:pPr>
            <w:r>
              <w:rPr>
                <w:rFonts w:hint="eastAsia" w:eastAsia="宋体"/>
                <w:b/>
                <w:sz w:val="21"/>
                <w:szCs w:val="21"/>
              </w:rPr>
              <w:t>季节</w:t>
            </w:r>
          </w:p>
        </w:tc>
        <w:tc>
          <w:tcPr>
            <w:tcW w:w="1189" w:type="pct"/>
            <w:vAlign w:val="center"/>
          </w:tcPr>
          <w:p>
            <w:pPr>
              <w:pStyle w:val="210"/>
              <w:spacing w:line="240" w:lineRule="auto"/>
              <w:jc w:val="center"/>
              <w:rPr>
                <w:rFonts w:eastAsia="宋体"/>
                <w:b/>
                <w:sz w:val="21"/>
                <w:szCs w:val="21"/>
              </w:rPr>
            </w:pPr>
            <w:r>
              <w:rPr>
                <w:rFonts w:eastAsia="宋体"/>
                <w:b/>
                <w:sz w:val="21"/>
                <w:szCs w:val="21"/>
              </w:rPr>
              <w:t>冬季</w:t>
            </w:r>
          </w:p>
        </w:tc>
        <w:tc>
          <w:tcPr>
            <w:tcW w:w="1127" w:type="pct"/>
            <w:vAlign w:val="center"/>
          </w:tcPr>
          <w:p>
            <w:pPr>
              <w:pStyle w:val="210"/>
              <w:spacing w:line="240" w:lineRule="auto"/>
              <w:jc w:val="center"/>
              <w:rPr>
                <w:rFonts w:eastAsia="宋体"/>
                <w:b/>
                <w:sz w:val="21"/>
                <w:szCs w:val="21"/>
              </w:rPr>
            </w:pPr>
            <w:r>
              <w:rPr>
                <w:rFonts w:eastAsia="宋体"/>
                <w:b/>
                <w:sz w:val="21"/>
                <w:szCs w:val="21"/>
              </w:rPr>
              <w:t>夏季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84" w:type="pct"/>
            <w:vAlign w:val="center"/>
          </w:tcPr>
          <w:p>
            <w:pPr>
              <w:pStyle w:val="210"/>
              <w:spacing w:line="240" w:lineRule="auto"/>
              <w:jc w:val="center"/>
              <w:rPr>
                <w:rFonts w:eastAsia="宋体"/>
                <w:sz w:val="21"/>
                <w:szCs w:val="21"/>
              </w:rPr>
            </w:pPr>
            <w:r>
              <w:rPr>
                <w:rFonts w:eastAsia="宋体"/>
                <w:sz w:val="21"/>
                <w:szCs w:val="21"/>
              </w:rPr>
              <w:t>标准值</w:t>
            </w:r>
          </w:p>
        </w:tc>
        <w:tc>
          <w:tcPr>
            <w:tcW w:w="1189" w:type="pct"/>
            <w:vAlign w:val="center"/>
          </w:tcPr>
          <w:p>
            <w:pPr>
              <w:pStyle w:val="210"/>
              <w:spacing w:line="240" w:lineRule="auto"/>
              <w:jc w:val="center"/>
              <w:rPr>
                <w:rFonts w:eastAsia="宋体"/>
                <w:sz w:val="21"/>
                <w:szCs w:val="21"/>
              </w:rPr>
            </w:pPr>
            <w:r>
              <w:rPr>
                <w:rFonts w:hint="eastAsia" w:eastAsia="宋体"/>
                <w:sz w:val="21"/>
                <w:szCs w:val="21"/>
              </w:rPr>
              <w:t>0.5</w:t>
            </w:r>
          </w:p>
        </w:tc>
        <w:tc>
          <w:tcPr>
            <w:tcW w:w="1127" w:type="pct"/>
            <w:vAlign w:val="center"/>
          </w:tcPr>
          <w:p>
            <w:pPr>
              <w:pStyle w:val="210"/>
              <w:spacing w:line="240" w:lineRule="auto"/>
              <w:jc w:val="center"/>
              <w:rPr>
                <w:rFonts w:eastAsia="宋体"/>
                <w:sz w:val="21"/>
                <w:szCs w:val="21"/>
              </w:rPr>
            </w:pPr>
            <w:r>
              <w:rPr>
                <w:rFonts w:hint="eastAsia" w:eastAsia="宋体"/>
                <w:sz w:val="21"/>
                <w:szCs w:val="21"/>
              </w:rPr>
              <w:t>0.7</w:t>
            </w:r>
          </w:p>
        </w:tc>
      </w:tr>
    </w:tbl>
    <w:p>
      <w:pPr>
        <w:pStyle w:val="5"/>
        <w:adjustRightInd w:val="0"/>
        <w:snapToGrid w:val="0"/>
        <w:spacing w:after="0" w:line="360" w:lineRule="auto"/>
        <w:ind w:firstLine="480" w:firstLineChars="200"/>
        <w:rPr>
          <w:rFonts w:ascii="Times New Roman" w:hAnsi="Times New Roman" w:cs="Times New Roman"/>
          <w:sz w:val="24"/>
        </w:rPr>
      </w:pPr>
      <w:r>
        <w:rPr>
          <w:rFonts w:ascii="Times New Roman" w:hAnsi="Times New Roman" w:cs="Times New Roman"/>
          <w:sz w:val="24"/>
        </w:rPr>
        <w:t>（3）噪声排放标准</w:t>
      </w:r>
    </w:p>
    <w:p>
      <w:pPr>
        <w:adjustRightInd w:val="0"/>
        <w:snapToGrid w:val="0"/>
        <w:spacing w:line="360" w:lineRule="auto"/>
        <w:ind w:firstLine="480" w:firstLineChars="200"/>
        <w:rPr>
          <w:sz w:val="24"/>
        </w:rPr>
      </w:pPr>
      <w:r>
        <w:rPr>
          <w:rFonts w:hint="eastAsia"/>
          <w:sz w:val="24"/>
        </w:rPr>
        <w:t>施工期在噪声排放</w:t>
      </w:r>
      <w:r>
        <w:rPr>
          <w:sz w:val="24"/>
        </w:rPr>
        <w:t>执行《建筑施工场界环境噪声排放标准》</w:t>
      </w:r>
      <w:r>
        <w:rPr>
          <w:rFonts w:hint="eastAsia"/>
          <w:sz w:val="24"/>
        </w:rPr>
        <w:t>（</w:t>
      </w:r>
      <w:r>
        <w:rPr>
          <w:sz w:val="24"/>
        </w:rPr>
        <w:t>GB12523-2011</w:t>
      </w:r>
      <w:r>
        <w:rPr>
          <w:rFonts w:hint="eastAsia"/>
          <w:sz w:val="24"/>
        </w:rPr>
        <w:t>）</w:t>
      </w:r>
      <w:r>
        <w:rPr>
          <w:sz w:val="24"/>
        </w:rPr>
        <w:t>，</w:t>
      </w:r>
      <w:r>
        <w:rPr>
          <w:rFonts w:hint="eastAsia"/>
          <w:sz w:val="24"/>
        </w:rPr>
        <w:t>具体标准值见表</w:t>
      </w:r>
      <w:r>
        <w:rPr>
          <w:sz w:val="24"/>
        </w:rPr>
        <w:t>2.</w:t>
      </w:r>
      <w:r>
        <w:rPr>
          <w:rFonts w:hint="eastAsia"/>
          <w:sz w:val="24"/>
        </w:rPr>
        <w:t>3-14；</w:t>
      </w:r>
      <w:r>
        <w:rPr>
          <w:sz w:val="24"/>
        </w:rPr>
        <w:t>运营期</w:t>
      </w:r>
      <w:r>
        <w:rPr>
          <w:rFonts w:hint="eastAsia"/>
          <w:sz w:val="24"/>
        </w:rPr>
        <w:t>厂界噪声</w:t>
      </w:r>
      <w:r>
        <w:rPr>
          <w:sz w:val="24"/>
        </w:rPr>
        <w:t>执行《工业企业厂界环境噪声排放标准》（GB12348-2008）中</w:t>
      </w:r>
      <w:r>
        <w:rPr>
          <w:rFonts w:hint="eastAsia"/>
          <w:sz w:val="24"/>
        </w:rPr>
        <w:t>2</w:t>
      </w:r>
      <w:r>
        <w:rPr>
          <w:sz w:val="24"/>
        </w:rPr>
        <w:t>类标准，</w:t>
      </w:r>
      <w:r>
        <w:rPr>
          <w:rFonts w:hint="eastAsia"/>
          <w:sz w:val="24"/>
        </w:rPr>
        <w:t>具体标准值见表</w:t>
      </w:r>
      <w:r>
        <w:rPr>
          <w:sz w:val="24"/>
        </w:rPr>
        <w:t>2.</w:t>
      </w:r>
      <w:r>
        <w:rPr>
          <w:rFonts w:hint="eastAsia"/>
          <w:sz w:val="24"/>
        </w:rPr>
        <w:t>3-15</w:t>
      </w:r>
      <w:r>
        <w:rPr>
          <w:sz w:val="24"/>
        </w:rPr>
        <w:t>。</w:t>
      </w:r>
    </w:p>
    <w:p>
      <w:pPr>
        <w:pStyle w:val="17"/>
        <w:spacing w:beforeLines="50"/>
        <w:rPr>
          <w:rFonts w:ascii="Times New Roman" w:hAnsi="Times New Roman" w:cs="Times New Roman"/>
          <w:color w:val="auto"/>
          <w:sz w:val="21"/>
        </w:rPr>
      </w:pPr>
      <w:r>
        <w:rPr>
          <w:rFonts w:ascii="Times New Roman" w:hAnsi="Times New Roman" w:cs="Times New Roman"/>
          <w:color w:val="auto"/>
          <w:sz w:val="21"/>
        </w:rPr>
        <w:t>表2.</w:t>
      </w:r>
      <w:r>
        <w:rPr>
          <w:rFonts w:hint="eastAsia" w:ascii="Times New Roman" w:hAnsi="Times New Roman" w:cs="Times New Roman"/>
          <w:color w:val="auto"/>
          <w:sz w:val="21"/>
        </w:rPr>
        <w:t>3</w:t>
      </w:r>
      <w:r>
        <w:rPr>
          <w:rFonts w:ascii="Times New Roman" w:hAnsi="Times New Roman" w:cs="Times New Roman"/>
          <w:color w:val="auto"/>
          <w:sz w:val="21"/>
        </w:rPr>
        <w:t>-1</w:t>
      </w:r>
      <w:r>
        <w:rPr>
          <w:rFonts w:hint="eastAsia" w:ascii="Times New Roman" w:hAnsi="Times New Roman" w:cs="Times New Roman"/>
          <w:color w:val="auto"/>
          <w:sz w:val="21"/>
        </w:rPr>
        <w:t xml:space="preserve">4  </w:t>
      </w:r>
      <w:r>
        <w:rPr>
          <w:rFonts w:ascii="Times New Roman" w:hAnsi="Times New Roman" w:cs="Times New Roman"/>
          <w:color w:val="auto"/>
          <w:sz w:val="21"/>
        </w:rPr>
        <w:t>《建筑施工场界环境噪声排放标准》</w:t>
      </w:r>
      <w:r>
        <w:rPr>
          <w:rFonts w:hint="eastAsia" w:ascii="Times New Roman" w:hAnsi="Times New Roman" w:cs="Times New Roman"/>
          <w:color w:val="auto"/>
          <w:sz w:val="21"/>
        </w:rPr>
        <w:t>（</w:t>
      </w:r>
      <w:r>
        <w:rPr>
          <w:rFonts w:ascii="Times New Roman" w:hAnsi="Times New Roman" w:cs="Times New Roman"/>
          <w:color w:val="auto"/>
          <w:sz w:val="21"/>
        </w:rPr>
        <w:t>GB12523-2011</w:t>
      </w:r>
      <w:r>
        <w:rPr>
          <w:rFonts w:hint="eastAsia" w:ascii="Times New Roman" w:hAnsi="Times New Roman" w:cs="Times New Roman"/>
          <w:color w:val="auto"/>
          <w:sz w:val="21"/>
        </w:rPr>
        <w:t xml:space="preserve">）  </w:t>
      </w:r>
      <w:r>
        <w:rPr>
          <w:rFonts w:ascii="Times New Roman" w:hAnsi="Times New Roman" w:cs="Times New Roman"/>
          <w:color w:val="auto"/>
          <w:sz w:val="21"/>
        </w:rPr>
        <w:t>单位dB（A）</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77"/>
        <w:gridCol w:w="41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6" w:type="pct"/>
            <w:vAlign w:val="center"/>
          </w:tcPr>
          <w:p>
            <w:pPr>
              <w:pStyle w:val="210"/>
              <w:spacing w:line="240" w:lineRule="auto"/>
              <w:jc w:val="center"/>
              <w:rPr>
                <w:rFonts w:eastAsia="宋体"/>
                <w:b/>
                <w:sz w:val="21"/>
                <w:szCs w:val="21"/>
              </w:rPr>
            </w:pPr>
            <w:r>
              <w:rPr>
                <w:rFonts w:eastAsia="宋体"/>
                <w:b/>
                <w:sz w:val="21"/>
                <w:szCs w:val="21"/>
              </w:rPr>
              <w:t>昼间</w:t>
            </w:r>
          </w:p>
        </w:tc>
        <w:tc>
          <w:tcPr>
            <w:tcW w:w="2434" w:type="pct"/>
            <w:vAlign w:val="center"/>
          </w:tcPr>
          <w:p>
            <w:pPr>
              <w:pStyle w:val="210"/>
              <w:spacing w:line="240" w:lineRule="auto"/>
              <w:jc w:val="center"/>
              <w:rPr>
                <w:rFonts w:eastAsia="宋体"/>
                <w:b/>
                <w:sz w:val="21"/>
                <w:szCs w:val="21"/>
              </w:rPr>
            </w:pPr>
            <w:r>
              <w:rPr>
                <w:rFonts w:eastAsia="宋体"/>
                <w:b/>
                <w:sz w:val="21"/>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66" w:type="pct"/>
            <w:vAlign w:val="center"/>
          </w:tcPr>
          <w:p>
            <w:pPr>
              <w:pStyle w:val="210"/>
              <w:spacing w:line="240" w:lineRule="auto"/>
              <w:jc w:val="center"/>
              <w:rPr>
                <w:rFonts w:eastAsia="宋体"/>
                <w:sz w:val="21"/>
                <w:szCs w:val="21"/>
              </w:rPr>
            </w:pPr>
            <w:r>
              <w:rPr>
                <w:rFonts w:hint="eastAsia" w:eastAsia="宋体"/>
                <w:sz w:val="21"/>
                <w:szCs w:val="21"/>
              </w:rPr>
              <w:t>70</w:t>
            </w:r>
          </w:p>
        </w:tc>
        <w:tc>
          <w:tcPr>
            <w:tcW w:w="2434" w:type="pct"/>
            <w:vAlign w:val="center"/>
          </w:tcPr>
          <w:p>
            <w:pPr>
              <w:pStyle w:val="210"/>
              <w:spacing w:line="240" w:lineRule="auto"/>
              <w:jc w:val="center"/>
              <w:rPr>
                <w:rFonts w:eastAsia="宋体"/>
                <w:sz w:val="21"/>
                <w:szCs w:val="21"/>
              </w:rPr>
            </w:pPr>
            <w:r>
              <w:rPr>
                <w:rFonts w:hint="eastAsia" w:eastAsia="宋体"/>
                <w:sz w:val="21"/>
                <w:szCs w:val="21"/>
              </w:rPr>
              <w:t>55</w:t>
            </w:r>
          </w:p>
        </w:tc>
      </w:tr>
    </w:tbl>
    <w:p>
      <w:pPr>
        <w:pStyle w:val="17"/>
        <w:spacing w:beforeLines="50"/>
        <w:rPr>
          <w:rFonts w:ascii="Times New Roman" w:hAnsi="Times New Roman" w:cs="Times New Roman"/>
          <w:color w:val="auto"/>
          <w:sz w:val="21"/>
        </w:rPr>
      </w:pPr>
      <w:r>
        <w:rPr>
          <w:rFonts w:ascii="Times New Roman" w:hAnsi="Times New Roman" w:cs="Times New Roman"/>
          <w:color w:val="auto"/>
          <w:sz w:val="21"/>
        </w:rPr>
        <w:t>表2.</w:t>
      </w:r>
      <w:r>
        <w:rPr>
          <w:rFonts w:hint="eastAsia" w:ascii="Times New Roman" w:hAnsi="Times New Roman" w:cs="Times New Roman"/>
          <w:color w:val="auto"/>
          <w:sz w:val="21"/>
        </w:rPr>
        <w:t>3</w:t>
      </w:r>
      <w:r>
        <w:rPr>
          <w:rFonts w:ascii="Times New Roman" w:hAnsi="Times New Roman" w:cs="Times New Roman"/>
          <w:color w:val="auto"/>
          <w:sz w:val="21"/>
        </w:rPr>
        <w:t>-1</w:t>
      </w:r>
      <w:r>
        <w:rPr>
          <w:rFonts w:hint="eastAsia" w:ascii="Times New Roman" w:hAnsi="Times New Roman" w:cs="Times New Roman"/>
          <w:color w:val="auto"/>
          <w:sz w:val="21"/>
        </w:rPr>
        <w:t xml:space="preserve">5  </w:t>
      </w:r>
      <w:r>
        <w:rPr>
          <w:rFonts w:ascii="Times New Roman" w:hAnsi="Times New Roman" w:cs="Times New Roman"/>
          <w:color w:val="auto"/>
          <w:sz w:val="21"/>
        </w:rPr>
        <w:t>《工业企业厂界环境噪声排放标准》（GB 12348-2008）</w:t>
      </w:r>
      <w:r>
        <w:rPr>
          <w:rFonts w:hint="eastAsia" w:ascii="Times New Roman" w:hAnsi="Times New Roman" w:cs="Times New Roman"/>
          <w:color w:val="auto"/>
          <w:sz w:val="21"/>
        </w:rPr>
        <w:t xml:space="preserve">  </w:t>
      </w:r>
      <w:r>
        <w:rPr>
          <w:rFonts w:ascii="Times New Roman" w:hAnsi="Times New Roman" w:cs="Times New Roman"/>
          <w:color w:val="auto"/>
          <w:sz w:val="21"/>
        </w:rPr>
        <w:t>单位dB（A）</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643"/>
        <w:gridCol w:w="3159"/>
        <w:gridCol w:w="1399"/>
        <w:gridCol w:w="13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0" w:type="pct"/>
            <w:vMerge w:val="restart"/>
            <w:vAlign w:val="center"/>
          </w:tcPr>
          <w:p>
            <w:pPr>
              <w:pStyle w:val="210"/>
              <w:spacing w:line="240" w:lineRule="auto"/>
              <w:jc w:val="center"/>
              <w:rPr>
                <w:rFonts w:eastAsia="宋体"/>
                <w:b/>
                <w:sz w:val="21"/>
                <w:szCs w:val="21"/>
              </w:rPr>
            </w:pPr>
            <w:r>
              <w:rPr>
                <w:rFonts w:eastAsia="宋体"/>
                <w:b/>
                <w:sz w:val="21"/>
                <w:szCs w:val="21"/>
              </w:rPr>
              <w:t>厂界外声环境功能区类别</w:t>
            </w:r>
          </w:p>
        </w:tc>
        <w:tc>
          <w:tcPr>
            <w:tcW w:w="1852" w:type="pct"/>
            <w:vMerge w:val="restart"/>
            <w:vAlign w:val="center"/>
          </w:tcPr>
          <w:p>
            <w:pPr>
              <w:pStyle w:val="210"/>
              <w:spacing w:line="240" w:lineRule="auto"/>
              <w:jc w:val="center"/>
              <w:rPr>
                <w:rFonts w:eastAsia="宋体"/>
                <w:b/>
                <w:sz w:val="21"/>
                <w:szCs w:val="21"/>
              </w:rPr>
            </w:pPr>
            <w:r>
              <w:rPr>
                <w:rFonts w:eastAsia="宋体"/>
                <w:b/>
                <w:sz w:val="21"/>
                <w:szCs w:val="21"/>
              </w:rPr>
              <w:t>执行标准和级别</w:t>
            </w:r>
          </w:p>
        </w:tc>
        <w:tc>
          <w:tcPr>
            <w:tcW w:w="1598" w:type="pct"/>
            <w:gridSpan w:val="2"/>
            <w:vAlign w:val="center"/>
          </w:tcPr>
          <w:p>
            <w:pPr>
              <w:pStyle w:val="210"/>
              <w:spacing w:line="240" w:lineRule="auto"/>
              <w:jc w:val="center"/>
              <w:rPr>
                <w:rFonts w:eastAsia="宋体"/>
                <w:b/>
                <w:sz w:val="21"/>
                <w:szCs w:val="21"/>
              </w:rPr>
            </w:pPr>
            <w:r>
              <w:rPr>
                <w:rFonts w:eastAsia="宋体"/>
                <w:b/>
                <w:sz w:val="21"/>
                <w:szCs w:val="21"/>
              </w:rPr>
              <w:t>标准值dB(A)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0" w:type="pct"/>
            <w:vMerge w:val="continue"/>
            <w:vAlign w:val="center"/>
          </w:tcPr>
          <w:p>
            <w:pPr>
              <w:pStyle w:val="210"/>
              <w:spacing w:line="240" w:lineRule="auto"/>
              <w:jc w:val="center"/>
              <w:rPr>
                <w:rFonts w:eastAsia="宋体"/>
                <w:b/>
                <w:sz w:val="21"/>
                <w:szCs w:val="21"/>
              </w:rPr>
            </w:pPr>
          </w:p>
        </w:tc>
        <w:tc>
          <w:tcPr>
            <w:tcW w:w="1852" w:type="pct"/>
            <w:vMerge w:val="continue"/>
            <w:vAlign w:val="center"/>
          </w:tcPr>
          <w:p>
            <w:pPr>
              <w:pStyle w:val="210"/>
              <w:spacing w:line="240" w:lineRule="auto"/>
              <w:jc w:val="center"/>
              <w:rPr>
                <w:rFonts w:eastAsia="宋体"/>
                <w:b/>
                <w:sz w:val="21"/>
                <w:szCs w:val="21"/>
              </w:rPr>
            </w:pPr>
          </w:p>
        </w:tc>
        <w:tc>
          <w:tcPr>
            <w:tcW w:w="820" w:type="pct"/>
            <w:vAlign w:val="center"/>
          </w:tcPr>
          <w:p>
            <w:pPr>
              <w:pStyle w:val="210"/>
              <w:spacing w:line="240" w:lineRule="auto"/>
              <w:jc w:val="center"/>
              <w:rPr>
                <w:rFonts w:eastAsia="宋体"/>
                <w:b/>
                <w:sz w:val="21"/>
                <w:szCs w:val="21"/>
              </w:rPr>
            </w:pPr>
            <w:r>
              <w:rPr>
                <w:rFonts w:eastAsia="宋体"/>
                <w:b/>
                <w:sz w:val="21"/>
                <w:szCs w:val="21"/>
              </w:rPr>
              <w:t>昼间</w:t>
            </w:r>
          </w:p>
        </w:tc>
        <w:tc>
          <w:tcPr>
            <w:tcW w:w="778" w:type="pct"/>
            <w:vAlign w:val="center"/>
          </w:tcPr>
          <w:p>
            <w:pPr>
              <w:pStyle w:val="210"/>
              <w:spacing w:line="240" w:lineRule="auto"/>
              <w:jc w:val="center"/>
              <w:rPr>
                <w:rFonts w:eastAsia="宋体"/>
                <w:b/>
                <w:sz w:val="21"/>
                <w:szCs w:val="21"/>
              </w:rPr>
            </w:pPr>
            <w:r>
              <w:rPr>
                <w:rFonts w:eastAsia="宋体"/>
                <w:b/>
                <w:sz w:val="21"/>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50" w:type="pct"/>
            <w:vAlign w:val="center"/>
          </w:tcPr>
          <w:p>
            <w:pPr>
              <w:pStyle w:val="210"/>
              <w:spacing w:line="240" w:lineRule="auto"/>
              <w:jc w:val="center"/>
              <w:rPr>
                <w:rFonts w:eastAsia="宋体"/>
                <w:sz w:val="21"/>
                <w:szCs w:val="21"/>
              </w:rPr>
            </w:pPr>
            <w:r>
              <w:rPr>
                <w:rFonts w:hint="eastAsia" w:eastAsia="宋体"/>
                <w:sz w:val="21"/>
                <w:szCs w:val="21"/>
              </w:rPr>
              <w:t>2</w:t>
            </w:r>
            <w:r>
              <w:rPr>
                <w:rFonts w:eastAsia="宋体"/>
                <w:sz w:val="21"/>
                <w:szCs w:val="21"/>
              </w:rPr>
              <w:t>类</w:t>
            </w:r>
          </w:p>
        </w:tc>
        <w:tc>
          <w:tcPr>
            <w:tcW w:w="1852" w:type="pct"/>
            <w:vAlign w:val="center"/>
          </w:tcPr>
          <w:p>
            <w:pPr>
              <w:pStyle w:val="210"/>
              <w:spacing w:line="240" w:lineRule="auto"/>
              <w:jc w:val="center"/>
              <w:rPr>
                <w:rFonts w:eastAsia="宋体"/>
                <w:sz w:val="21"/>
                <w:szCs w:val="21"/>
              </w:rPr>
            </w:pPr>
            <w:r>
              <w:rPr>
                <w:rFonts w:eastAsia="宋体"/>
                <w:sz w:val="21"/>
                <w:szCs w:val="21"/>
              </w:rPr>
              <w:t>GB12348-2008中</w:t>
            </w:r>
            <w:r>
              <w:rPr>
                <w:rFonts w:hint="eastAsia" w:eastAsia="宋体"/>
                <w:sz w:val="21"/>
                <w:szCs w:val="21"/>
              </w:rPr>
              <w:t>2</w:t>
            </w:r>
            <w:r>
              <w:rPr>
                <w:rFonts w:eastAsia="宋体"/>
                <w:sz w:val="21"/>
                <w:szCs w:val="21"/>
              </w:rPr>
              <w:t>类标准</w:t>
            </w:r>
          </w:p>
        </w:tc>
        <w:tc>
          <w:tcPr>
            <w:tcW w:w="820" w:type="pct"/>
            <w:vAlign w:val="center"/>
          </w:tcPr>
          <w:p>
            <w:pPr>
              <w:pStyle w:val="210"/>
              <w:spacing w:line="240" w:lineRule="auto"/>
              <w:jc w:val="center"/>
              <w:rPr>
                <w:rFonts w:eastAsia="宋体"/>
                <w:sz w:val="21"/>
                <w:szCs w:val="21"/>
              </w:rPr>
            </w:pPr>
            <w:r>
              <w:rPr>
                <w:rFonts w:hint="eastAsia" w:eastAsia="宋体"/>
                <w:sz w:val="21"/>
                <w:szCs w:val="21"/>
              </w:rPr>
              <w:t>60</w:t>
            </w:r>
          </w:p>
        </w:tc>
        <w:tc>
          <w:tcPr>
            <w:tcW w:w="778" w:type="pct"/>
            <w:vAlign w:val="center"/>
          </w:tcPr>
          <w:p>
            <w:pPr>
              <w:pStyle w:val="210"/>
              <w:spacing w:line="240" w:lineRule="auto"/>
              <w:jc w:val="center"/>
              <w:rPr>
                <w:rFonts w:eastAsia="宋体"/>
                <w:sz w:val="21"/>
                <w:szCs w:val="21"/>
              </w:rPr>
            </w:pPr>
            <w:r>
              <w:rPr>
                <w:rFonts w:eastAsia="宋体"/>
                <w:sz w:val="21"/>
                <w:szCs w:val="21"/>
              </w:rPr>
              <w:t>5</w:t>
            </w:r>
            <w:r>
              <w:rPr>
                <w:rFonts w:hint="eastAsia" w:eastAsia="宋体"/>
                <w:sz w:val="21"/>
                <w:szCs w:val="21"/>
              </w:rPr>
              <w:t>0</w:t>
            </w:r>
          </w:p>
        </w:tc>
      </w:tr>
    </w:tbl>
    <w:p>
      <w:pPr>
        <w:adjustRightInd w:val="0"/>
        <w:snapToGrid w:val="0"/>
        <w:spacing w:line="360" w:lineRule="auto"/>
        <w:ind w:firstLine="480" w:firstLineChars="200"/>
        <w:rPr>
          <w:bCs/>
          <w:sz w:val="24"/>
        </w:rPr>
      </w:pPr>
      <w:bookmarkStart w:id="133" w:name="_Toc448849764"/>
      <w:r>
        <w:rPr>
          <w:bCs/>
          <w:sz w:val="24"/>
        </w:rPr>
        <w:t>（4）固体废弃物</w:t>
      </w:r>
    </w:p>
    <w:p>
      <w:pPr>
        <w:adjustRightInd w:val="0"/>
        <w:snapToGrid w:val="0"/>
        <w:spacing w:line="360" w:lineRule="auto"/>
        <w:ind w:firstLine="480" w:firstLineChars="200"/>
        <w:rPr>
          <w:rFonts w:hAnsi="宋体"/>
          <w:sz w:val="24"/>
        </w:rPr>
      </w:pPr>
      <w:r>
        <w:rPr>
          <w:rFonts w:hint="eastAsia" w:hAnsi="宋体"/>
          <w:sz w:val="24"/>
        </w:rPr>
        <w:t>蛋鸡养殖基地固废无害化标准执行《畜禽养殖业污染物排放标准》（GB18596-2001）中表6标准；粪便处理执行《粪便无害化卫生标准》（GB7959-20</w:t>
      </w:r>
      <w:r>
        <w:rPr>
          <w:rFonts w:hint="eastAsia" w:hAnsi="宋体"/>
          <w:sz w:val="24"/>
          <w:lang w:val="en-US" w:eastAsia="zh-CN"/>
        </w:rPr>
        <w:t>12</w:t>
      </w:r>
      <w:r>
        <w:rPr>
          <w:rFonts w:hint="eastAsia" w:hAnsi="宋体"/>
          <w:sz w:val="24"/>
        </w:rPr>
        <w:t>）；生活垃圾处置标准执行《生活垃圾填埋场污染控制标准》（GB16889-2008）；一般固废执行</w:t>
      </w:r>
      <w:r>
        <w:rPr>
          <w:sz w:val="24"/>
        </w:rPr>
        <w:t>一般工业固体废物贮存和填埋污染控制标准》（GB 18599-2020）</w:t>
      </w:r>
      <w:r>
        <w:rPr>
          <w:rFonts w:hint="eastAsia" w:hAnsi="宋体"/>
          <w:sz w:val="24"/>
        </w:rPr>
        <w:t>；废弃兽药及防疫防病医疗废物等危险废物执行</w:t>
      </w:r>
      <w:r>
        <w:rPr>
          <w:rFonts w:hint="eastAsia"/>
          <w:sz w:val="24"/>
        </w:rPr>
        <w:t>《危险废物贮存污染控制标准》（</w:t>
      </w:r>
      <w:r>
        <w:rPr>
          <w:sz w:val="24"/>
        </w:rPr>
        <w:t>18957-20</w:t>
      </w:r>
      <w:r>
        <w:rPr>
          <w:rFonts w:hint="eastAsia"/>
          <w:sz w:val="24"/>
        </w:rPr>
        <w:t>23）标准中相关要求</w:t>
      </w:r>
      <w:r>
        <w:rPr>
          <w:rFonts w:hint="eastAsia" w:hAnsi="宋体"/>
          <w:sz w:val="24"/>
        </w:rPr>
        <w:t>；病死鸡的处理与处置按《畜禽养殖业污染防治技术规范》（HJ/T81-2001）</w:t>
      </w:r>
      <w:r>
        <w:rPr>
          <w:rFonts w:hint="eastAsia"/>
          <w:sz w:val="24"/>
        </w:rPr>
        <w:t>及《病害动物和病害动物产品生物安全处理规程》（</w:t>
      </w:r>
      <w:r>
        <w:rPr>
          <w:sz w:val="24"/>
        </w:rPr>
        <w:t>GB16548-2006</w:t>
      </w:r>
      <w:r>
        <w:rPr>
          <w:rFonts w:hint="eastAsia"/>
          <w:sz w:val="24"/>
        </w:rPr>
        <w:t>）</w:t>
      </w:r>
      <w:r>
        <w:rPr>
          <w:rFonts w:hint="eastAsia" w:hAnsi="宋体"/>
          <w:sz w:val="24"/>
        </w:rPr>
        <w:t>规定执行</w:t>
      </w:r>
    </w:p>
    <w:p>
      <w:pPr>
        <w:pStyle w:val="6"/>
        <w:numPr>
          <w:ilvl w:val="0"/>
          <w:numId w:val="0"/>
        </w:numPr>
        <w:adjustRightInd w:val="0"/>
        <w:snapToGrid w:val="0"/>
        <w:spacing w:before="0" w:after="0" w:line="360" w:lineRule="auto"/>
        <w:rPr>
          <w:rFonts w:ascii="Times New Roman" w:hAnsi="Times New Roman" w:eastAsia="宋体"/>
          <w:szCs w:val="30"/>
        </w:rPr>
      </w:pPr>
      <w:bookmarkStart w:id="134" w:name="_Toc517522254"/>
      <w:bookmarkStart w:id="135" w:name="_Toc22600"/>
      <w:bookmarkStart w:id="136" w:name="_Toc6903"/>
      <w:bookmarkStart w:id="137" w:name="_Toc18440"/>
      <w:bookmarkStart w:id="138" w:name="_Toc9122"/>
      <w:bookmarkStart w:id="139" w:name="_Toc123886399"/>
      <w:bookmarkStart w:id="140" w:name="_Toc31470"/>
      <w:bookmarkStart w:id="141" w:name="_Toc24695"/>
      <w:r>
        <w:rPr>
          <w:rFonts w:ascii="Times New Roman" w:hAnsi="Times New Roman" w:eastAsia="宋体"/>
          <w:szCs w:val="30"/>
        </w:rPr>
        <w:t>2.</w:t>
      </w:r>
      <w:r>
        <w:rPr>
          <w:rFonts w:hint="eastAsia" w:ascii="Times New Roman" w:hAnsi="Times New Roman" w:eastAsia="宋体"/>
          <w:szCs w:val="30"/>
        </w:rPr>
        <w:t xml:space="preserve">4 </w:t>
      </w:r>
      <w:r>
        <w:rPr>
          <w:rFonts w:ascii="Times New Roman" w:hAnsi="Times New Roman" w:eastAsia="宋体"/>
          <w:szCs w:val="30"/>
        </w:rPr>
        <w:t>评价工作等级</w:t>
      </w:r>
      <w:bookmarkEnd w:id="133"/>
      <w:bookmarkEnd w:id="134"/>
      <w:bookmarkEnd w:id="135"/>
      <w:bookmarkEnd w:id="136"/>
      <w:bookmarkEnd w:id="137"/>
      <w:bookmarkEnd w:id="138"/>
      <w:bookmarkEnd w:id="139"/>
      <w:bookmarkEnd w:id="140"/>
      <w:bookmarkEnd w:id="141"/>
    </w:p>
    <w:p>
      <w:pPr>
        <w:pStyle w:val="7"/>
        <w:adjustRightInd w:val="0"/>
        <w:snapToGrid w:val="0"/>
        <w:spacing w:before="0" w:after="0" w:line="360" w:lineRule="auto"/>
        <w:jc w:val="left"/>
        <w:rPr>
          <w:sz w:val="24"/>
          <w:szCs w:val="24"/>
        </w:rPr>
      </w:pPr>
      <w:r>
        <w:rPr>
          <w:sz w:val="24"/>
          <w:szCs w:val="24"/>
        </w:rPr>
        <w:t>2.</w:t>
      </w:r>
      <w:r>
        <w:rPr>
          <w:rFonts w:hint="eastAsia"/>
          <w:sz w:val="24"/>
          <w:szCs w:val="24"/>
        </w:rPr>
        <w:t>4</w:t>
      </w:r>
      <w:r>
        <w:rPr>
          <w:sz w:val="24"/>
          <w:szCs w:val="24"/>
        </w:rPr>
        <w:t>.</w:t>
      </w:r>
      <w:r>
        <w:rPr>
          <w:rFonts w:hint="eastAsia"/>
          <w:sz w:val="24"/>
          <w:szCs w:val="24"/>
        </w:rPr>
        <w:t xml:space="preserve">1 </w:t>
      </w:r>
      <w:r>
        <w:rPr>
          <w:sz w:val="24"/>
          <w:szCs w:val="24"/>
        </w:rPr>
        <w:t>大气环境影响评价等级</w:t>
      </w:r>
    </w:p>
    <w:p>
      <w:pPr>
        <w:autoSpaceDE w:val="0"/>
        <w:autoSpaceDN w:val="0"/>
        <w:adjustRightInd w:val="0"/>
        <w:spacing w:line="360" w:lineRule="auto"/>
        <w:ind w:firstLine="480" w:firstLineChars="200"/>
        <w:rPr>
          <w:sz w:val="24"/>
        </w:rPr>
      </w:pPr>
      <w:r>
        <w:rPr>
          <w:rFonts w:hint="eastAsia"/>
          <w:sz w:val="24"/>
        </w:rPr>
        <w:t>根据《环境影响评价技术导则  大气环境》（</w:t>
      </w:r>
      <w:r>
        <w:rPr>
          <w:sz w:val="24"/>
        </w:rPr>
        <w:t>HJ2.2-20</w:t>
      </w:r>
      <w:r>
        <w:rPr>
          <w:rFonts w:hint="eastAsia"/>
          <w:sz w:val="24"/>
        </w:rPr>
        <w:t>1</w:t>
      </w:r>
      <w:r>
        <w:rPr>
          <w:sz w:val="24"/>
        </w:rPr>
        <w:t>8</w:t>
      </w:r>
      <w:r>
        <w:rPr>
          <w:rFonts w:hint="eastAsia"/>
          <w:sz w:val="24"/>
        </w:rPr>
        <w:t>）中的大气环境评价工作分级的划分原则，结合项目的初步工程分析结果，选取NH</w:t>
      </w:r>
      <w:r>
        <w:rPr>
          <w:rFonts w:hint="eastAsia"/>
          <w:sz w:val="24"/>
          <w:vertAlign w:val="subscript"/>
        </w:rPr>
        <w:t>3</w:t>
      </w:r>
      <w:r>
        <w:rPr>
          <w:rFonts w:hint="eastAsia"/>
          <w:sz w:val="24"/>
        </w:rPr>
        <w:t>、H</w:t>
      </w:r>
      <w:r>
        <w:rPr>
          <w:rFonts w:hint="eastAsia"/>
          <w:sz w:val="24"/>
          <w:vertAlign w:val="subscript"/>
        </w:rPr>
        <w:t>2</w:t>
      </w:r>
      <w:r>
        <w:rPr>
          <w:rFonts w:hint="eastAsia"/>
          <w:sz w:val="24"/>
        </w:rPr>
        <w:t>S作为大气预测计算因子，分别</w:t>
      </w:r>
      <w:r>
        <w:rPr>
          <w:rFonts w:hint="eastAsia" w:cs="宋体"/>
          <w:sz w:val="24"/>
        </w:rPr>
        <w:t>计算每一种污染物最大地面浓度占标率</w:t>
      </w:r>
      <w:r>
        <w:rPr>
          <w:sz w:val="24"/>
        </w:rPr>
        <w:t>Pi</w:t>
      </w:r>
      <w:r>
        <w:rPr>
          <w:rFonts w:hint="eastAsia" w:cs="宋体"/>
          <w:sz w:val="24"/>
        </w:rPr>
        <w:t>（第</w:t>
      </w:r>
      <w:r>
        <w:rPr>
          <w:sz w:val="24"/>
        </w:rPr>
        <w:t>i</w:t>
      </w:r>
      <w:r>
        <w:rPr>
          <w:rFonts w:hint="eastAsia" w:cs="宋体"/>
          <w:sz w:val="24"/>
        </w:rPr>
        <w:t>个污染物）及地面浓度达标准限值</w:t>
      </w:r>
      <w:r>
        <w:rPr>
          <w:sz w:val="24"/>
        </w:rPr>
        <w:t>10%</w:t>
      </w:r>
      <w:r>
        <w:rPr>
          <w:rFonts w:hint="eastAsia" w:cs="宋体"/>
          <w:sz w:val="24"/>
        </w:rPr>
        <w:t>时所对应的最远距离</w:t>
      </w:r>
      <w:r>
        <w:rPr>
          <w:sz w:val="24"/>
        </w:rPr>
        <w:t>D10%</w:t>
      </w:r>
      <w:r>
        <w:rPr>
          <w:rFonts w:hint="eastAsia" w:cs="宋体"/>
          <w:sz w:val="24"/>
        </w:rPr>
        <w:t>。其中</w:t>
      </w:r>
      <w:r>
        <w:rPr>
          <w:sz w:val="24"/>
        </w:rPr>
        <w:t>Pi</w:t>
      </w:r>
      <w:r>
        <w:rPr>
          <w:rFonts w:hint="eastAsia" w:cs="宋体"/>
          <w:sz w:val="24"/>
        </w:rPr>
        <w:t>定义为：</w:t>
      </w:r>
    </w:p>
    <w:p>
      <w:pPr>
        <w:snapToGrid w:val="0"/>
        <w:spacing w:line="360" w:lineRule="auto"/>
        <w:jc w:val="center"/>
        <w:rPr>
          <w:sz w:val="24"/>
          <w:lang w:val="zh-CN"/>
        </w:rPr>
      </w:pPr>
      <w:r>
        <w:rPr>
          <w:sz w:val="24"/>
          <w:lang w:val="zh-CN"/>
        </w:rPr>
        <w:t>P</w:t>
      </w:r>
      <w:r>
        <w:rPr>
          <w:sz w:val="24"/>
          <w:vertAlign w:val="subscript"/>
          <w:lang w:val="zh-CN"/>
        </w:rPr>
        <w:t>i</w:t>
      </w:r>
      <w:r>
        <w:rPr>
          <w:sz w:val="24"/>
          <w:lang w:val="zh-CN"/>
        </w:rPr>
        <w:t>=C</w:t>
      </w:r>
      <w:r>
        <w:rPr>
          <w:sz w:val="24"/>
          <w:vertAlign w:val="subscript"/>
          <w:lang w:val="zh-CN"/>
        </w:rPr>
        <w:t>i</w:t>
      </w:r>
      <w:r>
        <w:rPr>
          <w:sz w:val="24"/>
          <w:lang w:val="zh-CN"/>
        </w:rPr>
        <w:t>/C</w:t>
      </w:r>
      <w:r>
        <w:rPr>
          <w:sz w:val="24"/>
          <w:vertAlign w:val="subscript"/>
        </w:rPr>
        <w:t>0i</w:t>
      </w:r>
      <w:r>
        <w:rPr>
          <w:sz w:val="24"/>
          <w:lang w:val="zh-CN"/>
        </w:rPr>
        <w:t>×100%</w:t>
      </w:r>
    </w:p>
    <w:p>
      <w:pPr>
        <w:snapToGrid w:val="0"/>
        <w:spacing w:line="360" w:lineRule="auto"/>
        <w:ind w:firstLine="480" w:firstLineChars="200"/>
        <w:rPr>
          <w:sz w:val="24"/>
          <w:lang w:val="zh-CN"/>
        </w:rPr>
      </w:pPr>
      <w:r>
        <w:rPr>
          <w:sz w:val="24"/>
          <w:lang w:val="zh-CN"/>
        </w:rPr>
        <w:t>P</w:t>
      </w:r>
      <w:r>
        <w:rPr>
          <w:sz w:val="24"/>
          <w:vertAlign w:val="subscript"/>
          <w:lang w:val="zh-CN"/>
        </w:rPr>
        <w:t>i</w:t>
      </w:r>
      <w:r>
        <w:rPr>
          <w:sz w:val="24"/>
          <w:lang w:val="zh-CN"/>
        </w:rPr>
        <w:t>—第i类污染物的最大地面</w:t>
      </w:r>
      <w:r>
        <w:rPr>
          <w:rFonts w:hint="eastAsia"/>
          <w:sz w:val="24"/>
          <w:lang w:val="zh-CN"/>
        </w:rPr>
        <w:t>空气质量</w:t>
      </w:r>
      <w:r>
        <w:rPr>
          <w:sz w:val="24"/>
          <w:lang w:val="zh-CN"/>
        </w:rPr>
        <w:t>浓度占标率，%；</w:t>
      </w:r>
    </w:p>
    <w:p>
      <w:pPr>
        <w:snapToGrid w:val="0"/>
        <w:spacing w:line="360" w:lineRule="auto"/>
        <w:ind w:firstLine="480" w:firstLineChars="200"/>
        <w:rPr>
          <w:sz w:val="24"/>
          <w:lang w:val="zh-CN"/>
        </w:rPr>
      </w:pPr>
      <w:r>
        <w:rPr>
          <w:sz w:val="24"/>
          <w:lang w:val="zh-CN"/>
        </w:rPr>
        <w:t>C</w:t>
      </w:r>
      <w:r>
        <w:rPr>
          <w:sz w:val="24"/>
          <w:vertAlign w:val="subscript"/>
          <w:lang w:val="zh-CN"/>
        </w:rPr>
        <w:t>i</w:t>
      </w:r>
      <w:r>
        <w:rPr>
          <w:sz w:val="24"/>
          <w:lang w:val="zh-CN"/>
        </w:rPr>
        <w:t>—采用估算模型计算出的第i个污染物的最大1h地面空气质量浓度，μg/m</w:t>
      </w:r>
      <w:r>
        <w:rPr>
          <w:sz w:val="24"/>
          <w:vertAlign w:val="superscript"/>
          <w:lang w:val="zh-CN"/>
        </w:rPr>
        <w:t>3</w:t>
      </w:r>
      <w:r>
        <w:rPr>
          <w:sz w:val="24"/>
          <w:lang w:val="zh-CN"/>
        </w:rPr>
        <w:t>。</w:t>
      </w:r>
    </w:p>
    <w:p>
      <w:pPr>
        <w:snapToGrid w:val="0"/>
        <w:spacing w:line="360" w:lineRule="auto"/>
        <w:ind w:firstLine="480" w:firstLineChars="200"/>
        <w:rPr>
          <w:sz w:val="24"/>
          <w:lang w:val="zh-CN"/>
        </w:rPr>
      </w:pPr>
      <w:r>
        <w:rPr>
          <w:sz w:val="24"/>
          <w:lang w:val="zh-CN"/>
        </w:rPr>
        <w:t>C</w:t>
      </w:r>
      <w:r>
        <w:rPr>
          <w:sz w:val="24"/>
          <w:vertAlign w:val="subscript"/>
          <w:lang w:val="zh-CN"/>
        </w:rPr>
        <w:t>0i</w:t>
      </w:r>
      <w:r>
        <w:rPr>
          <w:sz w:val="24"/>
          <w:lang w:val="zh-CN"/>
        </w:rPr>
        <w:t>—第i个污染物空气质量浓度标准，μg/m</w:t>
      </w:r>
      <w:r>
        <w:rPr>
          <w:sz w:val="24"/>
          <w:vertAlign w:val="superscript"/>
          <w:lang w:val="zh-CN"/>
        </w:rPr>
        <w:t>3</w:t>
      </w:r>
      <w:r>
        <w:rPr>
          <w:sz w:val="24"/>
          <w:lang w:val="zh-CN"/>
        </w:rPr>
        <w:t>。</w:t>
      </w:r>
      <w:r>
        <w:rPr>
          <w:rFonts w:hint="eastAsia"/>
          <w:sz w:val="24"/>
          <w:lang w:val="zh-CN"/>
        </w:rPr>
        <w:t>一般选用</w:t>
      </w:r>
      <w:r>
        <w:rPr>
          <w:sz w:val="24"/>
          <w:lang w:val="zh-CN"/>
        </w:rPr>
        <w:t>GB3095</w:t>
      </w:r>
      <w:r>
        <w:rPr>
          <w:rFonts w:hint="eastAsia"/>
          <w:sz w:val="24"/>
          <w:lang w:val="zh-CN"/>
        </w:rPr>
        <w:t>中</w:t>
      </w:r>
      <w:r>
        <w:rPr>
          <w:sz w:val="24"/>
          <w:lang w:val="zh-CN"/>
        </w:rPr>
        <w:t>1h</w:t>
      </w:r>
      <w:r>
        <w:rPr>
          <w:rFonts w:hint="eastAsia"/>
          <w:sz w:val="24"/>
          <w:lang w:val="zh-CN"/>
        </w:rPr>
        <w:t>平均质量浓度的二级浓度限值，如项目位于一类环境空气功能区，应选择相应的一级浓度限值；对该标准中未包含的污染物，使用</w:t>
      </w:r>
      <w:r>
        <w:rPr>
          <w:sz w:val="24"/>
          <w:lang w:val="zh-CN"/>
        </w:rPr>
        <w:t>5.2</w:t>
      </w:r>
      <w:r>
        <w:rPr>
          <w:rFonts w:hint="eastAsia"/>
          <w:sz w:val="24"/>
          <w:lang w:val="zh-CN"/>
        </w:rPr>
        <w:t>确定的各评价因子</w:t>
      </w:r>
      <w:r>
        <w:rPr>
          <w:sz w:val="24"/>
          <w:lang w:val="zh-CN"/>
        </w:rPr>
        <w:t>1h</w:t>
      </w:r>
      <w:r>
        <w:rPr>
          <w:rFonts w:hint="eastAsia"/>
          <w:sz w:val="24"/>
          <w:lang w:val="zh-CN"/>
        </w:rPr>
        <w:t>平均质量浓度限值。对仅有</w:t>
      </w:r>
      <w:r>
        <w:rPr>
          <w:sz w:val="24"/>
          <w:lang w:val="zh-CN"/>
        </w:rPr>
        <w:t>8h</w:t>
      </w:r>
      <w:r>
        <w:rPr>
          <w:rFonts w:hint="eastAsia"/>
          <w:sz w:val="24"/>
          <w:lang w:val="zh-CN"/>
        </w:rPr>
        <w:t>平均质量浓度限值、日平均质量浓度限值或年平均质量浓度限值的，可分别按</w:t>
      </w:r>
      <w:r>
        <w:rPr>
          <w:sz w:val="24"/>
          <w:lang w:val="zh-CN"/>
        </w:rPr>
        <w:t>2</w:t>
      </w:r>
      <w:r>
        <w:rPr>
          <w:rFonts w:hint="eastAsia"/>
          <w:sz w:val="24"/>
          <w:lang w:val="zh-CN"/>
        </w:rPr>
        <w:t>倍、</w:t>
      </w:r>
      <w:r>
        <w:rPr>
          <w:sz w:val="24"/>
          <w:lang w:val="zh-CN"/>
        </w:rPr>
        <w:t>3</w:t>
      </w:r>
      <w:r>
        <w:rPr>
          <w:rFonts w:hint="eastAsia"/>
          <w:sz w:val="24"/>
          <w:lang w:val="zh-CN"/>
        </w:rPr>
        <w:t>倍、</w:t>
      </w:r>
      <w:r>
        <w:rPr>
          <w:sz w:val="24"/>
          <w:lang w:val="zh-CN"/>
        </w:rPr>
        <w:t>6</w:t>
      </w:r>
      <w:r>
        <w:rPr>
          <w:rFonts w:hint="eastAsia"/>
          <w:sz w:val="24"/>
          <w:lang w:val="zh-CN"/>
        </w:rPr>
        <w:t>倍折算为</w:t>
      </w:r>
      <w:r>
        <w:rPr>
          <w:sz w:val="24"/>
          <w:lang w:val="zh-CN"/>
        </w:rPr>
        <w:t>1h</w:t>
      </w:r>
      <w:r>
        <w:rPr>
          <w:rFonts w:hint="eastAsia"/>
          <w:sz w:val="24"/>
          <w:lang w:val="zh-CN"/>
        </w:rPr>
        <w:t>平均质量浓度限值。</w:t>
      </w:r>
    </w:p>
    <w:p>
      <w:pPr>
        <w:snapToGrid w:val="0"/>
        <w:spacing w:line="360" w:lineRule="auto"/>
        <w:ind w:firstLine="480" w:firstLineChars="200"/>
        <w:rPr>
          <w:sz w:val="24"/>
          <w:lang w:val="zh-CN"/>
        </w:rPr>
      </w:pPr>
      <w:r>
        <w:rPr>
          <w:sz w:val="24"/>
          <w:lang w:val="zh-CN"/>
        </w:rPr>
        <w:t>根据《环境影响评价技术导则</w:t>
      </w:r>
      <w:r>
        <w:rPr>
          <w:rFonts w:hint="eastAsia"/>
          <w:sz w:val="24"/>
          <w:lang w:val="zh-CN"/>
        </w:rPr>
        <w:t xml:space="preserve">  </w:t>
      </w:r>
      <w:r>
        <w:rPr>
          <w:sz w:val="24"/>
          <w:lang w:val="zh-CN"/>
        </w:rPr>
        <w:t>大气环境》</w:t>
      </w:r>
      <w:r>
        <w:rPr>
          <w:rFonts w:hint="eastAsia"/>
          <w:sz w:val="24"/>
          <w:lang w:val="zh-CN"/>
        </w:rPr>
        <w:t>（</w:t>
      </w:r>
      <w:r>
        <w:rPr>
          <w:sz w:val="24"/>
          <w:lang w:val="zh-CN"/>
        </w:rPr>
        <w:t>HJ2.2-2018</w:t>
      </w:r>
      <w:r>
        <w:rPr>
          <w:rFonts w:hint="eastAsia"/>
          <w:sz w:val="24"/>
          <w:lang w:val="zh-CN"/>
        </w:rPr>
        <w:t>）</w:t>
      </w:r>
      <w:r>
        <w:rPr>
          <w:sz w:val="24"/>
          <w:lang w:val="zh-CN"/>
        </w:rPr>
        <w:t>，大气环境影响评价工作等级按表</w:t>
      </w:r>
      <w:r>
        <w:rPr>
          <w:rFonts w:hint="eastAsia"/>
          <w:sz w:val="24"/>
          <w:lang w:val="zh-CN"/>
        </w:rPr>
        <w:t>2.4-1</w:t>
      </w:r>
      <w:r>
        <w:rPr>
          <w:sz w:val="24"/>
          <w:lang w:val="zh-CN"/>
        </w:rPr>
        <w:t>的分级判据进行划分。</w:t>
      </w:r>
    </w:p>
    <w:p>
      <w:pPr>
        <w:pStyle w:val="263"/>
        <w:spacing w:beforeLines="50" w:line="240" w:lineRule="auto"/>
        <w:ind w:firstLine="0"/>
        <w:jc w:val="center"/>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rPr>
        <w:t>表</w:t>
      </w:r>
      <w:r>
        <w:rPr>
          <w:rFonts w:hint="eastAsia" w:ascii="Times New Roman" w:hAnsi="Times New Roman" w:cs="Times New Roman" w:eastAsiaTheme="majorEastAsia"/>
          <w:b/>
          <w:sz w:val="21"/>
          <w:szCs w:val="21"/>
        </w:rPr>
        <w:t xml:space="preserve">2.4-1  </w:t>
      </w:r>
      <w:r>
        <w:rPr>
          <w:rFonts w:ascii="Times New Roman" w:cs="Times New Roman" w:hAnsiTheme="majorEastAsia" w:eastAsiaTheme="majorEastAsia"/>
          <w:b/>
          <w:sz w:val="21"/>
          <w:szCs w:val="21"/>
        </w:rPr>
        <w:t>大气评价工作等级划分判据</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44"/>
        <w:gridCol w:w="57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1609" w:type="pct"/>
            <w:vAlign w:val="center"/>
          </w:tcPr>
          <w:p>
            <w:pPr>
              <w:pStyle w:val="245"/>
              <w:tabs>
                <w:tab w:val="left" w:pos="352"/>
              </w:tabs>
              <w:snapToGrid w:val="0"/>
              <w:spacing w:line="300" w:lineRule="exact"/>
              <w:jc w:val="center"/>
              <w:rPr>
                <w:rFonts w:ascii="Times New Roman" w:hAnsi="Times New Roman"/>
                <w:b/>
                <w:bCs w:val="0"/>
                <w:sz w:val="21"/>
                <w:szCs w:val="21"/>
              </w:rPr>
            </w:pPr>
            <w:r>
              <w:rPr>
                <w:rFonts w:ascii="Times New Roman" w:hAnsi="Times New Roman"/>
                <w:b/>
                <w:bCs w:val="0"/>
                <w:sz w:val="21"/>
                <w:szCs w:val="21"/>
              </w:rPr>
              <w:t>评价工作等级</w:t>
            </w:r>
          </w:p>
        </w:tc>
        <w:tc>
          <w:tcPr>
            <w:tcW w:w="3391" w:type="pct"/>
            <w:vAlign w:val="center"/>
          </w:tcPr>
          <w:p>
            <w:pPr>
              <w:pStyle w:val="245"/>
              <w:tabs>
                <w:tab w:val="left" w:pos="352"/>
              </w:tabs>
              <w:snapToGrid w:val="0"/>
              <w:spacing w:line="300" w:lineRule="exact"/>
              <w:jc w:val="center"/>
              <w:rPr>
                <w:rFonts w:ascii="Times New Roman" w:hAnsi="Times New Roman"/>
                <w:b/>
                <w:bCs w:val="0"/>
                <w:sz w:val="21"/>
                <w:szCs w:val="21"/>
              </w:rPr>
            </w:pPr>
            <w:r>
              <w:rPr>
                <w:rFonts w:ascii="Times New Roman" w:hAnsi="Times New Roman"/>
                <w:b/>
                <w:bCs w:val="0"/>
                <w:sz w:val="21"/>
                <w:szCs w:val="21"/>
              </w:rPr>
              <w:t>评价工作分级判据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1609" w:type="pct"/>
            <w:vAlign w:val="center"/>
          </w:tcPr>
          <w:p>
            <w:pPr>
              <w:pStyle w:val="245"/>
              <w:tabs>
                <w:tab w:val="left" w:pos="352"/>
              </w:tabs>
              <w:snapToGrid w:val="0"/>
              <w:spacing w:line="300" w:lineRule="exact"/>
              <w:jc w:val="center"/>
              <w:rPr>
                <w:rFonts w:ascii="Times New Roman" w:hAnsi="Times New Roman"/>
                <w:sz w:val="21"/>
                <w:szCs w:val="21"/>
              </w:rPr>
            </w:pPr>
            <w:r>
              <w:rPr>
                <w:rFonts w:ascii="Times New Roman" w:hAnsi="Times New Roman"/>
                <w:sz w:val="21"/>
                <w:szCs w:val="21"/>
              </w:rPr>
              <w:t>一级</w:t>
            </w:r>
          </w:p>
        </w:tc>
        <w:tc>
          <w:tcPr>
            <w:tcW w:w="3391" w:type="pct"/>
            <w:vAlign w:val="center"/>
          </w:tcPr>
          <w:p>
            <w:pPr>
              <w:pStyle w:val="245"/>
              <w:tabs>
                <w:tab w:val="left" w:pos="352"/>
              </w:tabs>
              <w:snapToGrid w:val="0"/>
              <w:spacing w:line="300" w:lineRule="exact"/>
              <w:jc w:val="center"/>
              <w:rPr>
                <w:rFonts w:ascii="Times New Roman" w:hAnsi="Times New Roman"/>
                <w:sz w:val="21"/>
                <w:szCs w:val="21"/>
              </w:rPr>
            </w:pPr>
            <w:r>
              <w:rPr>
                <w:rFonts w:ascii="Times New Roman" w:hAnsi="Times New Roman"/>
                <w:sz w:val="21"/>
                <w:szCs w:val="21"/>
              </w:rPr>
              <w:t>P</w:t>
            </w:r>
            <w:r>
              <w:rPr>
                <w:rFonts w:ascii="Times New Roman" w:hAnsi="Times New Roman"/>
                <w:sz w:val="21"/>
                <w:szCs w:val="21"/>
                <w:vertAlign w:val="subscript"/>
              </w:rPr>
              <w:t>max</w:t>
            </w:r>
            <w:r>
              <w:rPr>
                <w:rFonts w:ascii="Times New Roman" w:hAnsi="Times New Roman"/>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trPr>
        <w:tc>
          <w:tcPr>
            <w:tcW w:w="1609" w:type="pct"/>
            <w:vAlign w:val="center"/>
          </w:tcPr>
          <w:p>
            <w:pPr>
              <w:pStyle w:val="245"/>
              <w:tabs>
                <w:tab w:val="left" w:pos="352"/>
              </w:tabs>
              <w:snapToGrid w:val="0"/>
              <w:spacing w:line="300" w:lineRule="exact"/>
              <w:jc w:val="center"/>
              <w:rPr>
                <w:rFonts w:ascii="Times New Roman" w:hAnsi="Times New Roman"/>
                <w:sz w:val="21"/>
                <w:szCs w:val="21"/>
              </w:rPr>
            </w:pPr>
            <w:r>
              <w:rPr>
                <w:rFonts w:ascii="Times New Roman" w:hAnsi="Times New Roman"/>
                <w:sz w:val="21"/>
                <w:szCs w:val="21"/>
              </w:rPr>
              <w:t>二级</w:t>
            </w:r>
          </w:p>
        </w:tc>
        <w:tc>
          <w:tcPr>
            <w:tcW w:w="3391" w:type="pct"/>
            <w:vAlign w:val="center"/>
          </w:tcPr>
          <w:p>
            <w:pPr>
              <w:pStyle w:val="245"/>
              <w:tabs>
                <w:tab w:val="left" w:pos="352"/>
              </w:tabs>
              <w:snapToGrid w:val="0"/>
              <w:spacing w:line="300" w:lineRule="exact"/>
              <w:jc w:val="center"/>
              <w:rPr>
                <w:rFonts w:ascii="Times New Roman" w:hAnsi="Times New Roman"/>
                <w:sz w:val="21"/>
                <w:szCs w:val="21"/>
              </w:rPr>
            </w:pPr>
            <w:r>
              <w:rPr>
                <w:rFonts w:ascii="Times New Roman" w:hAnsi="Times New Roman"/>
                <w:sz w:val="21"/>
                <w:szCs w:val="21"/>
              </w:rPr>
              <w:t>1%≤P</w:t>
            </w:r>
            <w:r>
              <w:rPr>
                <w:rFonts w:ascii="Times New Roman" w:hAnsi="Times New Roman"/>
                <w:sz w:val="21"/>
                <w:szCs w:val="21"/>
                <w:vertAlign w:val="subscript"/>
              </w:rPr>
              <w:t>max</w:t>
            </w:r>
            <w:r>
              <w:rPr>
                <w:rFonts w:ascii="Times New Roman" w:hAnsi="Times New Roman"/>
                <w:sz w:val="21"/>
                <w:szCs w:val="21"/>
              </w:rPr>
              <w:t>&lt;10%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1609" w:type="pct"/>
            <w:vAlign w:val="center"/>
          </w:tcPr>
          <w:p>
            <w:pPr>
              <w:pStyle w:val="245"/>
              <w:tabs>
                <w:tab w:val="left" w:pos="352"/>
              </w:tabs>
              <w:snapToGrid w:val="0"/>
              <w:spacing w:line="300" w:lineRule="exact"/>
              <w:jc w:val="center"/>
              <w:rPr>
                <w:rFonts w:ascii="Times New Roman" w:hAnsi="Times New Roman"/>
                <w:sz w:val="21"/>
                <w:szCs w:val="21"/>
              </w:rPr>
            </w:pPr>
            <w:r>
              <w:rPr>
                <w:rFonts w:ascii="Times New Roman" w:hAnsi="Times New Roman"/>
                <w:sz w:val="21"/>
                <w:szCs w:val="21"/>
              </w:rPr>
              <w:t>三级</w:t>
            </w:r>
          </w:p>
        </w:tc>
        <w:tc>
          <w:tcPr>
            <w:tcW w:w="3391" w:type="pct"/>
            <w:vAlign w:val="center"/>
          </w:tcPr>
          <w:p>
            <w:pPr>
              <w:pStyle w:val="245"/>
              <w:tabs>
                <w:tab w:val="left" w:pos="352"/>
              </w:tabs>
              <w:snapToGrid w:val="0"/>
              <w:spacing w:line="300" w:lineRule="exact"/>
              <w:jc w:val="center"/>
              <w:rPr>
                <w:rFonts w:ascii="Times New Roman" w:hAnsi="Times New Roman"/>
                <w:sz w:val="21"/>
                <w:szCs w:val="21"/>
              </w:rPr>
            </w:pPr>
            <w:r>
              <w:rPr>
                <w:rFonts w:ascii="Times New Roman" w:hAnsi="Times New Roman"/>
                <w:sz w:val="21"/>
                <w:szCs w:val="21"/>
              </w:rPr>
              <w:t>P</w:t>
            </w:r>
            <w:r>
              <w:rPr>
                <w:rFonts w:ascii="Times New Roman" w:hAnsi="Times New Roman"/>
                <w:sz w:val="21"/>
                <w:szCs w:val="21"/>
                <w:vertAlign w:val="subscript"/>
              </w:rPr>
              <w:t>max</w:t>
            </w:r>
            <w:r>
              <w:rPr>
                <w:rFonts w:ascii="Times New Roman" w:hAnsi="Times New Roman"/>
                <w:sz w:val="21"/>
                <w:szCs w:val="21"/>
              </w:rPr>
              <w:t>&lt;1%</w:t>
            </w:r>
          </w:p>
        </w:tc>
      </w:tr>
    </w:tbl>
    <w:p>
      <w:pPr>
        <w:pStyle w:val="215"/>
        <w:rPr>
          <w:bCs/>
        </w:rPr>
      </w:pPr>
      <w:r>
        <w:rPr>
          <w:rFonts w:hint="eastAsia"/>
          <w:bCs/>
        </w:rPr>
        <w:t>根据导则要求：同一项目有多个污染源（两个及以上，下同）时，则按各污染源分别确定评价等级，并取评价等级最高者作为项目的评价等级。本环评采用AERSCREEN估算模型计算项目污染源的最大环境影响。</w:t>
      </w:r>
    </w:p>
    <w:p>
      <w:pPr>
        <w:pStyle w:val="215"/>
        <w:rPr>
          <w:bCs/>
        </w:rPr>
      </w:pPr>
      <w:r>
        <w:rPr>
          <w:rFonts w:hint="eastAsia"/>
          <w:bCs/>
        </w:rPr>
        <w:t>拟建项目估算模式参数详见表2.4-2。</w:t>
      </w:r>
    </w:p>
    <w:p>
      <w:pPr>
        <w:pStyle w:val="263"/>
        <w:spacing w:beforeLines="50" w:line="240" w:lineRule="auto"/>
        <w:ind w:firstLine="0"/>
        <w:jc w:val="center"/>
        <w:rPr>
          <w:rFonts w:ascii="Times New Roman" w:hAnsi="Times New Roman"/>
          <w:b/>
          <w:sz w:val="21"/>
          <w:szCs w:val="21"/>
        </w:rPr>
      </w:pPr>
      <w:r>
        <w:rPr>
          <w:rFonts w:ascii="Times New Roman" w:hAnsi="Times New Roman"/>
          <w:b/>
          <w:sz w:val="21"/>
          <w:szCs w:val="21"/>
        </w:rPr>
        <w:t>表</w:t>
      </w:r>
      <w:r>
        <w:rPr>
          <w:rFonts w:hint="eastAsia" w:ascii="Times New Roman" w:hAnsi="Times New Roman"/>
          <w:b/>
          <w:sz w:val="21"/>
          <w:szCs w:val="21"/>
        </w:rPr>
        <w:t>2.4-2</w:t>
      </w:r>
      <w:r>
        <w:rPr>
          <w:rFonts w:ascii="Times New Roman" w:hAnsi="Times New Roman"/>
          <w:b/>
          <w:sz w:val="21"/>
          <w:szCs w:val="21"/>
        </w:rPr>
        <w:t xml:space="preserve">  估算模型参数表</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2"/>
        <w:gridCol w:w="2843"/>
        <w:gridCol w:w="28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33" w:type="pct"/>
            <w:gridSpan w:val="2"/>
            <w:vAlign w:val="center"/>
          </w:tcPr>
          <w:p>
            <w:pPr>
              <w:jc w:val="center"/>
              <w:rPr>
                <w:b/>
                <w:bCs/>
                <w:szCs w:val="21"/>
              </w:rPr>
            </w:pPr>
            <w:r>
              <w:rPr>
                <w:b/>
                <w:bCs/>
              </w:rPr>
              <w:t>参数</w:t>
            </w:r>
          </w:p>
        </w:tc>
        <w:tc>
          <w:tcPr>
            <w:tcW w:w="1667" w:type="pct"/>
            <w:vAlign w:val="center"/>
          </w:tcPr>
          <w:p>
            <w:pPr>
              <w:jc w:val="center"/>
              <w:rPr>
                <w:b/>
                <w:bCs/>
                <w:szCs w:val="21"/>
              </w:rPr>
            </w:pPr>
            <w:r>
              <w:rPr>
                <w:b/>
                <w:bCs/>
              </w:rPr>
              <w:t>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6" w:type="pct"/>
            <w:vMerge w:val="restart"/>
            <w:vAlign w:val="center"/>
          </w:tcPr>
          <w:p>
            <w:pPr>
              <w:jc w:val="center"/>
              <w:rPr>
                <w:szCs w:val="21"/>
              </w:rPr>
            </w:pPr>
            <w:r>
              <w:t>城市/农村选项</w:t>
            </w:r>
          </w:p>
        </w:tc>
        <w:tc>
          <w:tcPr>
            <w:tcW w:w="1667" w:type="pct"/>
            <w:vAlign w:val="center"/>
          </w:tcPr>
          <w:p>
            <w:pPr>
              <w:jc w:val="center"/>
              <w:rPr>
                <w:szCs w:val="21"/>
              </w:rPr>
            </w:pPr>
            <w:r>
              <w:t>城市/农村</w:t>
            </w:r>
          </w:p>
        </w:tc>
        <w:tc>
          <w:tcPr>
            <w:tcW w:w="1667" w:type="pct"/>
            <w:vAlign w:val="center"/>
          </w:tcPr>
          <w:p>
            <w:pPr>
              <w:jc w:val="center"/>
              <w:rPr>
                <w:szCs w:val="21"/>
              </w:rPr>
            </w:pPr>
            <w:r>
              <w:rPr>
                <w:szCs w:val="21"/>
              </w:rPr>
              <w:t>农村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6" w:type="pct"/>
            <w:vMerge w:val="continue"/>
            <w:vAlign w:val="center"/>
          </w:tcPr>
          <w:p>
            <w:pPr>
              <w:widowControl/>
              <w:jc w:val="left"/>
              <w:rPr>
                <w:szCs w:val="21"/>
              </w:rPr>
            </w:pPr>
          </w:p>
        </w:tc>
        <w:tc>
          <w:tcPr>
            <w:tcW w:w="1667" w:type="pct"/>
            <w:vAlign w:val="center"/>
          </w:tcPr>
          <w:p>
            <w:pPr>
              <w:jc w:val="center"/>
              <w:rPr>
                <w:szCs w:val="21"/>
              </w:rPr>
            </w:pPr>
            <w:r>
              <w:t>人口数（城市选项）</w:t>
            </w:r>
          </w:p>
        </w:tc>
        <w:tc>
          <w:tcPr>
            <w:tcW w:w="1667" w:type="pct"/>
            <w:vAlign w:val="center"/>
          </w:tcPr>
          <w:p>
            <w:pPr>
              <w:jc w:val="center"/>
              <w:rPr>
                <w:szCs w:val="21"/>
              </w:rPr>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33" w:type="pct"/>
            <w:gridSpan w:val="2"/>
            <w:vAlign w:val="center"/>
          </w:tcPr>
          <w:p>
            <w:pPr>
              <w:jc w:val="center"/>
              <w:rPr>
                <w:szCs w:val="21"/>
              </w:rPr>
            </w:pPr>
            <w:r>
              <w:t>最高环境温度/℃</w:t>
            </w:r>
          </w:p>
        </w:tc>
        <w:tc>
          <w:tcPr>
            <w:tcW w:w="1667" w:type="pct"/>
            <w:vAlign w:val="center"/>
          </w:tcPr>
          <w:p>
            <w:pPr>
              <w:jc w:val="center"/>
              <w:rPr>
                <w:szCs w:val="21"/>
              </w:rPr>
            </w:pPr>
            <w:r>
              <w:t>40.8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33" w:type="pct"/>
            <w:gridSpan w:val="2"/>
            <w:vAlign w:val="center"/>
          </w:tcPr>
          <w:p>
            <w:pPr>
              <w:jc w:val="center"/>
              <w:rPr>
                <w:szCs w:val="21"/>
              </w:rPr>
            </w:pPr>
            <w:r>
              <w:t>最低环境温度/℃</w:t>
            </w:r>
          </w:p>
        </w:tc>
        <w:tc>
          <w:tcPr>
            <w:tcW w:w="1667" w:type="pct"/>
            <w:vAlign w:val="center"/>
          </w:tcPr>
          <w:p>
            <w:pPr>
              <w:jc w:val="center"/>
              <w:rPr>
                <w:rFonts w:hint="default" w:eastAsia="宋体"/>
                <w:szCs w:val="21"/>
                <w:lang w:val="en-US" w:eastAsia="zh-CN"/>
              </w:rPr>
            </w:pPr>
            <w:r>
              <w:t>-</w:t>
            </w:r>
            <w:r>
              <w:rPr>
                <w:rFonts w:hint="eastAsia"/>
                <w:lang w:val="en-US" w:eastAsia="zh-CN"/>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33" w:type="pct"/>
            <w:gridSpan w:val="2"/>
            <w:vAlign w:val="center"/>
          </w:tcPr>
          <w:p>
            <w:pPr>
              <w:jc w:val="center"/>
              <w:rPr>
                <w:szCs w:val="21"/>
              </w:rPr>
            </w:pPr>
            <w:r>
              <w:t>土地利用类型</w:t>
            </w:r>
          </w:p>
        </w:tc>
        <w:tc>
          <w:tcPr>
            <w:tcW w:w="1667" w:type="pct"/>
            <w:vAlign w:val="center"/>
          </w:tcPr>
          <w:p>
            <w:pPr>
              <w:jc w:val="center"/>
              <w:rPr>
                <w:szCs w:val="21"/>
              </w:rPr>
            </w:pPr>
            <w:r>
              <w:rPr>
                <w:szCs w:val="21"/>
              </w:rPr>
              <w:t>农作地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33" w:type="pct"/>
            <w:gridSpan w:val="2"/>
            <w:vAlign w:val="center"/>
          </w:tcPr>
          <w:p>
            <w:pPr>
              <w:jc w:val="center"/>
              <w:rPr>
                <w:szCs w:val="21"/>
              </w:rPr>
            </w:pPr>
            <w:r>
              <w:t>区域湿度条件</w:t>
            </w:r>
          </w:p>
        </w:tc>
        <w:tc>
          <w:tcPr>
            <w:tcW w:w="1667" w:type="pct"/>
            <w:vAlign w:val="center"/>
          </w:tcPr>
          <w:p>
            <w:pPr>
              <w:jc w:val="center"/>
              <w:rPr>
                <w:szCs w:val="21"/>
              </w:rPr>
            </w:pPr>
            <w:r>
              <w:rPr>
                <w:szCs w:val="21"/>
              </w:rPr>
              <w:t>潮湿气候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6" w:type="pct"/>
            <w:vMerge w:val="restart"/>
            <w:vAlign w:val="center"/>
          </w:tcPr>
          <w:p>
            <w:pPr>
              <w:jc w:val="center"/>
              <w:rPr>
                <w:szCs w:val="21"/>
              </w:rPr>
            </w:pPr>
            <w:r>
              <w:t>是否考虑地形</w:t>
            </w:r>
          </w:p>
        </w:tc>
        <w:tc>
          <w:tcPr>
            <w:tcW w:w="1667" w:type="pct"/>
            <w:vAlign w:val="center"/>
          </w:tcPr>
          <w:p>
            <w:pPr>
              <w:jc w:val="center"/>
              <w:rPr>
                <w:szCs w:val="21"/>
              </w:rPr>
            </w:pPr>
            <w:r>
              <w:t>考虑地形</w:t>
            </w:r>
          </w:p>
        </w:tc>
        <w:tc>
          <w:tcPr>
            <w:tcW w:w="1667" w:type="pct"/>
            <w:vAlign w:val="center"/>
          </w:tcPr>
          <w:p>
            <w:pPr>
              <w:jc w:val="center"/>
              <w:rPr>
                <w:szCs w:val="21"/>
              </w:rPr>
            </w:pPr>
            <w:r>
              <w:rPr>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6" w:type="pct"/>
            <w:vMerge w:val="continue"/>
            <w:vAlign w:val="center"/>
          </w:tcPr>
          <w:p>
            <w:pPr>
              <w:widowControl/>
              <w:jc w:val="left"/>
              <w:rPr>
                <w:szCs w:val="21"/>
              </w:rPr>
            </w:pPr>
          </w:p>
        </w:tc>
        <w:tc>
          <w:tcPr>
            <w:tcW w:w="1667" w:type="pct"/>
            <w:vAlign w:val="center"/>
          </w:tcPr>
          <w:p>
            <w:pPr>
              <w:jc w:val="center"/>
              <w:rPr>
                <w:szCs w:val="21"/>
              </w:rPr>
            </w:pPr>
            <w:r>
              <w:t>地形数据分辨率/m</w:t>
            </w:r>
          </w:p>
        </w:tc>
        <w:tc>
          <w:tcPr>
            <w:tcW w:w="1667" w:type="pct"/>
            <w:vAlign w:val="center"/>
          </w:tcPr>
          <w:p>
            <w:pPr>
              <w:jc w:val="center"/>
              <w:rPr>
                <w:szCs w:val="21"/>
              </w:rPr>
            </w:pPr>
            <w: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6" w:type="pct"/>
            <w:vMerge w:val="restart"/>
            <w:vAlign w:val="center"/>
          </w:tcPr>
          <w:p>
            <w:pPr>
              <w:jc w:val="center"/>
              <w:rPr>
                <w:szCs w:val="21"/>
              </w:rPr>
            </w:pPr>
            <w:r>
              <w:t>是否考虑岸线熏烟</w:t>
            </w:r>
          </w:p>
        </w:tc>
        <w:tc>
          <w:tcPr>
            <w:tcW w:w="1667" w:type="pct"/>
            <w:vAlign w:val="center"/>
          </w:tcPr>
          <w:p>
            <w:pPr>
              <w:jc w:val="center"/>
              <w:rPr>
                <w:szCs w:val="21"/>
              </w:rPr>
            </w:pPr>
            <w:r>
              <w:t>考虑岸线熏烟</w:t>
            </w:r>
          </w:p>
        </w:tc>
        <w:tc>
          <w:tcPr>
            <w:tcW w:w="1667" w:type="pct"/>
            <w:vAlign w:val="center"/>
          </w:tcPr>
          <w:p>
            <w:pPr>
              <w:jc w:val="center"/>
              <w:rPr>
                <w:szCs w:val="21"/>
              </w:rPr>
            </w:pPr>
            <w: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6" w:type="pct"/>
            <w:vMerge w:val="continue"/>
            <w:vAlign w:val="center"/>
          </w:tcPr>
          <w:p>
            <w:pPr>
              <w:widowControl/>
              <w:jc w:val="left"/>
              <w:rPr>
                <w:szCs w:val="21"/>
              </w:rPr>
            </w:pPr>
          </w:p>
        </w:tc>
        <w:tc>
          <w:tcPr>
            <w:tcW w:w="1667" w:type="pct"/>
            <w:vAlign w:val="center"/>
          </w:tcPr>
          <w:p>
            <w:pPr>
              <w:jc w:val="center"/>
              <w:rPr>
                <w:szCs w:val="21"/>
              </w:rPr>
            </w:pPr>
            <w:r>
              <w:t>岸线距离/km</w:t>
            </w:r>
          </w:p>
        </w:tc>
        <w:tc>
          <w:tcPr>
            <w:tcW w:w="1667" w:type="pct"/>
            <w:vAlign w:val="center"/>
          </w:tcPr>
          <w:p>
            <w:pPr>
              <w:jc w:val="center"/>
              <w:rPr>
                <w:szCs w:val="21"/>
              </w:rPr>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6" w:type="pct"/>
            <w:vMerge w:val="continue"/>
            <w:vAlign w:val="center"/>
          </w:tcPr>
          <w:p>
            <w:pPr>
              <w:widowControl/>
              <w:jc w:val="left"/>
              <w:rPr>
                <w:szCs w:val="21"/>
              </w:rPr>
            </w:pPr>
          </w:p>
        </w:tc>
        <w:tc>
          <w:tcPr>
            <w:tcW w:w="1667" w:type="pct"/>
            <w:vAlign w:val="center"/>
          </w:tcPr>
          <w:p>
            <w:pPr>
              <w:jc w:val="center"/>
              <w:rPr>
                <w:szCs w:val="21"/>
              </w:rPr>
            </w:pPr>
            <w:r>
              <w:t>岸线方向/°</w:t>
            </w:r>
          </w:p>
        </w:tc>
        <w:tc>
          <w:tcPr>
            <w:tcW w:w="1667" w:type="pct"/>
            <w:vAlign w:val="center"/>
          </w:tcPr>
          <w:p>
            <w:pPr>
              <w:jc w:val="center"/>
              <w:rPr>
                <w:szCs w:val="21"/>
              </w:rPr>
            </w:pPr>
            <w:r>
              <w:t>/</w:t>
            </w:r>
          </w:p>
        </w:tc>
      </w:tr>
    </w:tbl>
    <w:p>
      <w:pPr>
        <w:snapToGrid w:val="0"/>
        <w:spacing w:line="360" w:lineRule="auto"/>
        <w:ind w:firstLine="480" w:firstLineChars="200"/>
        <w:rPr>
          <w:color w:val="FF0000"/>
          <w:sz w:val="24"/>
          <w:u w:val="wave"/>
        </w:rPr>
      </w:pPr>
      <w:r>
        <w:rPr>
          <w:rFonts w:hint="eastAsia"/>
          <w:color w:val="FF0000"/>
          <w:sz w:val="24"/>
          <w:u w:val="wave"/>
        </w:rPr>
        <w:t>根据大气导则（HJ2.2-2018）确定评价等级、评价范围采用推荐的估算模式AERSCREEN，估算计算参数和结果见表2.4-3。</w:t>
      </w:r>
    </w:p>
    <w:p>
      <w:pPr>
        <w:pStyle w:val="263"/>
        <w:spacing w:beforeLines="50" w:line="240" w:lineRule="auto"/>
        <w:ind w:firstLine="0"/>
        <w:jc w:val="center"/>
        <w:rPr>
          <w:rFonts w:ascii="Times New Roman" w:hAnsi="Times New Roman" w:cs="Times New Roman" w:eastAsiaTheme="majorEastAsia"/>
          <w:b/>
          <w:color w:val="FF0000"/>
          <w:sz w:val="21"/>
          <w:szCs w:val="21"/>
          <w:u w:val="wave"/>
        </w:rPr>
      </w:pPr>
      <w:r>
        <w:rPr>
          <w:rFonts w:ascii="Times New Roman" w:cs="Times New Roman" w:hAnsiTheme="majorEastAsia" w:eastAsiaTheme="majorEastAsia"/>
          <w:b/>
          <w:color w:val="FF0000"/>
          <w:sz w:val="21"/>
          <w:szCs w:val="21"/>
          <w:u w:val="wave"/>
        </w:rPr>
        <w:t>表</w:t>
      </w:r>
      <w:r>
        <w:rPr>
          <w:rFonts w:hint="eastAsia" w:ascii="Times New Roman" w:hAnsi="Times New Roman" w:cs="Times New Roman" w:eastAsiaTheme="majorEastAsia"/>
          <w:b/>
          <w:color w:val="FF0000"/>
          <w:sz w:val="21"/>
          <w:szCs w:val="21"/>
          <w:u w:val="wave"/>
        </w:rPr>
        <w:t>2.4-3  主要污染物估算模型计算结果表</w:t>
      </w:r>
    </w:p>
    <w:tbl>
      <w:tblPr>
        <w:tblStyle w:val="4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1"/>
        <w:gridCol w:w="917"/>
        <w:gridCol w:w="1437"/>
        <w:gridCol w:w="1169"/>
        <w:gridCol w:w="1073"/>
        <w:gridCol w:w="1037"/>
        <w:gridCol w:w="897"/>
        <w:gridCol w:w="8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01" w:type="dxa"/>
            <w:vMerge w:val="restart"/>
            <w:vAlign w:val="center"/>
          </w:tcPr>
          <w:p>
            <w:pPr>
              <w:pStyle w:val="263"/>
              <w:spacing w:line="240" w:lineRule="auto"/>
              <w:ind w:firstLine="0"/>
              <w:jc w:val="center"/>
              <w:rPr>
                <w:rFonts w:ascii="Times New Roman" w:hAnsi="Times New Roman" w:cs="Times New Roman"/>
                <w:b/>
                <w:color w:val="FF0000"/>
                <w:sz w:val="21"/>
                <w:szCs w:val="21"/>
                <w:u w:val="wave"/>
              </w:rPr>
            </w:pPr>
            <w:r>
              <w:rPr>
                <w:rFonts w:ascii="Times New Roman" w:cs="Times New Roman" w:hAnsiTheme="minorEastAsia"/>
                <w:b/>
                <w:color w:val="FF0000"/>
                <w:sz w:val="21"/>
                <w:szCs w:val="21"/>
                <w:u w:val="wave"/>
              </w:rPr>
              <w:t>污染源位置</w:t>
            </w:r>
          </w:p>
        </w:tc>
        <w:tc>
          <w:tcPr>
            <w:tcW w:w="917" w:type="dxa"/>
            <w:vMerge w:val="restart"/>
            <w:vAlign w:val="center"/>
          </w:tcPr>
          <w:p>
            <w:pPr>
              <w:jc w:val="center"/>
              <w:rPr>
                <w:rFonts w:eastAsiaTheme="minorEastAsia"/>
                <w:b/>
                <w:color w:val="FF0000"/>
                <w:szCs w:val="21"/>
                <w:u w:val="wave"/>
              </w:rPr>
            </w:pPr>
            <w:r>
              <w:rPr>
                <w:rFonts w:hAnsiTheme="minorEastAsia" w:eastAsiaTheme="minorEastAsia"/>
                <w:b/>
                <w:color w:val="FF0000"/>
                <w:szCs w:val="21"/>
                <w:u w:val="wave"/>
              </w:rPr>
              <w:t>污染物</w:t>
            </w:r>
          </w:p>
        </w:tc>
        <w:tc>
          <w:tcPr>
            <w:tcW w:w="3679" w:type="dxa"/>
            <w:gridSpan w:val="3"/>
            <w:vAlign w:val="center"/>
          </w:tcPr>
          <w:p>
            <w:pPr>
              <w:jc w:val="center"/>
              <w:rPr>
                <w:rFonts w:eastAsiaTheme="minorEastAsia"/>
                <w:b/>
                <w:color w:val="FF0000"/>
                <w:szCs w:val="21"/>
                <w:u w:val="wave"/>
              </w:rPr>
            </w:pPr>
            <w:r>
              <w:rPr>
                <w:rFonts w:hAnsiTheme="minorEastAsia" w:eastAsiaTheme="minorEastAsia"/>
                <w:b/>
                <w:color w:val="FF0000"/>
                <w:szCs w:val="21"/>
                <w:u w:val="wave"/>
              </w:rPr>
              <w:t>下风向最大落地浓度</w:t>
            </w:r>
          </w:p>
        </w:tc>
        <w:tc>
          <w:tcPr>
            <w:tcW w:w="1037" w:type="dxa"/>
            <w:vMerge w:val="restart"/>
            <w:vAlign w:val="center"/>
          </w:tcPr>
          <w:p>
            <w:pPr>
              <w:jc w:val="center"/>
              <w:rPr>
                <w:rFonts w:eastAsiaTheme="minorEastAsia"/>
                <w:b/>
                <w:color w:val="FF0000"/>
                <w:szCs w:val="21"/>
                <w:u w:val="wave"/>
              </w:rPr>
            </w:pPr>
            <w:r>
              <w:rPr>
                <w:rFonts w:eastAsiaTheme="minorEastAsia"/>
                <w:b/>
                <w:color w:val="FF0000"/>
                <w:szCs w:val="21"/>
                <w:u w:val="wave"/>
              </w:rPr>
              <w:t>D10%</w:t>
            </w:r>
            <w:r>
              <w:rPr>
                <w:rFonts w:hAnsiTheme="minorEastAsia" w:eastAsiaTheme="minorEastAsia"/>
                <w:b/>
                <w:color w:val="FF0000"/>
                <w:szCs w:val="21"/>
                <w:u w:val="wave"/>
              </w:rPr>
              <w:t>出现的最远距离</w:t>
            </w:r>
            <w:r>
              <w:rPr>
                <w:rFonts w:eastAsiaTheme="minorEastAsia"/>
                <w:b/>
                <w:color w:val="FF0000"/>
                <w:szCs w:val="21"/>
                <w:u w:val="wave"/>
              </w:rPr>
              <w:t>/m</w:t>
            </w:r>
          </w:p>
        </w:tc>
        <w:tc>
          <w:tcPr>
            <w:tcW w:w="897" w:type="dxa"/>
            <w:vMerge w:val="restart"/>
            <w:vAlign w:val="center"/>
          </w:tcPr>
          <w:p>
            <w:pPr>
              <w:pStyle w:val="263"/>
              <w:spacing w:line="240" w:lineRule="auto"/>
              <w:ind w:firstLine="0"/>
              <w:jc w:val="center"/>
              <w:rPr>
                <w:rFonts w:ascii="Times New Roman" w:hAnsi="Times New Roman" w:cs="Times New Roman"/>
                <w:b/>
                <w:color w:val="FF0000"/>
                <w:sz w:val="21"/>
                <w:szCs w:val="21"/>
                <w:u w:val="wave"/>
              </w:rPr>
            </w:pPr>
            <w:r>
              <w:rPr>
                <w:rFonts w:ascii="Times New Roman" w:cs="Times New Roman" w:hAnsiTheme="minorEastAsia"/>
                <w:b/>
                <w:color w:val="FF0000"/>
                <w:sz w:val="21"/>
                <w:szCs w:val="21"/>
                <w:u w:val="wave"/>
              </w:rPr>
              <w:t>评价等级</w:t>
            </w:r>
          </w:p>
        </w:tc>
        <w:tc>
          <w:tcPr>
            <w:tcW w:w="897" w:type="dxa"/>
            <w:vMerge w:val="restart"/>
            <w:vAlign w:val="center"/>
          </w:tcPr>
          <w:p>
            <w:pPr>
              <w:pStyle w:val="263"/>
              <w:spacing w:line="240" w:lineRule="auto"/>
              <w:ind w:firstLine="0"/>
              <w:jc w:val="center"/>
              <w:rPr>
                <w:rFonts w:hint="default" w:ascii="Times New Roman" w:hAnsi="Times New Roman" w:cs="Times New Roman" w:eastAsiaTheme="minorEastAsia"/>
                <w:b/>
                <w:color w:val="FF0000"/>
                <w:sz w:val="21"/>
                <w:szCs w:val="21"/>
                <w:u w:val="wave"/>
                <w:lang w:val="en-US" w:eastAsia="zh-CN"/>
              </w:rPr>
            </w:pPr>
            <w:r>
              <w:rPr>
                <w:rFonts w:ascii="Times New Roman" w:cs="Times New Roman" w:hAnsiTheme="minorEastAsia"/>
                <w:b/>
                <w:color w:val="FF0000"/>
                <w:sz w:val="21"/>
                <w:szCs w:val="21"/>
                <w:u w:val="wave"/>
              </w:rPr>
              <w:t>最终确定价等级</w:t>
            </w:r>
            <w:r>
              <w:rPr>
                <w:rFonts w:hint="eastAsia" w:ascii="Times New Roman" w:cs="Times New Roman" w:hAnsiTheme="minorEastAsia"/>
                <w:b/>
                <w:color w:val="FF0000"/>
                <w:sz w:val="21"/>
                <w:szCs w:val="21"/>
                <w:u w:val="wave"/>
                <w:lang w:eastAsia="zh-CN"/>
              </w:rPr>
              <w:t>：</w:t>
            </w:r>
            <w:r>
              <w:rPr>
                <w:rFonts w:hint="eastAsia" w:ascii="Times New Roman" w:cs="Times New Roman" w:hAnsiTheme="minorEastAsia"/>
                <w:b/>
                <w:color w:val="FF0000"/>
                <w:sz w:val="21"/>
                <w:szCs w:val="21"/>
                <w:u w:val="wave"/>
                <w:lang w:val="en-US" w:eastAsia="zh-CN"/>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01" w:type="dxa"/>
            <w:vMerge w:val="continue"/>
            <w:vAlign w:val="center"/>
          </w:tcPr>
          <w:p>
            <w:pPr>
              <w:pStyle w:val="263"/>
              <w:spacing w:line="240" w:lineRule="auto"/>
              <w:ind w:firstLine="0"/>
              <w:jc w:val="center"/>
              <w:rPr>
                <w:rFonts w:ascii="Times New Roman" w:hAnsi="Times New Roman" w:cs="Times New Roman"/>
                <w:b/>
                <w:color w:val="FF0000"/>
                <w:sz w:val="21"/>
                <w:szCs w:val="21"/>
                <w:u w:val="wave"/>
              </w:rPr>
            </w:pPr>
          </w:p>
        </w:tc>
        <w:tc>
          <w:tcPr>
            <w:tcW w:w="917" w:type="dxa"/>
            <w:vMerge w:val="continue"/>
            <w:vAlign w:val="center"/>
          </w:tcPr>
          <w:p>
            <w:pPr>
              <w:jc w:val="center"/>
              <w:rPr>
                <w:rFonts w:eastAsiaTheme="minorEastAsia"/>
                <w:b/>
                <w:color w:val="FF0000"/>
                <w:szCs w:val="21"/>
                <w:u w:val="wave"/>
              </w:rPr>
            </w:pPr>
          </w:p>
        </w:tc>
        <w:tc>
          <w:tcPr>
            <w:tcW w:w="1437" w:type="dxa"/>
            <w:vAlign w:val="center"/>
          </w:tcPr>
          <w:p>
            <w:pPr>
              <w:jc w:val="center"/>
              <w:rPr>
                <w:rFonts w:eastAsiaTheme="minorEastAsia"/>
                <w:b/>
                <w:color w:val="FF0000"/>
                <w:szCs w:val="21"/>
                <w:u w:val="wave"/>
              </w:rPr>
            </w:pPr>
            <w:r>
              <w:rPr>
                <w:rFonts w:hAnsiTheme="minorEastAsia" w:eastAsiaTheme="minorEastAsia"/>
                <w:b/>
                <w:color w:val="FF0000"/>
                <w:szCs w:val="21"/>
                <w:u w:val="wave"/>
              </w:rPr>
              <w:t>下风向预测最大落地浓度</w:t>
            </w:r>
            <w:r>
              <w:rPr>
                <w:rFonts w:eastAsiaTheme="minorEastAsia"/>
                <w:b/>
                <w:color w:val="FF0000"/>
                <w:szCs w:val="21"/>
                <w:u w:val="wave"/>
              </w:rPr>
              <w:t>Ci</w:t>
            </w:r>
            <w:r>
              <w:rPr>
                <w:rFonts w:hAnsiTheme="minorEastAsia" w:eastAsiaTheme="minorEastAsia"/>
                <w:b/>
                <w:color w:val="FF0000"/>
                <w:szCs w:val="21"/>
                <w:u w:val="wave"/>
              </w:rPr>
              <w:t>（</w:t>
            </w:r>
            <w:r>
              <w:rPr>
                <w:rFonts w:eastAsiaTheme="minorEastAsia"/>
                <w:b/>
                <w:color w:val="FF0000"/>
                <w:szCs w:val="21"/>
                <w:u w:val="wave"/>
              </w:rPr>
              <w:t>μg/m</w:t>
            </w:r>
            <w:r>
              <w:rPr>
                <w:rFonts w:eastAsiaTheme="minorEastAsia"/>
                <w:b/>
                <w:color w:val="FF0000"/>
                <w:szCs w:val="21"/>
                <w:u w:val="wave"/>
                <w:vertAlign w:val="superscript"/>
              </w:rPr>
              <w:t>3</w:t>
            </w:r>
            <w:r>
              <w:rPr>
                <w:rFonts w:hAnsiTheme="minorEastAsia" w:eastAsiaTheme="minorEastAsia"/>
                <w:b/>
                <w:color w:val="FF0000"/>
                <w:szCs w:val="21"/>
                <w:u w:val="wave"/>
              </w:rPr>
              <w:t>）</w:t>
            </w:r>
          </w:p>
        </w:tc>
        <w:tc>
          <w:tcPr>
            <w:tcW w:w="1169" w:type="dxa"/>
            <w:vAlign w:val="center"/>
          </w:tcPr>
          <w:p>
            <w:pPr>
              <w:jc w:val="center"/>
              <w:rPr>
                <w:rFonts w:eastAsiaTheme="minorEastAsia"/>
                <w:b/>
                <w:color w:val="FF0000"/>
                <w:szCs w:val="21"/>
                <w:u w:val="wave"/>
              </w:rPr>
            </w:pPr>
            <w:r>
              <w:rPr>
                <w:rFonts w:hAnsiTheme="minorEastAsia" w:eastAsiaTheme="minorEastAsia"/>
                <w:b/>
                <w:snapToGrid w:val="0"/>
                <w:color w:val="FF0000"/>
                <w:kern w:val="0"/>
                <w:szCs w:val="21"/>
                <w:u w:val="wave"/>
              </w:rPr>
              <w:t>浓度占标率</w:t>
            </w:r>
            <w:r>
              <w:rPr>
                <w:rFonts w:eastAsiaTheme="minorEastAsia"/>
                <w:b/>
                <w:snapToGrid w:val="0"/>
                <w:color w:val="FF0000"/>
                <w:kern w:val="0"/>
                <w:szCs w:val="21"/>
                <w:u w:val="wave"/>
              </w:rPr>
              <w:t>Pi</w:t>
            </w:r>
            <w:r>
              <w:rPr>
                <w:rFonts w:hAnsiTheme="minorEastAsia" w:eastAsiaTheme="minorEastAsia"/>
                <w:b/>
                <w:snapToGrid w:val="0"/>
                <w:color w:val="FF0000"/>
                <w:kern w:val="0"/>
                <w:szCs w:val="21"/>
                <w:u w:val="wave"/>
              </w:rPr>
              <w:t>（</w:t>
            </w:r>
            <w:r>
              <w:rPr>
                <w:rFonts w:eastAsiaTheme="minorEastAsia"/>
                <w:b/>
                <w:snapToGrid w:val="0"/>
                <w:color w:val="FF0000"/>
                <w:kern w:val="0"/>
                <w:szCs w:val="21"/>
                <w:u w:val="wave"/>
              </w:rPr>
              <w:t>%</w:t>
            </w:r>
            <w:r>
              <w:rPr>
                <w:rFonts w:hAnsiTheme="minorEastAsia" w:eastAsiaTheme="minorEastAsia"/>
                <w:b/>
                <w:snapToGrid w:val="0"/>
                <w:color w:val="FF0000"/>
                <w:kern w:val="0"/>
                <w:szCs w:val="21"/>
                <w:u w:val="wave"/>
              </w:rPr>
              <w:t>）</w:t>
            </w:r>
          </w:p>
        </w:tc>
        <w:tc>
          <w:tcPr>
            <w:tcW w:w="1073" w:type="dxa"/>
            <w:vAlign w:val="center"/>
          </w:tcPr>
          <w:p>
            <w:pPr>
              <w:jc w:val="center"/>
              <w:rPr>
                <w:rFonts w:eastAsiaTheme="minorEastAsia"/>
                <w:b/>
                <w:color w:val="FF0000"/>
                <w:szCs w:val="21"/>
                <w:u w:val="wave"/>
              </w:rPr>
            </w:pPr>
            <w:r>
              <w:rPr>
                <w:rFonts w:hAnsiTheme="minorEastAsia" w:eastAsiaTheme="minorEastAsia"/>
                <w:b/>
                <w:color w:val="FF0000"/>
                <w:szCs w:val="21"/>
                <w:u w:val="wave"/>
              </w:rPr>
              <w:t>最大落地浓度出现的距离</w:t>
            </w:r>
            <w:r>
              <w:rPr>
                <w:rFonts w:eastAsiaTheme="minorEastAsia"/>
                <w:b/>
                <w:color w:val="FF0000"/>
                <w:szCs w:val="21"/>
                <w:u w:val="wave"/>
              </w:rPr>
              <w:t>D/m</w:t>
            </w:r>
          </w:p>
        </w:tc>
        <w:tc>
          <w:tcPr>
            <w:tcW w:w="1037" w:type="dxa"/>
            <w:vMerge w:val="continue"/>
            <w:vAlign w:val="center"/>
          </w:tcPr>
          <w:p>
            <w:pPr>
              <w:jc w:val="center"/>
              <w:rPr>
                <w:rFonts w:eastAsiaTheme="minorEastAsia"/>
                <w:b/>
                <w:color w:val="FF0000"/>
                <w:szCs w:val="21"/>
                <w:u w:val="wave"/>
              </w:rPr>
            </w:pPr>
          </w:p>
        </w:tc>
        <w:tc>
          <w:tcPr>
            <w:tcW w:w="897" w:type="dxa"/>
            <w:vMerge w:val="continue"/>
            <w:vAlign w:val="center"/>
          </w:tcPr>
          <w:p>
            <w:pPr>
              <w:pStyle w:val="263"/>
              <w:spacing w:line="240" w:lineRule="auto"/>
              <w:ind w:firstLine="0"/>
              <w:jc w:val="center"/>
              <w:rPr>
                <w:rFonts w:ascii="Times New Roman" w:hAnsi="Times New Roman" w:cs="Times New Roman"/>
                <w:b/>
                <w:color w:val="FF0000"/>
                <w:sz w:val="21"/>
                <w:szCs w:val="21"/>
                <w:u w:val="wave"/>
              </w:rPr>
            </w:pPr>
          </w:p>
        </w:tc>
        <w:tc>
          <w:tcPr>
            <w:tcW w:w="897" w:type="dxa"/>
            <w:vMerge w:val="continue"/>
            <w:vAlign w:val="center"/>
          </w:tcPr>
          <w:p>
            <w:pPr>
              <w:pStyle w:val="263"/>
              <w:spacing w:line="240" w:lineRule="auto"/>
              <w:ind w:firstLine="0"/>
              <w:jc w:val="center"/>
              <w:rPr>
                <w:rFonts w:ascii="Times New Roman" w:hAnsi="Times New Roman" w:cs="Times New Roman"/>
                <w:b/>
                <w:color w:val="FF0000"/>
                <w:sz w:val="21"/>
                <w:szCs w:val="21"/>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01" w:type="dxa"/>
            <w:vMerge w:val="restart"/>
            <w:vAlign w:val="center"/>
          </w:tcPr>
          <w:p>
            <w:pPr>
              <w:pStyle w:val="263"/>
              <w:spacing w:line="240" w:lineRule="auto"/>
              <w:ind w:firstLine="0"/>
              <w:jc w:val="center"/>
              <w:rPr>
                <w:rFonts w:hint="eastAsia" w:ascii="Times New Roman" w:hAnsi="Times New Roman" w:cs="Times New Roman" w:eastAsiaTheme="minorEastAsia"/>
                <w:color w:val="FF0000"/>
                <w:sz w:val="21"/>
                <w:szCs w:val="21"/>
                <w:u w:val="wave"/>
                <w:lang w:eastAsia="zh-CN"/>
              </w:rPr>
            </w:pPr>
            <w:r>
              <w:rPr>
                <w:rFonts w:hint="eastAsia" w:ascii="Times New Roman" w:hAnsi="Times New Roman" w:cs="Times New Roman"/>
                <w:color w:val="FF0000"/>
                <w:sz w:val="21"/>
                <w:szCs w:val="21"/>
                <w:u w:val="wave"/>
                <w:lang w:eastAsia="zh-CN"/>
              </w:rPr>
              <w:t>南部养殖区</w:t>
            </w:r>
          </w:p>
        </w:tc>
        <w:tc>
          <w:tcPr>
            <w:tcW w:w="917" w:type="dxa"/>
            <w:vAlign w:val="center"/>
          </w:tcPr>
          <w:p>
            <w:pPr>
              <w:jc w:val="center"/>
              <w:rPr>
                <w:rFonts w:eastAsiaTheme="minorEastAsia"/>
                <w:color w:val="FF0000"/>
                <w:szCs w:val="21"/>
                <w:u w:val="wave"/>
              </w:rPr>
            </w:pPr>
            <w:r>
              <w:rPr>
                <w:rFonts w:hAnsiTheme="minorEastAsia" w:eastAsiaTheme="minorEastAsia"/>
                <w:color w:val="FF0000"/>
                <w:szCs w:val="21"/>
                <w:u w:val="wave"/>
              </w:rPr>
              <w:t>氨</w:t>
            </w:r>
          </w:p>
        </w:tc>
        <w:tc>
          <w:tcPr>
            <w:tcW w:w="1437" w:type="dxa"/>
            <w:vAlign w:val="center"/>
          </w:tcPr>
          <w:p>
            <w:pPr>
              <w:jc w:val="center"/>
              <w:rPr>
                <w:rFonts w:hint="default" w:eastAsiaTheme="minorEastAsia"/>
                <w:color w:val="FF0000"/>
                <w:szCs w:val="21"/>
                <w:u w:val="wave"/>
                <w:lang w:val="en-US" w:eastAsia="zh-CN"/>
              </w:rPr>
            </w:pPr>
            <w:r>
              <w:rPr>
                <w:rFonts w:hint="eastAsia" w:eastAsiaTheme="minorEastAsia"/>
                <w:color w:val="FF0000"/>
                <w:szCs w:val="21"/>
                <w:u w:val="wave"/>
              </w:rPr>
              <w:t>4.5</w:t>
            </w:r>
            <w:r>
              <w:rPr>
                <w:rFonts w:hint="eastAsia" w:eastAsiaTheme="minorEastAsia"/>
                <w:color w:val="FF0000"/>
                <w:szCs w:val="21"/>
                <w:u w:val="wave"/>
                <w:lang w:val="en-US" w:eastAsia="zh-CN"/>
              </w:rPr>
              <w:t>318</w:t>
            </w:r>
          </w:p>
        </w:tc>
        <w:tc>
          <w:tcPr>
            <w:tcW w:w="1169" w:type="dxa"/>
            <w:vAlign w:val="center"/>
          </w:tcPr>
          <w:p>
            <w:pPr>
              <w:jc w:val="center"/>
              <w:rPr>
                <w:rFonts w:hint="eastAsia" w:eastAsiaTheme="minorEastAsia"/>
                <w:color w:val="FF0000"/>
                <w:szCs w:val="21"/>
                <w:u w:val="wave"/>
                <w:lang w:val="en-US" w:eastAsia="zh-CN"/>
              </w:rPr>
            </w:pPr>
            <w:r>
              <w:rPr>
                <w:rFonts w:hint="eastAsia" w:eastAsiaTheme="minorEastAsia"/>
                <w:color w:val="FF0000"/>
                <w:szCs w:val="21"/>
                <w:u w:val="wave"/>
              </w:rPr>
              <w:t>2.2</w:t>
            </w:r>
            <w:r>
              <w:rPr>
                <w:rFonts w:hint="eastAsia" w:eastAsiaTheme="minorEastAsia"/>
                <w:color w:val="FF0000"/>
                <w:szCs w:val="21"/>
                <w:u w:val="wave"/>
                <w:lang w:val="en-US" w:eastAsia="zh-CN"/>
              </w:rPr>
              <w:t>7</w:t>
            </w:r>
          </w:p>
        </w:tc>
        <w:tc>
          <w:tcPr>
            <w:tcW w:w="1073" w:type="dxa"/>
            <w:vAlign w:val="center"/>
          </w:tcPr>
          <w:p>
            <w:pPr>
              <w:jc w:val="center"/>
              <w:rPr>
                <w:rFonts w:eastAsiaTheme="minorEastAsia"/>
                <w:color w:val="FF0000"/>
                <w:szCs w:val="21"/>
                <w:u w:val="wave"/>
              </w:rPr>
            </w:pPr>
            <w:r>
              <w:rPr>
                <w:rFonts w:hint="eastAsia" w:eastAsiaTheme="minorEastAsia"/>
                <w:color w:val="FF0000"/>
                <w:szCs w:val="21"/>
                <w:u w:val="wave"/>
              </w:rPr>
              <w:t>68</w:t>
            </w:r>
          </w:p>
        </w:tc>
        <w:tc>
          <w:tcPr>
            <w:tcW w:w="1037" w:type="dxa"/>
            <w:vAlign w:val="center"/>
          </w:tcPr>
          <w:p>
            <w:pPr>
              <w:jc w:val="center"/>
              <w:rPr>
                <w:rFonts w:eastAsiaTheme="minorEastAsia"/>
                <w:color w:val="FF0000"/>
                <w:szCs w:val="21"/>
                <w:u w:val="wave"/>
              </w:rPr>
            </w:pPr>
            <w:r>
              <w:rPr>
                <w:rFonts w:hAnsiTheme="minorEastAsia" w:eastAsiaTheme="minorEastAsia"/>
                <w:color w:val="FF0000"/>
                <w:szCs w:val="21"/>
                <w:u w:val="wave"/>
              </w:rPr>
              <w:t>未出现</w:t>
            </w:r>
          </w:p>
        </w:tc>
        <w:tc>
          <w:tcPr>
            <w:tcW w:w="897" w:type="dxa"/>
            <w:vAlign w:val="center"/>
          </w:tcPr>
          <w:p>
            <w:pPr>
              <w:pStyle w:val="263"/>
              <w:spacing w:line="240" w:lineRule="auto"/>
              <w:ind w:firstLine="0"/>
              <w:jc w:val="center"/>
              <w:rPr>
                <w:rFonts w:ascii="Times New Roman" w:hAnsi="Times New Roman" w:cs="Times New Roman"/>
                <w:color w:val="FF0000"/>
                <w:sz w:val="21"/>
                <w:szCs w:val="21"/>
                <w:u w:val="wave"/>
              </w:rPr>
            </w:pPr>
            <w:r>
              <w:rPr>
                <w:rFonts w:ascii="Times New Roman" w:cs="Times New Roman" w:hAnsiTheme="minorEastAsia"/>
                <w:color w:val="FF0000"/>
                <w:sz w:val="21"/>
                <w:szCs w:val="21"/>
                <w:u w:val="wave"/>
              </w:rPr>
              <w:t>二级</w:t>
            </w:r>
          </w:p>
        </w:tc>
        <w:tc>
          <w:tcPr>
            <w:tcW w:w="897" w:type="dxa"/>
            <w:vMerge w:val="continue"/>
            <w:vAlign w:val="center"/>
          </w:tcPr>
          <w:p>
            <w:pPr>
              <w:pStyle w:val="263"/>
              <w:spacing w:line="240" w:lineRule="auto"/>
              <w:ind w:firstLine="0"/>
              <w:jc w:val="center"/>
              <w:rPr>
                <w:rFonts w:ascii="Times New Roman" w:hAnsi="Times New Roman" w:cs="Times New Roman"/>
                <w:color w:val="FF0000"/>
                <w:sz w:val="21"/>
                <w:szCs w:val="21"/>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01" w:type="dxa"/>
            <w:vMerge w:val="continue"/>
            <w:vAlign w:val="center"/>
          </w:tcPr>
          <w:p>
            <w:pPr>
              <w:pStyle w:val="263"/>
              <w:spacing w:line="240" w:lineRule="auto"/>
              <w:ind w:firstLine="0"/>
              <w:jc w:val="center"/>
              <w:rPr>
                <w:rFonts w:ascii="Times New Roman" w:hAnsi="Times New Roman" w:cs="Times New Roman"/>
                <w:color w:val="FF0000"/>
                <w:sz w:val="21"/>
                <w:szCs w:val="21"/>
                <w:u w:val="wave"/>
              </w:rPr>
            </w:pPr>
          </w:p>
        </w:tc>
        <w:tc>
          <w:tcPr>
            <w:tcW w:w="917" w:type="dxa"/>
            <w:vAlign w:val="center"/>
          </w:tcPr>
          <w:p>
            <w:pPr>
              <w:jc w:val="center"/>
              <w:rPr>
                <w:rFonts w:eastAsiaTheme="minorEastAsia"/>
                <w:color w:val="FF0000"/>
                <w:szCs w:val="21"/>
                <w:u w:val="wave"/>
              </w:rPr>
            </w:pPr>
            <w:r>
              <w:rPr>
                <w:rFonts w:hAnsiTheme="minorEastAsia" w:eastAsiaTheme="minorEastAsia"/>
                <w:color w:val="FF0000"/>
                <w:szCs w:val="21"/>
                <w:u w:val="wave"/>
              </w:rPr>
              <w:t>硫化氢</w:t>
            </w:r>
          </w:p>
        </w:tc>
        <w:tc>
          <w:tcPr>
            <w:tcW w:w="1437" w:type="dxa"/>
            <w:vAlign w:val="center"/>
          </w:tcPr>
          <w:p>
            <w:pPr>
              <w:jc w:val="center"/>
              <w:rPr>
                <w:rFonts w:hint="default" w:eastAsiaTheme="minorEastAsia"/>
                <w:color w:val="FF0000"/>
                <w:szCs w:val="21"/>
                <w:u w:val="wave"/>
                <w:lang w:val="en-US" w:eastAsia="zh-CN"/>
              </w:rPr>
            </w:pPr>
            <w:r>
              <w:rPr>
                <w:rFonts w:hint="eastAsia" w:eastAsiaTheme="minorEastAsia"/>
                <w:color w:val="FF0000"/>
                <w:szCs w:val="21"/>
                <w:u w:val="wave"/>
              </w:rPr>
              <w:t>0.4</w:t>
            </w:r>
            <w:r>
              <w:rPr>
                <w:rFonts w:hint="eastAsia" w:eastAsiaTheme="minorEastAsia"/>
                <w:color w:val="FF0000"/>
                <w:szCs w:val="21"/>
                <w:u w:val="wave"/>
                <w:lang w:val="en-US" w:eastAsia="zh-CN"/>
              </w:rPr>
              <w:t>5318</w:t>
            </w:r>
          </w:p>
        </w:tc>
        <w:tc>
          <w:tcPr>
            <w:tcW w:w="1169" w:type="dxa"/>
            <w:vAlign w:val="center"/>
          </w:tcPr>
          <w:p>
            <w:pPr>
              <w:jc w:val="center"/>
              <w:rPr>
                <w:rFonts w:hint="eastAsia" w:eastAsiaTheme="minorEastAsia"/>
                <w:color w:val="FF0000"/>
                <w:szCs w:val="21"/>
                <w:u w:val="wave"/>
                <w:lang w:val="en-US" w:eastAsia="zh-CN"/>
              </w:rPr>
            </w:pPr>
            <w:r>
              <w:rPr>
                <w:rFonts w:hint="eastAsia" w:eastAsiaTheme="minorEastAsia"/>
                <w:color w:val="FF0000"/>
                <w:szCs w:val="21"/>
                <w:u w:val="wave"/>
              </w:rPr>
              <w:t>4.5</w:t>
            </w:r>
            <w:r>
              <w:rPr>
                <w:rFonts w:hint="eastAsia" w:eastAsiaTheme="minorEastAsia"/>
                <w:color w:val="FF0000"/>
                <w:szCs w:val="21"/>
                <w:u w:val="wave"/>
                <w:lang w:val="en-US" w:eastAsia="zh-CN"/>
              </w:rPr>
              <w:t>3</w:t>
            </w:r>
          </w:p>
        </w:tc>
        <w:tc>
          <w:tcPr>
            <w:tcW w:w="1073" w:type="dxa"/>
            <w:vAlign w:val="center"/>
          </w:tcPr>
          <w:p>
            <w:pPr>
              <w:jc w:val="center"/>
              <w:rPr>
                <w:rFonts w:eastAsiaTheme="minorEastAsia"/>
                <w:color w:val="FF0000"/>
                <w:szCs w:val="21"/>
                <w:u w:val="wave"/>
              </w:rPr>
            </w:pPr>
            <w:r>
              <w:rPr>
                <w:rFonts w:hint="eastAsia" w:eastAsiaTheme="minorEastAsia"/>
                <w:color w:val="FF0000"/>
                <w:szCs w:val="21"/>
                <w:u w:val="wave"/>
              </w:rPr>
              <w:t>68</w:t>
            </w:r>
          </w:p>
        </w:tc>
        <w:tc>
          <w:tcPr>
            <w:tcW w:w="1037" w:type="dxa"/>
            <w:vAlign w:val="center"/>
          </w:tcPr>
          <w:p>
            <w:pPr>
              <w:jc w:val="center"/>
              <w:rPr>
                <w:rFonts w:eastAsiaTheme="minorEastAsia"/>
                <w:color w:val="FF0000"/>
                <w:szCs w:val="21"/>
                <w:u w:val="wave"/>
              </w:rPr>
            </w:pPr>
            <w:r>
              <w:rPr>
                <w:rFonts w:hAnsiTheme="minorEastAsia" w:eastAsiaTheme="minorEastAsia"/>
                <w:color w:val="FF0000"/>
                <w:szCs w:val="21"/>
                <w:u w:val="wave"/>
              </w:rPr>
              <w:t>未出现</w:t>
            </w:r>
          </w:p>
        </w:tc>
        <w:tc>
          <w:tcPr>
            <w:tcW w:w="897" w:type="dxa"/>
            <w:vAlign w:val="center"/>
          </w:tcPr>
          <w:p>
            <w:pPr>
              <w:pStyle w:val="263"/>
              <w:spacing w:line="240" w:lineRule="auto"/>
              <w:ind w:firstLine="0"/>
              <w:jc w:val="center"/>
              <w:rPr>
                <w:rFonts w:ascii="Times New Roman" w:hAnsi="Times New Roman" w:cs="Times New Roman"/>
                <w:color w:val="FF0000"/>
                <w:sz w:val="21"/>
                <w:szCs w:val="21"/>
                <w:u w:val="wave"/>
              </w:rPr>
            </w:pPr>
            <w:r>
              <w:rPr>
                <w:rFonts w:ascii="Times New Roman" w:cs="Times New Roman" w:hAnsiTheme="minorEastAsia"/>
                <w:color w:val="FF0000"/>
                <w:sz w:val="21"/>
                <w:szCs w:val="21"/>
                <w:u w:val="wave"/>
              </w:rPr>
              <w:t>二级</w:t>
            </w:r>
          </w:p>
        </w:tc>
        <w:tc>
          <w:tcPr>
            <w:tcW w:w="897" w:type="dxa"/>
            <w:vMerge w:val="continue"/>
            <w:vAlign w:val="center"/>
          </w:tcPr>
          <w:p>
            <w:pPr>
              <w:pStyle w:val="263"/>
              <w:spacing w:line="240" w:lineRule="auto"/>
              <w:ind w:firstLine="0"/>
              <w:jc w:val="center"/>
              <w:rPr>
                <w:rFonts w:ascii="Times New Roman" w:hAnsi="Times New Roman" w:cs="Times New Roman"/>
                <w:color w:val="FF0000"/>
                <w:sz w:val="21"/>
                <w:szCs w:val="21"/>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01" w:type="dxa"/>
            <w:vMerge w:val="continue"/>
            <w:vAlign w:val="center"/>
          </w:tcPr>
          <w:p>
            <w:pPr>
              <w:pStyle w:val="263"/>
              <w:spacing w:line="240" w:lineRule="auto"/>
              <w:ind w:firstLine="0"/>
              <w:jc w:val="center"/>
              <w:rPr>
                <w:rFonts w:ascii="Times New Roman" w:hAnsi="Times New Roman" w:cs="Times New Roman"/>
                <w:color w:val="FF0000"/>
                <w:sz w:val="21"/>
                <w:szCs w:val="21"/>
                <w:u w:val="wave"/>
              </w:rPr>
            </w:pPr>
          </w:p>
        </w:tc>
        <w:tc>
          <w:tcPr>
            <w:tcW w:w="917" w:type="dxa"/>
            <w:vAlign w:val="center"/>
          </w:tcPr>
          <w:p>
            <w:pPr>
              <w:jc w:val="center"/>
              <w:rPr>
                <w:rFonts w:hint="default" w:hAnsiTheme="minorEastAsia" w:eastAsiaTheme="minorEastAsia"/>
                <w:color w:val="FF0000"/>
                <w:szCs w:val="21"/>
                <w:u w:val="wave"/>
                <w:lang w:val="en-US" w:eastAsia="zh-CN"/>
              </w:rPr>
            </w:pPr>
            <w:r>
              <w:rPr>
                <w:rFonts w:hint="eastAsia" w:hAnsiTheme="minorEastAsia" w:eastAsiaTheme="minorEastAsia"/>
                <w:color w:val="FF0000"/>
                <w:szCs w:val="21"/>
                <w:u w:val="wave"/>
                <w:lang w:val="en-US" w:eastAsia="zh-CN"/>
              </w:rPr>
              <w:t>TSP</w:t>
            </w:r>
          </w:p>
        </w:tc>
        <w:tc>
          <w:tcPr>
            <w:tcW w:w="1437" w:type="dxa"/>
            <w:vAlign w:val="center"/>
          </w:tcPr>
          <w:p>
            <w:pPr>
              <w:jc w:val="center"/>
              <w:rPr>
                <w:rFonts w:hint="default" w:eastAsiaTheme="minorEastAsia"/>
                <w:color w:val="FF0000"/>
                <w:szCs w:val="21"/>
                <w:u w:val="wave"/>
                <w:lang w:val="en-US" w:eastAsia="zh-CN"/>
              </w:rPr>
            </w:pPr>
            <w:r>
              <w:rPr>
                <w:rFonts w:hint="eastAsia" w:eastAsiaTheme="minorEastAsia"/>
                <w:color w:val="FF0000"/>
                <w:szCs w:val="21"/>
                <w:u w:val="wave"/>
                <w:lang w:val="en-US" w:eastAsia="zh-CN"/>
              </w:rPr>
              <w:t>42.585</w:t>
            </w:r>
          </w:p>
        </w:tc>
        <w:tc>
          <w:tcPr>
            <w:tcW w:w="1169" w:type="dxa"/>
            <w:vAlign w:val="center"/>
          </w:tcPr>
          <w:p>
            <w:pPr>
              <w:jc w:val="center"/>
              <w:rPr>
                <w:rFonts w:hint="default" w:eastAsiaTheme="minorEastAsia"/>
                <w:color w:val="FF0000"/>
                <w:szCs w:val="21"/>
                <w:u w:val="wave"/>
                <w:lang w:val="en-US" w:eastAsia="zh-CN"/>
              </w:rPr>
            </w:pPr>
            <w:r>
              <w:rPr>
                <w:rFonts w:hint="eastAsia" w:eastAsiaTheme="minorEastAsia"/>
                <w:color w:val="FF0000"/>
                <w:szCs w:val="21"/>
                <w:u w:val="wave"/>
                <w:lang w:val="en-US" w:eastAsia="zh-CN"/>
              </w:rPr>
              <w:t>4.73</w:t>
            </w:r>
          </w:p>
        </w:tc>
        <w:tc>
          <w:tcPr>
            <w:tcW w:w="1073" w:type="dxa"/>
            <w:vAlign w:val="center"/>
          </w:tcPr>
          <w:p>
            <w:pPr>
              <w:jc w:val="center"/>
              <w:rPr>
                <w:rFonts w:hint="default" w:eastAsiaTheme="minorEastAsia"/>
                <w:color w:val="FF0000"/>
                <w:szCs w:val="21"/>
                <w:u w:val="wave"/>
                <w:lang w:val="en-US" w:eastAsia="zh-CN"/>
              </w:rPr>
            </w:pPr>
            <w:r>
              <w:rPr>
                <w:rFonts w:hint="eastAsia" w:eastAsiaTheme="minorEastAsia"/>
                <w:color w:val="FF0000"/>
                <w:szCs w:val="21"/>
                <w:u w:val="wave"/>
                <w:lang w:val="en-US" w:eastAsia="zh-CN"/>
              </w:rPr>
              <w:t>68</w:t>
            </w:r>
          </w:p>
        </w:tc>
        <w:tc>
          <w:tcPr>
            <w:tcW w:w="1037" w:type="dxa"/>
            <w:vAlign w:val="center"/>
          </w:tcPr>
          <w:p>
            <w:pPr>
              <w:jc w:val="center"/>
              <w:rPr>
                <w:rFonts w:ascii="Times New Roman" w:hAnsi="Times New Roman" w:cs="Times New Roman" w:eastAsiaTheme="minorEastAsia"/>
                <w:color w:val="FF0000"/>
                <w:kern w:val="2"/>
                <w:sz w:val="21"/>
                <w:szCs w:val="21"/>
                <w:u w:val="wave"/>
                <w:lang w:val="en-US" w:eastAsia="zh-CN" w:bidi="ar-SA"/>
              </w:rPr>
            </w:pPr>
            <w:r>
              <w:rPr>
                <w:rFonts w:hAnsiTheme="minorEastAsia" w:eastAsiaTheme="minorEastAsia"/>
                <w:color w:val="FF0000"/>
                <w:szCs w:val="21"/>
                <w:u w:val="wave"/>
              </w:rPr>
              <w:t>未出现</w:t>
            </w:r>
          </w:p>
        </w:tc>
        <w:tc>
          <w:tcPr>
            <w:tcW w:w="897" w:type="dxa"/>
            <w:vAlign w:val="center"/>
          </w:tcPr>
          <w:p>
            <w:pPr>
              <w:pStyle w:val="263"/>
              <w:spacing w:line="240" w:lineRule="auto"/>
              <w:ind w:firstLine="0" w:firstLineChars="0"/>
              <w:jc w:val="center"/>
              <w:rPr>
                <w:rFonts w:ascii="Times New Roman" w:hAnsi="Times New Roman" w:cs="Times New Roman" w:eastAsiaTheme="minorEastAsia"/>
                <w:color w:val="FF0000"/>
                <w:kern w:val="0"/>
                <w:sz w:val="21"/>
                <w:szCs w:val="21"/>
                <w:u w:val="wave"/>
                <w:lang w:val="en-US" w:eastAsia="zh-CN" w:bidi="ar-SA"/>
              </w:rPr>
            </w:pPr>
            <w:r>
              <w:rPr>
                <w:rFonts w:ascii="Times New Roman" w:cs="Times New Roman" w:hAnsiTheme="minorEastAsia"/>
                <w:color w:val="FF0000"/>
                <w:sz w:val="21"/>
                <w:szCs w:val="21"/>
                <w:u w:val="wave"/>
              </w:rPr>
              <w:t>二级</w:t>
            </w:r>
          </w:p>
        </w:tc>
        <w:tc>
          <w:tcPr>
            <w:tcW w:w="897" w:type="dxa"/>
            <w:vMerge w:val="continue"/>
            <w:vAlign w:val="center"/>
          </w:tcPr>
          <w:p>
            <w:pPr>
              <w:pStyle w:val="263"/>
              <w:spacing w:line="240" w:lineRule="auto"/>
              <w:ind w:firstLine="0"/>
              <w:jc w:val="center"/>
              <w:rPr>
                <w:rFonts w:ascii="Times New Roman" w:hAnsi="Times New Roman" w:cs="Times New Roman"/>
                <w:color w:val="FF0000"/>
                <w:sz w:val="21"/>
                <w:szCs w:val="21"/>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01" w:type="dxa"/>
            <w:vMerge w:val="restart"/>
            <w:vAlign w:val="center"/>
          </w:tcPr>
          <w:p>
            <w:pPr>
              <w:pStyle w:val="263"/>
              <w:spacing w:line="240" w:lineRule="auto"/>
              <w:ind w:firstLine="0"/>
              <w:jc w:val="center"/>
              <w:rPr>
                <w:rFonts w:ascii="Times New Roman" w:hAnsi="Times New Roman" w:cs="Times New Roman"/>
                <w:color w:val="FF0000"/>
                <w:sz w:val="21"/>
                <w:szCs w:val="21"/>
                <w:u w:val="wave"/>
              </w:rPr>
            </w:pPr>
            <w:r>
              <w:rPr>
                <w:rFonts w:hint="eastAsia" w:ascii="Times New Roman" w:hAnsi="Times New Roman" w:cs="Times New Roman"/>
                <w:color w:val="FF0000"/>
                <w:sz w:val="21"/>
                <w:szCs w:val="21"/>
                <w:u w:val="wave"/>
              </w:rPr>
              <w:t>东部养殖区</w:t>
            </w:r>
          </w:p>
        </w:tc>
        <w:tc>
          <w:tcPr>
            <w:tcW w:w="917" w:type="dxa"/>
            <w:vAlign w:val="center"/>
          </w:tcPr>
          <w:p>
            <w:pPr>
              <w:jc w:val="center"/>
              <w:rPr>
                <w:rFonts w:eastAsiaTheme="minorEastAsia"/>
                <w:color w:val="FF0000"/>
                <w:szCs w:val="21"/>
                <w:u w:val="wave"/>
              </w:rPr>
            </w:pPr>
            <w:r>
              <w:rPr>
                <w:rFonts w:hAnsiTheme="minorEastAsia" w:eastAsiaTheme="minorEastAsia"/>
                <w:color w:val="FF0000"/>
                <w:szCs w:val="21"/>
                <w:u w:val="wave"/>
              </w:rPr>
              <w:t>氨</w:t>
            </w:r>
          </w:p>
        </w:tc>
        <w:tc>
          <w:tcPr>
            <w:tcW w:w="1437" w:type="dxa"/>
            <w:vAlign w:val="center"/>
          </w:tcPr>
          <w:p>
            <w:pPr>
              <w:jc w:val="center"/>
              <w:rPr>
                <w:rFonts w:hint="default" w:eastAsiaTheme="minorEastAsia"/>
                <w:color w:val="FF0000"/>
                <w:szCs w:val="21"/>
                <w:u w:val="wave"/>
                <w:lang w:val="en-US" w:eastAsia="zh-CN"/>
              </w:rPr>
            </w:pPr>
            <w:r>
              <w:rPr>
                <w:rFonts w:hint="eastAsia" w:eastAsiaTheme="minorEastAsia"/>
                <w:color w:val="FF0000"/>
                <w:szCs w:val="21"/>
                <w:u w:val="wave"/>
              </w:rPr>
              <w:t>4.</w:t>
            </w:r>
            <w:r>
              <w:rPr>
                <w:rFonts w:hint="eastAsia" w:eastAsiaTheme="minorEastAsia"/>
                <w:color w:val="FF0000"/>
                <w:szCs w:val="21"/>
                <w:u w:val="wave"/>
                <w:lang w:val="en-US" w:eastAsia="zh-CN"/>
              </w:rPr>
              <w:t>3467</w:t>
            </w:r>
          </w:p>
        </w:tc>
        <w:tc>
          <w:tcPr>
            <w:tcW w:w="1169" w:type="dxa"/>
            <w:vAlign w:val="center"/>
          </w:tcPr>
          <w:p>
            <w:pPr>
              <w:jc w:val="center"/>
              <w:rPr>
                <w:rFonts w:eastAsiaTheme="minorEastAsia"/>
                <w:color w:val="FF0000"/>
                <w:szCs w:val="21"/>
                <w:u w:val="wave"/>
              </w:rPr>
            </w:pPr>
            <w:r>
              <w:rPr>
                <w:rFonts w:hint="eastAsia" w:eastAsiaTheme="minorEastAsia"/>
                <w:color w:val="FF0000"/>
                <w:szCs w:val="21"/>
                <w:u w:val="wave"/>
              </w:rPr>
              <w:t>2.</w:t>
            </w:r>
            <w:r>
              <w:rPr>
                <w:rFonts w:hint="eastAsia" w:eastAsiaTheme="minorEastAsia"/>
                <w:color w:val="FF0000"/>
                <w:szCs w:val="21"/>
                <w:u w:val="wave"/>
                <w:lang w:val="en-US" w:eastAsia="zh-CN"/>
              </w:rPr>
              <w:t>17</w:t>
            </w:r>
          </w:p>
        </w:tc>
        <w:tc>
          <w:tcPr>
            <w:tcW w:w="1073" w:type="dxa"/>
            <w:vAlign w:val="center"/>
          </w:tcPr>
          <w:p>
            <w:pPr>
              <w:jc w:val="center"/>
              <w:rPr>
                <w:rFonts w:eastAsiaTheme="minorEastAsia"/>
                <w:color w:val="FF0000"/>
                <w:szCs w:val="21"/>
                <w:u w:val="wave"/>
              </w:rPr>
            </w:pPr>
            <w:r>
              <w:rPr>
                <w:rFonts w:hint="eastAsia" w:eastAsiaTheme="minorEastAsia"/>
                <w:color w:val="FF0000"/>
                <w:szCs w:val="21"/>
                <w:u w:val="wave"/>
              </w:rPr>
              <w:t>70</w:t>
            </w:r>
          </w:p>
        </w:tc>
        <w:tc>
          <w:tcPr>
            <w:tcW w:w="1037" w:type="dxa"/>
            <w:vAlign w:val="center"/>
          </w:tcPr>
          <w:p>
            <w:pPr>
              <w:jc w:val="center"/>
              <w:rPr>
                <w:rFonts w:eastAsiaTheme="minorEastAsia"/>
                <w:color w:val="FF0000"/>
                <w:szCs w:val="21"/>
                <w:u w:val="wave"/>
              </w:rPr>
            </w:pPr>
            <w:r>
              <w:rPr>
                <w:rFonts w:hAnsiTheme="minorEastAsia" w:eastAsiaTheme="minorEastAsia"/>
                <w:color w:val="FF0000"/>
                <w:szCs w:val="21"/>
                <w:u w:val="wave"/>
              </w:rPr>
              <w:t>未出现</w:t>
            </w:r>
          </w:p>
        </w:tc>
        <w:tc>
          <w:tcPr>
            <w:tcW w:w="897" w:type="dxa"/>
            <w:vAlign w:val="center"/>
          </w:tcPr>
          <w:p>
            <w:pPr>
              <w:pStyle w:val="263"/>
              <w:spacing w:line="240" w:lineRule="auto"/>
              <w:ind w:firstLine="0"/>
              <w:jc w:val="center"/>
              <w:rPr>
                <w:rFonts w:ascii="Times New Roman" w:hAnsi="Times New Roman" w:cs="Times New Roman"/>
                <w:color w:val="FF0000"/>
                <w:sz w:val="21"/>
                <w:szCs w:val="21"/>
                <w:u w:val="wave"/>
              </w:rPr>
            </w:pPr>
            <w:r>
              <w:rPr>
                <w:rFonts w:ascii="Times New Roman" w:cs="Times New Roman" w:hAnsiTheme="minorEastAsia"/>
                <w:color w:val="FF0000"/>
                <w:sz w:val="21"/>
                <w:szCs w:val="21"/>
                <w:u w:val="wave"/>
              </w:rPr>
              <w:t>二级</w:t>
            </w:r>
          </w:p>
        </w:tc>
        <w:tc>
          <w:tcPr>
            <w:tcW w:w="897" w:type="dxa"/>
            <w:vMerge w:val="continue"/>
            <w:vAlign w:val="center"/>
          </w:tcPr>
          <w:p>
            <w:pPr>
              <w:pStyle w:val="263"/>
              <w:spacing w:line="240" w:lineRule="auto"/>
              <w:ind w:firstLine="0"/>
              <w:jc w:val="center"/>
              <w:rPr>
                <w:rFonts w:ascii="Times New Roman" w:hAnsi="Times New Roman" w:cs="Times New Roman"/>
                <w:color w:val="FF0000"/>
                <w:sz w:val="21"/>
                <w:szCs w:val="21"/>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01" w:type="dxa"/>
            <w:vMerge w:val="continue"/>
            <w:vAlign w:val="center"/>
          </w:tcPr>
          <w:p>
            <w:pPr>
              <w:pStyle w:val="263"/>
              <w:spacing w:line="240" w:lineRule="auto"/>
              <w:ind w:firstLine="0"/>
              <w:jc w:val="center"/>
              <w:rPr>
                <w:rFonts w:hint="eastAsia" w:ascii="Times New Roman" w:hAnsi="Times New Roman" w:cs="Times New Roman"/>
                <w:color w:val="FF0000"/>
                <w:sz w:val="21"/>
                <w:szCs w:val="21"/>
                <w:u w:val="wave"/>
              </w:rPr>
            </w:pPr>
          </w:p>
        </w:tc>
        <w:tc>
          <w:tcPr>
            <w:tcW w:w="917" w:type="dxa"/>
            <w:vAlign w:val="center"/>
          </w:tcPr>
          <w:p>
            <w:pPr>
              <w:jc w:val="center"/>
              <w:rPr>
                <w:rFonts w:ascii="Times New Roman" w:hAnsi="Times New Roman" w:cs="Times New Roman" w:eastAsiaTheme="minorEastAsia"/>
                <w:color w:val="FF0000"/>
                <w:kern w:val="2"/>
                <w:sz w:val="21"/>
                <w:szCs w:val="21"/>
                <w:u w:val="wave"/>
                <w:lang w:val="en-US" w:eastAsia="zh-CN" w:bidi="ar-SA"/>
              </w:rPr>
            </w:pPr>
            <w:r>
              <w:rPr>
                <w:rFonts w:hAnsiTheme="minorEastAsia" w:eastAsiaTheme="minorEastAsia"/>
                <w:color w:val="FF0000"/>
                <w:szCs w:val="21"/>
                <w:u w:val="wave"/>
              </w:rPr>
              <w:t>硫化氢</w:t>
            </w:r>
          </w:p>
        </w:tc>
        <w:tc>
          <w:tcPr>
            <w:tcW w:w="1437" w:type="dxa"/>
            <w:vAlign w:val="center"/>
          </w:tcPr>
          <w:p>
            <w:pPr>
              <w:jc w:val="center"/>
              <w:rPr>
                <w:rFonts w:hint="default" w:ascii="Times New Roman" w:hAnsi="Times New Roman" w:cs="Times New Roman" w:eastAsiaTheme="minorEastAsia"/>
                <w:color w:val="FF0000"/>
                <w:kern w:val="2"/>
                <w:sz w:val="21"/>
                <w:szCs w:val="21"/>
                <w:u w:val="wave"/>
                <w:lang w:val="en-US" w:eastAsia="zh-CN" w:bidi="ar-SA"/>
              </w:rPr>
            </w:pPr>
            <w:r>
              <w:rPr>
                <w:rFonts w:hint="eastAsia" w:eastAsiaTheme="minorEastAsia"/>
                <w:color w:val="FF0000"/>
                <w:szCs w:val="21"/>
                <w:u w:val="wave"/>
              </w:rPr>
              <w:t>0.4</w:t>
            </w:r>
            <w:r>
              <w:rPr>
                <w:rFonts w:hint="eastAsia" w:eastAsiaTheme="minorEastAsia"/>
                <w:color w:val="FF0000"/>
                <w:szCs w:val="21"/>
                <w:u w:val="wave"/>
                <w:lang w:val="en-US" w:eastAsia="zh-CN"/>
              </w:rPr>
              <w:t>3467</w:t>
            </w:r>
          </w:p>
        </w:tc>
        <w:tc>
          <w:tcPr>
            <w:tcW w:w="1169" w:type="dxa"/>
            <w:vAlign w:val="center"/>
          </w:tcPr>
          <w:p>
            <w:pPr>
              <w:jc w:val="center"/>
              <w:rPr>
                <w:rFonts w:hint="default" w:ascii="Times New Roman" w:hAnsi="Times New Roman" w:cs="Times New Roman" w:eastAsiaTheme="minorEastAsia"/>
                <w:color w:val="FF0000"/>
                <w:kern w:val="2"/>
                <w:sz w:val="21"/>
                <w:szCs w:val="21"/>
                <w:u w:val="wave"/>
                <w:lang w:val="en-US" w:eastAsia="zh-CN" w:bidi="ar-SA"/>
              </w:rPr>
            </w:pPr>
            <w:r>
              <w:rPr>
                <w:rFonts w:hint="eastAsia" w:eastAsiaTheme="minorEastAsia"/>
                <w:color w:val="FF0000"/>
                <w:szCs w:val="21"/>
                <w:u w:val="wave"/>
              </w:rPr>
              <w:t>4.</w:t>
            </w:r>
            <w:r>
              <w:rPr>
                <w:rFonts w:hint="eastAsia" w:eastAsiaTheme="minorEastAsia"/>
                <w:color w:val="FF0000"/>
                <w:szCs w:val="21"/>
                <w:u w:val="wave"/>
                <w:lang w:val="en-US" w:eastAsia="zh-CN"/>
              </w:rPr>
              <w:t>35</w:t>
            </w:r>
          </w:p>
        </w:tc>
        <w:tc>
          <w:tcPr>
            <w:tcW w:w="1073" w:type="dxa"/>
            <w:vAlign w:val="center"/>
          </w:tcPr>
          <w:p>
            <w:pPr>
              <w:jc w:val="center"/>
              <w:rPr>
                <w:rFonts w:hint="eastAsia" w:ascii="Times New Roman" w:hAnsi="Times New Roman" w:cs="Times New Roman" w:eastAsiaTheme="minorEastAsia"/>
                <w:color w:val="FF0000"/>
                <w:kern w:val="2"/>
                <w:sz w:val="21"/>
                <w:szCs w:val="21"/>
                <w:u w:val="wave"/>
                <w:lang w:val="en-US" w:eastAsia="zh-CN" w:bidi="ar-SA"/>
              </w:rPr>
            </w:pPr>
            <w:r>
              <w:rPr>
                <w:rFonts w:hint="eastAsia" w:eastAsiaTheme="minorEastAsia"/>
                <w:color w:val="FF0000"/>
                <w:szCs w:val="21"/>
                <w:u w:val="wave"/>
              </w:rPr>
              <w:t>70</w:t>
            </w:r>
          </w:p>
        </w:tc>
        <w:tc>
          <w:tcPr>
            <w:tcW w:w="1037" w:type="dxa"/>
            <w:vAlign w:val="center"/>
          </w:tcPr>
          <w:p>
            <w:pPr>
              <w:jc w:val="center"/>
              <w:rPr>
                <w:rFonts w:ascii="Times New Roman" w:hAnsi="Times New Roman" w:cs="Times New Roman" w:eastAsiaTheme="minorEastAsia"/>
                <w:color w:val="FF0000"/>
                <w:kern w:val="2"/>
                <w:sz w:val="21"/>
                <w:szCs w:val="21"/>
                <w:u w:val="wave"/>
                <w:lang w:val="en-US" w:eastAsia="zh-CN" w:bidi="ar-SA"/>
              </w:rPr>
            </w:pPr>
            <w:r>
              <w:rPr>
                <w:rFonts w:hAnsiTheme="minorEastAsia" w:eastAsiaTheme="minorEastAsia"/>
                <w:color w:val="FF0000"/>
                <w:szCs w:val="21"/>
                <w:u w:val="wave"/>
              </w:rPr>
              <w:t>未出现</w:t>
            </w:r>
          </w:p>
        </w:tc>
        <w:tc>
          <w:tcPr>
            <w:tcW w:w="897" w:type="dxa"/>
            <w:vAlign w:val="center"/>
          </w:tcPr>
          <w:p>
            <w:pPr>
              <w:pStyle w:val="263"/>
              <w:spacing w:line="240" w:lineRule="auto"/>
              <w:ind w:firstLine="0" w:firstLineChars="0"/>
              <w:jc w:val="center"/>
              <w:rPr>
                <w:rFonts w:ascii="Times New Roman" w:hAnsi="Times New Roman" w:cs="Times New Roman" w:eastAsiaTheme="minorEastAsia"/>
                <w:color w:val="FF0000"/>
                <w:kern w:val="0"/>
                <w:sz w:val="21"/>
                <w:szCs w:val="21"/>
                <w:u w:val="wave"/>
                <w:lang w:val="en-US" w:eastAsia="zh-CN" w:bidi="ar-SA"/>
              </w:rPr>
            </w:pPr>
            <w:r>
              <w:rPr>
                <w:rFonts w:ascii="Times New Roman" w:cs="Times New Roman" w:hAnsiTheme="minorEastAsia"/>
                <w:color w:val="FF0000"/>
                <w:sz w:val="21"/>
                <w:szCs w:val="21"/>
                <w:u w:val="wave"/>
              </w:rPr>
              <w:t>二级</w:t>
            </w:r>
          </w:p>
        </w:tc>
        <w:tc>
          <w:tcPr>
            <w:tcW w:w="897" w:type="dxa"/>
            <w:vMerge w:val="continue"/>
            <w:vAlign w:val="center"/>
          </w:tcPr>
          <w:p>
            <w:pPr>
              <w:pStyle w:val="263"/>
              <w:spacing w:line="240" w:lineRule="auto"/>
              <w:ind w:firstLine="0"/>
              <w:jc w:val="center"/>
              <w:rPr>
                <w:rFonts w:ascii="Times New Roman" w:hAnsi="Times New Roman" w:cs="Times New Roman"/>
                <w:color w:val="FF0000"/>
                <w:sz w:val="21"/>
                <w:szCs w:val="21"/>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01" w:type="dxa"/>
            <w:vMerge w:val="continue"/>
            <w:vAlign w:val="center"/>
          </w:tcPr>
          <w:p>
            <w:pPr>
              <w:pStyle w:val="263"/>
              <w:spacing w:line="240" w:lineRule="auto"/>
              <w:ind w:firstLine="0"/>
              <w:jc w:val="center"/>
              <w:rPr>
                <w:rFonts w:ascii="Times New Roman" w:hAnsi="Times New Roman" w:cs="Times New Roman"/>
                <w:color w:val="FF0000"/>
                <w:sz w:val="21"/>
                <w:szCs w:val="21"/>
                <w:u w:val="wave"/>
              </w:rPr>
            </w:pPr>
          </w:p>
        </w:tc>
        <w:tc>
          <w:tcPr>
            <w:tcW w:w="917" w:type="dxa"/>
            <w:vAlign w:val="center"/>
          </w:tcPr>
          <w:p>
            <w:pPr>
              <w:jc w:val="center"/>
              <w:rPr>
                <w:rFonts w:hint="default" w:eastAsiaTheme="minorEastAsia"/>
                <w:color w:val="FF0000"/>
                <w:szCs w:val="21"/>
                <w:u w:val="wave"/>
                <w:lang w:val="en-US" w:eastAsia="zh-CN"/>
              </w:rPr>
            </w:pPr>
            <w:r>
              <w:rPr>
                <w:rFonts w:hint="eastAsia" w:eastAsiaTheme="minorEastAsia"/>
                <w:color w:val="FF0000"/>
                <w:szCs w:val="21"/>
                <w:u w:val="wave"/>
                <w:lang w:val="en-US" w:eastAsia="zh-CN"/>
              </w:rPr>
              <w:t>TSP</w:t>
            </w:r>
          </w:p>
        </w:tc>
        <w:tc>
          <w:tcPr>
            <w:tcW w:w="1437" w:type="dxa"/>
            <w:vAlign w:val="center"/>
          </w:tcPr>
          <w:p>
            <w:pPr>
              <w:jc w:val="center"/>
              <w:rPr>
                <w:rFonts w:hint="default" w:ascii="Times New Roman" w:hAnsi="Times New Roman" w:cs="Times New Roman" w:eastAsiaTheme="minorEastAsia"/>
                <w:color w:val="FF0000"/>
                <w:kern w:val="2"/>
                <w:sz w:val="21"/>
                <w:szCs w:val="21"/>
                <w:u w:val="wave"/>
                <w:lang w:val="en-US" w:eastAsia="zh-CN" w:bidi="ar-SA"/>
              </w:rPr>
            </w:pPr>
            <w:r>
              <w:rPr>
                <w:rFonts w:hint="eastAsia" w:eastAsiaTheme="minorEastAsia"/>
                <w:color w:val="FF0000"/>
                <w:szCs w:val="21"/>
                <w:u w:val="wave"/>
                <w:lang w:val="en-US" w:eastAsia="zh-CN"/>
              </w:rPr>
              <w:t>40.837</w:t>
            </w:r>
          </w:p>
        </w:tc>
        <w:tc>
          <w:tcPr>
            <w:tcW w:w="1169" w:type="dxa"/>
            <w:vAlign w:val="center"/>
          </w:tcPr>
          <w:p>
            <w:pPr>
              <w:jc w:val="center"/>
              <w:rPr>
                <w:rFonts w:hint="default" w:ascii="Times New Roman" w:hAnsi="Times New Roman" w:cs="Times New Roman" w:eastAsiaTheme="minorEastAsia"/>
                <w:color w:val="FF0000"/>
                <w:kern w:val="2"/>
                <w:sz w:val="21"/>
                <w:szCs w:val="21"/>
                <w:u w:val="wave"/>
                <w:lang w:val="en-US" w:eastAsia="zh-CN" w:bidi="ar-SA"/>
              </w:rPr>
            </w:pPr>
            <w:r>
              <w:rPr>
                <w:rFonts w:hint="eastAsia" w:eastAsiaTheme="minorEastAsia"/>
                <w:color w:val="FF0000"/>
                <w:szCs w:val="21"/>
                <w:u w:val="wave"/>
                <w:lang w:val="en-US" w:eastAsia="zh-CN"/>
              </w:rPr>
              <w:t>4.54</w:t>
            </w:r>
          </w:p>
        </w:tc>
        <w:tc>
          <w:tcPr>
            <w:tcW w:w="1073" w:type="dxa"/>
            <w:vAlign w:val="center"/>
          </w:tcPr>
          <w:p>
            <w:pPr>
              <w:jc w:val="center"/>
              <w:rPr>
                <w:rFonts w:hint="default" w:ascii="Times New Roman" w:hAnsi="Times New Roman" w:cs="Times New Roman" w:eastAsiaTheme="minorEastAsia"/>
                <w:color w:val="FF0000"/>
                <w:kern w:val="2"/>
                <w:sz w:val="21"/>
                <w:szCs w:val="21"/>
                <w:u w:val="wave"/>
                <w:lang w:val="en-US" w:eastAsia="zh-CN" w:bidi="ar-SA"/>
              </w:rPr>
            </w:pPr>
            <w:r>
              <w:rPr>
                <w:rFonts w:hint="eastAsia" w:eastAsiaTheme="minorEastAsia"/>
                <w:color w:val="FF0000"/>
                <w:szCs w:val="21"/>
                <w:u w:val="wave"/>
                <w:lang w:val="en-US" w:eastAsia="zh-CN"/>
              </w:rPr>
              <w:t>70</w:t>
            </w:r>
          </w:p>
        </w:tc>
        <w:tc>
          <w:tcPr>
            <w:tcW w:w="1037" w:type="dxa"/>
            <w:vAlign w:val="center"/>
          </w:tcPr>
          <w:p>
            <w:pPr>
              <w:jc w:val="center"/>
              <w:rPr>
                <w:rFonts w:ascii="Times New Roman" w:hAnsi="Times New Roman" w:cs="Times New Roman" w:eastAsiaTheme="minorEastAsia"/>
                <w:color w:val="FF0000"/>
                <w:kern w:val="2"/>
                <w:sz w:val="21"/>
                <w:szCs w:val="21"/>
                <w:u w:val="wave"/>
                <w:lang w:val="en-US" w:eastAsia="zh-CN" w:bidi="ar-SA"/>
              </w:rPr>
            </w:pPr>
            <w:r>
              <w:rPr>
                <w:rFonts w:hAnsiTheme="minorEastAsia" w:eastAsiaTheme="minorEastAsia"/>
                <w:color w:val="FF0000"/>
                <w:szCs w:val="21"/>
                <w:u w:val="wave"/>
              </w:rPr>
              <w:t>未出现</w:t>
            </w:r>
          </w:p>
        </w:tc>
        <w:tc>
          <w:tcPr>
            <w:tcW w:w="897" w:type="dxa"/>
            <w:vAlign w:val="center"/>
          </w:tcPr>
          <w:p>
            <w:pPr>
              <w:pStyle w:val="263"/>
              <w:spacing w:line="240" w:lineRule="auto"/>
              <w:ind w:firstLine="0" w:firstLineChars="0"/>
              <w:jc w:val="center"/>
              <w:rPr>
                <w:rFonts w:ascii="Times New Roman" w:hAnsi="Times New Roman" w:cs="Times New Roman" w:eastAsiaTheme="minorEastAsia"/>
                <w:color w:val="FF0000"/>
                <w:kern w:val="0"/>
                <w:sz w:val="21"/>
                <w:szCs w:val="21"/>
                <w:u w:val="wave"/>
                <w:lang w:val="en-US" w:eastAsia="zh-CN" w:bidi="ar-SA"/>
              </w:rPr>
            </w:pPr>
            <w:r>
              <w:rPr>
                <w:rFonts w:ascii="Times New Roman" w:cs="Times New Roman" w:hAnsiTheme="minorEastAsia"/>
                <w:color w:val="FF0000"/>
                <w:sz w:val="21"/>
                <w:szCs w:val="21"/>
                <w:u w:val="wave"/>
              </w:rPr>
              <w:t>二级</w:t>
            </w:r>
          </w:p>
        </w:tc>
        <w:tc>
          <w:tcPr>
            <w:tcW w:w="897" w:type="dxa"/>
            <w:vMerge w:val="continue"/>
            <w:vAlign w:val="center"/>
          </w:tcPr>
          <w:p>
            <w:pPr>
              <w:pStyle w:val="263"/>
              <w:spacing w:line="240" w:lineRule="auto"/>
              <w:ind w:firstLine="0"/>
              <w:jc w:val="center"/>
              <w:rPr>
                <w:rFonts w:ascii="Times New Roman" w:hAnsi="Times New Roman" w:cs="Times New Roman"/>
                <w:color w:val="FF0000"/>
                <w:sz w:val="21"/>
                <w:szCs w:val="21"/>
                <w:u w:val="wave"/>
              </w:rPr>
            </w:pPr>
          </w:p>
        </w:tc>
      </w:tr>
    </w:tbl>
    <w:p>
      <w:pPr>
        <w:snapToGrid w:val="0"/>
        <w:spacing w:line="480" w:lineRule="exact"/>
        <w:ind w:firstLine="480" w:firstLineChars="200"/>
        <w:rPr>
          <w:sz w:val="24"/>
        </w:rPr>
      </w:pPr>
      <w:r>
        <w:rPr>
          <w:color w:val="FF0000"/>
          <w:sz w:val="24"/>
          <w:u w:val="wave"/>
        </w:rPr>
        <w:t xml:space="preserve">从上表的计算结果可知，并结合《环境影响评价技术导则 </w:t>
      </w:r>
      <w:r>
        <w:rPr>
          <w:rFonts w:hint="eastAsia"/>
          <w:color w:val="FF0000"/>
          <w:sz w:val="24"/>
          <w:u w:val="wave"/>
        </w:rPr>
        <w:t xml:space="preserve"> </w:t>
      </w:r>
      <w:r>
        <w:rPr>
          <w:color w:val="FF0000"/>
          <w:sz w:val="24"/>
          <w:u w:val="wave"/>
        </w:rPr>
        <w:t>大气环境》（HJ2.2-2018）的评价等级分析判定（详见表2.4-1），本次环境空气影响评价工作等级为二级</w:t>
      </w:r>
      <w:r>
        <w:rPr>
          <w:sz w:val="24"/>
        </w:rPr>
        <w:t>。</w:t>
      </w:r>
    </w:p>
    <w:p>
      <w:pPr>
        <w:pStyle w:val="7"/>
        <w:adjustRightInd w:val="0"/>
        <w:snapToGrid w:val="0"/>
        <w:spacing w:before="0" w:after="0" w:line="360" w:lineRule="auto"/>
        <w:jc w:val="left"/>
        <w:rPr>
          <w:sz w:val="24"/>
          <w:szCs w:val="24"/>
        </w:rPr>
      </w:pPr>
      <w:r>
        <w:rPr>
          <w:rFonts w:hint="eastAsia"/>
          <w:sz w:val="24"/>
          <w:szCs w:val="24"/>
        </w:rPr>
        <w:t xml:space="preserve">2.4.2 </w:t>
      </w:r>
      <w:r>
        <w:rPr>
          <w:sz w:val="24"/>
          <w:szCs w:val="24"/>
        </w:rPr>
        <w:t>地表水环境影响评价等级</w:t>
      </w:r>
    </w:p>
    <w:p>
      <w:pPr>
        <w:pStyle w:val="212"/>
        <w:ind w:firstLine="480"/>
      </w:pPr>
      <w:r>
        <w:t>根据《环境影响评价技术导则</w:t>
      </w:r>
      <w:r>
        <w:rPr>
          <w:rFonts w:hint="eastAsia"/>
        </w:rPr>
        <w:t>地表  水环境》（</w:t>
      </w:r>
      <w:r>
        <w:t>HJ/T2.3-</w:t>
      </w:r>
      <w:r>
        <w:rPr>
          <w:rFonts w:hint="eastAsia"/>
        </w:rPr>
        <w:t>2018），按照影响类型、排放方式、排放量或影响情况、收纳水体环境质量现状、水环境保护目标等综合确定地表水评价等级。本项目影响类型为水污染影响类型，其评价等级判定依据见表2.4-4。</w:t>
      </w:r>
    </w:p>
    <w:p>
      <w:pPr>
        <w:pStyle w:val="212"/>
        <w:spacing w:beforeLines="50" w:line="240" w:lineRule="auto"/>
        <w:ind w:firstLine="0" w:firstLineChars="0"/>
        <w:jc w:val="center"/>
        <w:rPr>
          <w:rFonts w:eastAsiaTheme="majorEastAsia"/>
          <w:b/>
          <w:sz w:val="21"/>
          <w:szCs w:val="21"/>
        </w:rPr>
      </w:pPr>
      <w:r>
        <w:rPr>
          <w:rFonts w:hAnsiTheme="majorEastAsia" w:eastAsiaTheme="majorEastAsia"/>
          <w:b/>
          <w:sz w:val="21"/>
          <w:szCs w:val="21"/>
        </w:rPr>
        <w:t>表</w:t>
      </w:r>
      <w:r>
        <w:rPr>
          <w:rFonts w:hint="eastAsia" w:eastAsiaTheme="majorEastAsia"/>
          <w:b/>
          <w:sz w:val="21"/>
          <w:szCs w:val="21"/>
        </w:rPr>
        <w:t>2.4-4  水污染影响型建设项目评价等级判定判定（摘录）</w:t>
      </w:r>
    </w:p>
    <w:tbl>
      <w:tblPr>
        <w:tblStyle w:val="4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2"/>
        <w:gridCol w:w="2843"/>
        <w:gridCol w:w="28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vMerge w:val="restart"/>
            <w:vAlign w:val="center"/>
          </w:tcPr>
          <w:p>
            <w:pPr>
              <w:pStyle w:val="212"/>
              <w:spacing w:line="240" w:lineRule="auto"/>
              <w:ind w:firstLine="0" w:firstLineChars="0"/>
              <w:jc w:val="center"/>
              <w:rPr>
                <w:b/>
                <w:sz w:val="21"/>
                <w:szCs w:val="21"/>
              </w:rPr>
            </w:pPr>
            <w:r>
              <w:rPr>
                <w:b/>
                <w:sz w:val="21"/>
                <w:szCs w:val="21"/>
              </w:rPr>
              <w:t>评价等级</w:t>
            </w:r>
          </w:p>
        </w:tc>
        <w:tc>
          <w:tcPr>
            <w:tcW w:w="5686" w:type="dxa"/>
            <w:gridSpan w:val="2"/>
            <w:vAlign w:val="center"/>
          </w:tcPr>
          <w:p>
            <w:pPr>
              <w:pStyle w:val="212"/>
              <w:spacing w:line="240" w:lineRule="auto"/>
              <w:ind w:firstLine="0" w:firstLineChars="0"/>
              <w:jc w:val="center"/>
              <w:rPr>
                <w:b/>
                <w:sz w:val="21"/>
                <w:szCs w:val="21"/>
              </w:rPr>
            </w:pPr>
            <w:r>
              <w:rPr>
                <w:b/>
                <w:sz w:val="21"/>
                <w:szCs w:val="21"/>
              </w:rPr>
              <w:t>判定依据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vMerge w:val="continue"/>
            <w:vAlign w:val="center"/>
          </w:tcPr>
          <w:p>
            <w:pPr>
              <w:pStyle w:val="212"/>
              <w:spacing w:line="240" w:lineRule="auto"/>
              <w:ind w:firstLine="0" w:firstLineChars="0"/>
              <w:jc w:val="center"/>
              <w:rPr>
                <w:b/>
                <w:sz w:val="21"/>
                <w:szCs w:val="21"/>
              </w:rPr>
            </w:pPr>
          </w:p>
        </w:tc>
        <w:tc>
          <w:tcPr>
            <w:tcW w:w="2843" w:type="dxa"/>
            <w:vAlign w:val="center"/>
          </w:tcPr>
          <w:p>
            <w:pPr>
              <w:pStyle w:val="212"/>
              <w:spacing w:line="240" w:lineRule="auto"/>
              <w:ind w:firstLine="0" w:firstLineChars="0"/>
              <w:jc w:val="center"/>
              <w:rPr>
                <w:b/>
                <w:sz w:val="21"/>
                <w:szCs w:val="21"/>
              </w:rPr>
            </w:pPr>
            <w:r>
              <w:rPr>
                <w:b/>
                <w:sz w:val="21"/>
                <w:szCs w:val="21"/>
              </w:rPr>
              <w:t>排放方式</w:t>
            </w:r>
          </w:p>
        </w:tc>
        <w:tc>
          <w:tcPr>
            <w:tcW w:w="2843" w:type="dxa"/>
            <w:vAlign w:val="center"/>
          </w:tcPr>
          <w:p>
            <w:pPr>
              <w:pStyle w:val="212"/>
              <w:spacing w:line="240" w:lineRule="auto"/>
              <w:ind w:firstLine="0" w:firstLineChars="0"/>
              <w:jc w:val="center"/>
              <w:rPr>
                <w:b/>
                <w:sz w:val="21"/>
                <w:szCs w:val="21"/>
              </w:rPr>
            </w:pPr>
            <w:r>
              <w:rPr>
                <w:b/>
                <w:sz w:val="21"/>
                <w:szCs w:val="21"/>
              </w:rPr>
              <w:t>废水排放量</w:t>
            </w:r>
            <w:r>
              <w:rPr>
                <w:rFonts w:hint="eastAsia"/>
                <w:b/>
                <w:sz w:val="21"/>
                <w:szCs w:val="21"/>
              </w:rPr>
              <w:t>Q/（m</w:t>
            </w:r>
            <w:r>
              <w:rPr>
                <w:rFonts w:hint="eastAsia"/>
                <w:b/>
                <w:sz w:val="21"/>
                <w:szCs w:val="21"/>
                <w:vertAlign w:val="superscript"/>
              </w:rPr>
              <w:t>3</w:t>
            </w:r>
            <w:r>
              <w:rPr>
                <w:rFonts w:hint="eastAsia"/>
                <w:b/>
                <w:sz w:val="21"/>
                <w:szCs w:val="21"/>
              </w:rPr>
              <w:t>/d）；水污染物当量数W（无纲量）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vAlign w:val="center"/>
          </w:tcPr>
          <w:p>
            <w:pPr>
              <w:pStyle w:val="212"/>
              <w:spacing w:line="240" w:lineRule="auto"/>
              <w:ind w:firstLine="0" w:firstLineChars="0"/>
              <w:jc w:val="center"/>
              <w:rPr>
                <w:sz w:val="21"/>
                <w:szCs w:val="21"/>
              </w:rPr>
            </w:pPr>
            <w:r>
              <w:rPr>
                <w:sz w:val="21"/>
                <w:szCs w:val="21"/>
              </w:rPr>
              <w:t>一级</w:t>
            </w:r>
          </w:p>
        </w:tc>
        <w:tc>
          <w:tcPr>
            <w:tcW w:w="2843" w:type="dxa"/>
            <w:vAlign w:val="center"/>
          </w:tcPr>
          <w:p>
            <w:pPr>
              <w:pStyle w:val="212"/>
              <w:spacing w:line="240" w:lineRule="auto"/>
              <w:ind w:firstLine="0" w:firstLineChars="0"/>
              <w:jc w:val="center"/>
              <w:rPr>
                <w:sz w:val="21"/>
                <w:szCs w:val="21"/>
              </w:rPr>
            </w:pPr>
            <w:r>
              <w:rPr>
                <w:sz w:val="21"/>
                <w:szCs w:val="21"/>
              </w:rPr>
              <w:t>直接排放</w:t>
            </w:r>
          </w:p>
        </w:tc>
        <w:tc>
          <w:tcPr>
            <w:tcW w:w="2843" w:type="dxa"/>
            <w:vAlign w:val="center"/>
          </w:tcPr>
          <w:p>
            <w:pPr>
              <w:pStyle w:val="212"/>
              <w:spacing w:line="240" w:lineRule="auto"/>
              <w:ind w:firstLine="0" w:firstLineChars="0"/>
              <w:jc w:val="center"/>
              <w:rPr>
                <w:sz w:val="21"/>
                <w:szCs w:val="21"/>
              </w:rPr>
            </w:pPr>
            <w:r>
              <w:rPr>
                <w:rFonts w:hint="eastAsia"/>
                <w:sz w:val="21"/>
                <w:szCs w:val="21"/>
              </w:rPr>
              <w:t>Q≥20000或W≥600000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vAlign w:val="center"/>
          </w:tcPr>
          <w:p>
            <w:pPr>
              <w:pStyle w:val="212"/>
              <w:spacing w:line="240" w:lineRule="auto"/>
              <w:ind w:firstLine="0" w:firstLineChars="0"/>
              <w:jc w:val="center"/>
              <w:rPr>
                <w:sz w:val="21"/>
                <w:szCs w:val="21"/>
              </w:rPr>
            </w:pPr>
            <w:r>
              <w:rPr>
                <w:sz w:val="21"/>
                <w:szCs w:val="21"/>
              </w:rPr>
              <w:t>二级</w:t>
            </w:r>
          </w:p>
        </w:tc>
        <w:tc>
          <w:tcPr>
            <w:tcW w:w="2843" w:type="dxa"/>
            <w:vAlign w:val="center"/>
          </w:tcPr>
          <w:p>
            <w:pPr>
              <w:pStyle w:val="212"/>
              <w:spacing w:line="240" w:lineRule="auto"/>
              <w:ind w:firstLine="0" w:firstLineChars="0"/>
              <w:jc w:val="center"/>
              <w:rPr>
                <w:sz w:val="21"/>
                <w:szCs w:val="21"/>
              </w:rPr>
            </w:pPr>
            <w:r>
              <w:rPr>
                <w:sz w:val="21"/>
                <w:szCs w:val="21"/>
              </w:rPr>
              <w:t>直接排放</w:t>
            </w:r>
          </w:p>
        </w:tc>
        <w:tc>
          <w:tcPr>
            <w:tcW w:w="2843" w:type="dxa"/>
            <w:vAlign w:val="center"/>
          </w:tcPr>
          <w:p>
            <w:pPr>
              <w:pStyle w:val="212"/>
              <w:spacing w:line="240" w:lineRule="auto"/>
              <w:ind w:firstLine="0" w:firstLineChars="0"/>
              <w:jc w:val="center"/>
              <w:rPr>
                <w:sz w:val="21"/>
                <w:szCs w:val="21"/>
              </w:rPr>
            </w:pPr>
            <w:r>
              <w:rPr>
                <w:sz w:val="21"/>
                <w:szCs w:val="21"/>
              </w:rPr>
              <w:t>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vAlign w:val="center"/>
          </w:tcPr>
          <w:p>
            <w:pPr>
              <w:pStyle w:val="212"/>
              <w:spacing w:line="240" w:lineRule="auto"/>
              <w:ind w:firstLine="0" w:firstLineChars="0"/>
              <w:jc w:val="center"/>
              <w:rPr>
                <w:sz w:val="21"/>
                <w:szCs w:val="21"/>
              </w:rPr>
            </w:pPr>
            <w:r>
              <w:rPr>
                <w:sz w:val="21"/>
                <w:szCs w:val="21"/>
              </w:rPr>
              <w:t>三级</w:t>
            </w:r>
            <w:r>
              <w:rPr>
                <w:rFonts w:hint="eastAsia"/>
                <w:sz w:val="21"/>
                <w:szCs w:val="21"/>
              </w:rPr>
              <w:t>A</w:t>
            </w:r>
          </w:p>
        </w:tc>
        <w:tc>
          <w:tcPr>
            <w:tcW w:w="2843" w:type="dxa"/>
            <w:vAlign w:val="center"/>
          </w:tcPr>
          <w:p>
            <w:pPr>
              <w:pStyle w:val="212"/>
              <w:spacing w:line="240" w:lineRule="auto"/>
              <w:ind w:firstLine="0" w:firstLineChars="0"/>
              <w:jc w:val="center"/>
              <w:rPr>
                <w:sz w:val="21"/>
                <w:szCs w:val="21"/>
              </w:rPr>
            </w:pPr>
            <w:r>
              <w:rPr>
                <w:sz w:val="21"/>
                <w:szCs w:val="21"/>
              </w:rPr>
              <w:t>直接排放</w:t>
            </w:r>
          </w:p>
        </w:tc>
        <w:tc>
          <w:tcPr>
            <w:tcW w:w="2843" w:type="dxa"/>
            <w:vAlign w:val="center"/>
          </w:tcPr>
          <w:p>
            <w:pPr>
              <w:pStyle w:val="212"/>
              <w:spacing w:line="240" w:lineRule="auto"/>
              <w:ind w:firstLine="0" w:firstLineChars="0"/>
              <w:jc w:val="center"/>
              <w:rPr>
                <w:sz w:val="21"/>
                <w:szCs w:val="21"/>
              </w:rPr>
            </w:pPr>
            <w:r>
              <w:rPr>
                <w:rFonts w:hint="eastAsia"/>
                <w:sz w:val="21"/>
                <w:szCs w:val="21"/>
              </w:rPr>
              <w:t>Q＜200且W＜6000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842" w:type="dxa"/>
            <w:shd w:val="clear" w:color="auto" w:fill="FFFFFF" w:themeFill="background1"/>
            <w:vAlign w:val="center"/>
          </w:tcPr>
          <w:p>
            <w:pPr>
              <w:pStyle w:val="212"/>
              <w:spacing w:line="240" w:lineRule="auto"/>
              <w:ind w:firstLine="0" w:firstLineChars="0"/>
              <w:jc w:val="center"/>
              <w:rPr>
                <w:sz w:val="21"/>
                <w:szCs w:val="21"/>
              </w:rPr>
            </w:pPr>
            <w:r>
              <w:rPr>
                <w:sz w:val="21"/>
                <w:szCs w:val="21"/>
              </w:rPr>
              <w:t>三级</w:t>
            </w:r>
            <w:r>
              <w:rPr>
                <w:rFonts w:hint="eastAsia"/>
                <w:sz w:val="21"/>
                <w:szCs w:val="21"/>
              </w:rPr>
              <w:t>B</w:t>
            </w:r>
          </w:p>
        </w:tc>
        <w:tc>
          <w:tcPr>
            <w:tcW w:w="2843" w:type="dxa"/>
            <w:shd w:val="clear" w:color="auto" w:fill="FFFFFF" w:themeFill="background1"/>
            <w:vAlign w:val="center"/>
          </w:tcPr>
          <w:p>
            <w:pPr>
              <w:pStyle w:val="212"/>
              <w:spacing w:line="240" w:lineRule="auto"/>
              <w:ind w:firstLine="0" w:firstLineChars="0"/>
              <w:jc w:val="center"/>
              <w:rPr>
                <w:sz w:val="21"/>
                <w:szCs w:val="21"/>
              </w:rPr>
            </w:pPr>
            <w:r>
              <w:rPr>
                <w:sz w:val="21"/>
                <w:szCs w:val="21"/>
              </w:rPr>
              <w:t>间接排放</w:t>
            </w:r>
          </w:p>
        </w:tc>
        <w:tc>
          <w:tcPr>
            <w:tcW w:w="2843" w:type="dxa"/>
            <w:shd w:val="clear" w:color="auto" w:fill="FFFFFF" w:themeFill="background1"/>
            <w:vAlign w:val="center"/>
          </w:tcPr>
          <w:p>
            <w:pPr>
              <w:pStyle w:val="212"/>
              <w:spacing w:line="240" w:lineRule="auto"/>
              <w:ind w:firstLine="0" w:firstLineChars="0"/>
              <w:jc w:val="center"/>
              <w:rPr>
                <w:sz w:val="21"/>
                <w:szCs w:val="21"/>
              </w:rPr>
            </w:pPr>
            <w:r>
              <w:rPr>
                <w:rFonts w:hint="eastAsia"/>
                <w:sz w:val="21"/>
                <w:szCs w:val="21"/>
              </w:rPr>
              <w:t>——</w:t>
            </w:r>
          </w:p>
        </w:tc>
      </w:tr>
    </w:tbl>
    <w:p>
      <w:pPr>
        <w:spacing w:line="360" w:lineRule="auto"/>
        <w:ind w:firstLine="480" w:firstLineChars="200"/>
        <w:rPr>
          <w:rFonts w:hAnsiTheme="majorEastAsia" w:eastAsiaTheme="majorEastAsia"/>
          <w:kern w:val="0"/>
          <w:sz w:val="24"/>
        </w:rPr>
      </w:pPr>
      <w:r>
        <w:rPr>
          <w:rFonts w:hint="eastAsia" w:hAnsiTheme="majorEastAsia" w:eastAsiaTheme="majorEastAsia"/>
          <w:kern w:val="0"/>
          <w:sz w:val="24"/>
        </w:rPr>
        <w:t>本项目排水系统实施雨污分流，将建设独立的雨水收集管网系统和污水收集管网系统。</w:t>
      </w:r>
    </w:p>
    <w:p>
      <w:pPr>
        <w:pStyle w:val="5"/>
        <w:snapToGrid w:val="0"/>
        <w:spacing w:after="0" w:line="360" w:lineRule="auto"/>
        <w:ind w:firstLine="480" w:firstLineChars="200"/>
        <w:rPr>
          <w:rFonts w:ascii="Times New Roman" w:hAnsi="Times New Roman" w:cs="Times New Roman" w:eastAsiaTheme="majorEastAsia"/>
          <w:kern w:val="0"/>
          <w:sz w:val="24"/>
        </w:rPr>
      </w:pPr>
      <w:r>
        <w:rPr>
          <w:rFonts w:hint="default" w:ascii="Times New Roman" w:hAnsi="Times New Roman" w:cs="Times New Roman" w:eastAsiaTheme="majorEastAsia"/>
          <w:kern w:val="0"/>
          <w:sz w:val="24"/>
        </w:rPr>
        <w:t>本</w:t>
      </w:r>
      <w:r>
        <w:rPr>
          <w:rFonts w:hint="default" w:ascii="Times New Roman" w:hAnsi="Times New Roman" w:cs="Times New Roman" w:eastAsiaTheme="minorEastAsia"/>
          <w:kern w:val="0"/>
          <w:sz w:val="24"/>
          <w:lang w:val="en-US" w:eastAsia="zh-CN"/>
        </w:rPr>
        <w:t>项目共设2座污水处理</w:t>
      </w:r>
      <w:r>
        <w:rPr>
          <w:rFonts w:hint="eastAsia" w:hAnsiTheme="minorEastAsia" w:eastAsiaTheme="minorEastAsia"/>
          <w:kern w:val="0"/>
          <w:sz w:val="24"/>
          <w:lang w:val="en-US" w:eastAsia="zh-CN"/>
        </w:rPr>
        <w:t>站，</w:t>
      </w:r>
      <w:r>
        <w:rPr>
          <w:rFonts w:hint="eastAsia" w:hAnsiTheme="minorEastAsia"/>
          <w:kern w:val="0"/>
          <w:sz w:val="24"/>
          <w:lang w:eastAsia="zh-CN"/>
        </w:rPr>
        <w:t>南场</w:t>
      </w:r>
      <w:r>
        <w:rPr>
          <w:rFonts w:hint="eastAsia" w:hAnsiTheme="minorEastAsia" w:eastAsiaTheme="minorEastAsia"/>
          <w:kern w:val="0"/>
          <w:sz w:val="24"/>
          <w:lang w:val="en-US" w:eastAsia="zh-CN"/>
        </w:rPr>
        <w:t>污水处理站</w:t>
      </w:r>
      <w:r>
        <w:rPr>
          <w:rFonts w:hint="default" w:hAnsiTheme="minorEastAsia" w:eastAsiaTheme="minorEastAsia"/>
          <w:kern w:val="0"/>
          <w:sz w:val="24"/>
        </w:rPr>
        <w:t>收集</w:t>
      </w:r>
      <w:r>
        <w:rPr>
          <w:rFonts w:hint="eastAsia" w:hAnsiTheme="minorEastAsia"/>
          <w:kern w:val="0"/>
          <w:sz w:val="24"/>
          <w:lang w:eastAsia="zh-CN"/>
        </w:rPr>
        <w:t>南部养殖区</w:t>
      </w:r>
      <w:r>
        <w:rPr>
          <w:rFonts w:hint="default" w:hAnsiTheme="minorEastAsia" w:eastAsiaTheme="minorEastAsia"/>
          <w:kern w:val="0"/>
          <w:sz w:val="24"/>
        </w:rPr>
        <w:t>鸡舍冲洗废水、防尘间喷淋废水和中部生活污水（隔油预处理）</w:t>
      </w:r>
      <w:r>
        <w:rPr>
          <w:rFonts w:hint="eastAsia" w:hAnsiTheme="minorEastAsia" w:eastAsiaTheme="minorEastAsia"/>
          <w:kern w:val="0"/>
          <w:sz w:val="24"/>
          <w:lang w:eastAsia="zh-CN"/>
        </w:rPr>
        <w:t>，</w:t>
      </w:r>
      <w:r>
        <w:rPr>
          <w:rFonts w:hint="eastAsia" w:hAnsiTheme="minorEastAsia"/>
          <w:kern w:val="0"/>
          <w:sz w:val="24"/>
          <w:lang w:eastAsia="zh-CN"/>
        </w:rPr>
        <w:t>东场</w:t>
      </w:r>
      <w:r>
        <w:rPr>
          <w:rFonts w:hint="eastAsia" w:hAnsiTheme="minorEastAsia" w:eastAsiaTheme="minorEastAsia"/>
          <w:kern w:val="0"/>
          <w:sz w:val="24"/>
          <w:lang w:val="en-US" w:eastAsia="zh-CN"/>
        </w:rPr>
        <w:t>污水处理站</w:t>
      </w:r>
      <w:r>
        <w:rPr>
          <w:rFonts w:hint="default" w:hAnsiTheme="minorEastAsia" w:eastAsiaTheme="minorEastAsia"/>
          <w:kern w:val="0"/>
          <w:sz w:val="24"/>
        </w:rPr>
        <w:t>收集东部养殖区鸡舍冲洗废水、防尘间喷淋废水和东部生活污水，废水经污水处理站</w:t>
      </w:r>
      <w:r>
        <w:rPr>
          <w:rFonts w:hint="eastAsia" w:hAnsiTheme="minorEastAsia" w:eastAsiaTheme="minorEastAsia"/>
          <w:kern w:val="0"/>
          <w:sz w:val="24"/>
          <w:lang w:eastAsia="zh-CN"/>
        </w:rPr>
        <w:t>（</w:t>
      </w:r>
      <w:r>
        <w:rPr>
          <w:rFonts w:hint="eastAsia" w:hAnsiTheme="minorEastAsia" w:eastAsiaTheme="minorEastAsia"/>
          <w:kern w:val="0"/>
          <w:sz w:val="24"/>
          <w:lang w:val="en-US" w:eastAsia="zh-CN"/>
        </w:rPr>
        <w:t>采用“厌氧发酵”工艺</w:t>
      </w:r>
      <w:r>
        <w:rPr>
          <w:rFonts w:hint="eastAsia" w:hAnsiTheme="minorEastAsia" w:eastAsiaTheme="minorEastAsia"/>
          <w:kern w:val="0"/>
          <w:sz w:val="24"/>
          <w:lang w:eastAsia="zh-CN"/>
        </w:rPr>
        <w:t>）</w:t>
      </w:r>
      <w:r>
        <w:rPr>
          <w:rFonts w:hint="default" w:hAnsiTheme="minorEastAsia" w:eastAsiaTheme="minorEastAsia"/>
          <w:kern w:val="0"/>
          <w:sz w:val="24"/>
        </w:rPr>
        <w:t>处理后</w:t>
      </w:r>
      <w:r>
        <w:rPr>
          <w:rFonts w:hint="eastAsia" w:hAnsiTheme="minorEastAsia" w:eastAsiaTheme="minorEastAsia"/>
          <w:kern w:val="0"/>
          <w:sz w:val="24"/>
          <w:lang w:val="en-US" w:eastAsia="zh-CN"/>
        </w:rPr>
        <w:t>用于</w:t>
      </w:r>
      <w:r>
        <w:rPr>
          <w:rFonts w:hint="default" w:hAnsiTheme="minorEastAsia" w:eastAsiaTheme="minorEastAsia"/>
          <w:kern w:val="0"/>
          <w:sz w:val="24"/>
        </w:rPr>
        <w:t>周边种植基地灌溉，不外排</w:t>
      </w:r>
      <w:r>
        <w:rPr>
          <w:rFonts w:hint="eastAsia" w:ascii="Times New Roman" w:hAnsi="Times New Roman" w:cs="Times New Roman" w:eastAsiaTheme="majorEastAsia"/>
          <w:kern w:val="0"/>
          <w:sz w:val="24"/>
        </w:rPr>
        <w:t>。因此，本项目废水不外排</w:t>
      </w:r>
      <w:r>
        <w:rPr>
          <w:rFonts w:hint="eastAsia" w:ascii="Times New Roman" w:hAnsi="Times New Roman" w:cs="Times New Roman" w:eastAsiaTheme="majorEastAsia"/>
          <w:kern w:val="0"/>
          <w:sz w:val="24"/>
          <w:lang w:eastAsia="zh-CN"/>
        </w:rPr>
        <w:t>，</w:t>
      </w:r>
      <w:r>
        <w:rPr>
          <w:rFonts w:hint="eastAsia" w:ascii="Times New Roman" w:hAnsi="Times New Roman" w:cs="Times New Roman" w:eastAsiaTheme="majorEastAsia"/>
          <w:kern w:val="0"/>
          <w:sz w:val="24"/>
          <w:lang w:val="en-US" w:eastAsia="zh-CN"/>
        </w:rPr>
        <w:t>且水质较简单</w:t>
      </w:r>
      <w:r>
        <w:rPr>
          <w:rFonts w:hint="eastAsia" w:ascii="Times New Roman" w:hAnsi="Times New Roman" w:cs="Times New Roman" w:eastAsiaTheme="majorEastAsia"/>
          <w:kern w:val="0"/>
          <w:sz w:val="24"/>
        </w:rPr>
        <w:t>。</w:t>
      </w:r>
    </w:p>
    <w:p>
      <w:pPr>
        <w:pStyle w:val="276"/>
        <w:spacing w:line="360" w:lineRule="auto"/>
        <w:ind w:firstLine="480"/>
      </w:pPr>
      <w:r>
        <w:rPr>
          <w:rFonts w:hint="eastAsia"/>
          <w:sz w:val="24"/>
          <w:szCs w:val="24"/>
          <w:lang w:val="zh-CN"/>
        </w:rPr>
        <w:t>根据《环境影响评价技术导则  地表水环境》（HJ 2.3-2018）评价等级为三级B</w:t>
      </w:r>
      <w:r>
        <w:rPr>
          <w:rFonts w:hint="eastAsia"/>
          <w:sz w:val="24"/>
          <w:szCs w:val="24"/>
        </w:rPr>
        <w:t>。</w:t>
      </w:r>
    </w:p>
    <w:p>
      <w:pPr>
        <w:pStyle w:val="7"/>
        <w:adjustRightInd w:val="0"/>
        <w:snapToGrid w:val="0"/>
        <w:spacing w:before="0" w:after="0" w:line="360" w:lineRule="auto"/>
        <w:jc w:val="left"/>
        <w:rPr>
          <w:sz w:val="24"/>
          <w:szCs w:val="24"/>
        </w:rPr>
      </w:pPr>
      <w:r>
        <w:rPr>
          <w:rFonts w:hint="eastAsia"/>
          <w:sz w:val="24"/>
          <w:szCs w:val="24"/>
        </w:rPr>
        <w:t xml:space="preserve">2.4.3 </w:t>
      </w:r>
      <w:r>
        <w:rPr>
          <w:sz w:val="24"/>
          <w:szCs w:val="24"/>
        </w:rPr>
        <w:t>地下水环境评价等级</w:t>
      </w:r>
    </w:p>
    <w:p>
      <w:pPr>
        <w:pStyle w:val="212"/>
        <w:ind w:firstLine="480"/>
      </w:pPr>
      <w:r>
        <w:t>根据《环境影响评价技术导则</w:t>
      </w:r>
      <w:r>
        <w:rPr>
          <w:rFonts w:hint="eastAsia"/>
        </w:rPr>
        <w:t xml:space="preserve">  </w:t>
      </w:r>
      <w:r>
        <w:t>地下水环境》（HJ610-2016），地下水环境评价工作等级划分依据为建设项目所属的地下水环境影响评价项目类别和建设项目的地下水环境敏感程度。</w:t>
      </w:r>
    </w:p>
    <w:p>
      <w:pPr>
        <w:pStyle w:val="212"/>
        <w:ind w:firstLine="480"/>
      </w:pPr>
      <w:r>
        <w:t>（1）建设项目所属的地下水环境影响评价项目类别</w:t>
      </w:r>
    </w:p>
    <w:p>
      <w:pPr>
        <w:pStyle w:val="212"/>
        <w:ind w:firstLine="480"/>
      </w:pPr>
      <w:r>
        <w:t>据《环境影响评价技术导则</w:t>
      </w:r>
      <w:r>
        <w:rPr>
          <w:rFonts w:hint="eastAsia"/>
        </w:rPr>
        <w:t xml:space="preserve">  </w:t>
      </w:r>
      <w:r>
        <w:t>地下水环境》（HJ610-2016）6.2.1.1条，根据附录A，本项目属于</w:t>
      </w:r>
      <w:r>
        <w:rPr>
          <w:rFonts w:hint="eastAsia"/>
        </w:rPr>
        <w:t>“B农、林、牧、渔、海洋”中的第14类“畜禽养殖场、养殖小区”</w:t>
      </w:r>
      <w:r>
        <w:t>，为地下水环境影响评价</w:t>
      </w:r>
      <w:r>
        <w:rPr>
          <w:rFonts w:hint="eastAsia"/>
        </w:rPr>
        <w:t>Ⅲ</w:t>
      </w:r>
      <w:r>
        <w:t>类项目。</w:t>
      </w:r>
    </w:p>
    <w:p>
      <w:pPr>
        <w:pStyle w:val="212"/>
        <w:ind w:firstLine="480"/>
      </w:pPr>
      <w:r>
        <w:rPr>
          <w:rFonts w:hint="eastAsia"/>
        </w:rPr>
        <w:t>（2）建设项目场地的地下水环境敏感程度</w:t>
      </w:r>
    </w:p>
    <w:p>
      <w:pPr>
        <w:pStyle w:val="212"/>
        <w:ind w:firstLine="480"/>
      </w:pPr>
      <w:r>
        <w:t>据《环境影响评价技术导则</w:t>
      </w:r>
      <w:r>
        <w:rPr>
          <w:rFonts w:hint="eastAsia"/>
        </w:rPr>
        <w:t xml:space="preserve">  </w:t>
      </w:r>
      <w:r>
        <w:t>地下水环境》（HJ610-2016）6.2.1.2条，建设项目场地的地下水环境敏感程度可分为敏感、较敏感、不敏感三级（见表2.</w:t>
      </w:r>
      <w:r>
        <w:rPr>
          <w:rFonts w:hint="eastAsia"/>
        </w:rPr>
        <w:t>4</w:t>
      </w:r>
      <w:r>
        <w:t>-</w:t>
      </w:r>
      <w:r>
        <w:rPr>
          <w:rFonts w:hint="eastAsia"/>
        </w:rPr>
        <w:t>7</w:t>
      </w:r>
      <w:r>
        <w:t>）。</w:t>
      </w:r>
    </w:p>
    <w:p>
      <w:pPr>
        <w:pStyle w:val="263"/>
        <w:spacing w:beforeLines="50" w:line="240" w:lineRule="auto"/>
        <w:ind w:firstLine="0"/>
        <w:jc w:val="center"/>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rPr>
        <w:t>表</w:t>
      </w:r>
      <w:r>
        <w:rPr>
          <w:rFonts w:hint="eastAsia" w:ascii="Times New Roman" w:hAnsi="Times New Roman" w:cs="Times New Roman" w:eastAsiaTheme="majorEastAsia"/>
          <w:b/>
          <w:sz w:val="21"/>
          <w:szCs w:val="21"/>
        </w:rPr>
        <w:t>2.4-6  地下水环境敏感程度分级</w:t>
      </w:r>
    </w:p>
    <w:tbl>
      <w:tblPr>
        <w:tblStyle w:val="4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84"/>
        <w:gridCol w:w="71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84" w:type="dxa"/>
            <w:vAlign w:val="center"/>
          </w:tcPr>
          <w:p>
            <w:pPr>
              <w:pStyle w:val="263"/>
              <w:spacing w:line="240" w:lineRule="auto"/>
              <w:ind w:firstLine="0"/>
              <w:jc w:val="center"/>
              <w:rPr>
                <w:rFonts w:ascii="Times New Roman" w:hAnsi="Times New Roman" w:cs="Times New Roman" w:eastAsiaTheme="majorEastAsia"/>
                <w:b/>
                <w:sz w:val="21"/>
                <w:szCs w:val="21"/>
              </w:rPr>
            </w:pPr>
            <w:r>
              <w:rPr>
                <w:rFonts w:hint="eastAsia" w:ascii="Times New Roman" w:hAnsi="Times New Roman" w:cs="Times New Roman" w:eastAsiaTheme="majorEastAsia"/>
                <w:b/>
                <w:sz w:val="21"/>
                <w:szCs w:val="21"/>
              </w:rPr>
              <w:t>分级</w:t>
            </w:r>
          </w:p>
        </w:tc>
        <w:tc>
          <w:tcPr>
            <w:tcW w:w="7144" w:type="dxa"/>
            <w:vAlign w:val="center"/>
          </w:tcPr>
          <w:p>
            <w:pPr>
              <w:pStyle w:val="263"/>
              <w:spacing w:line="240" w:lineRule="auto"/>
              <w:ind w:firstLine="0"/>
              <w:jc w:val="center"/>
              <w:rPr>
                <w:rFonts w:ascii="Times New Roman" w:hAnsi="Times New Roman" w:cs="Times New Roman" w:eastAsiaTheme="majorEastAsia"/>
                <w:b/>
                <w:sz w:val="21"/>
                <w:szCs w:val="21"/>
              </w:rPr>
            </w:pPr>
            <w:r>
              <w:rPr>
                <w:rFonts w:hint="eastAsia" w:ascii="Times New Roman" w:hAnsi="Times New Roman" w:cs="Times New Roman" w:eastAsiaTheme="majorEastAsia"/>
                <w:b/>
                <w:sz w:val="21"/>
                <w:szCs w:val="21"/>
              </w:rPr>
              <w:t>项目场地的地下水环境敏感特征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1384" w:type="dxa"/>
            <w:vAlign w:val="center"/>
          </w:tcPr>
          <w:p>
            <w:pPr>
              <w:pStyle w:val="263"/>
              <w:spacing w:line="240" w:lineRule="auto"/>
              <w:ind w:firstLine="0"/>
              <w:jc w:val="center"/>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敏感</w:t>
            </w:r>
          </w:p>
        </w:tc>
        <w:tc>
          <w:tcPr>
            <w:tcW w:w="7144" w:type="dxa"/>
            <w:vAlign w:val="center"/>
          </w:tcPr>
          <w:p>
            <w:pPr>
              <w:pStyle w:val="146"/>
              <w:jc w:val="left"/>
              <w:rPr>
                <w:rFonts w:ascii="Times New Roman" w:cs="Times New Roman" w:eastAsiaTheme="majorEastAsia"/>
                <w:color w:val="auto"/>
                <w:sz w:val="21"/>
                <w:szCs w:val="21"/>
              </w:rPr>
            </w:pPr>
            <w:r>
              <w:rPr>
                <w:rFonts w:ascii="Times New Roman" w:cs="Times New Roman" w:hAnsiTheme="minorEastAsia" w:eastAsiaTheme="minorEastAsia"/>
                <w:color w:val="auto"/>
                <w:sz w:val="21"/>
                <w:szCs w:val="21"/>
              </w:rPr>
              <w:t>集中式饮用水水源地（包括已建成的在用、备用、应急水源地，在建和规划的水源地）准保护区；除集中式饮用水水源地以外的国家或地方政府设定的与地下水环境相关的其它保护区，如热水、矿泉水、温泉等特征地下水资源保护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84" w:type="dxa"/>
            <w:vAlign w:val="center"/>
          </w:tcPr>
          <w:p>
            <w:pPr>
              <w:pStyle w:val="263"/>
              <w:spacing w:line="240" w:lineRule="auto"/>
              <w:ind w:firstLine="0"/>
              <w:jc w:val="center"/>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较敏感</w:t>
            </w:r>
          </w:p>
        </w:tc>
        <w:tc>
          <w:tcPr>
            <w:tcW w:w="7144" w:type="dxa"/>
            <w:vAlign w:val="center"/>
          </w:tcPr>
          <w:p>
            <w:pPr>
              <w:pStyle w:val="146"/>
              <w:jc w:val="left"/>
              <w:rPr>
                <w:rFonts w:asciiTheme="minorEastAsia" w:hAnsiTheme="minorEastAsia" w:eastAsiaTheme="minorEastAsia"/>
                <w:color w:val="auto"/>
                <w:szCs w:val="21"/>
              </w:rPr>
            </w:pPr>
            <w:r>
              <w:rPr>
                <w:rFonts w:asciiTheme="minorEastAsia" w:hAnsiTheme="minorEastAsia" w:eastAsiaTheme="minorEastAsia"/>
                <w:color w:val="auto"/>
                <w:sz w:val="21"/>
                <w:szCs w:val="21"/>
              </w:rPr>
              <w:t>集中式饮用水水源地（包括已建成的在用、备用、应急水源地，在建和规划的水源地）准保护区以外的补给径流区；未划定准保护区的集中水式饮用水水源，其保护区以外的补给径流区；分散式饮用水水源地；特殊地下水资源（如矿泉水、温泉等）保护区以外的补给径流区；特殊地下水资源（如矿泉水、温泉等）保护区以外的分布区等其它未列入上述敏感分级的环境敏感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84" w:type="dxa"/>
            <w:vAlign w:val="center"/>
          </w:tcPr>
          <w:p>
            <w:pPr>
              <w:pStyle w:val="263"/>
              <w:spacing w:line="240" w:lineRule="auto"/>
              <w:ind w:firstLine="0"/>
              <w:jc w:val="center"/>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不敏感</w:t>
            </w:r>
          </w:p>
        </w:tc>
        <w:tc>
          <w:tcPr>
            <w:tcW w:w="7144" w:type="dxa"/>
            <w:vAlign w:val="center"/>
          </w:tcPr>
          <w:p>
            <w:pPr>
              <w:pStyle w:val="263"/>
              <w:spacing w:line="240" w:lineRule="auto"/>
              <w:ind w:firstLine="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上述地区之外的其它地区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528" w:type="dxa"/>
            <w:gridSpan w:val="2"/>
            <w:vAlign w:val="center"/>
          </w:tcPr>
          <w:p>
            <w:pPr>
              <w:pStyle w:val="263"/>
              <w:spacing w:line="240" w:lineRule="auto"/>
              <w:ind w:firstLine="0"/>
              <w:rPr>
                <w:rFonts w:ascii="Times New Roman" w:hAnsi="Times New Roman" w:cs="Times New Roman" w:eastAsiaTheme="majorEastAsia"/>
                <w:sz w:val="21"/>
                <w:szCs w:val="21"/>
              </w:rPr>
            </w:pPr>
            <w:r>
              <w:rPr>
                <w:rFonts w:ascii="Times New Roman" w:hAnsi="Times New Roman" w:cs="Times New Roman" w:eastAsiaTheme="majorEastAsia"/>
                <w:sz w:val="21"/>
                <w:szCs w:val="21"/>
              </w:rPr>
              <w:t>a</w:t>
            </w:r>
            <w:r>
              <w:rPr>
                <w:rFonts w:hint="eastAsia" w:eastAsia="宋体" w:cs="Times New Roman"/>
                <w:sz w:val="21"/>
                <w:szCs w:val="21"/>
              </w:rPr>
              <w:t>“</w:t>
            </w:r>
            <w:r>
              <w:rPr>
                <w:rFonts w:hint="eastAsia" w:ascii="Times New Roman" w:hAnsi="Times New Roman" w:cs="Times New Roman" w:eastAsiaTheme="majorEastAsia"/>
                <w:sz w:val="21"/>
                <w:szCs w:val="21"/>
              </w:rPr>
              <w:t>环境敏感区</w:t>
            </w:r>
            <w:r>
              <w:rPr>
                <w:rFonts w:hint="eastAsia" w:eastAsia="宋体" w:cs="Times New Roman"/>
                <w:sz w:val="21"/>
                <w:szCs w:val="21"/>
              </w:rPr>
              <w:t>”</w:t>
            </w:r>
            <w:r>
              <w:rPr>
                <w:rFonts w:hint="eastAsia" w:ascii="Times New Roman" w:hAnsi="Times New Roman" w:cs="Times New Roman" w:eastAsiaTheme="majorEastAsia"/>
                <w:sz w:val="21"/>
                <w:szCs w:val="21"/>
              </w:rPr>
              <w:t>是指《建设项目环境影响评价分类管理名录》中所界定的涉及地下水的环境敏感区。</w:t>
            </w:r>
          </w:p>
        </w:tc>
      </w:tr>
    </w:tbl>
    <w:p>
      <w:pPr>
        <w:pStyle w:val="212"/>
        <w:ind w:firstLine="480"/>
      </w:pPr>
      <w:r>
        <w:rPr>
          <w:rFonts w:hint="eastAsia"/>
        </w:rPr>
        <w:t>项目建设地不在饮用水水源保护区范围内，并且项目不涉及热水、矿泉水、温泉等特殊地下水资源保护区。但项目周边少部分居民饮水来源为分散式水井。因此，本项目地下水环境敏感程度为较敏感。</w:t>
      </w:r>
    </w:p>
    <w:p>
      <w:pPr>
        <w:pStyle w:val="212"/>
        <w:ind w:firstLine="480"/>
      </w:pPr>
      <w:r>
        <w:rPr>
          <w:rFonts w:hint="eastAsia"/>
        </w:rPr>
        <w:t>（3）建设项目评价工作等级分级</w:t>
      </w:r>
    </w:p>
    <w:p>
      <w:pPr>
        <w:pStyle w:val="212"/>
        <w:ind w:firstLine="480"/>
      </w:pPr>
      <w:r>
        <w:t>综上所述，根据《环境影响评价技术导则地下水环境》（HJ610-2016），本建设项目地下水环境影响评价工作等级为三级，见表2.</w:t>
      </w:r>
      <w:r>
        <w:rPr>
          <w:rFonts w:hint="eastAsia"/>
        </w:rPr>
        <w:t>4-7</w:t>
      </w:r>
      <w:r>
        <w:t>。</w:t>
      </w:r>
    </w:p>
    <w:p>
      <w:pPr>
        <w:pStyle w:val="17"/>
        <w:spacing w:beforeLines="50"/>
        <w:rPr>
          <w:rFonts w:ascii="Times New Roman" w:hAnsi="Times New Roman" w:cs="Times New Roman"/>
          <w:color w:val="auto"/>
          <w:sz w:val="21"/>
        </w:rPr>
      </w:pPr>
      <w:r>
        <w:rPr>
          <w:rFonts w:ascii="Times New Roman" w:hAnsi="Times New Roman" w:cs="Times New Roman"/>
          <w:color w:val="auto"/>
          <w:sz w:val="21"/>
        </w:rPr>
        <w:t>表</w:t>
      </w:r>
      <w:r>
        <w:rPr>
          <w:rFonts w:hint="eastAsia" w:ascii="Times New Roman" w:hAnsi="Times New Roman" w:cs="Times New Roman"/>
          <w:color w:val="auto"/>
          <w:sz w:val="21"/>
        </w:rPr>
        <w:t>2.4</w:t>
      </w:r>
      <w:r>
        <w:rPr>
          <w:rFonts w:ascii="Times New Roman" w:hAnsi="Times New Roman" w:cs="Times New Roman"/>
          <w:color w:val="auto"/>
          <w:sz w:val="21"/>
        </w:rPr>
        <w:t>-</w:t>
      </w:r>
      <w:r>
        <w:rPr>
          <w:rFonts w:hint="eastAsia" w:ascii="Times New Roman" w:hAnsi="Times New Roman" w:cs="Times New Roman"/>
          <w:color w:val="auto"/>
          <w:sz w:val="21"/>
        </w:rPr>
        <w:t xml:space="preserve">7  </w:t>
      </w:r>
      <w:r>
        <w:rPr>
          <w:rFonts w:ascii="Times New Roman" w:hAnsi="Times New Roman" w:cs="Times New Roman"/>
          <w:color w:val="auto"/>
          <w:sz w:val="21"/>
        </w:rPr>
        <w:t>地下水环境评价工作等级分级表</w:t>
      </w:r>
    </w:p>
    <w:tbl>
      <w:tblPr>
        <w:tblStyle w:val="47"/>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2132"/>
        <w:gridCol w:w="21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2" w:type="dxa"/>
            <w:tcBorders>
              <w:tl2br w:val="single" w:color="auto" w:sz="2" w:space="0"/>
            </w:tcBorders>
            <w:vAlign w:val="center"/>
          </w:tcPr>
          <w:p>
            <w:pPr>
              <w:adjustRightInd w:val="0"/>
              <w:snapToGrid w:val="0"/>
              <w:jc w:val="center"/>
              <w:rPr>
                <w:b/>
                <w:szCs w:val="21"/>
              </w:rPr>
            </w:pPr>
            <w:r>
              <w:rPr>
                <w:b/>
                <w:szCs w:val="21"/>
              </w:rPr>
              <w:t>项目类别</w:t>
            </w:r>
          </w:p>
          <w:p>
            <w:pPr>
              <w:adjustRightInd w:val="0"/>
              <w:snapToGrid w:val="0"/>
              <w:jc w:val="center"/>
              <w:rPr>
                <w:b/>
                <w:szCs w:val="21"/>
              </w:rPr>
            </w:pPr>
            <w:r>
              <w:rPr>
                <w:b/>
                <w:szCs w:val="21"/>
              </w:rPr>
              <w:t>环境敏感程度</w:t>
            </w:r>
          </w:p>
        </w:tc>
        <w:tc>
          <w:tcPr>
            <w:tcW w:w="2132" w:type="dxa"/>
            <w:tcBorders>
              <w:tl2br w:val="nil"/>
              <w:tr2bl w:val="nil"/>
            </w:tcBorders>
            <w:vAlign w:val="center"/>
          </w:tcPr>
          <w:p>
            <w:pPr>
              <w:adjustRightInd w:val="0"/>
              <w:snapToGrid w:val="0"/>
              <w:jc w:val="center"/>
              <w:rPr>
                <w:b/>
                <w:szCs w:val="21"/>
              </w:rPr>
            </w:pPr>
            <w:r>
              <w:rPr>
                <w:rFonts w:hint="eastAsia" w:ascii="宋体" w:hAnsi="宋体"/>
                <w:b/>
                <w:szCs w:val="21"/>
              </w:rPr>
              <w:t>Ⅰ</w:t>
            </w:r>
            <w:r>
              <w:rPr>
                <w:b/>
                <w:szCs w:val="21"/>
              </w:rPr>
              <w:t>类项目</w:t>
            </w:r>
          </w:p>
        </w:tc>
        <w:tc>
          <w:tcPr>
            <w:tcW w:w="2132" w:type="dxa"/>
            <w:tcBorders>
              <w:tl2br w:val="nil"/>
              <w:tr2bl w:val="nil"/>
            </w:tcBorders>
            <w:vAlign w:val="center"/>
          </w:tcPr>
          <w:p>
            <w:pPr>
              <w:adjustRightInd w:val="0"/>
              <w:snapToGrid w:val="0"/>
              <w:jc w:val="center"/>
              <w:rPr>
                <w:b/>
                <w:szCs w:val="21"/>
              </w:rPr>
            </w:pPr>
            <w:r>
              <w:rPr>
                <w:rFonts w:hint="eastAsia" w:ascii="宋体" w:hAnsi="宋体"/>
                <w:b/>
                <w:szCs w:val="21"/>
              </w:rPr>
              <w:t>Ⅱ</w:t>
            </w:r>
            <w:r>
              <w:rPr>
                <w:b/>
                <w:szCs w:val="21"/>
              </w:rPr>
              <w:t>类项目</w:t>
            </w:r>
          </w:p>
        </w:tc>
        <w:tc>
          <w:tcPr>
            <w:tcW w:w="2132" w:type="dxa"/>
            <w:tcBorders>
              <w:tl2br w:val="nil"/>
              <w:tr2bl w:val="nil"/>
            </w:tcBorders>
            <w:vAlign w:val="center"/>
          </w:tcPr>
          <w:p>
            <w:pPr>
              <w:adjustRightInd w:val="0"/>
              <w:snapToGrid w:val="0"/>
              <w:jc w:val="center"/>
              <w:rPr>
                <w:b/>
                <w:szCs w:val="21"/>
              </w:rPr>
            </w:pPr>
            <w:r>
              <w:rPr>
                <w:rFonts w:hint="eastAsia" w:ascii="宋体" w:hAnsi="宋体"/>
                <w:b/>
                <w:szCs w:val="21"/>
              </w:rPr>
              <w:t>Ⅲ</w:t>
            </w:r>
            <w:r>
              <w:rPr>
                <w:b/>
                <w:szCs w:val="21"/>
              </w:rPr>
              <w:t>类项目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2" w:type="dxa"/>
            <w:tcBorders>
              <w:tl2br w:val="nil"/>
              <w:tr2bl w:val="nil"/>
            </w:tcBorders>
            <w:vAlign w:val="center"/>
          </w:tcPr>
          <w:p>
            <w:pPr>
              <w:pStyle w:val="221"/>
              <w:adjustRightInd w:val="0"/>
              <w:snapToGrid w:val="0"/>
              <w:spacing w:line="240" w:lineRule="auto"/>
              <w:rPr>
                <w:snapToGrid w:val="0"/>
                <w:sz w:val="21"/>
                <w:szCs w:val="21"/>
                <w:lang w:val="en-US"/>
              </w:rPr>
            </w:pPr>
            <w:r>
              <w:rPr>
                <w:snapToGrid w:val="0"/>
                <w:sz w:val="21"/>
                <w:szCs w:val="21"/>
                <w:lang w:val="en-US"/>
              </w:rPr>
              <w:t>敏感</w:t>
            </w:r>
          </w:p>
        </w:tc>
        <w:tc>
          <w:tcPr>
            <w:tcW w:w="2132" w:type="dxa"/>
            <w:tcBorders>
              <w:tl2br w:val="nil"/>
              <w:tr2bl w:val="nil"/>
            </w:tcBorders>
            <w:vAlign w:val="center"/>
          </w:tcPr>
          <w:p>
            <w:pPr>
              <w:pStyle w:val="221"/>
              <w:adjustRightInd w:val="0"/>
              <w:snapToGrid w:val="0"/>
              <w:spacing w:line="240" w:lineRule="auto"/>
              <w:rPr>
                <w:snapToGrid w:val="0"/>
                <w:sz w:val="21"/>
                <w:szCs w:val="21"/>
                <w:lang w:val="en-US"/>
              </w:rPr>
            </w:pPr>
            <w:r>
              <w:rPr>
                <w:snapToGrid w:val="0"/>
                <w:sz w:val="21"/>
                <w:szCs w:val="21"/>
                <w:lang w:val="en-US"/>
              </w:rPr>
              <w:t>一</w:t>
            </w:r>
          </w:p>
        </w:tc>
        <w:tc>
          <w:tcPr>
            <w:tcW w:w="2132" w:type="dxa"/>
            <w:tcBorders>
              <w:tl2br w:val="nil"/>
              <w:tr2bl w:val="nil"/>
            </w:tcBorders>
            <w:vAlign w:val="center"/>
          </w:tcPr>
          <w:p>
            <w:pPr>
              <w:pStyle w:val="221"/>
              <w:adjustRightInd w:val="0"/>
              <w:snapToGrid w:val="0"/>
              <w:spacing w:line="240" w:lineRule="auto"/>
              <w:rPr>
                <w:snapToGrid w:val="0"/>
                <w:sz w:val="21"/>
                <w:szCs w:val="21"/>
                <w:lang w:val="en-US"/>
              </w:rPr>
            </w:pPr>
            <w:r>
              <w:rPr>
                <w:snapToGrid w:val="0"/>
                <w:sz w:val="21"/>
                <w:szCs w:val="21"/>
                <w:lang w:val="en-US"/>
              </w:rPr>
              <w:t>一</w:t>
            </w:r>
          </w:p>
        </w:tc>
        <w:tc>
          <w:tcPr>
            <w:tcW w:w="2132" w:type="dxa"/>
            <w:tcBorders>
              <w:tl2br w:val="nil"/>
              <w:tr2bl w:val="nil"/>
            </w:tcBorders>
            <w:vAlign w:val="center"/>
          </w:tcPr>
          <w:p>
            <w:pPr>
              <w:pStyle w:val="221"/>
              <w:adjustRightInd w:val="0"/>
              <w:snapToGrid w:val="0"/>
              <w:spacing w:line="240" w:lineRule="auto"/>
              <w:rPr>
                <w:snapToGrid w:val="0"/>
                <w:sz w:val="21"/>
                <w:szCs w:val="21"/>
                <w:lang w:val="en-US"/>
              </w:rPr>
            </w:pPr>
            <w:r>
              <w:rPr>
                <w:snapToGrid w:val="0"/>
                <w:sz w:val="21"/>
                <w:szCs w:val="21"/>
                <w:lang w:val="en-US"/>
              </w:rPr>
              <w:t>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2" w:type="dxa"/>
            <w:tcBorders>
              <w:tl2br w:val="nil"/>
              <w:tr2bl w:val="nil"/>
            </w:tcBorders>
            <w:vAlign w:val="center"/>
          </w:tcPr>
          <w:p>
            <w:pPr>
              <w:adjustRightInd w:val="0"/>
              <w:snapToGrid w:val="0"/>
              <w:jc w:val="center"/>
              <w:rPr>
                <w:szCs w:val="21"/>
              </w:rPr>
            </w:pPr>
            <w:r>
              <w:rPr>
                <w:szCs w:val="21"/>
              </w:rPr>
              <w:t>较敏感</w:t>
            </w:r>
          </w:p>
        </w:tc>
        <w:tc>
          <w:tcPr>
            <w:tcW w:w="2132" w:type="dxa"/>
            <w:tcBorders>
              <w:tl2br w:val="nil"/>
              <w:tr2bl w:val="nil"/>
            </w:tcBorders>
            <w:vAlign w:val="center"/>
          </w:tcPr>
          <w:p>
            <w:pPr>
              <w:adjustRightInd w:val="0"/>
              <w:snapToGrid w:val="0"/>
              <w:jc w:val="center"/>
              <w:rPr>
                <w:szCs w:val="21"/>
              </w:rPr>
            </w:pPr>
            <w:r>
              <w:rPr>
                <w:szCs w:val="21"/>
              </w:rPr>
              <w:t>一</w:t>
            </w:r>
          </w:p>
        </w:tc>
        <w:tc>
          <w:tcPr>
            <w:tcW w:w="2132" w:type="dxa"/>
            <w:tcBorders>
              <w:tl2br w:val="nil"/>
              <w:tr2bl w:val="nil"/>
            </w:tcBorders>
            <w:vAlign w:val="center"/>
          </w:tcPr>
          <w:p>
            <w:pPr>
              <w:adjustRightInd w:val="0"/>
              <w:snapToGrid w:val="0"/>
              <w:jc w:val="center"/>
              <w:rPr>
                <w:szCs w:val="21"/>
              </w:rPr>
            </w:pPr>
            <w:r>
              <w:rPr>
                <w:szCs w:val="21"/>
              </w:rPr>
              <w:t>二</w:t>
            </w:r>
          </w:p>
        </w:tc>
        <w:tc>
          <w:tcPr>
            <w:tcW w:w="2132" w:type="dxa"/>
            <w:tcBorders>
              <w:tl2br w:val="nil"/>
              <w:tr2bl w:val="nil"/>
            </w:tcBorders>
            <w:shd w:val="clear" w:color="auto" w:fill="A5A5A5" w:themeFill="background1" w:themeFillShade="A6"/>
            <w:vAlign w:val="center"/>
          </w:tcPr>
          <w:p>
            <w:pPr>
              <w:adjustRightInd w:val="0"/>
              <w:snapToGrid w:val="0"/>
              <w:jc w:val="center"/>
              <w:rPr>
                <w:b/>
                <w:szCs w:val="21"/>
              </w:rPr>
            </w:pPr>
            <w:r>
              <w:rPr>
                <w:b/>
                <w:szCs w:val="21"/>
              </w:rPr>
              <w:t>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2" w:type="dxa"/>
            <w:tcBorders>
              <w:tl2br w:val="nil"/>
              <w:tr2bl w:val="nil"/>
            </w:tcBorders>
            <w:vAlign w:val="center"/>
          </w:tcPr>
          <w:p>
            <w:pPr>
              <w:adjustRightInd w:val="0"/>
              <w:snapToGrid w:val="0"/>
              <w:jc w:val="center"/>
              <w:rPr>
                <w:szCs w:val="21"/>
              </w:rPr>
            </w:pPr>
            <w:r>
              <w:rPr>
                <w:szCs w:val="21"/>
              </w:rPr>
              <w:t>不敏感</w:t>
            </w:r>
          </w:p>
        </w:tc>
        <w:tc>
          <w:tcPr>
            <w:tcW w:w="2132" w:type="dxa"/>
            <w:tcBorders>
              <w:tl2br w:val="nil"/>
              <w:tr2bl w:val="nil"/>
            </w:tcBorders>
            <w:vAlign w:val="center"/>
          </w:tcPr>
          <w:p>
            <w:pPr>
              <w:adjustRightInd w:val="0"/>
              <w:snapToGrid w:val="0"/>
              <w:jc w:val="center"/>
              <w:rPr>
                <w:szCs w:val="21"/>
              </w:rPr>
            </w:pPr>
            <w:r>
              <w:rPr>
                <w:szCs w:val="21"/>
              </w:rPr>
              <w:t>二</w:t>
            </w:r>
          </w:p>
        </w:tc>
        <w:tc>
          <w:tcPr>
            <w:tcW w:w="2132" w:type="dxa"/>
            <w:tcBorders>
              <w:tl2br w:val="nil"/>
              <w:tr2bl w:val="nil"/>
            </w:tcBorders>
            <w:vAlign w:val="center"/>
          </w:tcPr>
          <w:p>
            <w:pPr>
              <w:adjustRightInd w:val="0"/>
              <w:snapToGrid w:val="0"/>
              <w:jc w:val="center"/>
              <w:rPr>
                <w:szCs w:val="21"/>
              </w:rPr>
            </w:pPr>
            <w:r>
              <w:rPr>
                <w:szCs w:val="21"/>
              </w:rPr>
              <w:t>三</w:t>
            </w:r>
          </w:p>
        </w:tc>
        <w:tc>
          <w:tcPr>
            <w:tcW w:w="2132" w:type="dxa"/>
            <w:tcBorders>
              <w:tl2br w:val="nil"/>
              <w:tr2bl w:val="nil"/>
            </w:tcBorders>
            <w:shd w:val="clear" w:color="auto" w:fill="FFFFFF" w:themeFill="background1"/>
            <w:vAlign w:val="center"/>
          </w:tcPr>
          <w:p>
            <w:pPr>
              <w:adjustRightInd w:val="0"/>
              <w:snapToGrid w:val="0"/>
              <w:jc w:val="center"/>
              <w:rPr>
                <w:szCs w:val="21"/>
              </w:rPr>
            </w:pPr>
            <w:r>
              <w:rPr>
                <w:b/>
                <w:szCs w:val="21"/>
              </w:rPr>
              <w:t>三</w:t>
            </w:r>
          </w:p>
        </w:tc>
      </w:tr>
    </w:tbl>
    <w:p>
      <w:pPr>
        <w:pStyle w:val="7"/>
        <w:adjustRightInd w:val="0"/>
        <w:snapToGrid w:val="0"/>
        <w:spacing w:before="0" w:after="0" w:line="360" w:lineRule="auto"/>
        <w:jc w:val="left"/>
        <w:rPr>
          <w:sz w:val="24"/>
          <w:szCs w:val="24"/>
        </w:rPr>
      </w:pPr>
      <w:r>
        <w:rPr>
          <w:rFonts w:hint="eastAsia"/>
          <w:sz w:val="24"/>
          <w:szCs w:val="24"/>
        </w:rPr>
        <w:t xml:space="preserve">2.4.4 </w:t>
      </w:r>
      <w:r>
        <w:rPr>
          <w:sz w:val="24"/>
          <w:szCs w:val="24"/>
        </w:rPr>
        <w:t>声环境影响评价等级</w:t>
      </w:r>
    </w:p>
    <w:p>
      <w:pPr>
        <w:spacing w:line="360" w:lineRule="auto"/>
        <w:ind w:firstLine="480" w:firstLineChars="200"/>
        <w:rPr>
          <w:sz w:val="24"/>
        </w:rPr>
      </w:pPr>
      <w:r>
        <w:rPr>
          <w:sz w:val="24"/>
        </w:rPr>
        <w:t>根据《环境影响评价技术导则</w:t>
      </w:r>
      <w:r>
        <w:rPr>
          <w:rFonts w:hint="eastAsia"/>
          <w:sz w:val="24"/>
        </w:rPr>
        <w:t xml:space="preserve">  </w:t>
      </w:r>
      <w:r>
        <w:rPr>
          <w:sz w:val="24"/>
        </w:rPr>
        <w:t>声环境》（HJ2.4-20</w:t>
      </w:r>
      <w:r>
        <w:rPr>
          <w:rFonts w:hint="eastAsia"/>
          <w:sz w:val="24"/>
        </w:rPr>
        <w:t>21</w:t>
      </w:r>
      <w:r>
        <w:rPr>
          <w:sz w:val="24"/>
        </w:rPr>
        <w:t>）规定，从建设项目所在区域的声环境功能类别、建设项目建设前后所在区域的声环境质量变化程度、受建设项目影响人口数量来划分工作等级。</w:t>
      </w:r>
    </w:p>
    <w:p>
      <w:pPr>
        <w:spacing w:line="360" w:lineRule="auto"/>
        <w:ind w:firstLine="480" w:firstLineChars="200"/>
        <w:rPr>
          <w:sz w:val="24"/>
        </w:rPr>
      </w:pPr>
      <w:r>
        <w:rPr>
          <w:sz w:val="24"/>
        </w:rPr>
        <w:t>项目所在功能区适用《声环境质量标准》（GB3096-2008）规定的</w:t>
      </w:r>
      <w:r>
        <w:rPr>
          <w:rFonts w:hint="eastAsia"/>
          <w:sz w:val="24"/>
        </w:rPr>
        <w:t>2</w:t>
      </w:r>
      <w:r>
        <w:rPr>
          <w:sz w:val="24"/>
        </w:rPr>
        <w:t>类标准地区，项目建设前后评价范围内敏感目标噪声级增加量在</w:t>
      </w:r>
      <w:r>
        <w:rPr>
          <w:rFonts w:hint="eastAsia"/>
          <w:sz w:val="24"/>
        </w:rPr>
        <w:t>3</w:t>
      </w:r>
      <w:r>
        <w:rPr>
          <w:sz w:val="24"/>
          <w:lang w:val="zh-CN"/>
        </w:rPr>
        <w:t>dB（A）以下，且受影响人口数量变化不显著。依据《环境影响评价技术导则</w:t>
      </w:r>
      <w:r>
        <w:rPr>
          <w:rFonts w:hint="eastAsia"/>
          <w:sz w:val="24"/>
          <w:lang w:val="zh-CN"/>
        </w:rPr>
        <w:t xml:space="preserve">  </w:t>
      </w:r>
      <w:r>
        <w:rPr>
          <w:sz w:val="24"/>
          <w:lang w:val="zh-CN"/>
        </w:rPr>
        <w:t>声环境》（HJ2.4-20</w:t>
      </w:r>
      <w:r>
        <w:rPr>
          <w:rFonts w:hint="eastAsia"/>
          <w:sz w:val="24"/>
          <w:lang w:val="zh-CN"/>
        </w:rPr>
        <w:t>21</w:t>
      </w:r>
      <w:r>
        <w:rPr>
          <w:sz w:val="24"/>
          <w:lang w:val="zh-CN"/>
        </w:rPr>
        <w:t>），确定</w:t>
      </w:r>
      <w:r>
        <w:rPr>
          <w:sz w:val="24"/>
        </w:rPr>
        <w:t>本项目声环境影响评价工作等级为二级。</w:t>
      </w:r>
    </w:p>
    <w:p>
      <w:pPr>
        <w:spacing w:line="360" w:lineRule="auto"/>
        <w:ind w:firstLine="480" w:firstLineChars="200"/>
        <w:rPr>
          <w:sz w:val="24"/>
        </w:rPr>
      </w:pPr>
      <w:r>
        <w:rPr>
          <w:sz w:val="24"/>
        </w:rPr>
        <w:t>建设项目声环境影响评价工作等级划分见表</w:t>
      </w:r>
      <w:r>
        <w:rPr>
          <w:rFonts w:hint="eastAsia"/>
          <w:sz w:val="24"/>
        </w:rPr>
        <w:t>2.4-8。</w:t>
      </w:r>
    </w:p>
    <w:p>
      <w:pPr>
        <w:pStyle w:val="17"/>
        <w:spacing w:beforeLines="50"/>
        <w:rPr>
          <w:rFonts w:ascii="Times New Roman" w:hAnsi="Times New Roman" w:cs="Times New Roman"/>
          <w:color w:val="auto"/>
          <w:sz w:val="21"/>
        </w:rPr>
      </w:pPr>
      <w:r>
        <w:rPr>
          <w:rFonts w:ascii="Times New Roman" w:hAnsi="Times New Roman" w:cs="Times New Roman"/>
          <w:color w:val="auto"/>
          <w:sz w:val="21"/>
        </w:rPr>
        <w:t>表</w:t>
      </w:r>
      <w:r>
        <w:rPr>
          <w:rFonts w:hint="eastAsia" w:ascii="Times New Roman" w:hAnsi="Times New Roman" w:cs="Times New Roman"/>
          <w:color w:val="auto"/>
          <w:sz w:val="21"/>
        </w:rPr>
        <w:t xml:space="preserve">2.4-8  </w:t>
      </w:r>
      <w:r>
        <w:rPr>
          <w:rFonts w:ascii="Times New Roman" w:hAnsi="Times New Roman" w:cs="Times New Roman"/>
          <w:color w:val="auto"/>
          <w:sz w:val="21"/>
        </w:rPr>
        <w:t>声影响评价等级划分表</w:t>
      </w:r>
    </w:p>
    <w:tbl>
      <w:tblPr>
        <w:tblStyle w:val="47"/>
        <w:tblW w:w="852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10"/>
        <w:gridCol w:w="1417"/>
        <w:gridCol w:w="1559"/>
        <w:gridCol w:w="1276"/>
        <w:gridCol w:w="1559"/>
        <w:gridCol w:w="9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0" w:type="dxa"/>
            <w:tcBorders>
              <w:tl2br w:val="single" w:color="auto" w:sz="2" w:space="0"/>
            </w:tcBorders>
            <w:vAlign w:val="center"/>
          </w:tcPr>
          <w:p>
            <w:pPr>
              <w:adjustRightInd w:val="0"/>
              <w:snapToGrid w:val="0"/>
              <w:jc w:val="center"/>
              <w:rPr>
                <w:b/>
                <w:szCs w:val="21"/>
              </w:rPr>
            </w:pPr>
            <w:r>
              <w:rPr>
                <w:b/>
                <w:szCs w:val="21"/>
              </w:rPr>
              <w:t>项目类别</w:t>
            </w:r>
          </w:p>
          <w:p>
            <w:pPr>
              <w:adjustRightInd w:val="0"/>
              <w:snapToGrid w:val="0"/>
              <w:jc w:val="center"/>
              <w:rPr>
                <w:b/>
                <w:szCs w:val="21"/>
              </w:rPr>
            </w:pPr>
            <w:r>
              <w:rPr>
                <w:b/>
                <w:szCs w:val="21"/>
              </w:rPr>
              <w:t>环境敏感程度</w:t>
            </w:r>
          </w:p>
        </w:tc>
        <w:tc>
          <w:tcPr>
            <w:tcW w:w="1417" w:type="dxa"/>
            <w:tcBorders>
              <w:tl2br w:val="nil"/>
              <w:tr2bl w:val="nil"/>
            </w:tcBorders>
            <w:vAlign w:val="center"/>
          </w:tcPr>
          <w:p>
            <w:pPr>
              <w:adjustRightInd w:val="0"/>
              <w:snapToGrid w:val="0"/>
              <w:jc w:val="center"/>
              <w:rPr>
                <w:b/>
                <w:szCs w:val="21"/>
              </w:rPr>
            </w:pPr>
            <w:r>
              <w:rPr>
                <w:b/>
                <w:szCs w:val="21"/>
              </w:rPr>
              <w:t>项目参数</w:t>
            </w:r>
          </w:p>
        </w:tc>
        <w:tc>
          <w:tcPr>
            <w:tcW w:w="1559" w:type="dxa"/>
            <w:tcBorders>
              <w:tl2br w:val="nil"/>
              <w:tr2bl w:val="nil"/>
            </w:tcBorders>
            <w:vAlign w:val="center"/>
          </w:tcPr>
          <w:p>
            <w:pPr>
              <w:adjustRightInd w:val="0"/>
              <w:snapToGrid w:val="0"/>
              <w:jc w:val="center"/>
              <w:rPr>
                <w:b/>
                <w:szCs w:val="21"/>
              </w:rPr>
            </w:pPr>
            <w:r>
              <w:rPr>
                <w:b/>
                <w:szCs w:val="21"/>
              </w:rPr>
              <w:t>一级</w:t>
            </w:r>
          </w:p>
        </w:tc>
        <w:tc>
          <w:tcPr>
            <w:tcW w:w="1276" w:type="dxa"/>
            <w:tcBorders>
              <w:tl2br w:val="nil"/>
              <w:tr2bl w:val="nil"/>
            </w:tcBorders>
            <w:vAlign w:val="center"/>
          </w:tcPr>
          <w:p>
            <w:pPr>
              <w:adjustRightInd w:val="0"/>
              <w:snapToGrid w:val="0"/>
              <w:jc w:val="center"/>
              <w:rPr>
                <w:b/>
                <w:szCs w:val="21"/>
              </w:rPr>
            </w:pPr>
            <w:r>
              <w:rPr>
                <w:b/>
                <w:szCs w:val="21"/>
              </w:rPr>
              <w:t>二级</w:t>
            </w:r>
          </w:p>
        </w:tc>
        <w:tc>
          <w:tcPr>
            <w:tcW w:w="1559" w:type="dxa"/>
            <w:tcBorders>
              <w:tl2br w:val="nil"/>
              <w:tr2bl w:val="nil"/>
            </w:tcBorders>
            <w:vAlign w:val="center"/>
          </w:tcPr>
          <w:p>
            <w:pPr>
              <w:adjustRightInd w:val="0"/>
              <w:snapToGrid w:val="0"/>
              <w:jc w:val="center"/>
              <w:rPr>
                <w:b/>
                <w:szCs w:val="21"/>
              </w:rPr>
            </w:pPr>
            <w:r>
              <w:rPr>
                <w:b/>
                <w:szCs w:val="21"/>
              </w:rPr>
              <w:t>三级</w:t>
            </w:r>
          </w:p>
        </w:tc>
        <w:tc>
          <w:tcPr>
            <w:tcW w:w="907" w:type="dxa"/>
            <w:tcBorders>
              <w:tl2br w:val="nil"/>
              <w:tr2bl w:val="nil"/>
            </w:tcBorders>
            <w:vAlign w:val="center"/>
          </w:tcPr>
          <w:p>
            <w:pPr>
              <w:adjustRightInd w:val="0"/>
              <w:snapToGrid w:val="0"/>
              <w:jc w:val="center"/>
              <w:rPr>
                <w:b/>
                <w:szCs w:val="21"/>
              </w:rPr>
            </w:pPr>
            <w:r>
              <w:rPr>
                <w:b/>
                <w:szCs w:val="21"/>
              </w:rPr>
              <w:t>综合判定结果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0" w:type="dxa"/>
            <w:tcBorders>
              <w:tl2br w:val="nil"/>
              <w:tr2bl w:val="nil"/>
            </w:tcBorders>
            <w:vAlign w:val="center"/>
          </w:tcPr>
          <w:p>
            <w:pPr>
              <w:pStyle w:val="221"/>
              <w:adjustRightInd w:val="0"/>
              <w:snapToGrid w:val="0"/>
              <w:spacing w:line="240" w:lineRule="auto"/>
              <w:rPr>
                <w:snapToGrid w:val="0"/>
                <w:sz w:val="21"/>
                <w:szCs w:val="21"/>
                <w:lang w:val="en-US"/>
              </w:rPr>
            </w:pPr>
            <w:r>
              <w:rPr>
                <w:snapToGrid w:val="0"/>
                <w:sz w:val="21"/>
                <w:szCs w:val="21"/>
                <w:lang w:val="en-US"/>
              </w:rPr>
              <w:t>环境功能区划</w:t>
            </w:r>
          </w:p>
        </w:tc>
        <w:tc>
          <w:tcPr>
            <w:tcW w:w="1417" w:type="dxa"/>
            <w:tcBorders>
              <w:tl2br w:val="nil"/>
              <w:tr2bl w:val="nil"/>
            </w:tcBorders>
            <w:vAlign w:val="center"/>
          </w:tcPr>
          <w:p>
            <w:pPr>
              <w:pStyle w:val="221"/>
              <w:adjustRightInd w:val="0"/>
              <w:snapToGrid w:val="0"/>
              <w:spacing w:line="240" w:lineRule="auto"/>
              <w:rPr>
                <w:snapToGrid w:val="0"/>
                <w:sz w:val="21"/>
                <w:szCs w:val="21"/>
                <w:lang w:val="en-US"/>
              </w:rPr>
            </w:pPr>
            <w:r>
              <w:rPr>
                <w:rFonts w:hint="eastAsia"/>
                <w:snapToGrid w:val="0"/>
                <w:sz w:val="21"/>
                <w:szCs w:val="21"/>
                <w:lang w:val="en-US"/>
              </w:rPr>
              <w:t>2</w:t>
            </w:r>
            <w:r>
              <w:rPr>
                <w:snapToGrid w:val="0"/>
                <w:sz w:val="21"/>
                <w:szCs w:val="21"/>
                <w:lang w:val="en-US"/>
              </w:rPr>
              <w:t>类</w:t>
            </w:r>
          </w:p>
        </w:tc>
        <w:tc>
          <w:tcPr>
            <w:tcW w:w="1559" w:type="dxa"/>
            <w:tcBorders>
              <w:tl2br w:val="nil"/>
              <w:tr2bl w:val="nil"/>
            </w:tcBorders>
            <w:vAlign w:val="center"/>
          </w:tcPr>
          <w:p>
            <w:pPr>
              <w:pStyle w:val="221"/>
              <w:adjustRightInd w:val="0"/>
              <w:snapToGrid w:val="0"/>
              <w:spacing w:line="240" w:lineRule="auto"/>
              <w:rPr>
                <w:snapToGrid w:val="0"/>
                <w:sz w:val="21"/>
                <w:szCs w:val="21"/>
                <w:lang w:val="en-US"/>
              </w:rPr>
            </w:pPr>
            <w:r>
              <w:rPr>
                <w:rFonts w:hint="eastAsia"/>
                <w:snapToGrid w:val="0"/>
                <w:sz w:val="21"/>
                <w:szCs w:val="21"/>
                <w:lang w:val="en-US"/>
              </w:rPr>
              <w:t>0类</w:t>
            </w:r>
          </w:p>
        </w:tc>
        <w:tc>
          <w:tcPr>
            <w:tcW w:w="1276" w:type="dxa"/>
            <w:tcBorders>
              <w:tl2br w:val="nil"/>
              <w:tr2bl w:val="nil"/>
            </w:tcBorders>
            <w:vAlign w:val="center"/>
          </w:tcPr>
          <w:p>
            <w:pPr>
              <w:adjustRightInd w:val="0"/>
              <w:snapToGrid w:val="0"/>
              <w:jc w:val="center"/>
              <w:rPr>
                <w:szCs w:val="21"/>
              </w:rPr>
            </w:pPr>
            <w:r>
              <w:rPr>
                <w:rFonts w:hint="eastAsia"/>
                <w:szCs w:val="21"/>
              </w:rPr>
              <w:t>1，2类</w:t>
            </w:r>
          </w:p>
        </w:tc>
        <w:tc>
          <w:tcPr>
            <w:tcW w:w="1559" w:type="dxa"/>
            <w:tcBorders>
              <w:tl2br w:val="nil"/>
              <w:tr2bl w:val="nil"/>
            </w:tcBorders>
            <w:vAlign w:val="center"/>
          </w:tcPr>
          <w:p>
            <w:pPr>
              <w:adjustRightInd w:val="0"/>
              <w:snapToGrid w:val="0"/>
              <w:jc w:val="center"/>
              <w:rPr>
                <w:szCs w:val="21"/>
              </w:rPr>
            </w:pPr>
            <w:r>
              <w:rPr>
                <w:rFonts w:hint="eastAsia"/>
                <w:szCs w:val="21"/>
              </w:rPr>
              <w:t>3，4类</w:t>
            </w:r>
          </w:p>
        </w:tc>
        <w:tc>
          <w:tcPr>
            <w:tcW w:w="907" w:type="dxa"/>
            <w:vMerge w:val="restart"/>
            <w:tcBorders>
              <w:tl2br w:val="nil"/>
              <w:tr2bl w:val="nil"/>
            </w:tcBorders>
            <w:vAlign w:val="center"/>
          </w:tcPr>
          <w:p>
            <w:pPr>
              <w:adjustRightInd w:val="0"/>
              <w:snapToGrid w:val="0"/>
              <w:jc w:val="center"/>
              <w:rPr>
                <w:szCs w:val="21"/>
              </w:rPr>
            </w:pPr>
            <w:r>
              <w:rPr>
                <w:szCs w:val="21"/>
              </w:rPr>
              <w:t>二级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0" w:type="dxa"/>
            <w:tcBorders>
              <w:tl2br w:val="nil"/>
              <w:tr2bl w:val="nil"/>
            </w:tcBorders>
            <w:vAlign w:val="center"/>
          </w:tcPr>
          <w:p>
            <w:pPr>
              <w:adjustRightInd w:val="0"/>
              <w:snapToGrid w:val="0"/>
              <w:jc w:val="center"/>
              <w:rPr>
                <w:szCs w:val="21"/>
              </w:rPr>
            </w:pPr>
            <w:r>
              <w:rPr>
                <w:szCs w:val="21"/>
              </w:rPr>
              <w:t>噪声增量</w:t>
            </w:r>
          </w:p>
        </w:tc>
        <w:tc>
          <w:tcPr>
            <w:tcW w:w="1417" w:type="dxa"/>
            <w:tcBorders>
              <w:tl2br w:val="nil"/>
              <w:tr2bl w:val="nil"/>
            </w:tcBorders>
            <w:vAlign w:val="center"/>
          </w:tcPr>
          <w:p>
            <w:pPr>
              <w:adjustRightInd w:val="0"/>
              <w:snapToGrid w:val="0"/>
              <w:jc w:val="center"/>
              <w:rPr>
                <w:szCs w:val="21"/>
              </w:rPr>
            </w:pPr>
            <w:r>
              <w:rPr>
                <w:szCs w:val="21"/>
              </w:rPr>
              <w:t>小于</w:t>
            </w:r>
            <w:r>
              <w:rPr>
                <w:rFonts w:hint="eastAsia"/>
                <w:szCs w:val="21"/>
              </w:rPr>
              <w:t>3</w:t>
            </w:r>
            <w:r>
              <w:rPr>
                <w:szCs w:val="21"/>
                <w:lang w:val="zh-CN"/>
              </w:rPr>
              <w:t>dB（A）</w:t>
            </w:r>
          </w:p>
        </w:tc>
        <w:tc>
          <w:tcPr>
            <w:tcW w:w="1559" w:type="dxa"/>
            <w:tcBorders>
              <w:tl2br w:val="nil"/>
              <w:tr2bl w:val="nil"/>
            </w:tcBorders>
            <w:vAlign w:val="center"/>
          </w:tcPr>
          <w:p>
            <w:pPr>
              <w:adjustRightInd w:val="0"/>
              <w:snapToGrid w:val="0"/>
              <w:jc w:val="center"/>
              <w:rPr>
                <w:szCs w:val="21"/>
              </w:rPr>
            </w:pPr>
            <w:r>
              <w:rPr>
                <w:szCs w:val="21"/>
              </w:rPr>
              <w:t>大于</w:t>
            </w:r>
            <w:r>
              <w:rPr>
                <w:rFonts w:hint="eastAsia"/>
                <w:szCs w:val="21"/>
              </w:rPr>
              <w:t>5</w:t>
            </w:r>
            <w:r>
              <w:rPr>
                <w:szCs w:val="21"/>
                <w:lang w:val="zh-CN"/>
              </w:rPr>
              <w:t>dB（A）</w:t>
            </w:r>
          </w:p>
        </w:tc>
        <w:tc>
          <w:tcPr>
            <w:tcW w:w="1276" w:type="dxa"/>
            <w:tcBorders>
              <w:tl2br w:val="nil"/>
              <w:tr2bl w:val="nil"/>
            </w:tcBorders>
            <w:shd w:val="clear" w:color="auto" w:fill="auto"/>
            <w:vAlign w:val="center"/>
          </w:tcPr>
          <w:p>
            <w:pPr>
              <w:adjustRightInd w:val="0"/>
              <w:snapToGrid w:val="0"/>
              <w:jc w:val="center"/>
              <w:rPr>
                <w:szCs w:val="21"/>
              </w:rPr>
            </w:pPr>
            <w:r>
              <w:rPr>
                <w:rFonts w:hint="eastAsia"/>
                <w:szCs w:val="21"/>
              </w:rPr>
              <w:t>3~5</w:t>
            </w:r>
            <w:r>
              <w:rPr>
                <w:szCs w:val="21"/>
                <w:lang w:val="zh-CN"/>
              </w:rPr>
              <w:t>dB（A）</w:t>
            </w:r>
          </w:p>
        </w:tc>
        <w:tc>
          <w:tcPr>
            <w:tcW w:w="1559" w:type="dxa"/>
            <w:tcBorders>
              <w:tl2br w:val="nil"/>
              <w:tr2bl w:val="nil"/>
            </w:tcBorders>
            <w:vAlign w:val="center"/>
          </w:tcPr>
          <w:p>
            <w:pPr>
              <w:adjustRightInd w:val="0"/>
              <w:snapToGrid w:val="0"/>
              <w:jc w:val="center"/>
              <w:rPr>
                <w:szCs w:val="21"/>
              </w:rPr>
            </w:pPr>
            <w:r>
              <w:rPr>
                <w:szCs w:val="21"/>
              </w:rPr>
              <w:t>小于</w:t>
            </w:r>
            <w:r>
              <w:rPr>
                <w:rFonts w:hint="eastAsia"/>
                <w:szCs w:val="21"/>
              </w:rPr>
              <w:t>3</w:t>
            </w:r>
            <w:r>
              <w:rPr>
                <w:szCs w:val="21"/>
                <w:lang w:val="zh-CN"/>
              </w:rPr>
              <w:t>dB（A）</w:t>
            </w:r>
          </w:p>
        </w:tc>
        <w:tc>
          <w:tcPr>
            <w:tcW w:w="907" w:type="dxa"/>
            <w:vMerge w:val="continue"/>
            <w:tcBorders>
              <w:tl2br w:val="nil"/>
              <w:tr2bl w:val="nil"/>
            </w:tcBorders>
            <w:vAlign w:val="center"/>
          </w:tcPr>
          <w:p>
            <w:pPr>
              <w:adjustRightInd w:val="0"/>
              <w:snapToGrid w:val="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0" w:type="dxa"/>
            <w:tcBorders>
              <w:tl2br w:val="nil"/>
              <w:tr2bl w:val="nil"/>
            </w:tcBorders>
            <w:vAlign w:val="center"/>
          </w:tcPr>
          <w:p>
            <w:pPr>
              <w:adjustRightInd w:val="0"/>
              <w:snapToGrid w:val="0"/>
              <w:jc w:val="center"/>
              <w:rPr>
                <w:szCs w:val="21"/>
              </w:rPr>
            </w:pPr>
            <w:r>
              <w:rPr>
                <w:szCs w:val="21"/>
              </w:rPr>
              <w:t>受影响人口数量</w:t>
            </w:r>
          </w:p>
        </w:tc>
        <w:tc>
          <w:tcPr>
            <w:tcW w:w="1417" w:type="dxa"/>
            <w:tcBorders>
              <w:tl2br w:val="nil"/>
              <w:tr2bl w:val="nil"/>
            </w:tcBorders>
            <w:vAlign w:val="center"/>
          </w:tcPr>
          <w:p>
            <w:pPr>
              <w:adjustRightInd w:val="0"/>
              <w:snapToGrid w:val="0"/>
              <w:jc w:val="center"/>
              <w:rPr>
                <w:szCs w:val="21"/>
              </w:rPr>
            </w:pPr>
            <w:r>
              <w:rPr>
                <w:szCs w:val="21"/>
              </w:rPr>
              <w:t>变化不大</w:t>
            </w:r>
          </w:p>
        </w:tc>
        <w:tc>
          <w:tcPr>
            <w:tcW w:w="1559" w:type="dxa"/>
            <w:tcBorders>
              <w:tl2br w:val="nil"/>
              <w:tr2bl w:val="nil"/>
            </w:tcBorders>
            <w:vAlign w:val="center"/>
          </w:tcPr>
          <w:p>
            <w:pPr>
              <w:adjustRightInd w:val="0"/>
              <w:snapToGrid w:val="0"/>
              <w:jc w:val="center"/>
              <w:rPr>
                <w:szCs w:val="21"/>
              </w:rPr>
            </w:pPr>
            <w:r>
              <w:rPr>
                <w:szCs w:val="21"/>
              </w:rPr>
              <w:t>显著增加</w:t>
            </w:r>
          </w:p>
        </w:tc>
        <w:tc>
          <w:tcPr>
            <w:tcW w:w="1276" w:type="dxa"/>
            <w:tcBorders>
              <w:tl2br w:val="nil"/>
              <w:tr2bl w:val="nil"/>
            </w:tcBorders>
            <w:shd w:val="clear" w:color="auto" w:fill="auto"/>
            <w:vAlign w:val="center"/>
          </w:tcPr>
          <w:p>
            <w:pPr>
              <w:adjustRightInd w:val="0"/>
              <w:snapToGrid w:val="0"/>
              <w:jc w:val="center"/>
              <w:rPr>
                <w:szCs w:val="21"/>
              </w:rPr>
            </w:pPr>
            <w:r>
              <w:rPr>
                <w:szCs w:val="21"/>
              </w:rPr>
              <w:t>增加较多</w:t>
            </w:r>
          </w:p>
        </w:tc>
        <w:tc>
          <w:tcPr>
            <w:tcW w:w="1559" w:type="dxa"/>
            <w:tcBorders>
              <w:tl2br w:val="nil"/>
              <w:tr2bl w:val="nil"/>
            </w:tcBorders>
            <w:vAlign w:val="center"/>
          </w:tcPr>
          <w:p>
            <w:pPr>
              <w:adjustRightInd w:val="0"/>
              <w:snapToGrid w:val="0"/>
              <w:jc w:val="center"/>
              <w:rPr>
                <w:szCs w:val="21"/>
              </w:rPr>
            </w:pPr>
            <w:r>
              <w:rPr>
                <w:szCs w:val="21"/>
              </w:rPr>
              <w:t>变化不大</w:t>
            </w:r>
          </w:p>
        </w:tc>
        <w:tc>
          <w:tcPr>
            <w:tcW w:w="907" w:type="dxa"/>
            <w:vMerge w:val="continue"/>
            <w:tcBorders>
              <w:tl2br w:val="nil"/>
              <w:tr2bl w:val="nil"/>
            </w:tcBorders>
            <w:vAlign w:val="center"/>
          </w:tcPr>
          <w:p>
            <w:pPr>
              <w:adjustRightInd w:val="0"/>
              <w:snapToGrid w:val="0"/>
              <w:jc w:val="center"/>
              <w:rPr>
                <w:szCs w:val="21"/>
              </w:rPr>
            </w:pPr>
          </w:p>
        </w:tc>
      </w:tr>
    </w:tbl>
    <w:p>
      <w:pPr>
        <w:pStyle w:val="7"/>
        <w:adjustRightInd w:val="0"/>
        <w:snapToGrid w:val="0"/>
        <w:spacing w:before="0" w:after="0" w:line="360" w:lineRule="auto"/>
        <w:jc w:val="left"/>
        <w:rPr>
          <w:sz w:val="24"/>
          <w:szCs w:val="24"/>
        </w:rPr>
      </w:pPr>
      <w:r>
        <w:rPr>
          <w:sz w:val="24"/>
          <w:szCs w:val="24"/>
        </w:rPr>
        <w:t>2.4.</w:t>
      </w:r>
      <w:r>
        <w:rPr>
          <w:rFonts w:hint="eastAsia"/>
          <w:sz w:val="24"/>
          <w:szCs w:val="24"/>
        </w:rPr>
        <w:t>5</w:t>
      </w:r>
      <w:r>
        <w:rPr>
          <w:sz w:val="24"/>
          <w:szCs w:val="24"/>
        </w:rPr>
        <w:t xml:space="preserve"> 土壤环境影响评价等级</w:t>
      </w:r>
    </w:p>
    <w:p>
      <w:pPr>
        <w:pStyle w:val="146"/>
        <w:spacing w:line="360" w:lineRule="auto"/>
        <w:ind w:firstLine="480" w:firstLineChars="200"/>
        <w:jc w:val="both"/>
        <w:rPr>
          <w:rFonts w:ascii="Times New Roman" w:eastAsia="宋体" w:cs="Times New Roman"/>
          <w:color w:val="auto"/>
          <w:kern w:val="2"/>
        </w:rPr>
      </w:pPr>
      <w:r>
        <w:rPr>
          <w:rFonts w:ascii="Times New Roman" w:eastAsia="宋体" w:cs="Times New Roman"/>
          <w:color w:val="auto"/>
          <w:kern w:val="2"/>
        </w:rPr>
        <w:t>根据《环境影响评价技术导则</w:t>
      </w:r>
      <w:r>
        <w:rPr>
          <w:rFonts w:hint="eastAsia" w:ascii="Times New Roman" w:eastAsia="宋体" w:cs="Times New Roman"/>
          <w:color w:val="auto"/>
          <w:kern w:val="2"/>
        </w:rPr>
        <w:t xml:space="preserve">  </w:t>
      </w:r>
      <w:r>
        <w:rPr>
          <w:rFonts w:ascii="Times New Roman" w:eastAsia="宋体" w:cs="Times New Roman"/>
          <w:color w:val="auto"/>
          <w:kern w:val="2"/>
        </w:rPr>
        <w:t>土壤环境（试行）》（HJ964-2018），土壤环境评价工作等级由土壤环境影响类型、影响途径、影响源及影响因子确定。</w:t>
      </w:r>
    </w:p>
    <w:p>
      <w:pPr>
        <w:pStyle w:val="146"/>
        <w:spacing w:line="360" w:lineRule="auto"/>
        <w:ind w:firstLine="480" w:firstLineChars="200"/>
        <w:jc w:val="both"/>
        <w:rPr>
          <w:rFonts w:ascii="Times New Roman" w:eastAsia="宋体" w:cs="Times New Roman"/>
          <w:color w:val="auto"/>
        </w:rPr>
      </w:pPr>
      <w:r>
        <w:rPr>
          <w:rFonts w:ascii="Times New Roman" w:eastAsia="宋体" w:cs="Times New Roman"/>
          <w:color w:val="auto"/>
          <w:kern w:val="2"/>
        </w:rPr>
        <w:t>根据《环境影响评价技术导则</w:t>
      </w:r>
      <w:r>
        <w:rPr>
          <w:rFonts w:hint="eastAsia" w:ascii="Times New Roman" w:eastAsia="宋体" w:cs="Times New Roman"/>
          <w:color w:val="auto"/>
          <w:kern w:val="2"/>
        </w:rPr>
        <w:t xml:space="preserve">  </w:t>
      </w:r>
      <w:r>
        <w:rPr>
          <w:rFonts w:ascii="Times New Roman" w:eastAsia="宋体" w:cs="Times New Roman"/>
          <w:color w:val="auto"/>
          <w:kern w:val="2"/>
        </w:rPr>
        <w:t>土壤环境（试行）》（HJ964-2018）附表A.1，本项目属于</w:t>
      </w:r>
      <w:r>
        <w:rPr>
          <w:rFonts w:cs="Times New Roman" w:asciiTheme="minorEastAsia" w:hAnsiTheme="minorEastAsia" w:eastAsiaTheme="minorEastAsia"/>
          <w:color w:val="auto"/>
          <w:kern w:val="2"/>
        </w:rPr>
        <w:t>“</w:t>
      </w:r>
      <w:r>
        <w:rPr>
          <w:rFonts w:ascii="Times New Roman" w:eastAsia="宋体" w:cs="Times New Roman"/>
          <w:color w:val="auto"/>
          <w:kern w:val="2"/>
        </w:rPr>
        <w:t>农林牧渔</w:t>
      </w:r>
      <w:r>
        <w:rPr>
          <w:rFonts w:cs="Times New Roman" w:asciiTheme="minorEastAsia" w:hAnsiTheme="minorEastAsia" w:eastAsiaTheme="minorEastAsia"/>
          <w:color w:val="auto"/>
          <w:kern w:val="2"/>
        </w:rPr>
        <w:t>”</w:t>
      </w:r>
      <w:r>
        <w:rPr>
          <w:rFonts w:ascii="Times New Roman" w:eastAsia="宋体" w:cs="Times New Roman"/>
          <w:color w:val="auto"/>
          <w:kern w:val="2"/>
        </w:rPr>
        <w:t>行业中</w:t>
      </w:r>
      <w:r>
        <w:rPr>
          <w:rFonts w:cs="Times New Roman" w:asciiTheme="minorEastAsia" w:hAnsiTheme="minorEastAsia" w:eastAsiaTheme="minorEastAsia"/>
          <w:color w:val="auto"/>
          <w:kern w:val="2"/>
        </w:rPr>
        <w:t>“</w:t>
      </w:r>
      <w:r>
        <w:rPr>
          <w:rFonts w:ascii="Times New Roman" w:eastAsia="宋体" w:cs="Times New Roman"/>
          <w:color w:val="auto"/>
          <w:kern w:val="2"/>
        </w:rPr>
        <w:t>年出栏生猪5000头以上的畜禽养殖场或养殖小区</w:t>
      </w:r>
      <w:r>
        <w:rPr>
          <w:rFonts w:cs="Times New Roman" w:asciiTheme="majorEastAsia" w:hAnsiTheme="majorEastAsia" w:eastAsiaTheme="majorEastAsia"/>
          <w:color w:val="auto"/>
          <w:kern w:val="2"/>
        </w:rPr>
        <w:t>”</w:t>
      </w:r>
      <w:r>
        <w:rPr>
          <w:rFonts w:ascii="Times New Roman" w:eastAsia="宋体" w:cs="Times New Roman"/>
          <w:color w:val="auto"/>
          <w:kern w:val="2"/>
        </w:rPr>
        <w:t>，项目类别为Ⅲ类</w:t>
      </w:r>
      <w:r>
        <w:rPr>
          <w:rFonts w:ascii="Times New Roman" w:cs="Times New Roman"/>
        </w:rPr>
        <w:t>；</w:t>
      </w:r>
      <w:r>
        <w:rPr>
          <w:rFonts w:ascii="Times New Roman" w:eastAsia="宋体" w:cs="Times New Roman"/>
          <w:color w:val="auto"/>
          <w:kern w:val="2"/>
        </w:rPr>
        <w:t>项目用地周边主要为农田，故项目所在地周边土壤环境敏感程度为敏感；占地面积为</w:t>
      </w:r>
      <w:r>
        <w:rPr>
          <w:rFonts w:hint="eastAsia" w:ascii="Times New Roman" w:eastAsia="宋体" w:cs="Times New Roman"/>
          <w:color w:val="auto"/>
          <w:kern w:val="2"/>
          <w:lang w:val="en-US" w:eastAsia="zh-CN"/>
        </w:rPr>
        <w:t>32.96亩（约2.2</w:t>
      </w:r>
      <w:r>
        <w:rPr>
          <w:rFonts w:ascii="Times New Roman" w:eastAsia="宋体" w:cs="Times New Roman"/>
          <w:color w:val="auto"/>
          <w:kern w:val="2"/>
        </w:rPr>
        <w:t>hm</w:t>
      </w:r>
      <w:r>
        <w:rPr>
          <w:rFonts w:ascii="Times New Roman" w:eastAsia="宋体" w:cs="Times New Roman"/>
          <w:color w:val="auto"/>
          <w:kern w:val="2"/>
          <w:vertAlign w:val="superscript"/>
        </w:rPr>
        <w:t>2</w:t>
      </w:r>
      <w:r>
        <w:rPr>
          <w:rFonts w:hint="eastAsia" w:ascii="Times New Roman" w:eastAsia="宋体" w:cs="Times New Roman"/>
          <w:color w:val="auto"/>
          <w:kern w:val="2"/>
          <w:lang w:val="en-US" w:eastAsia="zh-CN"/>
        </w:rPr>
        <w:t>）</w:t>
      </w:r>
      <w:r>
        <w:rPr>
          <w:rFonts w:ascii="Times New Roman" w:eastAsia="宋体" w:cs="Times New Roman"/>
          <w:color w:val="auto"/>
          <w:kern w:val="2"/>
        </w:rPr>
        <w:t>，占地规模属于小型；根据《环境影响评价技术导则</w:t>
      </w:r>
      <w:r>
        <w:rPr>
          <w:rFonts w:hint="eastAsia" w:ascii="Times New Roman" w:eastAsia="宋体" w:cs="Times New Roman"/>
          <w:color w:val="auto"/>
          <w:kern w:val="2"/>
        </w:rPr>
        <w:t xml:space="preserve">  </w:t>
      </w:r>
      <w:r>
        <w:rPr>
          <w:rFonts w:ascii="Times New Roman" w:eastAsia="宋体" w:cs="Times New Roman"/>
          <w:color w:val="auto"/>
          <w:kern w:val="2"/>
        </w:rPr>
        <w:t>土壤环境（试行）》（HJ964-2018）污染影响型评价工作等级划分表，因此，本项目土壤环境评价工作等级为三级。三级评价项目采用定性分析或类比分析法进行预测。</w:t>
      </w:r>
    </w:p>
    <w:p>
      <w:pPr>
        <w:spacing w:line="360" w:lineRule="auto"/>
        <w:ind w:firstLine="480" w:firstLineChars="200"/>
        <w:rPr>
          <w:sz w:val="24"/>
        </w:rPr>
      </w:pPr>
      <w:r>
        <w:rPr>
          <w:sz w:val="24"/>
        </w:rPr>
        <w:t>其评价等级划分情况详见表2.4-</w:t>
      </w:r>
      <w:r>
        <w:rPr>
          <w:rFonts w:hint="eastAsia"/>
          <w:sz w:val="24"/>
        </w:rPr>
        <w:t>9</w:t>
      </w:r>
      <w:r>
        <w:rPr>
          <w:sz w:val="24"/>
        </w:rPr>
        <w:t>。</w:t>
      </w:r>
    </w:p>
    <w:p>
      <w:pPr>
        <w:pStyle w:val="17"/>
        <w:spacing w:beforeLines="50"/>
        <w:rPr>
          <w:rFonts w:ascii="Times New Roman" w:hAnsi="Times New Roman" w:cs="Times New Roman"/>
          <w:color w:val="auto"/>
          <w:sz w:val="21"/>
        </w:rPr>
      </w:pPr>
      <w:r>
        <w:rPr>
          <w:rFonts w:ascii="Times New Roman" w:cs="Times New Roman"/>
          <w:color w:val="auto"/>
          <w:sz w:val="21"/>
        </w:rPr>
        <w:t>表</w:t>
      </w:r>
      <w:r>
        <w:rPr>
          <w:rFonts w:ascii="Times New Roman" w:hAnsi="Times New Roman" w:cs="Times New Roman"/>
          <w:color w:val="auto"/>
          <w:sz w:val="21"/>
        </w:rPr>
        <w:t>2.4-</w:t>
      </w:r>
      <w:r>
        <w:rPr>
          <w:rFonts w:hint="eastAsia" w:ascii="Times New Roman" w:hAnsi="Times New Roman" w:cs="Times New Roman"/>
          <w:color w:val="auto"/>
          <w:sz w:val="21"/>
        </w:rPr>
        <w:t>9</w:t>
      </w:r>
      <w:r>
        <w:rPr>
          <w:rFonts w:ascii="Times New Roman" w:hAnsi="Times New Roman" w:cs="Times New Roman"/>
          <w:color w:val="auto"/>
          <w:sz w:val="21"/>
        </w:rPr>
        <w:t xml:space="preserve">  </w:t>
      </w:r>
      <w:r>
        <w:rPr>
          <w:rFonts w:ascii="Times New Roman" w:cs="Times New Roman"/>
          <w:color w:val="auto"/>
          <w:sz w:val="21"/>
        </w:rPr>
        <w:t>污染影响型评价工作等级划分表</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54"/>
        <w:gridCol w:w="675"/>
        <w:gridCol w:w="675"/>
        <w:gridCol w:w="674"/>
        <w:gridCol w:w="675"/>
        <w:gridCol w:w="675"/>
        <w:gridCol w:w="675"/>
        <w:gridCol w:w="676"/>
        <w:gridCol w:w="676"/>
        <w:gridCol w:w="6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9" w:type="pct"/>
            <w:vMerge w:val="restart"/>
            <w:tcBorders>
              <w:tl2br w:val="nil"/>
              <w:tr2bl w:val="nil"/>
            </w:tcBorders>
            <w:noWrap/>
            <w:vAlign w:val="center"/>
          </w:tcPr>
          <w:p>
            <w:pPr>
              <w:pStyle w:val="278"/>
              <w:snapToGrid w:val="0"/>
              <w:spacing w:line="240" w:lineRule="auto"/>
              <w:ind w:firstLine="0" w:firstLineChars="0"/>
              <w:jc w:val="center"/>
              <w:rPr>
                <w:rFonts w:hAnsi="Times New Roman"/>
                <w:b/>
                <w:sz w:val="21"/>
                <w:szCs w:val="21"/>
              </w:rPr>
            </w:pPr>
            <w:r>
              <w:rPr>
                <w:rFonts w:hAnsi="Times New Roman"/>
                <w:b/>
                <w:sz w:val="21"/>
                <w:szCs w:val="21"/>
              </w:rPr>
              <w:t>敏感程度</w:t>
            </w:r>
          </w:p>
          <w:p>
            <w:pPr>
              <w:pStyle w:val="278"/>
              <w:snapToGrid w:val="0"/>
              <w:spacing w:line="240" w:lineRule="auto"/>
              <w:ind w:firstLine="0" w:firstLineChars="0"/>
              <w:jc w:val="center"/>
              <w:rPr>
                <w:rFonts w:hAnsi="Times New Roman"/>
                <w:b/>
                <w:sz w:val="21"/>
                <w:szCs w:val="21"/>
              </w:rPr>
            </w:pPr>
            <w:r>
              <w:rPr>
                <w:rFonts w:hAnsi="Times New Roman"/>
                <w:b/>
                <w:sz w:val="21"/>
                <w:szCs w:val="21"/>
              </w:rPr>
              <w:t>评价工作等级</w:t>
            </w:r>
          </w:p>
          <w:p>
            <w:pPr>
              <w:pStyle w:val="278"/>
              <w:spacing w:line="240" w:lineRule="auto"/>
              <w:ind w:firstLine="0" w:firstLineChars="0"/>
              <w:jc w:val="center"/>
              <w:rPr>
                <w:rFonts w:hAnsi="Times New Roman"/>
                <w:b/>
                <w:sz w:val="21"/>
                <w:szCs w:val="21"/>
              </w:rPr>
            </w:pPr>
            <w:r>
              <w:rPr>
                <w:rFonts w:hAnsi="Times New Roman"/>
                <w:b/>
                <w:sz w:val="21"/>
                <w:szCs w:val="21"/>
              </w:rPr>
              <w:t>占地规模</w:t>
            </w:r>
          </w:p>
        </w:tc>
        <w:tc>
          <w:tcPr>
            <w:tcW w:w="1187" w:type="pct"/>
            <w:gridSpan w:val="3"/>
            <w:tcBorders>
              <w:tl2br w:val="nil"/>
              <w:tr2bl w:val="nil"/>
            </w:tcBorders>
            <w:noWrap/>
            <w:vAlign w:val="center"/>
          </w:tcPr>
          <w:p>
            <w:pPr>
              <w:pStyle w:val="278"/>
              <w:spacing w:line="240" w:lineRule="auto"/>
              <w:ind w:firstLine="0" w:firstLineChars="0"/>
              <w:jc w:val="center"/>
              <w:rPr>
                <w:rFonts w:hAnsi="Times New Roman"/>
                <w:b/>
                <w:sz w:val="21"/>
                <w:szCs w:val="21"/>
              </w:rPr>
            </w:pPr>
            <w:r>
              <w:rPr>
                <w:rFonts w:hAnsi="Times New Roman"/>
                <w:b/>
                <w:sz w:val="21"/>
                <w:szCs w:val="21"/>
              </w:rPr>
              <w:t>Ⅰ类</w:t>
            </w:r>
          </w:p>
        </w:tc>
        <w:tc>
          <w:tcPr>
            <w:tcW w:w="1187" w:type="pct"/>
            <w:gridSpan w:val="3"/>
            <w:tcBorders>
              <w:tl2br w:val="nil"/>
              <w:tr2bl w:val="nil"/>
            </w:tcBorders>
            <w:noWrap/>
            <w:vAlign w:val="center"/>
          </w:tcPr>
          <w:p>
            <w:pPr>
              <w:pStyle w:val="278"/>
              <w:spacing w:line="240" w:lineRule="auto"/>
              <w:ind w:firstLine="0" w:firstLineChars="0"/>
              <w:jc w:val="center"/>
              <w:rPr>
                <w:rFonts w:hAnsi="Times New Roman"/>
                <w:b/>
                <w:sz w:val="21"/>
                <w:szCs w:val="21"/>
              </w:rPr>
            </w:pPr>
            <w:r>
              <w:rPr>
                <w:rFonts w:hAnsi="Times New Roman"/>
                <w:b/>
                <w:sz w:val="21"/>
                <w:szCs w:val="21"/>
              </w:rPr>
              <w:t>Ⅱ类</w:t>
            </w:r>
          </w:p>
        </w:tc>
        <w:tc>
          <w:tcPr>
            <w:tcW w:w="1187" w:type="pct"/>
            <w:gridSpan w:val="3"/>
            <w:tcBorders>
              <w:tl2br w:val="nil"/>
              <w:tr2bl w:val="nil"/>
            </w:tcBorders>
            <w:noWrap/>
            <w:vAlign w:val="center"/>
          </w:tcPr>
          <w:p>
            <w:pPr>
              <w:pStyle w:val="278"/>
              <w:spacing w:line="240" w:lineRule="auto"/>
              <w:ind w:firstLine="0" w:firstLineChars="0"/>
              <w:jc w:val="center"/>
              <w:rPr>
                <w:rFonts w:hAnsi="Times New Roman"/>
                <w:b/>
                <w:sz w:val="21"/>
                <w:szCs w:val="21"/>
              </w:rPr>
            </w:pPr>
            <w:r>
              <w:rPr>
                <w:rFonts w:hAnsi="Times New Roman"/>
                <w:b/>
                <w:sz w:val="21"/>
                <w:szCs w:val="21"/>
              </w:rPr>
              <w:t>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9" w:type="pct"/>
            <w:vMerge w:val="continue"/>
            <w:tcBorders>
              <w:tl2br w:val="nil"/>
              <w:tr2bl w:val="nil"/>
            </w:tcBorders>
            <w:noWrap/>
            <w:vAlign w:val="center"/>
          </w:tcPr>
          <w:p>
            <w:pPr>
              <w:pStyle w:val="278"/>
              <w:spacing w:line="240" w:lineRule="auto"/>
              <w:ind w:firstLine="0" w:firstLineChars="0"/>
              <w:jc w:val="center"/>
              <w:rPr>
                <w:rFonts w:hAnsi="Times New Roman"/>
                <w:b/>
                <w:sz w:val="21"/>
                <w:szCs w:val="21"/>
              </w:rPr>
            </w:pPr>
          </w:p>
        </w:tc>
        <w:tc>
          <w:tcPr>
            <w:tcW w:w="396" w:type="pct"/>
            <w:tcBorders>
              <w:tl2br w:val="nil"/>
              <w:tr2bl w:val="nil"/>
            </w:tcBorders>
            <w:noWrap/>
            <w:vAlign w:val="center"/>
          </w:tcPr>
          <w:p>
            <w:pPr>
              <w:pStyle w:val="278"/>
              <w:spacing w:line="240" w:lineRule="auto"/>
              <w:ind w:firstLine="0" w:firstLineChars="0"/>
              <w:jc w:val="center"/>
              <w:rPr>
                <w:rFonts w:hAnsi="Times New Roman"/>
                <w:b/>
                <w:sz w:val="21"/>
                <w:szCs w:val="21"/>
              </w:rPr>
            </w:pPr>
            <w:r>
              <w:rPr>
                <w:rFonts w:hAnsi="Times New Roman"/>
                <w:b/>
                <w:sz w:val="21"/>
                <w:szCs w:val="21"/>
              </w:rPr>
              <w:t>大</w:t>
            </w:r>
          </w:p>
        </w:tc>
        <w:tc>
          <w:tcPr>
            <w:tcW w:w="396" w:type="pct"/>
            <w:tcBorders>
              <w:tl2br w:val="nil"/>
              <w:tr2bl w:val="nil"/>
            </w:tcBorders>
            <w:noWrap/>
            <w:vAlign w:val="center"/>
          </w:tcPr>
          <w:p>
            <w:pPr>
              <w:pStyle w:val="278"/>
              <w:spacing w:line="240" w:lineRule="auto"/>
              <w:ind w:firstLine="0" w:firstLineChars="0"/>
              <w:jc w:val="center"/>
              <w:rPr>
                <w:rFonts w:hAnsi="Times New Roman"/>
                <w:b/>
                <w:sz w:val="21"/>
                <w:szCs w:val="21"/>
              </w:rPr>
            </w:pPr>
            <w:r>
              <w:rPr>
                <w:rFonts w:hAnsi="Times New Roman"/>
                <w:b/>
                <w:sz w:val="21"/>
                <w:szCs w:val="21"/>
              </w:rPr>
              <w:t>中</w:t>
            </w:r>
          </w:p>
        </w:tc>
        <w:tc>
          <w:tcPr>
            <w:tcW w:w="395" w:type="pct"/>
            <w:tcBorders>
              <w:tl2br w:val="nil"/>
              <w:tr2bl w:val="nil"/>
            </w:tcBorders>
            <w:noWrap/>
            <w:vAlign w:val="center"/>
          </w:tcPr>
          <w:p>
            <w:pPr>
              <w:pStyle w:val="278"/>
              <w:spacing w:line="240" w:lineRule="auto"/>
              <w:ind w:firstLine="0" w:firstLineChars="0"/>
              <w:jc w:val="center"/>
              <w:rPr>
                <w:rFonts w:hAnsi="Times New Roman"/>
                <w:b/>
                <w:sz w:val="21"/>
                <w:szCs w:val="21"/>
              </w:rPr>
            </w:pPr>
            <w:r>
              <w:rPr>
                <w:rFonts w:hAnsi="Times New Roman"/>
                <w:b/>
                <w:sz w:val="21"/>
                <w:szCs w:val="21"/>
              </w:rPr>
              <w:t>小</w:t>
            </w:r>
          </w:p>
        </w:tc>
        <w:tc>
          <w:tcPr>
            <w:tcW w:w="396" w:type="pct"/>
            <w:tcBorders>
              <w:tl2br w:val="nil"/>
              <w:tr2bl w:val="nil"/>
            </w:tcBorders>
            <w:noWrap/>
            <w:vAlign w:val="center"/>
          </w:tcPr>
          <w:p>
            <w:pPr>
              <w:pStyle w:val="278"/>
              <w:spacing w:line="240" w:lineRule="auto"/>
              <w:ind w:firstLine="0" w:firstLineChars="0"/>
              <w:jc w:val="center"/>
              <w:rPr>
                <w:rFonts w:hAnsi="Times New Roman"/>
                <w:b/>
                <w:sz w:val="21"/>
                <w:szCs w:val="21"/>
              </w:rPr>
            </w:pPr>
            <w:r>
              <w:rPr>
                <w:rFonts w:hAnsi="Times New Roman"/>
                <w:b/>
                <w:sz w:val="21"/>
                <w:szCs w:val="21"/>
              </w:rPr>
              <w:t>大</w:t>
            </w:r>
          </w:p>
        </w:tc>
        <w:tc>
          <w:tcPr>
            <w:tcW w:w="396" w:type="pct"/>
            <w:tcBorders>
              <w:tl2br w:val="nil"/>
              <w:tr2bl w:val="nil"/>
            </w:tcBorders>
            <w:noWrap/>
            <w:vAlign w:val="center"/>
          </w:tcPr>
          <w:p>
            <w:pPr>
              <w:pStyle w:val="278"/>
              <w:spacing w:line="240" w:lineRule="auto"/>
              <w:ind w:firstLine="0" w:firstLineChars="0"/>
              <w:jc w:val="center"/>
              <w:rPr>
                <w:rFonts w:hAnsi="Times New Roman"/>
                <w:b/>
                <w:sz w:val="21"/>
                <w:szCs w:val="21"/>
              </w:rPr>
            </w:pPr>
            <w:r>
              <w:rPr>
                <w:rFonts w:hAnsi="Times New Roman"/>
                <w:b/>
                <w:sz w:val="21"/>
                <w:szCs w:val="21"/>
              </w:rPr>
              <w:t>中</w:t>
            </w:r>
          </w:p>
        </w:tc>
        <w:tc>
          <w:tcPr>
            <w:tcW w:w="396" w:type="pct"/>
            <w:tcBorders>
              <w:tl2br w:val="nil"/>
              <w:tr2bl w:val="nil"/>
            </w:tcBorders>
            <w:noWrap/>
            <w:vAlign w:val="center"/>
          </w:tcPr>
          <w:p>
            <w:pPr>
              <w:pStyle w:val="278"/>
              <w:spacing w:line="240" w:lineRule="auto"/>
              <w:ind w:firstLine="0" w:firstLineChars="0"/>
              <w:jc w:val="center"/>
              <w:rPr>
                <w:rFonts w:hAnsi="Times New Roman"/>
                <w:b/>
                <w:sz w:val="21"/>
                <w:szCs w:val="21"/>
              </w:rPr>
            </w:pPr>
            <w:r>
              <w:rPr>
                <w:rFonts w:hAnsi="Times New Roman"/>
                <w:b/>
                <w:sz w:val="21"/>
                <w:szCs w:val="21"/>
              </w:rPr>
              <w:t>小</w:t>
            </w:r>
          </w:p>
        </w:tc>
        <w:tc>
          <w:tcPr>
            <w:tcW w:w="396" w:type="pct"/>
            <w:tcBorders>
              <w:tl2br w:val="nil"/>
              <w:tr2bl w:val="nil"/>
            </w:tcBorders>
            <w:noWrap/>
            <w:vAlign w:val="center"/>
          </w:tcPr>
          <w:p>
            <w:pPr>
              <w:pStyle w:val="278"/>
              <w:spacing w:line="240" w:lineRule="auto"/>
              <w:ind w:firstLine="0" w:firstLineChars="0"/>
              <w:jc w:val="center"/>
              <w:rPr>
                <w:rFonts w:hAnsi="Times New Roman"/>
                <w:b/>
                <w:sz w:val="21"/>
                <w:szCs w:val="21"/>
              </w:rPr>
            </w:pPr>
            <w:r>
              <w:rPr>
                <w:rFonts w:hAnsi="Times New Roman"/>
                <w:b/>
                <w:sz w:val="21"/>
                <w:szCs w:val="21"/>
              </w:rPr>
              <w:t>大</w:t>
            </w:r>
          </w:p>
        </w:tc>
        <w:tc>
          <w:tcPr>
            <w:tcW w:w="396" w:type="pct"/>
            <w:tcBorders>
              <w:tl2br w:val="nil"/>
              <w:tr2bl w:val="nil"/>
            </w:tcBorders>
            <w:noWrap/>
            <w:vAlign w:val="center"/>
          </w:tcPr>
          <w:p>
            <w:pPr>
              <w:pStyle w:val="278"/>
              <w:spacing w:line="240" w:lineRule="auto"/>
              <w:ind w:firstLine="0" w:firstLineChars="0"/>
              <w:jc w:val="center"/>
              <w:rPr>
                <w:rFonts w:hAnsi="Times New Roman"/>
                <w:b/>
                <w:sz w:val="21"/>
                <w:szCs w:val="21"/>
              </w:rPr>
            </w:pPr>
            <w:r>
              <w:rPr>
                <w:rFonts w:hAnsi="Times New Roman"/>
                <w:b/>
                <w:sz w:val="21"/>
                <w:szCs w:val="21"/>
              </w:rPr>
              <w:t>中</w:t>
            </w:r>
          </w:p>
        </w:tc>
        <w:tc>
          <w:tcPr>
            <w:tcW w:w="396" w:type="pct"/>
            <w:tcBorders>
              <w:tl2br w:val="nil"/>
              <w:tr2bl w:val="nil"/>
            </w:tcBorders>
            <w:noWrap/>
            <w:vAlign w:val="center"/>
          </w:tcPr>
          <w:p>
            <w:pPr>
              <w:pStyle w:val="278"/>
              <w:spacing w:line="240" w:lineRule="auto"/>
              <w:ind w:firstLine="0" w:firstLineChars="0"/>
              <w:jc w:val="center"/>
              <w:rPr>
                <w:rFonts w:hAnsi="Times New Roman"/>
                <w:b/>
                <w:sz w:val="21"/>
                <w:szCs w:val="21"/>
              </w:rPr>
            </w:pPr>
            <w:r>
              <w:rPr>
                <w:rFonts w:hAnsi="Times New Roman"/>
                <w:b/>
                <w:sz w:val="21"/>
                <w:szCs w:val="21"/>
              </w:rPr>
              <w:t>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9" w:type="pct"/>
            <w:tcBorders>
              <w:tl2br w:val="nil"/>
              <w:tr2bl w:val="nil"/>
            </w:tcBorders>
            <w:noWrap/>
            <w:vAlign w:val="center"/>
          </w:tcPr>
          <w:p>
            <w:pPr>
              <w:pStyle w:val="278"/>
              <w:spacing w:line="240" w:lineRule="auto"/>
              <w:ind w:firstLine="0" w:firstLineChars="0"/>
              <w:jc w:val="center"/>
              <w:rPr>
                <w:rFonts w:hAnsi="Times New Roman"/>
                <w:bCs/>
                <w:sz w:val="21"/>
                <w:szCs w:val="21"/>
              </w:rPr>
            </w:pPr>
            <w:r>
              <w:rPr>
                <w:rFonts w:hAnsi="Times New Roman"/>
                <w:bCs/>
                <w:sz w:val="21"/>
                <w:szCs w:val="21"/>
              </w:rPr>
              <w:t>敏感</w:t>
            </w:r>
          </w:p>
        </w:tc>
        <w:tc>
          <w:tcPr>
            <w:tcW w:w="396" w:type="pct"/>
            <w:tcBorders>
              <w:tl2br w:val="nil"/>
              <w:tr2bl w:val="nil"/>
            </w:tcBorders>
            <w:noWrap/>
            <w:vAlign w:val="center"/>
          </w:tcPr>
          <w:p>
            <w:pPr>
              <w:pStyle w:val="278"/>
              <w:spacing w:line="240" w:lineRule="auto"/>
              <w:ind w:firstLine="0" w:firstLineChars="0"/>
              <w:jc w:val="center"/>
              <w:rPr>
                <w:rFonts w:hAnsi="Times New Roman"/>
                <w:bCs/>
                <w:sz w:val="21"/>
                <w:szCs w:val="21"/>
              </w:rPr>
            </w:pPr>
            <w:r>
              <w:rPr>
                <w:rFonts w:hAnsi="Times New Roman"/>
                <w:bCs/>
                <w:sz w:val="21"/>
                <w:szCs w:val="21"/>
              </w:rPr>
              <w:t>一级</w:t>
            </w:r>
          </w:p>
        </w:tc>
        <w:tc>
          <w:tcPr>
            <w:tcW w:w="396" w:type="pct"/>
            <w:tcBorders>
              <w:tl2br w:val="nil"/>
              <w:tr2bl w:val="nil"/>
            </w:tcBorders>
            <w:noWrap/>
            <w:vAlign w:val="center"/>
          </w:tcPr>
          <w:p>
            <w:pPr>
              <w:jc w:val="center"/>
              <w:rPr>
                <w:bCs/>
                <w:szCs w:val="21"/>
              </w:rPr>
            </w:pPr>
            <w:r>
              <w:rPr>
                <w:bCs/>
                <w:szCs w:val="21"/>
              </w:rPr>
              <w:t>一级</w:t>
            </w:r>
          </w:p>
        </w:tc>
        <w:tc>
          <w:tcPr>
            <w:tcW w:w="395" w:type="pct"/>
            <w:tcBorders>
              <w:tl2br w:val="nil"/>
              <w:tr2bl w:val="nil"/>
            </w:tcBorders>
            <w:noWrap/>
            <w:vAlign w:val="center"/>
          </w:tcPr>
          <w:p>
            <w:pPr>
              <w:jc w:val="center"/>
              <w:rPr>
                <w:bCs/>
                <w:szCs w:val="21"/>
              </w:rPr>
            </w:pPr>
            <w:r>
              <w:rPr>
                <w:bCs/>
                <w:szCs w:val="21"/>
              </w:rPr>
              <w:t>一级</w:t>
            </w:r>
          </w:p>
        </w:tc>
        <w:tc>
          <w:tcPr>
            <w:tcW w:w="396" w:type="pct"/>
            <w:tcBorders>
              <w:tl2br w:val="nil"/>
              <w:tr2bl w:val="nil"/>
            </w:tcBorders>
            <w:noWrap/>
            <w:vAlign w:val="center"/>
          </w:tcPr>
          <w:p>
            <w:pPr>
              <w:jc w:val="center"/>
              <w:rPr>
                <w:bCs/>
                <w:szCs w:val="21"/>
              </w:rPr>
            </w:pPr>
            <w:r>
              <w:rPr>
                <w:bCs/>
                <w:szCs w:val="21"/>
              </w:rPr>
              <w:t>二级</w:t>
            </w:r>
          </w:p>
        </w:tc>
        <w:tc>
          <w:tcPr>
            <w:tcW w:w="396" w:type="pct"/>
            <w:tcBorders>
              <w:tl2br w:val="nil"/>
              <w:tr2bl w:val="nil"/>
            </w:tcBorders>
            <w:noWrap/>
            <w:vAlign w:val="center"/>
          </w:tcPr>
          <w:p>
            <w:pPr>
              <w:jc w:val="center"/>
              <w:rPr>
                <w:bCs/>
                <w:szCs w:val="21"/>
              </w:rPr>
            </w:pPr>
            <w:r>
              <w:rPr>
                <w:bCs/>
                <w:szCs w:val="21"/>
              </w:rPr>
              <w:t>二级</w:t>
            </w:r>
          </w:p>
        </w:tc>
        <w:tc>
          <w:tcPr>
            <w:tcW w:w="396" w:type="pct"/>
            <w:tcBorders>
              <w:tl2br w:val="nil"/>
              <w:tr2bl w:val="nil"/>
            </w:tcBorders>
            <w:noWrap/>
            <w:vAlign w:val="center"/>
          </w:tcPr>
          <w:p>
            <w:pPr>
              <w:jc w:val="center"/>
              <w:rPr>
                <w:bCs/>
                <w:szCs w:val="21"/>
              </w:rPr>
            </w:pPr>
            <w:r>
              <w:rPr>
                <w:bCs/>
                <w:szCs w:val="21"/>
              </w:rPr>
              <w:t>二级</w:t>
            </w:r>
          </w:p>
        </w:tc>
        <w:tc>
          <w:tcPr>
            <w:tcW w:w="396" w:type="pct"/>
            <w:tcBorders>
              <w:tl2br w:val="nil"/>
              <w:tr2bl w:val="nil"/>
            </w:tcBorders>
            <w:noWrap/>
            <w:vAlign w:val="center"/>
          </w:tcPr>
          <w:p>
            <w:pPr>
              <w:pStyle w:val="278"/>
              <w:spacing w:line="240" w:lineRule="auto"/>
              <w:ind w:firstLine="0" w:firstLineChars="0"/>
              <w:jc w:val="center"/>
              <w:rPr>
                <w:rFonts w:hAnsi="Times New Roman"/>
                <w:bCs/>
                <w:sz w:val="21"/>
                <w:szCs w:val="21"/>
              </w:rPr>
            </w:pPr>
            <w:r>
              <w:rPr>
                <w:rFonts w:hAnsi="Times New Roman"/>
                <w:bCs/>
                <w:sz w:val="21"/>
                <w:szCs w:val="21"/>
              </w:rPr>
              <w:t>三级</w:t>
            </w:r>
          </w:p>
        </w:tc>
        <w:tc>
          <w:tcPr>
            <w:tcW w:w="396" w:type="pct"/>
            <w:tcBorders>
              <w:tl2br w:val="nil"/>
              <w:tr2bl w:val="nil"/>
            </w:tcBorders>
            <w:shd w:val="clear" w:color="auto" w:fill="FFFFFF" w:themeFill="background1"/>
            <w:noWrap/>
            <w:vAlign w:val="center"/>
          </w:tcPr>
          <w:p>
            <w:pPr>
              <w:jc w:val="center"/>
              <w:rPr>
                <w:bCs/>
                <w:szCs w:val="21"/>
              </w:rPr>
            </w:pPr>
            <w:r>
              <w:rPr>
                <w:bCs/>
                <w:szCs w:val="21"/>
              </w:rPr>
              <w:t>三级</w:t>
            </w:r>
          </w:p>
        </w:tc>
        <w:tc>
          <w:tcPr>
            <w:tcW w:w="396" w:type="pct"/>
            <w:tcBorders>
              <w:tl2br w:val="nil"/>
              <w:tr2bl w:val="nil"/>
            </w:tcBorders>
            <w:shd w:val="clear" w:color="auto" w:fill="7F7F7F" w:themeFill="background1" w:themeFillShade="80"/>
            <w:noWrap/>
            <w:vAlign w:val="center"/>
          </w:tcPr>
          <w:p>
            <w:pPr>
              <w:jc w:val="center"/>
              <w:rPr>
                <w:bCs/>
                <w:szCs w:val="21"/>
              </w:rPr>
            </w:pPr>
            <w:r>
              <w:rPr>
                <w:bCs/>
                <w:szCs w:val="21"/>
                <w:shd w:val="clear" w:color="auto" w:fill="BEBEBE" w:themeFill="background1" w:themeFillShade="BF"/>
              </w:rPr>
              <w:t>三</w:t>
            </w:r>
            <w:r>
              <w:rPr>
                <w:bCs/>
                <w:szCs w:val="21"/>
              </w:rPr>
              <w:t>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9" w:type="pct"/>
            <w:tcBorders>
              <w:tl2br w:val="nil"/>
              <w:tr2bl w:val="nil"/>
            </w:tcBorders>
            <w:noWrap/>
            <w:vAlign w:val="center"/>
          </w:tcPr>
          <w:p>
            <w:pPr>
              <w:pStyle w:val="278"/>
              <w:spacing w:line="240" w:lineRule="auto"/>
              <w:ind w:firstLine="0" w:firstLineChars="0"/>
              <w:jc w:val="center"/>
              <w:rPr>
                <w:rFonts w:hAnsi="Times New Roman"/>
                <w:bCs/>
                <w:sz w:val="21"/>
                <w:szCs w:val="21"/>
              </w:rPr>
            </w:pPr>
            <w:r>
              <w:rPr>
                <w:rFonts w:hAnsi="Times New Roman"/>
                <w:bCs/>
                <w:sz w:val="21"/>
                <w:szCs w:val="21"/>
              </w:rPr>
              <w:t>较敏感</w:t>
            </w:r>
          </w:p>
        </w:tc>
        <w:tc>
          <w:tcPr>
            <w:tcW w:w="396" w:type="pct"/>
            <w:tcBorders>
              <w:tl2br w:val="nil"/>
              <w:tr2bl w:val="nil"/>
            </w:tcBorders>
            <w:noWrap/>
            <w:vAlign w:val="center"/>
          </w:tcPr>
          <w:p>
            <w:pPr>
              <w:jc w:val="center"/>
              <w:rPr>
                <w:bCs/>
                <w:szCs w:val="21"/>
              </w:rPr>
            </w:pPr>
            <w:r>
              <w:rPr>
                <w:bCs/>
                <w:szCs w:val="21"/>
              </w:rPr>
              <w:t>一级</w:t>
            </w:r>
          </w:p>
        </w:tc>
        <w:tc>
          <w:tcPr>
            <w:tcW w:w="396" w:type="pct"/>
            <w:tcBorders>
              <w:tl2br w:val="nil"/>
              <w:tr2bl w:val="nil"/>
            </w:tcBorders>
            <w:noWrap/>
            <w:vAlign w:val="center"/>
          </w:tcPr>
          <w:p>
            <w:pPr>
              <w:jc w:val="center"/>
              <w:rPr>
                <w:bCs/>
                <w:szCs w:val="21"/>
              </w:rPr>
            </w:pPr>
            <w:r>
              <w:rPr>
                <w:bCs/>
                <w:szCs w:val="21"/>
              </w:rPr>
              <w:t>一级</w:t>
            </w:r>
          </w:p>
        </w:tc>
        <w:tc>
          <w:tcPr>
            <w:tcW w:w="395" w:type="pct"/>
            <w:tcBorders>
              <w:tl2br w:val="nil"/>
              <w:tr2bl w:val="nil"/>
            </w:tcBorders>
            <w:noWrap/>
            <w:vAlign w:val="center"/>
          </w:tcPr>
          <w:p>
            <w:pPr>
              <w:jc w:val="center"/>
              <w:rPr>
                <w:bCs/>
                <w:szCs w:val="21"/>
              </w:rPr>
            </w:pPr>
            <w:r>
              <w:rPr>
                <w:bCs/>
                <w:szCs w:val="21"/>
              </w:rPr>
              <w:t>二级</w:t>
            </w:r>
          </w:p>
        </w:tc>
        <w:tc>
          <w:tcPr>
            <w:tcW w:w="396" w:type="pct"/>
            <w:tcBorders>
              <w:tl2br w:val="nil"/>
              <w:tr2bl w:val="nil"/>
            </w:tcBorders>
            <w:noWrap/>
            <w:vAlign w:val="center"/>
          </w:tcPr>
          <w:p>
            <w:pPr>
              <w:jc w:val="center"/>
              <w:rPr>
                <w:bCs/>
                <w:szCs w:val="21"/>
              </w:rPr>
            </w:pPr>
            <w:r>
              <w:rPr>
                <w:bCs/>
                <w:szCs w:val="21"/>
              </w:rPr>
              <w:t>二级</w:t>
            </w:r>
          </w:p>
        </w:tc>
        <w:tc>
          <w:tcPr>
            <w:tcW w:w="396" w:type="pct"/>
            <w:tcBorders>
              <w:tl2br w:val="nil"/>
              <w:tr2bl w:val="nil"/>
            </w:tcBorders>
            <w:noWrap/>
            <w:vAlign w:val="center"/>
          </w:tcPr>
          <w:p>
            <w:pPr>
              <w:jc w:val="center"/>
              <w:rPr>
                <w:bCs/>
                <w:szCs w:val="21"/>
              </w:rPr>
            </w:pPr>
            <w:r>
              <w:rPr>
                <w:bCs/>
                <w:szCs w:val="21"/>
              </w:rPr>
              <w:t>二级</w:t>
            </w:r>
          </w:p>
        </w:tc>
        <w:tc>
          <w:tcPr>
            <w:tcW w:w="396" w:type="pct"/>
            <w:tcBorders>
              <w:tl2br w:val="nil"/>
              <w:tr2bl w:val="nil"/>
            </w:tcBorders>
            <w:noWrap/>
            <w:vAlign w:val="center"/>
          </w:tcPr>
          <w:p>
            <w:pPr>
              <w:jc w:val="center"/>
              <w:rPr>
                <w:bCs/>
                <w:szCs w:val="21"/>
              </w:rPr>
            </w:pPr>
            <w:r>
              <w:rPr>
                <w:bCs/>
                <w:szCs w:val="21"/>
              </w:rPr>
              <w:t>三级</w:t>
            </w:r>
          </w:p>
        </w:tc>
        <w:tc>
          <w:tcPr>
            <w:tcW w:w="396" w:type="pct"/>
            <w:tcBorders>
              <w:tl2br w:val="nil"/>
              <w:tr2bl w:val="nil"/>
            </w:tcBorders>
            <w:noWrap/>
            <w:vAlign w:val="center"/>
          </w:tcPr>
          <w:p>
            <w:pPr>
              <w:jc w:val="center"/>
              <w:rPr>
                <w:bCs/>
                <w:szCs w:val="21"/>
              </w:rPr>
            </w:pPr>
            <w:r>
              <w:rPr>
                <w:bCs/>
                <w:szCs w:val="21"/>
              </w:rPr>
              <w:t>三级</w:t>
            </w:r>
          </w:p>
        </w:tc>
        <w:tc>
          <w:tcPr>
            <w:tcW w:w="396" w:type="pct"/>
            <w:tcBorders>
              <w:tl2br w:val="nil"/>
              <w:tr2bl w:val="nil"/>
            </w:tcBorders>
            <w:shd w:val="clear" w:color="auto" w:fill="FFFFFF" w:themeFill="background1"/>
            <w:noWrap/>
            <w:vAlign w:val="center"/>
          </w:tcPr>
          <w:p>
            <w:pPr>
              <w:jc w:val="center"/>
              <w:rPr>
                <w:bCs/>
                <w:szCs w:val="21"/>
              </w:rPr>
            </w:pPr>
            <w:r>
              <w:rPr>
                <w:bCs/>
                <w:szCs w:val="21"/>
              </w:rPr>
              <w:t>三级</w:t>
            </w:r>
          </w:p>
        </w:tc>
        <w:tc>
          <w:tcPr>
            <w:tcW w:w="396" w:type="pct"/>
            <w:tcBorders>
              <w:tl2br w:val="nil"/>
              <w:tr2bl w:val="nil"/>
            </w:tcBorders>
            <w:shd w:val="clear" w:color="auto" w:fill="auto"/>
            <w:noWrap/>
            <w:vAlign w:val="center"/>
          </w:tcPr>
          <w:p>
            <w:pPr>
              <w:pStyle w:val="278"/>
              <w:spacing w:line="240" w:lineRule="auto"/>
              <w:ind w:firstLine="0" w:firstLineChars="0"/>
              <w:jc w:val="center"/>
              <w:rPr>
                <w:rFonts w:hAnsi="Times New Roman"/>
                <w:bCs/>
                <w:sz w:val="21"/>
                <w:szCs w:val="21"/>
              </w:rPr>
            </w:pPr>
            <w:r>
              <w:rPr>
                <w:rFonts w:hAnsi="Times New Roman"/>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39" w:type="pct"/>
            <w:tcBorders>
              <w:tl2br w:val="nil"/>
              <w:tr2bl w:val="nil"/>
            </w:tcBorders>
            <w:noWrap/>
            <w:vAlign w:val="center"/>
          </w:tcPr>
          <w:p>
            <w:pPr>
              <w:pStyle w:val="278"/>
              <w:spacing w:line="240" w:lineRule="auto"/>
              <w:ind w:firstLine="0" w:firstLineChars="0"/>
              <w:jc w:val="center"/>
              <w:rPr>
                <w:rFonts w:hAnsi="Times New Roman"/>
                <w:bCs/>
                <w:sz w:val="21"/>
                <w:szCs w:val="21"/>
              </w:rPr>
            </w:pPr>
            <w:r>
              <w:rPr>
                <w:rFonts w:hAnsi="Times New Roman"/>
                <w:bCs/>
                <w:sz w:val="21"/>
                <w:szCs w:val="21"/>
              </w:rPr>
              <w:t>不敏感</w:t>
            </w:r>
          </w:p>
        </w:tc>
        <w:tc>
          <w:tcPr>
            <w:tcW w:w="396" w:type="pct"/>
            <w:tcBorders>
              <w:tl2br w:val="nil"/>
              <w:tr2bl w:val="nil"/>
            </w:tcBorders>
            <w:noWrap/>
            <w:vAlign w:val="center"/>
          </w:tcPr>
          <w:p>
            <w:pPr>
              <w:jc w:val="center"/>
              <w:rPr>
                <w:bCs/>
                <w:szCs w:val="21"/>
              </w:rPr>
            </w:pPr>
            <w:r>
              <w:rPr>
                <w:bCs/>
                <w:szCs w:val="21"/>
              </w:rPr>
              <w:t>一级</w:t>
            </w:r>
          </w:p>
        </w:tc>
        <w:tc>
          <w:tcPr>
            <w:tcW w:w="396" w:type="pct"/>
            <w:tcBorders>
              <w:tl2br w:val="nil"/>
              <w:tr2bl w:val="nil"/>
            </w:tcBorders>
            <w:noWrap/>
            <w:vAlign w:val="center"/>
          </w:tcPr>
          <w:p>
            <w:pPr>
              <w:jc w:val="center"/>
              <w:rPr>
                <w:bCs/>
                <w:szCs w:val="21"/>
              </w:rPr>
            </w:pPr>
            <w:r>
              <w:rPr>
                <w:bCs/>
                <w:szCs w:val="21"/>
              </w:rPr>
              <w:t>二级</w:t>
            </w:r>
          </w:p>
        </w:tc>
        <w:tc>
          <w:tcPr>
            <w:tcW w:w="395" w:type="pct"/>
            <w:tcBorders>
              <w:tl2br w:val="nil"/>
              <w:tr2bl w:val="nil"/>
            </w:tcBorders>
            <w:noWrap/>
            <w:vAlign w:val="center"/>
          </w:tcPr>
          <w:p>
            <w:pPr>
              <w:jc w:val="center"/>
              <w:rPr>
                <w:bCs/>
                <w:szCs w:val="21"/>
              </w:rPr>
            </w:pPr>
            <w:r>
              <w:rPr>
                <w:bCs/>
                <w:szCs w:val="21"/>
              </w:rPr>
              <w:t>二级</w:t>
            </w:r>
          </w:p>
        </w:tc>
        <w:tc>
          <w:tcPr>
            <w:tcW w:w="396" w:type="pct"/>
            <w:tcBorders>
              <w:tl2br w:val="nil"/>
              <w:tr2bl w:val="nil"/>
            </w:tcBorders>
            <w:noWrap/>
            <w:vAlign w:val="center"/>
          </w:tcPr>
          <w:p>
            <w:pPr>
              <w:jc w:val="center"/>
              <w:rPr>
                <w:bCs/>
                <w:szCs w:val="21"/>
              </w:rPr>
            </w:pPr>
            <w:r>
              <w:rPr>
                <w:bCs/>
                <w:szCs w:val="21"/>
              </w:rPr>
              <w:t>二级</w:t>
            </w:r>
          </w:p>
        </w:tc>
        <w:tc>
          <w:tcPr>
            <w:tcW w:w="396" w:type="pct"/>
            <w:tcBorders>
              <w:tl2br w:val="nil"/>
              <w:tr2bl w:val="nil"/>
            </w:tcBorders>
            <w:noWrap/>
            <w:vAlign w:val="center"/>
          </w:tcPr>
          <w:p>
            <w:pPr>
              <w:jc w:val="center"/>
              <w:rPr>
                <w:bCs/>
                <w:szCs w:val="21"/>
              </w:rPr>
            </w:pPr>
            <w:r>
              <w:rPr>
                <w:bCs/>
                <w:szCs w:val="21"/>
              </w:rPr>
              <w:t>三级</w:t>
            </w:r>
          </w:p>
        </w:tc>
        <w:tc>
          <w:tcPr>
            <w:tcW w:w="396" w:type="pct"/>
            <w:tcBorders>
              <w:tl2br w:val="nil"/>
              <w:tr2bl w:val="nil"/>
            </w:tcBorders>
            <w:noWrap/>
            <w:vAlign w:val="center"/>
          </w:tcPr>
          <w:p>
            <w:pPr>
              <w:jc w:val="center"/>
              <w:rPr>
                <w:bCs/>
                <w:szCs w:val="21"/>
              </w:rPr>
            </w:pPr>
            <w:r>
              <w:rPr>
                <w:bCs/>
                <w:szCs w:val="21"/>
              </w:rPr>
              <w:t>三级</w:t>
            </w:r>
          </w:p>
        </w:tc>
        <w:tc>
          <w:tcPr>
            <w:tcW w:w="396" w:type="pct"/>
            <w:tcBorders>
              <w:tl2br w:val="nil"/>
              <w:tr2bl w:val="nil"/>
            </w:tcBorders>
            <w:noWrap/>
            <w:vAlign w:val="center"/>
          </w:tcPr>
          <w:p>
            <w:pPr>
              <w:jc w:val="center"/>
              <w:rPr>
                <w:bCs/>
                <w:szCs w:val="21"/>
              </w:rPr>
            </w:pPr>
            <w:r>
              <w:rPr>
                <w:bCs/>
                <w:szCs w:val="21"/>
              </w:rPr>
              <w:t>三级</w:t>
            </w:r>
          </w:p>
        </w:tc>
        <w:tc>
          <w:tcPr>
            <w:tcW w:w="396" w:type="pct"/>
            <w:tcBorders>
              <w:tl2br w:val="nil"/>
              <w:tr2bl w:val="nil"/>
            </w:tcBorders>
            <w:shd w:val="clear" w:color="auto" w:fill="FFFFFF"/>
            <w:noWrap/>
            <w:vAlign w:val="center"/>
          </w:tcPr>
          <w:p>
            <w:pPr>
              <w:pStyle w:val="278"/>
              <w:spacing w:line="240" w:lineRule="auto"/>
              <w:ind w:firstLine="0" w:firstLineChars="0"/>
              <w:jc w:val="center"/>
              <w:rPr>
                <w:rFonts w:hAnsi="Times New Roman"/>
                <w:bCs/>
                <w:sz w:val="21"/>
                <w:szCs w:val="21"/>
              </w:rPr>
            </w:pPr>
            <w:r>
              <w:rPr>
                <w:rFonts w:hAnsi="Times New Roman"/>
                <w:bCs/>
                <w:sz w:val="21"/>
                <w:szCs w:val="21"/>
              </w:rPr>
              <w:t>-</w:t>
            </w:r>
          </w:p>
        </w:tc>
        <w:tc>
          <w:tcPr>
            <w:tcW w:w="396" w:type="pct"/>
            <w:tcBorders>
              <w:tl2br w:val="nil"/>
              <w:tr2bl w:val="nil"/>
            </w:tcBorders>
            <w:shd w:val="clear" w:color="auto" w:fill="FFFFFF"/>
            <w:noWrap/>
            <w:vAlign w:val="center"/>
          </w:tcPr>
          <w:p>
            <w:pPr>
              <w:pStyle w:val="278"/>
              <w:spacing w:line="240" w:lineRule="auto"/>
              <w:ind w:firstLine="0" w:firstLineChars="0"/>
              <w:jc w:val="center"/>
              <w:rPr>
                <w:rFonts w:hAnsi="Times New Roman"/>
                <w:bCs/>
                <w:sz w:val="21"/>
                <w:szCs w:val="21"/>
              </w:rPr>
            </w:pPr>
            <w:r>
              <w:rPr>
                <w:rFonts w:hAnsi="Times New Roman"/>
                <w:bCs/>
                <w:sz w:val="21"/>
                <w:szCs w:val="21"/>
              </w:rPr>
              <w:t>-</w:t>
            </w:r>
          </w:p>
        </w:tc>
      </w:tr>
    </w:tbl>
    <w:p>
      <w:pPr>
        <w:pStyle w:val="7"/>
        <w:adjustRightInd w:val="0"/>
        <w:snapToGrid w:val="0"/>
        <w:spacing w:before="0" w:after="0" w:line="360" w:lineRule="auto"/>
        <w:jc w:val="left"/>
        <w:rPr>
          <w:sz w:val="24"/>
          <w:szCs w:val="24"/>
        </w:rPr>
      </w:pPr>
      <w:r>
        <w:rPr>
          <w:rFonts w:hint="eastAsia"/>
          <w:sz w:val="24"/>
          <w:szCs w:val="24"/>
        </w:rPr>
        <w:t xml:space="preserve">2.4.6 </w:t>
      </w:r>
      <w:r>
        <w:rPr>
          <w:sz w:val="24"/>
          <w:szCs w:val="24"/>
        </w:rPr>
        <w:t>生态环境影响评价等级</w:t>
      </w:r>
    </w:p>
    <w:p>
      <w:pPr>
        <w:spacing w:line="360" w:lineRule="auto"/>
        <w:ind w:firstLine="480" w:firstLineChars="200"/>
        <w:rPr>
          <w:sz w:val="24"/>
        </w:rPr>
      </w:pPr>
      <w:bookmarkStart w:id="142" w:name="_Ref259959392"/>
      <w:r>
        <w:rPr>
          <w:rFonts w:hint="eastAsia"/>
          <w:sz w:val="24"/>
        </w:rPr>
        <w:t>根据《环境影响评价技术导则  生态影响》（HJ19-2022）规定，生态影响评价工作等级依据影响区域的生态敏感性和项目的工程占地范围确定。</w:t>
      </w:r>
    </w:p>
    <w:p>
      <w:pPr>
        <w:spacing w:line="360" w:lineRule="auto"/>
        <w:ind w:firstLine="480" w:firstLineChars="200"/>
        <w:rPr>
          <w:sz w:val="24"/>
        </w:rPr>
      </w:pPr>
      <w:r>
        <w:rPr>
          <w:rFonts w:hint="eastAsia"/>
          <w:sz w:val="24"/>
        </w:rPr>
        <w:t>本项目所在区域不属于特殊生态敏感区和重要生态敏感区，生态敏感性属一般区域。项目占地面积为32.96亩（约2.2hm</w:t>
      </w:r>
      <w:r>
        <w:rPr>
          <w:rFonts w:hint="eastAsia"/>
          <w:sz w:val="24"/>
          <w:vertAlign w:val="superscript"/>
        </w:rPr>
        <w:t>2</w:t>
      </w:r>
      <w:r>
        <w:rPr>
          <w:rFonts w:hint="eastAsia"/>
          <w:sz w:val="24"/>
        </w:rPr>
        <w:t>）</w:t>
      </w:r>
      <w:r>
        <w:rPr>
          <w:rFonts w:hint="eastAsia"/>
          <w:sz w:val="24"/>
          <w:lang w:eastAsia="zh-CN"/>
        </w:rPr>
        <w:t>，</w:t>
      </w:r>
      <w:r>
        <w:rPr>
          <w:rFonts w:hint="eastAsia"/>
          <w:sz w:val="24"/>
        </w:rPr>
        <w:t>小于2km</w:t>
      </w:r>
      <w:r>
        <w:rPr>
          <w:rFonts w:hint="eastAsia"/>
          <w:sz w:val="24"/>
          <w:vertAlign w:val="superscript"/>
        </w:rPr>
        <w:t>2</w:t>
      </w:r>
      <w:r>
        <w:rPr>
          <w:rFonts w:hint="eastAsia"/>
          <w:sz w:val="24"/>
        </w:rPr>
        <w:t>，根据《环境影响评价技术导则  生态影响》（HJ19-2022）判定，本项目生态影响评价工作等级为三级。</w:t>
      </w:r>
    </w:p>
    <w:p>
      <w:pPr>
        <w:spacing w:line="360" w:lineRule="auto"/>
        <w:ind w:firstLine="480" w:firstLineChars="200"/>
        <w:rPr>
          <w:sz w:val="24"/>
        </w:rPr>
      </w:pPr>
      <w:r>
        <w:rPr>
          <w:rFonts w:hint="eastAsia"/>
          <w:sz w:val="24"/>
        </w:rPr>
        <w:t>其评价等级划分情况详见表</w:t>
      </w:r>
      <w:r>
        <w:rPr>
          <w:sz w:val="24"/>
        </w:rPr>
        <w:t>2.</w:t>
      </w:r>
      <w:r>
        <w:rPr>
          <w:rFonts w:hint="eastAsia"/>
          <w:sz w:val="24"/>
        </w:rPr>
        <w:t>4-10。</w:t>
      </w:r>
    </w:p>
    <w:p>
      <w:pPr>
        <w:pStyle w:val="17"/>
        <w:spacing w:beforeLines="50"/>
        <w:rPr>
          <w:rFonts w:ascii="Times New Roman" w:hAnsi="Times New Roman" w:cs="Times New Roman"/>
          <w:color w:val="auto"/>
          <w:sz w:val="21"/>
        </w:rPr>
      </w:pPr>
      <w:r>
        <w:rPr>
          <w:rFonts w:ascii="Times New Roman" w:hAnsi="Times New Roman" w:cs="Times New Roman"/>
          <w:color w:val="auto"/>
          <w:sz w:val="21"/>
        </w:rPr>
        <w:t>表</w:t>
      </w:r>
      <w:r>
        <w:rPr>
          <w:rFonts w:hint="eastAsia" w:ascii="Times New Roman" w:hAnsi="Times New Roman" w:cs="Times New Roman"/>
          <w:color w:val="auto"/>
          <w:sz w:val="21"/>
        </w:rPr>
        <w:t xml:space="preserve">2.4-10  </w:t>
      </w:r>
      <w:r>
        <w:rPr>
          <w:rFonts w:ascii="Times New Roman" w:hAnsi="Times New Roman" w:cs="Times New Roman"/>
          <w:color w:val="auto"/>
          <w:sz w:val="21"/>
        </w:rPr>
        <w:t>生态影响评价等级划分表</w:t>
      </w:r>
    </w:p>
    <w:tbl>
      <w:tblPr>
        <w:tblStyle w:val="47"/>
        <w:tblW w:w="85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2562"/>
        <w:gridCol w:w="2115"/>
        <w:gridCol w:w="21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8" w:type="dxa"/>
            <w:vMerge w:val="restart"/>
            <w:tcBorders>
              <w:tl2br w:val="nil"/>
              <w:tr2bl w:val="nil"/>
            </w:tcBorders>
            <w:vAlign w:val="center"/>
          </w:tcPr>
          <w:p>
            <w:pPr>
              <w:jc w:val="center"/>
              <w:rPr>
                <w:b/>
                <w:szCs w:val="21"/>
              </w:rPr>
            </w:pPr>
            <w:r>
              <w:rPr>
                <w:b/>
                <w:szCs w:val="21"/>
              </w:rPr>
              <w:t>影响区域生态敏感性</w:t>
            </w:r>
          </w:p>
        </w:tc>
        <w:tc>
          <w:tcPr>
            <w:tcW w:w="6860" w:type="dxa"/>
            <w:gridSpan w:val="3"/>
            <w:tcBorders>
              <w:tl2br w:val="nil"/>
              <w:tr2bl w:val="nil"/>
            </w:tcBorders>
            <w:vAlign w:val="center"/>
          </w:tcPr>
          <w:p>
            <w:pPr>
              <w:jc w:val="center"/>
              <w:rPr>
                <w:b/>
                <w:szCs w:val="21"/>
              </w:rPr>
            </w:pPr>
            <w:r>
              <w:rPr>
                <w:b/>
                <w:szCs w:val="21"/>
              </w:rPr>
              <w:t>工程占地（水域）范围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8" w:type="dxa"/>
            <w:vMerge w:val="continue"/>
            <w:tcBorders>
              <w:tl2br w:val="nil"/>
              <w:tr2bl w:val="nil"/>
            </w:tcBorders>
            <w:vAlign w:val="center"/>
          </w:tcPr>
          <w:p>
            <w:pPr>
              <w:jc w:val="center"/>
              <w:rPr>
                <w:b/>
                <w:szCs w:val="21"/>
              </w:rPr>
            </w:pPr>
          </w:p>
        </w:tc>
        <w:tc>
          <w:tcPr>
            <w:tcW w:w="2562" w:type="dxa"/>
            <w:tcBorders>
              <w:tl2br w:val="nil"/>
              <w:tr2bl w:val="nil"/>
            </w:tcBorders>
            <w:vAlign w:val="center"/>
          </w:tcPr>
          <w:p>
            <w:pPr>
              <w:jc w:val="center"/>
              <w:rPr>
                <w:b/>
                <w:szCs w:val="21"/>
              </w:rPr>
            </w:pPr>
            <w:r>
              <w:rPr>
                <w:b/>
                <w:szCs w:val="21"/>
              </w:rPr>
              <w:t>面积≥20km</w:t>
            </w:r>
            <w:r>
              <w:rPr>
                <w:b/>
                <w:szCs w:val="21"/>
                <w:vertAlign w:val="superscript"/>
              </w:rPr>
              <w:t>2</w:t>
            </w:r>
            <w:r>
              <w:rPr>
                <w:b/>
                <w:szCs w:val="21"/>
              </w:rPr>
              <w:t>或长度≥100km</w:t>
            </w:r>
          </w:p>
        </w:tc>
        <w:tc>
          <w:tcPr>
            <w:tcW w:w="2115" w:type="dxa"/>
            <w:tcBorders>
              <w:tl2br w:val="nil"/>
              <w:tr2bl w:val="nil"/>
            </w:tcBorders>
            <w:vAlign w:val="center"/>
          </w:tcPr>
          <w:p>
            <w:pPr>
              <w:jc w:val="center"/>
              <w:rPr>
                <w:b/>
                <w:szCs w:val="21"/>
              </w:rPr>
            </w:pPr>
            <w:r>
              <w:rPr>
                <w:b/>
                <w:szCs w:val="21"/>
              </w:rPr>
              <w:t>面积2km</w:t>
            </w:r>
            <w:r>
              <w:rPr>
                <w:b/>
                <w:szCs w:val="21"/>
                <w:vertAlign w:val="superscript"/>
              </w:rPr>
              <w:t>2</w:t>
            </w:r>
            <w:r>
              <w:rPr>
                <w:b/>
                <w:szCs w:val="21"/>
              </w:rPr>
              <w:t>-20km</w:t>
            </w:r>
            <w:r>
              <w:rPr>
                <w:b/>
                <w:szCs w:val="21"/>
                <w:vertAlign w:val="superscript"/>
              </w:rPr>
              <w:t>2</w:t>
            </w:r>
            <w:r>
              <w:rPr>
                <w:b/>
                <w:szCs w:val="21"/>
              </w:rPr>
              <w:t>或长度50km-100km</w:t>
            </w:r>
          </w:p>
        </w:tc>
        <w:tc>
          <w:tcPr>
            <w:tcW w:w="2183" w:type="dxa"/>
            <w:tcBorders>
              <w:tl2br w:val="nil"/>
              <w:tr2bl w:val="nil"/>
            </w:tcBorders>
            <w:vAlign w:val="center"/>
          </w:tcPr>
          <w:p>
            <w:pPr>
              <w:jc w:val="center"/>
              <w:rPr>
                <w:b/>
                <w:szCs w:val="21"/>
              </w:rPr>
            </w:pPr>
            <w:r>
              <w:rPr>
                <w:b/>
                <w:szCs w:val="21"/>
              </w:rPr>
              <w:t>面积≤2km</w:t>
            </w:r>
            <w:r>
              <w:rPr>
                <w:b/>
                <w:szCs w:val="21"/>
                <w:vertAlign w:val="superscript"/>
              </w:rPr>
              <w:t>2</w:t>
            </w:r>
            <w:r>
              <w:rPr>
                <w:b/>
                <w:szCs w:val="21"/>
              </w:rPr>
              <w:t>或长度≤50km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8" w:type="dxa"/>
            <w:tcBorders>
              <w:tl2br w:val="nil"/>
              <w:tr2bl w:val="nil"/>
            </w:tcBorders>
            <w:vAlign w:val="center"/>
          </w:tcPr>
          <w:p>
            <w:pPr>
              <w:jc w:val="center"/>
              <w:rPr>
                <w:szCs w:val="21"/>
              </w:rPr>
            </w:pPr>
            <w:r>
              <w:rPr>
                <w:szCs w:val="21"/>
              </w:rPr>
              <w:t>一般区域</w:t>
            </w:r>
          </w:p>
        </w:tc>
        <w:tc>
          <w:tcPr>
            <w:tcW w:w="2562" w:type="dxa"/>
            <w:tcBorders>
              <w:tl2br w:val="nil"/>
              <w:tr2bl w:val="nil"/>
            </w:tcBorders>
            <w:vAlign w:val="center"/>
          </w:tcPr>
          <w:p>
            <w:pPr>
              <w:jc w:val="center"/>
              <w:rPr>
                <w:szCs w:val="21"/>
              </w:rPr>
            </w:pPr>
            <w:r>
              <w:rPr>
                <w:szCs w:val="21"/>
              </w:rPr>
              <w:t>二级</w:t>
            </w:r>
          </w:p>
        </w:tc>
        <w:tc>
          <w:tcPr>
            <w:tcW w:w="2115" w:type="dxa"/>
            <w:tcBorders>
              <w:tl2br w:val="nil"/>
              <w:tr2bl w:val="nil"/>
            </w:tcBorders>
            <w:vAlign w:val="center"/>
          </w:tcPr>
          <w:p>
            <w:pPr>
              <w:jc w:val="center"/>
              <w:rPr>
                <w:szCs w:val="21"/>
              </w:rPr>
            </w:pPr>
            <w:r>
              <w:rPr>
                <w:szCs w:val="21"/>
              </w:rPr>
              <w:t>三级</w:t>
            </w:r>
          </w:p>
        </w:tc>
        <w:tc>
          <w:tcPr>
            <w:tcW w:w="2183" w:type="dxa"/>
            <w:tcBorders>
              <w:tl2br w:val="nil"/>
              <w:tr2bl w:val="nil"/>
            </w:tcBorders>
            <w:shd w:val="clear" w:color="auto" w:fill="D7D7D7" w:themeFill="background1" w:themeFillShade="D8"/>
            <w:vAlign w:val="center"/>
          </w:tcPr>
          <w:p>
            <w:pPr>
              <w:jc w:val="center"/>
              <w:rPr>
                <w:szCs w:val="21"/>
              </w:rPr>
            </w:pPr>
            <w:r>
              <w:rPr>
                <w:szCs w:val="21"/>
              </w:rPr>
              <w:t>三级</w:t>
            </w:r>
          </w:p>
        </w:tc>
      </w:tr>
    </w:tbl>
    <w:p>
      <w:pPr>
        <w:pStyle w:val="7"/>
        <w:adjustRightInd w:val="0"/>
        <w:snapToGrid w:val="0"/>
        <w:spacing w:before="0" w:after="0" w:line="360" w:lineRule="auto"/>
        <w:jc w:val="left"/>
        <w:rPr>
          <w:sz w:val="24"/>
          <w:szCs w:val="24"/>
        </w:rPr>
      </w:pPr>
      <w:r>
        <w:rPr>
          <w:rFonts w:hint="eastAsia"/>
          <w:sz w:val="24"/>
          <w:szCs w:val="24"/>
        </w:rPr>
        <w:t xml:space="preserve">2.4.7 </w:t>
      </w:r>
      <w:r>
        <w:rPr>
          <w:sz w:val="24"/>
          <w:szCs w:val="24"/>
        </w:rPr>
        <w:t>环境风险评价等级</w:t>
      </w:r>
    </w:p>
    <w:p>
      <w:pPr>
        <w:spacing w:line="360" w:lineRule="auto"/>
        <w:ind w:firstLine="480" w:firstLineChars="200"/>
        <w:rPr>
          <w:rFonts w:hAnsiTheme="majorEastAsia" w:eastAsiaTheme="majorEastAsia"/>
          <w:sz w:val="24"/>
        </w:rPr>
      </w:pPr>
      <w:r>
        <w:rPr>
          <w:rFonts w:hint="eastAsia" w:hAnsiTheme="majorEastAsia" w:eastAsiaTheme="majorEastAsia"/>
          <w:sz w:val="24"/>
        </w:rPr>
        <w:t>根据《建设项目环境风险评价技术导则》（HJ169-2018）判定标准，建设项目涉及的环境风险物质为柴油。</w:t>
      </w:r>
    </w:p>
    <w:p>
      <w:pPr>
        <w:autoSpaceDE w:val="0"/>
        <w:autoSpaceDN w:val="0"/>
        <w:adjustRightInd w:val="0"/>
        <w:spacing w:line="360" w:lineRule="auto"/>
        <w:ind w:firstLine="480" w:firstLineChars="200"/>
        <w:rPr>
          <w:rFonts w:eastAsiaTheme="majorEastAsia"/>
          <w:sz w:val="24"/>
        </w:rPr>
      </w:pPr>
      <w:r>
        <w:rPr>
          <w:rFonts w:hint="eastAsia" w:eastAsiaTheme="majorEastAsia"/>
          <w:sz w:val="24"/>
        </w:rPr>
        <w:t>根据环境风险评价技术导则，需要计算所涉及的每种危险物质在厂界内的最大存在总量与其在附录B 中对应临界量的比值Q。</w:t>
      </w:r>
    </w:p>
    <w:p>
      <w:pPr>
        <w:autoSpaceDE w:val="0"/>
        <w:autoSpaceDN w:val="0"/>
        <w:adjustRightInd w:val="0"/>
        <w:spacing w:line="360" w:lineRule="auto"/>
        <w:ind w:firstLine="480" w:firstLineChars="200"/>
        <w:rPr>
          <w:rFonts w:eastAsiaTheme="majorEastAsia"/>
          <w:sz w:val="24"/>
        </w:rPr>
      </w:pPr>
      <w:r>
        <w:rPr>
          <w:rFonts w:hint="eastAsia" w:eastAsiaTheme="majorEastAsia"/>
          <w:sz w:val="24"/>
        </w:rPr>
        <w:t>当只涉及一种危险物质时，计算该物质的总量与其临界量比值，即为Q；</w:t>
      </w:r>
    </w:p>
    <w:p>
      <w:pPr>
        <w:autoSpaceDE w:val="0"/>
        <w:autoSpaceDN w:val="0"/>
        <w:adjustRightInd w:val="0"/>
        <w:spacing w:line="360" w:lineRule="auto"/>
        <w:ind w:firstLine="480" w:firstLineChars="200"/>
        <w:jc w:val="center"/>
        <w:rPr>
          <w:rFonts w:eastAsiaTheme="majorEastAsia"/>
          <w:sz w:val="24"/>
        </w:rPr>
      </w:pPr>
      <w:r>
        <w:rPr>
          <w:rFonts w:hint="eastAsia" w:eastAsiaTheme="majorEastAsia"/>
          <w:sz w:val="24"/>
        </w:rPr>
        <w:t>当存在多种危险物质时，则按下述公式计算物质总量与其临界量比值（Q）：</w:t>
      </w:r>
      <w:r>
        <w:rPr>
          <w:rFonts w:eastAsiaTheme="majorEastAsia"/>
          <w:sz w:val="24"/>
        </w:rPr>
        <w:drawing>
          <wp:inline distT="0" distB="0" distL="0" distR="0">
            <wp:extent cx="1733550" cy="485775"/>
            <wp:effectExtent l="19050" t="0" r="0"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noChangeArrowheads="1"/>
                    </pic:cNvPicPr>
                  </pic:nvPicPr>
                  <pic:blipFill>
                    <a:blip r:embed="rId20" cstate="print"/>
                    <a:srcRect/>
                    <a:stretch>
                      <a:fillRect/>
                    </a:stretch>
                  </pic:blipFill>
                  <pic:spPr>
                    <a:xfrm>
                      <a:off x="0" y="0"/>
                      <a:ext cx="1733550" cy="485775"/>
                    </a:xfrm>
                    <a:prstGeom prst="rect">
                      <a:avLst/>
                    </a:prstGeom>
                    <a:noFill/>
                    <a:ln w="9525">
                      <a:noFill/>
                      <a:miter lim="800000"/>
                      <a:headEnd/>
                      <a:tailEnd/>
                    </a:ln>
                  </pic:spPr>
                </pic:pic>
              </a:graphicData>
            </a:graphic>
          </wp:inline>
        </w:drawing>
      </w:r>
    </w:p>
    <w:p>
      <w:pPr>
        <w:autoSpaceDE w:val="0"/>
        <w:autoSpaceDN w:val="0"/>
        <w:adjustRightInd w:val="0"/>
        <w:spacing w:line="360" w:lineRule="auto"/>
        <w:ind w:firstLine="480" w:firstLineChars="200"/>
        <w:rPr>
          <w:rFonts w:eastAsiaTheme="majorEastAsia"/>
          <w:sz w:val="24"/>
        </w:rPr>
      </w:pPr>
      <w:r>
        <w:rPr>
          <w:rFonts w:hint="eastAsia" w:eastAsiaTheme="majorEastAsia"/>
          <w:sz w:val="24"/>
        </w:rPr>
        <w:t>式中：q</w:t>
      </w:r>
      <w:r>
        <w:rPr>
          <w:rFonts w:hint="eastAsia" w:eastAsiaTheme="majorEastAsia"/>
          <w:sz w:val="24"/>
          <w:vertAlign w:val="subscript"/>
        </w:rPr>
        <w:t>1</w:t>
      </w:r>
      <w:r>
        <w:rPr>
          <w:rFonts w:hint="eastAsia" w:eastAsiaTheme="majorEastAsia"/>
          <w:sz w:val="24"/>
        </w:rPr>
        <w:t>，q</w:t>
      </w:r>
      <w:r>
        <w:rPr>
          <w:rFonts w:hint="eastAsia" w:eastAsiaTheme="majorEastAsia"/>
          <w:sz w:val="24"/>
          <w:vertAlign w:val="subscript"/>
        </w:rPr>
        <w:t>2</w:t>
      </w:r>
      <w:r>
        <w:rPr>
          <w:rFonts w:hint="eastAsia" w:eastAsiaTheme="majorEastAsia"/>
          <w:sz w:val="24"/>
        </w:rPr>
        <w:t>，q</w:t>
      </w:r>
      <w:r>
        <w:rPr>
          <w:rFonts w:hint="eastAsia" w:eastAsiaTheme="majorEastAsia"/>
          <w:sz w:val="24"/>
          <w:vertAlign w:val="subscript"/>
        </w:rPr>
        <w:t>3</w:t>
      </w:r>
      <w:r>
        <w:rPr>
          <w:rFonts w:hint="eastAsia" w:eastAsiaTheme="majorEastAsia"/>
          <w:sz w:val="24"/>
        </w:rPr>
        <w:t>……q</w:t>
      </w:r>
      <w:r>
        <w:rPr>
          <w:rFonts w:hint="eastAsia" w:eastAsiaTheme="majorEastAsia"/>
          <w:sz w:val="24"/>
          <w:vertAlign w:val="subscript"/>
        </w:rPr>
        <w:t>n</w:t>
      </w:r>
      <w:r>
        <w:rPr>
          <w:rFonts w:hint="eastAsia" w:eastAsiaTheme="majorEastAsia"/>
          <w:sz w:val="24"/>
        </w:rPr>
        <w:t>——每种危险物质的最大存在量，t；</w:t>
      </w:r>
    </w:p>
    <w:p>
      <w:pPr>
        <w:autoSpaceDE w:val="0"/>
        <w:autoSpaceDN w:val="0"/>
        <w:adjustRightInd w:val="0"/>
        <w:spacing w:line="360" w:lineRule="auto"/>
        <w:ind w:firstLine="1200" w:firstLineChars="500"/>
        <w:rPr>
          <w:rFonts w:eastAsiaTheme="majorEastAsia"/>
          <w:sz w:val="24"/>
        </w:rPr>
      </w:pPr>
      <w:r>
        <w:rPr>
          <w:rFonts w:hint="eastAsia" w:eastAsiaTheme="majorEastAsia"/>
          <w:sz w:val="24"/>
        </w:rPr>
        <w:t>Q</w:t>
      </w:r>
      <w:r>
        <w:rPr>
          <w:rFonts w:hint="eastAsia" w:eastAsiaTheme="majorEastAsia"/>
          <w:sz w:val="24"/>
          <w:vertAlign w:val="subscript"/>
        </w:rPr>
        <w:t>1</w:t>
      </w:r>
      <w:r>
        <w:rPr>
          <w:rFonts w:hint="eastAsia" w:eastAsiaTheme="majorEastAsia"/>
          <w:sz w:val="24"/>
        </w:rPr>
        <w:t>，Q</w:t>
      </w:r>
      <w:r>
        <w:rPr>
          <w:rFonts w:hint="eastAsia" w:eastAsiaTheme="majorEastAsia"/>
          <w:sz w:val="24"/>
          <w:vertAlign w:val="subscript"/>
        </w:rPr>
        <w:t>2</w:t>
      </w:r>
      <w:r>
        <w:rPr>
          <w:rFonts w:hint="eastAsia" w:eastAsiaTheme="majorEastAsia"/>
          <w:sz w:val="24"/>
        </w:rPr>
        <w:t>，Q</w:t>
      </w:r>
      <w:r>
        <w:rPr>
          <w:rFonts w:hint="eastAsia" w:eastAsiaTheme="majorEastAsia"/>
          <w:sz w:val="24"/>
          <w:vertAlign w:val="subscript"/>
        </w:rPr>
        <w:t>3</w:t>
      </w:r>
      <w:r>
        <w:rPr>
          <w:rFonts w:hint="eastAsia" w:eastAsiaTheme="majorEastAsia"/>
          <w:sz w:val="24"/>
        </w:rPr>
        <w:t>……Q</w:t>
      </w:r>
      <w:r>
        <w:rPr>
          <w:rFonts w:hint="eastAsia" w:eastAsiaTheme="majorEastAsia"/>
          <w:sz w:val="24"/>
          <w:vertAlign w:val="subscript"/>
        </w:rPr>
        <w:t>n</w:t>
      </w:r>
      <w:r>
        <w:rPr>
          <w:rFonts w:hint="eastAsia" w:eastAsiaTheme="majorEastAsia"/>
          <w:sz w:val="24"/>
        </w:rPr>
        <w:t>——每种危险物质的临界量，t；</w:t>
      </w:r>
    </w:p>
    <w:p>
      <w:pPr>
        <w:autoSpaceDE w:val="0"/>
        <w:autoSpaceDN w:val="0"/>
        <w:adjustRightInd w:val="0"/>
        <w:spacing w:line="360" w:lineRule="auto"/>
        <w:ind w:firstLine="1200" w:firstLineChars="500"/>
        <w:rPr>
          <w:rFonts w:eastAsiaTheme="majorEastAsia"/>
          <w:sz w:val="24"/>
        </w:rPr>
      </w:pPr>
      <w:r>
        <w:rPr>
          <w:rFonts w:hint="eastAsia" w:eastAsiaTheme="majorEastAsia"/>
          <w:sz w:val="24"/>
        </w:rPr>
        <w:t>当Q＜1时，该项目环境风险潜势为</w:t>
      </w:r>
      <w:r>
        <w:rPr>
          <w:rFonts w:hint="eastAsia" w:asciiTheme="majorEastAsia" w:hAnsiTheme="majorEastAsia" w:eastAsiaTheme="majorEastAsia"/>
          <w:sz w:val="24"/>
        </w:rPr>
        <w:t>Ⅰ</w:t>
      </w:r>
      <w:r>
        <w:rPr>
          <w:rFonts w:hint="eastAsia" w:eastAsiaTheme="majorEastAsia"/>
          <w:sz w:val="24"/>
        </w:rPr>
        <w:t>。</w:t>
      </w:r>
    </w:p>
    <w:p>
      <w:pPr>
        <w:autoSpaceDE w:val="0"/>
        <w:autoSpaceDN w:val="0"/>
        <w:adjustRightInd w:val="0"/>
        <w:spacing w:line="360" w:lineRule="auto"/>
        <w:ind w:firstLine="1200" w:firstLineChars="500"/>
        <w:rPr>
          <w:rFonts w:eastAsiaTheme="majorEastAsia"/>
          <w:sz w:val="24"/>
        </w:rPr>
      </w:pPr>
      <w:r>
        <w:rPr>
          <w:rFonts w:hint="eastAsia" w:eastAsiaTheme="majorEastAsia"/>
          <w:sz w:val="24"/>
        </w:rPr>
        <w:t>当Q≥1时，将Q值划分为：（1）1≤Q＜10；（2）10≤Q＜100；（3）Q≥100。</w:t>
      </w:r>
    </w:p>
    <w:p>
      <w:pPr>
        <w:pStyle w:val="17"/>
        <w:spacing w:beforeLines="50"/>
        <w:rPr>
          <w:rFonts w:ascii="Times New Roman" w:hAnsi="Times New Roman" w:cs="Times New Roman"/>
          <w:color w:val="auto"/>
          <w:sz w:val="21"/>
        </w:rPr>
      </w:pPr>
      <w:r>
        <w:rPr>
          <w:rFonts w:hint="eastAsia" w:ascii="Times New Roman" w:hAnsi="Times New Roman" w:cs="Times New Roman"/>
          <w:color w:val="auto"/>
          <w:sz w:val="21"/>
        </w:rPr>
        <w:t>表2.4-11  项目危险物质数量与临界量的比值（Q）</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1"/>
        <w:gridCol w:w="1810"/>
        <w:gridCol w:w="2035"/>
        <w:gridCol w:w="1489"/>
        <w:gridCol w:w="7"/>
        <w:gridCol w:w="1006"/>
        <w:gridCol w:w="13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499" w:type="pct"/>
            <w:vAlign w:val="center"/>
          </w:tcPr>
          <w:p>
            <w:pPr>
              <w:pStyle w:val="146"/>
              <w:ind w:left="-105"/>
              <w:jc w:val="center"/>
              <w:rPr>
                <w:rFonts w:ascii="Times New Roman" w:eastAsia="宋体" w:cs="Times New Roman"/>
                <w:b/>
                <w:bCs/>
                <w:color w:val="auto"/>
                <w:kern w:val="2"/>
                <w:sz w:val="21"/>
                <w:szCs w:val="21"/>
              </w:rPr>
            </w:pPr>
            <w:r>
              <w:rPr>
                <w:rFonts w:hint="eastAsia" w:ascii="Times New Roman" w:eastAsia="宋体" w:cs="Times New Roman"/>
                <w:b/>
                <w:bCs/>
                <w:color w:val="auto"/>
                <w:kern w:val="2"/>
                <w:sz w:val="21"/>
                <w:szCs w:val="21"/>
              </w:rPr>
              <w:t>序号</w:t>
            </w:r>
          </w:p>
        </w:tc>
        <w:tc>
          <w:tcPr>
            <w:tcW w:w="1061" w:type="pct"/>
            <w:vAlign w:val="center"/>
          </w:tcPr>
          <w:p>
            <w:pPr>
              <w:pStyle w:val="146"/>
              <w:ind w:left="-105"/>
              <w:jc w:val="center"/>
              <w:rPr>
                <w:rFonts w:ascii="Times New Roman" w:eastAsia="宋体" w:cs="Times New Roman"/>
                <w:b/>
                <w:bCs/>
                <w:color w:val="auto"/>
                <w:kern w:val="2"/>
                <w:sz w:val="21"/>
                <w:szCs w:val="21"/>
              </w:rPr>
            </w:pPr>
            <w:r>
              <w:rPr>
                <w:rFonts w:ascii="Times New Roman" w:eastAsia="宋体" w:cs="Times New Roman"/>
                <w:b/>
                <w:bCs/>
                <w:color w:val="auto"/>
                <w:kern w:val="2"/>
                <w:sz w:val="21"/>
                <w:szCs w:val="21"/>
              </w:rPr>
              <w:t>危险</w:t>
            </w:r>
            <w:r>
              <w:rPr>
                <w:rFonts w:hint="eastAsia" w:ascii="Times New Roman" w:eastAsia="宋体" w:cs="Times New Roman"/>
                <w:b/>
                <w:bCs/>
                <w:color w:val="auto"/>
                <w:kern w:val="2"/>
                <w:sz w:val="21"/>
                <w:szCs w:val="21"/>
              </w:rPr>
              <w:t>物质</w:t>
            </w:r>
            <w:r>
              <w:rPr>
                <w:rFonts w:ascii="Times New Roman" w:eastAsia="宋体" w:cs="Times New Roman"/>
                <w:b/>
                <w:bCs/>
                <w:color w:val="auto"/>
                <w:kern w:val="2"/>
                <w:sz w:val="21"/>
                <w:szCs w:val="21"/>
              </w:rPr>
              <w:t>类别</w:t>
            </w:r>
          </w:p>
        </w:tc>
        <w:tc>
          <w:tcPr>
            <w:tcW w:w="1193" w:type="pct"/>
            <w:vAlign w:val="center"/>
          </w:tcPr>
          <w:p>
            <w:pPr>
              <w:pStyle w:val="146"/>
              <w:ind w:left="-105"/>
              <w:jc w:val="center"/>
              <w:rPr>
                <w:rFonts w:ascii="Times New Roman" w:eastAsia="宋体" w:cs="Times New Roman"/>
                <w:b/>
                <w:bCs/>
                <w:color w:val="auto"/>
                <w:kern w:val="2"/>
                <w:sz w:val="21"/>
                <w:szCs w:val="21"/>
              </w:rPr>
            </w:pPr>
            <w:r>
              <w:rPr>
                <w:rFonts w:hint="eastAsia" w:ascii="Times New Roman" w:eastAsia="宋体" w:cs="Times New Roman"/>
                <w:b/>
                <w:bCs/>
                <w:color w:val="auto"/>
                <w:kern w:val="2"/>
                <w:sz w:val="21"/>
                <w:szCs w:val="21"/>
              </w:rPr>
              <w:t>CAS号</w:t>
            </w:r>
          </w:p>
        </w:tc>
        <w:tc>
          <w:tcPr>
            <w:tcW w:w="873" w:type="pct"/>
            <w:vAlign w:val="center"/>
          </w:tcPr>
          <w:p>
            <w:pPr>
              <w:pStyle w:val="146"/>
              <w:ind w:left="-105"/>
              <w:jc w:val="center"/>
              <w:rPr>
                <w:rFonts w:ascii="Times New Roman" w:eastAsia="宋体" w:cs="Times New Roman"/>
                <w:b/>
                <w:bCs/>
                <w:color w:val="auto"/>
                <w:kern w:val="2"/>
                <w:sz w:val="21"/>
                <w:szCs w:val="21"/>
              </w:rPr>
            </w:pPr>
            <w:r>
              <w:rPr>
                <w:rFonts w:hint="eastAsia" w:ascii="Times New Roman" w:eastAsia="宋体" w:cs="Times New Roman"/>
                <w:b/>
                <w:bCs/>
                <w:color w:val="auto"/>
                <w:kern w:val="2"/>
                <w:sz w:val="21"/>
                <w:szCs w:val="21"/>
              </w:rPr>
              <w:t>最大存在总量q</w:t>
            </w:r>
            <w:r>
              <w:rPr>
                <w:rFonts w:hint="eastAsia" w:ascii="Times New Roman" w:eastAsia="宋体" w:cs="Times New Roman"/>
                <w:b/>
                <w:bCs/>
                <w:color w:val="auto"/>
                <w:kern w:val="2"/>
                <w:sz w:val="21"/>
                <w:szCs w:val="21"/>
                <w:vertAlign w:val="subscript"/>
              </w:rPr>
              <w:t>n</w:t>
            </w:r>
            <w:r>
              <w:rPr>
                <w:rFonts w:hint="eastAsia" w:ascii="Times New Roman" w:eastAsia="宋体" w:cs="Times New Roman"/>
                <w:b/>
                <w:bCs/>
                <w:color w:val="auto"/>
                <w:kern w:val="2"/>
                <w:sz w:val="21"/>
                <w:szCs w:val="21"/>
              </w:rPr>
              <w:t>/</w:t>
            </w:r>
            <w:r>
              <w:rPr>
                <w:rFonts w:ascii="Times New Roman" w:eastAsia="宋体" w:cs="Times New Roman"/>
                <w:b/>
                <w:bCs/>
                <w:color w:val="auto"/>
                <w:kern w:val="2"/>
                <w:sz w:val="21"/>
                <w:szCs w:val="21"/>
              </w:rPr>
              <w:t>t</w:t>
            </w:r>
          </w:p>
        </w:tc>
        <w:tc>
          <w:tcPr>
            <w:tcW w:w="594" w:type="pct"/>
            <w:gridSpan w:val="2"/>
            <w:vAlign w:val="center"/>
          </w:tcPr>
          <w:p>
            <w:pPr>
              <w:pStyle w:val="146"/>
              <w:ind w:left="-105"/>
              <w:jc w:val="center"/>
              <w:rPr>
                <w:rFonts w:ascii="Times New Roman" w:eastAsia="宋体" w:cs="Times New Roman"/>
                <w:b/>
                <w:bCs/>
                <w:color w:val="auto"/>
                <w:kern w:val="2"/>
                <w:sz w:val="21"/>
                <w:szCs w:val="21"/>
              </w:rPr>
            </w:pPr>
            <w:r>
              <w:rPr>
                <w:rFonts w:hint="eastAsia" w:ascii="Times New Roman" w:eastAsia="宋体" w:cs="Times New Roman"/>
                <w:b/>
                <w:bCs/>
                <w:color w:val="auto"/>
                <w:kern w:val="2"/>
                <w:sz w:val="21"/>
                <w:szCs w:val="21"/>
              </w:rPr>
              <w:t>临界量Q</w:t>
            </w:r>
            <w:r>
              <w:rPr>
                <w:rFonts w:hint="eastAsia" w:ascii="Times New Roman" w:eastAsia="宋体" w:cs="Times New Roman"/>
                <w:b/>
                <w:bCs/>
                <w:color w:val="auto"/>
                <w:kern w:val="2"/>
                <w:sz w:val="21"/>
                <w:szCs w:val="21"/>
                <w:vertAlign w:val="subscript"/>
              </w:rPr>
              <w:t>n</w:t>
            </w:r>
            <w:r>
              <w:rPr>
                <w:rFonts w:hint="eastAsia" w:ascii="Times New Roman" w:eastAsia="宋体" w:cs="Times New Roman"/>
                <w:b/>
                <w:bCs/>
                <w:color w:val="auto"/>
                <w:kern w:val="2"/>
                <w:sz w:val="21"/>
                <w:szCs w:val="21"/>
              </w:rPr>
              <w:t>/</w:t>
            </w:r>
            <w:r>
              <w:rPr>
                <w:rFonts w:ascii="Times New Roman" w:eastAsia="宋体" w:cs="Times New Roman"/>
                <w:b/>
                <w:bCs/>
                <w:color w:val="auto"/>
                <w:kern w:val="2"/>
                <w:sz w:val="21"/>
                <w:szCs w:val="21"/>
              </w:rPr>
              <w:t>t</w:t>
            </w:r>
          </w:p>
        </w:tc>
        <w:tc>
          <w:tcPr>
            <w:tcW w:w="780" w:type="pct"/>
            <w:vAlign w:val="center"/>
          </w:tcPr>
          <w:p>
            <w:pPr>
              <w:pStyle w:val="146"/>
              <w:ind w:left="-105"/>
              <w:jc w:val="center"/>
              <w:rPr>
                <w:rFonts w:ascii="Times New Roman" w:eastAsia="宋体" w:cs="Times New Roman"/>
                <w:b/>
                <w:bCs/>
                <w:color w:val="auto"/>
                <w:kern w:val="2"/>
                <w:sz w:val="21"/>
                <w:szCs w:val="21"/>
              </w:rPr>
            </w:pPr>
            <w:r>
              <w:rPr>
                <w:rFonts w:hint="eastAsia" w:ascii="Times New Roman" w:eastAsia="宋体" w:cs="Times New Roman"/>
                <w:b/>
                <w:bCs/>
                <w:color w:val="auto"/>
                <w:kern w:val="2"/>
                <w:sz w:val="21"/>
                <w:szCs w:val="21"/>
              </w:rPr>
              <w:t>该种危险物质</w:t>
            </w:r>
            <w:r>
              <w:rPr>
                <w:rFonts w:ascii="Times New Roman" w:eastAsia="宋体" w:cs="Times New Roman"/>
                <w:b/>
                <w:bCs/>
                <w:color w:val="auto"/>
                <w:kern w:val="2"/>
                <w:sz w:val="21"/>
                <w:szCs w:val="21"/>
              </w:rPr>
              <w:t>Q</w:t>
            </w:r>
            <w:r>
              <w:rPr>
                <w:rFonts w:hint="eastAsia" w:ascii="Times New Roman" w:eastAsia="宋体" w:cs="Times New Roman"/>
                <w:b/>
                <w:bCs/>
                <w:color w:val="auto"/>
                <w:kern w:val="2"/>
                <w:sz w:val="21"/>
                <w:szCs w:val="21"/>
              </w:rPr>
              <w:t>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499" w:type="pct"/>
            <w:vAlign w:val="center"/>
          </w:tcPr>
          <w:p>
            <w:pPr>
              <w:pStyle w:val="146"/>
              <w:ind w:left="-105"/>
              <w:jc w:val="center"/>
              <w:rPr>
                <w:rFonts w:ascii="Times New Roman" w:eastAsia="宋体" w:cs="Times New Roman"/>
                <w:color w:val="auto"/>
                <w:kern w:val="2"/>
                <w:sz w:val="21"/>
                <w:szCs w:val="21"/>
              </w:rPr>
            </w:pPr>
            <w:r>
              <w:rPr>
                <w:rFonts w:hint="eastAsia" w:ascii="Times New Roman" w:eastAsia="宋体" w:cs="Times New Roman"/>
                <w:color w:val="auto"/>
                <w:kern w:val="2"/>
                <w:sz w:val="21"/>
                <w:szCs w:val="21"/>
              </w:rPr>
              <w:t>1</w:t>
            </w:r>
          </w:p>
        </w:tc>
        <w:tc>
          <w:tcPr>
            <w:tcW w:w="1061" w:type="pct"/>
            <w:vAlign w:val="center"/>
          </w:tcPr>
          <w:p>
            <w:pPr>
              <w:pStyle w:val="146"/>
              <w:ind w:left="-105"/>
              <w:jc w:val="center"/>
              <w:rPr>
                <w:rFonts w:ascii="Times New Roman" w:eastAsia="宋体" w:cs="Times New Roman"/>
                <w:color w:val="auto"/>
                <w:kern w:val="2"/>
                <w:sz w:val="21"/>
                <w:szCs w:val="21"/>
              </w:rPr>
            </w:pPr>
            <w:r>
              <w:rPr>
                <w:rFonts w:ascii="Times New Roman" w:eastAsia="宋体" w:cs="Times New Roman"/>
                <w:color w:val="auto"/>
                <w:kern w:val="2"/>
                <w:sz w:val="21"/>
                <w:szCs w:val="21"/>
              </w:rPr>
              <w:t>柴油</w:t>
            </w:r>
          </w:p>
        </w:tc>
        <w:tc>
          <w:tcPr>
            <w:tcW w:w="1193" w:type="pct"/>
            <w:vAlign w:val="center"/>
          </w:tcPr>
          <w:p>
            <w:pPr>
              <w:pStyle w:val="146"/>
              <w:ind w:left="-105"/>
              <w:jc w:val="center"/>
              <w:rPr>
                <w:rFonts w:ascii="Times New Roman" w:eastAsia="宋体" w:cs="Times New Roman"/>
                <w:color w:val="auto"/>
                <w:kern w:val="2"/>
                <w:sz w:val="21"/>
                <w:szCs w:val="21"/>
              </w:rPr>
            </w:pPr>
            <w:r>
              <w:rPr>
                <w:rFonts w:hint="eastAsia" w:ascii="Times New Roman" w:eastAsia="宋体" w:cs="Times New Roman"/>
                <w:color w:val="auto"/>
                <w:kern w:val="2"/>
                <w:sz w:val="21"/>
                <w:szCs w:val="21"/>
              </w:rPr>
              <w:t>/</w:t>
            </w:r>
          </w:p>
        </w:tc>
        <w:tc>
          <w:tcPr>
            <w:tcW w:w="873" w:type="pct"/>
            <w:vAlign w:val="center"/>
          </w:tcPr>
          <w:p>
            <w:pPr>
              <w:pStyle w:val="146"/>
              <w:ind w:left="-105"/>
              <w:jc w:val="center"/>
              <w:rPr>
                <w:rFonts w:ascii="Times New Roman" w:eastAsia="宋体" w:cs="Times New Roman"/>
                <w:color w:val="auto"/>
                <w:kern w:val="2"/>
                <w:sz w:val="21"/>
                <w:szCs w:val="21"/>
              </w:rPr>
            </w:pPr>
            <w:r>
              <w:rPr>
                <w:rFonts w:hint="eastAsia" w:ascii="Times New Roman" w:eastAsia="宋体" w:cs="Times New Roman"/>
                <w:color w:val="auto"/>
                <w:kern w:val="2"/>
                <w:sz w:val="21"/>
                <w:szCs w:val="21"/>
              </w:rPr>
              <w:t>0.17</w:t>
            </w:r>
          </w:p>
        </w:tc>
        <w:tc>
          <w:tcPr>
            <w:tcW w:w="594" w:type="pct"/>
            <w:gridSpan w:val="2"/>
            <w:vAlign w:val="center"/>
          </w:tcPr>
          <w:p>
            <w:pPr>
              <w:pStyle w:val="146"/>
              <w:ind w:left="-105"/>
              <w:jc w:val="center"/>
              <w:rPr>
                <w:rFonts w:ascii="Times New Roman" w:eastAsia="宋体" w:cs="Times New Roman"/>
                <w:color w:val="auto"/>
                <w:kern w:val="2"/>
                <w:sz w:val="21"/>
                <w:szCs w:val="21"/>
              </w:rPr>
            </w:pPr>
            <w:r>
              <w:rPr>
                <w:rFonts w:hint="eastAsia" w:ascii="Times New Roman" w:eastAsia="宋体" w:cs="Times New Roman"/>
                <w:color w:val="auto"/>
                <w:kern w:val="2"/>
                <w:sz w:val="21"/>
                <w:szCs w:val="21"/>
              </w:rPr>
              <w:t>2500</w:t>
            </w:r>
          </w:p>
        </w:tc>
        <w:tc>
          <w:tcPr>
            <w:tcW w:w="780" w:type="pct"/>
            <w:vAlign w:val="center"/>
          </w:tcPr>
          <w:p>
            <w:pPr>
              <w:pStyle w:val="146"/>
              <w:ind w:left="-105"/>
              <w:jc w:val="center"/>
              <w:rPr>
                <w:rFonts w:ascii="Times New Roman" w:eastAsia="宋体" w:cs="Times New Roman"/>
                <w:color w:val="auto"/>
                <w:kern w:val="2"/>
                <w:sz w:val="21"/>
                <w:szCs w:val="21"/>
              </w:rPr>
            </w:pPr>
            <w:r>
              <w:rPr>
                <w:rFonts w:hint="eastAsia" w:ascii="Times New Roman" w:eastAsia="宋体" w:cs="Times New Roman"/>
                <w:color w:val="auto"/>
                <w:kern w:val="2"/>
                <w:sz w:val="21"/>
                <w:szCs w:val="21"/>
              </w:rPr>
              <w:t>0.000068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499" w:type="pct"/>
            <w:vAlign w:val="center"/>
          </w:tcPr>
          <w:p>
            <w:pPr>
              <w:pStyle w:val="146"/>
              <w:ind w:left="-105"/>
              <w:jc w:val="center"/>
              <w:rPr>
                <w:rFonts w:ascii="Times New Roman" w:eastAsia="宋体" w:cs="Times New Roman"/>
                <w:color w:val="auto"/>
                <w:kern w:val="2"/>
                <w:sz w:val="21"/>
                <w:szCs w:val="21"/>
              </w:rPr>
            </w:pPr>
            <w:r>
              <w:rPr>
                <w:rFonts w:hint="eastAsia" w:ascii="Times New Roman" w:eastAsia="宋体" w:cs="Times New Roman"/>
                <w:color w:val="auto"/>
                <w:kern w:val="2"/>
                <w:sz w:val="21"/>
                <w:szCs w:val="21"/>
              </w:rPr>
              <w:t>小计</w:t>
            </w:r>
          </w:p>
        </w:tc>
        <w:tc>
          <w:tcPr>
            <w:tcW w:w="1061" w:type="pct"/>
            <w:vAlign w:val="center"/>
          </w:tcPr>
          <w:p>
            <w:pPr>
              <w:pStyle w:val="146"/>
              <w:ind w:left="-105"/>
              <w:jc w:val="center"/>
              <w:rPr>
                <w:rFonts w:ascii="Times New Roman" w:eastAsia="宋体" w:cs="Times New Roman"/>
                <w:color w:val="auto"/>
                <w:kern w:val="2"/>
                <w:sz w:val="21"/>
                <w:szCs w:val="21"/>
              </w:rPr>
            </w:pPr>
            <w:r>
              <w:rPr>
                <w:rFonts w:hint="eastAsia" w:ascii="Times New Roman" w:eastAsia="宋体" w:cs="Times New Roman"/>
                <w:color w:val="auto"/>
                <w:kern w:val="2"/>
                <w:sz w:val="21"/>
                <w:szCs w:val="21"/>
              </w:rPr>
              <w:t>/</w:t>
            </w:r>
          </w:p>
        </w:tc>
        <w:tc>
          <w:tcPr>
            <w:tcW w:w="1193" w:type="pct"/>
            <w:vAlign w:val="center"/>
          </w:tcPr>
          <w:p>
            <w:pPr>
              <w:pStyle w:val="146"/>
              <w:ind w:left="-105"/>
              <w:jc w:val="center"/>
              <w:rPr>
                <w:rFonts w:ascii="Times New Roman" w:eastAsia="宋体" w:cs="Times New Roman"/>
                <w:color w:val="auto"/>
                <w:kern w:val="2"/>
                <w:sz w:val="21"/>
                <w:szCs w:val="21"/>
              </w:rPr>
            </w:pPr>
            <w:r>
              <w:rPr>
                <w:rFonts w:hint="eastAsia" w:ascii="Times New Roman" w:eastAsia="宋体" w:cs="Times New Roman"/>
                <w:color w:val="auto"/>
                <w:kern w:val="2"/>
                <w:sz w:val="21"/>
                <w:szCs w:val="21"/>
              </w:rPr>
              <w:t>/</w:t>
            </w:r>
          </w:p>
        </w:tc>
        <w:tc>
          <w:tcPr>
            <w:tcW w:w="877" w:type="pct"/>
            <w:gridSpan w:val="2"/>
            <w:vAlign w:val="center"/>
          </w:tcPr>
          <w:p>
            <w:pPr>
              <w:pStyle w:val="146"/>
              <w:ind w:left="-105"/>
              <w:jc w:val="center"/>
              <w:rPr>
                <w:rFonts w:ascii="Times New Roman" w:eastAsia="宋体" w:cs="Times New Roman"/>
                <w:color w:val="auto"/>
                <w:kern w:val="2"/>
                <w:sz w:val="21"/>
                <w:szCs w:val="21"/>
              </w:rPr>
            </w:pPr>
            <w:r>
              <w:rPr>
                <w:rFonts w:hint="eastAsia" w:ascii="Times New Roman" w:eastAsia="宋体" w:cs="Times New Roman"/>
                <w:color w:val="auto"/>
                <w:kern w:val="2"/>
                <w:sz w:val="21"/>
                <w:szCs w:val="21"/>
              </w:rPr>
              <w:t>/</w:t>
            </w:r>
          </w:p>
        </w:tc>
        <w:tc>
          <w:tcPr>
            <w:tcW w:w="590" w:type="pct"/>
            <w:vAlign w:val="center"/>
          </w:tcPr>
          <w:p>
            <w:pPr>
              <w:pStyle w:val="146"/>
              <w:ind w:left="-105"/>
              <w:jc w:val="center"/>
              <w:rPr>
                <w:rFonts w:ascii="Times New Roman" w:eastAsia="宋体" w:cs="Times New Roman"/>
                <w:color w:val="auto"/>
                <w:kern w:val="2"/>
                <w:sz w:val="21"/>
                <w:szCs w:val="21"/>
              </w:rPr>
            </w:pPr>
            <w:r>
              <w:rPr>
                <w:rFonts w:hint="eastAsia" w:ascii="Times New Roman" w:eastAsia="宋体" w:cs="Times New Roman"/>
                <w:color w:val="auto"/>
                <w:kern w:val="2"/>
                <w:sz w:val="21"/>
                <w:szCs w:val="21"/>
              </w:rPr>
              <w:t>/</w:t>
            </w:r>
          </w:p>
        </w:tc>
        <w:tc>
          <w:tcPr>
            <w:tcW w:w="780" w:type="pct"/>
            <w:vAlign w:val="center"/>
          </w:tcPr>
          <w:p>
            <w:pPr>
              <w:pStyle w:val="146"/>
              <w:ind w:left="-105"/>
              <w:jc w:val="center"/>
              <w:rPr>
                <w:rFonts w:ascii="Times New Roman" w:eastAsia="宋体" w:cs="Times New Roman"/>
                <w:color w:val="auto"/>
                <w:kern w:val="2"/>
                <w:sz w:val="21"/>
                <w:szCs w:val="21"/>
              </w:rPr>
            </w:pPr>
            <w:r>
              <w:rPr>
                <w:rFonts w:hint="eastAsia" w:ascii="Times New Roman" w:eastAsia="宋体" w:cs="Times New Roman"/>
                <w:color w:val="auto"/>
                <w:kern w:val="2"/>
                <w:sz w:val="21"/>
                <w:szCs w:val="21"/>
              </w:rPr>
              <w:t>0.000068</w:t>
            </w:r>
          </w:p>
        </w:tc>
      </w:tr>
    </w:tbl>
    <w:p>
      <w:pPr>
        <w:autoSpaceDE w:val="0"/>
        <w:autoSpaceDN w:val="0"/>
        <w:adjustRightInd w:val="0"/>
        <w:spacing w:line="360" w:lineRule="auto"/>
        <w:ind w:firstLine="422" w:firstLineChars="200"/>
        <w:rPr>
          <w:rFonts w:eastAsiaTheme="majorEastAsia"/>
          <w:b/>
          <w:szCs w:val="21"/>
        </w:rPr>
      </w:pPr>
      <w:r>
        <w:rPr>
          <w:rFonts w:hint="eastAsia" w:eastAsiaTheme="majorEastAsia"/>
          <w:b/>
          <w:szCs w:val="21"/>
        </w:rPr>
        <w:t>注：项目柴油最大储存量为200L，柴油密度按0.85g/ml 计，则项目柴油最大储存量为</w:t>
      </w:r>
      <w:r>
        <w:rPr>
          <w:rFonts w:eastAsiaTheme="majorEastAsia"/>
          <w:b/>
          <w:szCs w:val="21"/>
        </w:rPr>
        <w:t>170kg</w:t>
      </w:r>
      <w:r>
        <w:rPr>
          <w:rFonts w:hint="eastAsia" w:eastAsiaTheme="majorEastAsia"/>
          <w:b/>
          <w:szCs w:val="21"/>
        </w:rPr>
        <w:t>。</w:t>
      </w:r>
    </w:p>
    <w:p>
      <w:pPr>
        <w:spacing w:line="360" w:lineRule="auto"/>
        <w:ind w:firstLine="480" w:firstLineChars="200"/>
        <w:rPr>
          <w:rFonts w:hAnsiTheme="majorEastAsia" w:eastAsiaTheme="majorEastAsia"/>
          <w:sz w:val="24"/>
        </w:rPr>
      </w:pPr>
      <w:r>
        <w:rPr>
          <w:rFonts w:hint="eastAsia"/>
          <w:sz w:val="24"/>
        </w:rPr>
        <w:t>因此，本项目</w:t>
      </w:r>
      <w:r>
        <w:rPr>
          <w:sz w:val="24"/>
        </w:rPr>
        <w:t>Q=</w:t>
      </w:r>
      <w:r>
        <w:rPr>
          <w:rFonts w:hint="eastAsia"/>
          <w:sz w:val="24"/>
        </w:rPr>
        <w:t>0.000068＜1，本项目环境风险潜势为I。</w:t>
      </w:r>
    </w:p>
    <w:p>
      <w:pPr>
        <w:spacing w:line="360" w:lineRule="auto"/>
        <w:ind w:firstLine="480" w:firstLineChars="200"/>
        <w:rPr>
          <w:rFonts w:eastAsiaTheme="majorEastAsia"/>
          <w:sz w:val="24"/>
        </w:rPr>
      </w:pPr>
      <w:r>
        <w:rPr>
          <w:rFonts w:hint="eastAsia" w:eastAsiaTheme="majorEastAsia"/>
          <w:sz w:val="24"/>
        </w:rPr>
        <w:t>环境风险评价工作等级划分为一级、二级、三级。根据建设项目涉及的物质及工艺系统危险性和所在地的环境敏感性确定环境风险潜势，按照表1.6-9确定评价工作等级。</w:t>
      </w:r>
    </w:p>
    <w:p>
      <w:pPr>
        <w:pStyle w:val="17"/>
        <w:spacing w:beforeLines="50"/>
        <w:rPr>
          <w:rFonts w:ascii="Times New Roman" w:hAnsi="Times New Roman" w:cs="Times New Roman"/>
          <w:color w:val="auto"/>
          <w:sz w:val="21"/>
        </w:rPr>
      </w:pPr>
      <w:r>
        <w:rPr>
          <w:rFonts w:ascii="Times New Roman" w:hAnsi="Times New Roman" w:cs="Times New Roman"/>
          <w:color w:val="auto"/>
          <w:sz w:val="21"/>
        </w:rPr>
        <w:t>表</w:t>
      </w:r>
      <w:r>
        <w:rPr>
          <w:rFonts w:hint="eastAsia" w:ascii="Times New Roman" w:hAnsi="Times New Roman" w:cs="Times New Roman"/>
          <w:color w:val="auto"/>
          <w:sz w:val="21"/>
        </w:rPr>
        <w:t>2.4-12  风险评价工作级别划分</w:t>
      </w:r>
    </w:p>
    <w:tbl>
      <w:tblPr>
        <w:tblStyle w:val="47"/>
        <w:tblW w:w="85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700"/>
        <w:gridCol w:w="1562"/>
        <w:gridCol w:w="1982"/>
        <w:gridCol w:w="17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7" w:type="dxa"/>
            <w:tcBorders>
              <w:tl2br w:val="nil"/>
              <w:tr2bl w:val="nil"/>
            </w:tcBorders>
            <w:vAlign w:val="center"/>
          </w:tcPr>
          <w:p>
            <w:pPr>
              <w:jc w:val="center"/>
              <w:rPr>
                <w:b/>
                <w:szCs w:val="21"/>
              </w:rPr>
            </w:pPr>
            <w:r>
              <w:rPr>
                <w:b/>
                <w:szCs w:val="21"/>
              </w:rPr>
              <w:t>环境风险潜势</w:t>
            </w:r>
          </w:p>
        </w:tc>
        <w:tc>
          <w:tcPr>
            <w:tcW w:w="1700" w:type="dxa"/>
            <w:tcBorders>
              <w:tl2br w:val="nil"/>
              <w:tr2bl w:val="nil"/>
            </w:tcBorders>
            <w:vAlign w:val="center"/>
          </w:tcPr>
          <w:p>
            <w:pPr>
              <w:jc w:val="center"/>
              <w:rPr>
                <w:b/>
                <w:szCs w:val="21"/>
              </w:rPr>
            </w:pPr>
            <w:r>
              <w:rPr>
                <w:rFonts w:hint="eastAsia" w:ascii="宋体" w:hAnsi="宋体"/>
                <w:b/>
                <w:szCs w:val="21"/>
              </w:rPr>
              <w:t>Ⅳ</w:t>
            </w:r>
            <w:r>
              <w:rPr>
                <w:b/>
                <w:szCs w:val="21"/>
                <w:vertAlign w:val="superscript"/>
              </w:rPr>
              <w:t>+</w:t>
            </w:r>
            <w:r>
              <w:rPr>
                <w:b/>
                <w:szCs w:val="21"/>
              </w:rPr>
              <w:t>、</w:t>
            </w:r>
            <w:r>
              <w:rPr>
                <w:rFonts w:hint="eastAsia" w:ascii="宋体" w:hAnsi="宋体"/>
                <w:b/>
                <w:szCs w:val="21"/>
              </w:rPr>
              <w:t>Ⅳ</w:t>
            </w:r>
          </w:p>
        </w:tc>
        <w:tc>
          <w:tcPr>
            <w:tcW w:w="1562" w:type="dxa"/>
            <w:tcBorders>
              <w:tl2br w:val="nil"/>
              <w:tr2bl w:val="nil"/>
            </w:tcBorders>
            <w:vAlign w:val="center"/>
          </w:tcPr>
          <w:p>
            <w:pPr>
              <w:jc w:val="center"/>
              <w:rPr>
                <w:b/>
                <w:szCs w:val="21"/>
              </w:rPr>
            </w:pPr>
            <w:r>
              <w:rPr>
                <w:rFonts w:hint="eastAsia" w:ascii="宋体" w:hAnsi="宋体"/>
                <w:b/>
                <w:szCs w:val="21"/>
              </w:rPr>
              <w:t>Ⅲ</w:t>
            </w:r>
          </w:p>
        </w:tc>
        <w:tc>
          <w:tcPr>
            <w:tcW w:w="1982" w:type="dxa"/>
            <w:tcBorders>
              <w:tl2br w:val="nil"/>
              <w:tr2bl w:val="nil"/>
            </w:tcBorders>
            <w:vAlign w:val="center"/>
          </w:tcPr>
          <w:p>
            <w:pPr>
              <w:jc w:val="center"/>
              <w:rPr>
                <w:b/>
                <w:szCs w:val="21"/>
              </w:rPr>
            </w:pPr>
            <w:r>
              <w:rPr>
                <w:rFonts w:hint="eastAsia" w:ascii="宋体" w:hAnsi="宋体"/>
                <w:b/>
                <w:szCs w:val="21"/>
              </w:rPr>
              <w:t>Ⅱ</w:t>
            </w:r>
          </w:p>
        </w:tc>
        <w:tc>
          <w:tcPr>
            <w:tcW w:w="1757" w:type="dxa"/>
            <w:tcBorders>
              <w:tl2br w:val="nil"/>
              <w:tr2bl w:val="nil"/>
            </w:tcBorders>
            <w:vAlign w:val="center"/>
          </w:tcPr>
          <w:p>
            <w:pPr>
              <w:jc w:val="center"/>
              <w:rPr>
                <w:b/>
                <w:szCs w:val="21"/>
              </w:rPr>
            </w:pPr>
            <w:r>
              <w:rPr>
                <w:rFonts w:hint="eastAsia" w:ascii="宋体" w:hAnsi="宋体"/>
                <w:b/>
                <w:szCs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7" w:type="dxa"/>
            <w:tcBorders>
              <w:tl2br w:val="nil"/>
              <w:tr2bl w:val="nil"/>
            </w:tcBorders>
            <w:vAlign w:val="center"/>
          </w:tcPr>
          <w:p>
            <w:pPr>
              <w:jc w:val="center"/>
              <w:rPr>
                <w:b/>
                <w:szCs w:val="21"/>
              </w:rPr>
            </w:pPr>
            <w:r>
              <w:rPr>
                <w:szCs w:val="21"/>
              </w:rPr>
              <w:t>评价工作等级</w:t>
            </w:r>
          </w:p>
        </w:tc>
        <w:tc>
          <w:tcPr>
            <w:tcW w:w="1700" w:type="dxa"/>
            <w:tcBorders>
              <w:tl2br w:val="nil"/>
              <w:tr2bl w:val="nil"/>
            </w:tcBorders>
            <w:vAlign w:val="center"/>
          </w:tcPr>
          <w:p>
            <w:pPr>
              <w:jc w:val="center"/>
              <w:rPr>
                <w:rFonts w:hint="eastAsia" w:ascii="宋体" w:hAnsi="宋体"/>
                <w:b/>
                <w:szCs w:val="21"/>
              </w:rPr>
            </w:pPr>
            <w:r>
              <w:rPr>
                <w:rFonts w:ascii="Times New Roman" w:hAnsi="Times New Roman" w:eastAsia="宋体" w:cs="Times New Roman"/>
                <w:szCs w:val="21"/>
              </w:rPr>
              <w:t>一</w:t>
            </w:r>
          </w:p>
        </w:tc>
        <w:tc>
          <w:tcPr>
            <w:tcW w:w="1562" w:type="dxa"/>
            <w:tcBorders>
              <w:tl2br w:val="nil"/>
              <w:tr2bl w:val="nil"/>
            </w:tcBorders>
            <w:vAlign w:val="center"/>
          </w:tcPr>
          <w:p>
            <w:pPr>
              <w:jc w:val="center"/>
              <w:rPr>
                <w:rFonts w:hint="eastAsia" w:ascii="宋体" w:hAnsi="宋体" w:eastAsia="宋体"/>
                <w:b/>
                <w:szCs w:val="21"/>
                <w:lang w:val="en-US" w:eastAsia="zh-CN"/>
              </w:rPr>
            </w:pPr>
            <w:r>
              <w:rPr>
                <w:rFonts w:hint="eastAsia" w:ascii="宋体" w:hAnsi="宋体"/>
                <w:b/>
                <w:szCs w:val="21"/>
                <w:lang w:val="en-US" w:eastAsia="zh-CN"/>
              </w:rPr>
              <w:t>二</w:t>
            </w:r>
          </w:p>
        </w:tc>
        <w:tc>
          <w:tcPr>
            <w:tcW w:w="1982" w:type="dxa"/>
            <w:tcBorders>
              <w:tl2br w:val="nil"/>
              <w:tr2bl w:val="nil"/>
            </w:tcBorders>
            <w:vAlign w:val="center"/>
          </w:tcPr>
          <w:p>
            <w:pPr>
              <w:jc w:val="center"/>
              <w:rPr>
                <w:rFonts w:hint="eastAsia" w:ascii="宋体" w:hAnsi="宋体" w:eastAsia="宋体"/>
                <w:b/>
                <w:szCs w:val="21"/>
                <w:lang w:val="en-US" w:eastAsia="zh-CN"/>
              </w:rPr>
            </w:pPr>
            <w:r>
              <w:rPr>
                <w:rFonts w:hint="eastAsia" w:ascii="宋体" w:hAnsi="宋体"/>
                <w:b/>
                <w:szCs w:val="21"/>
                <w:lang w:val="en-US" w:eastAsia="zh-CN"/>
              </w:rPr>
              <w:t>三</w:t>
            </w:r>
          </w:p>
        </w:tc>
        <w:tc>
          <w:tcPr>
            <w:tcW w:w="1757" w:type="dxa"/>
            <w:tcBorders>
              <w:tl2br w:val="nil"/>
              <w:tr2bl w:val="nil"/>
            </w:tcBorders>
            <w:vAlign w:val="center"/>
          </w:tcPr>
          <w:p>
            <w:pPr>
              <w:jc w:val="center"/>
              <w:rPr>
                <w:rFonts w:hint="eastAsia" w:ascii="宋体" w:hAnsi="宋体"/>
                <w:b/>
                <w:szCs w:val="21"/>
              </w:rPr>
            </w:pPr>
            <w:r>
              <w:rPr>
                <w:rFonts w:ascii="Times New Roman" w:hAnsi="Times New Roman" w:eastAsia="宋体" w:cs="Times New Roman"/>
                <w:b/>
                <w:bCs/>
                <w:szCs w:val="21"/>
              </w:rPr>
              <w:t>简单分析a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8" w:type="dxa"/>
            <w:gridSpan w:val="5"/>
            <w:tcBorders>
              <w:tl2br w:val="nil"/>
              <w:tr2bl w:val="nil"/>
            </w:tcBorders>
            <w:vAlign w:val="center"/>
          </w:tcPr>
          <w:p>
            <w:pPr>
              <w:autoSpaceDE w:val="0"/>
              <w:autoSpaceDN w:val="0"/>
              <w:adjustRightInd w:val="0"/>
              <w:jc w:val="left"/>
              <w:rPr>
                <w:szCs w:val="21"/>
              </w:rPr>
            </w:pPr>
            <w:r>
              <w:rPr>
                <w:kern w:val="0"/>
                <w:szCs w:val="21"/>
                <w:vertAlign w:val="superscript"/>
              </w:rPr>
              <w:t>a</w:t>
            </w:r>
            <w:r>
              <w:rPr>
                <w:rFonts w:hint="eastAsia" w:ascii="宋体" w:cs="宋体" w:hAnsiTheme="minorHAnsi"/>
                <w:kern w:val="0"/>
                <w:szCs w:val="21"/>
              </w:rPr>
              <w:t>是相对于详细评价工作内容而言，在描述危险物质、环境影响途径、环境危害后果、风险防范措施等方面给出定性说明</w:t>
            </w:r>
            <w:r>
              <w:rPr>
                <w:kern w:val="0"/>
                <w:szCs w:val="21"/>
              </w:rPr>
              <w:t>。见附录</w:t>
            </w:r>
            <w:r>
              <w:rPr>
                <w:rFonts w:eastAsia="TimesNewRomanPSMT"/>
                <w:kern w:val="0"/>
                <w:szCs w:val="21"/>
              </w:rPr>
              <w:t>A</w:t>
            </w:r>
            <w:r>
              <w:rPr>
                <w:kern w:val="0"/>
                <w:szCs w:val="21"/>
              </w:rPr>
              <w:t>。</w:t>
            </w:r>
          </w:p>
        </w:tc>
      </w:tr>
    </w:tbl>
    <w:p>
      <w:pPr>
        <w:pStyle w:val="5"/>
        <w:adjustRightInd w:val="0"/>
        <w:snapToGrid w:val="0"/>
        <w:spacing w:line="360" w:lineRule="auto"/>
        <w:ind w:firstLine="480" w:firstLineChars="200"/>
        <w:rPr>
          <w:rFonts w:ascii="Times New Roman" w:cs="Times New Roman" w:eastAsiaTheme="majorEastAsia"/>
          <w:sz w:val="24"/>
        </w:rPr>
      </w:pPr>
      <w:r>
        <w:rPr>
          <w:rFonts w:hint="eastAsia" w:ascii="Times New Roman" w:hAnsi="Times New Roman" w:cs="Times New Roman" w:eastAsiaTheme="majorEastAsia"/>
          <w:sz w:val="24"/>
        </w:rPr>
        <w:t>由上表可知：本项目风险评价只需进行简单分析</w:t>
      </w:r>
      <w:r>
        <w:rPr>
          <w:rFonts w:hint="eastAsia" w:ascii="Times New Roman" w:cs="Times New Roman" w:eastAsiaTheme="majorEastAsia"/>
          <w:sz w:val="24"/>
        </w:rPr>
        <w:t>。</w:t>
      </w:r>
    </w:p>
    <w:p>
      <w:pPr>
        <w:pStyle w:val="6"/>
        <w:numPr>
          <w:ilvl w:val="0"/>
          <w:numId w:val="0"/>
        </w:numPr>
        <w:adjustRightInd w:val="0"/>
        <w:snapToGrid w:val="0"/>
        <w:spacing w:before="0" w:after="0" w:line="360" w:lineRule="auto"/>
        <w:rPr>
          <w:rFonts w:ascii="Times New Roman" w:hAnsi="Times New Roman" w:eastAsia="宋体"/>
          <w:szCs w:val="30"/>
        </w:rPr>
      </w:pPr>
      <w:bookmarkStart w:id="143" w:name="_Toc123886400"/>
      <w:r>
        <w:rPr>
          <w:rFonts w:ascii="Times New Roman" w:hAnsi="Times New Roman" w:eastAsia="宋体"/>
          <w:szCs w:val="30"/>
        </w:rPr>
        <w:t>2.</w:t>
      </w:r>
      <w:r>
        <w:rPr>
          <w:rFonts w:hint="eastAsia" w:ascii="Times New Roman" w:hAnsi="Times New Roman" w:eastAsia="宋体"/>
          <w:szCs w:val="30"/>
        </w:rPr>
        <w:t xml:space="preserve">5 </w:t>
      </w:r>
      <w:r>
        <w:rPr>
          <w:rFonts w:ascii="Times New Roman" w:hAnsi="Times New Roman" w:eastAsia="宋体"/>
          <w:szCs w:val="30"/>
        </w:rPr>
        <w:t>评价工作</w:t>
      </w:r>
      <w:r>
        <w:rPr>
          <w:rFonts w:hint="eastAsia" w:ascii="Times New Roman" w:hAnsi="Times New Roman" w:eastAsia="宋体"/>
          <w:szCs w:val="30"/>
        </w:rPr>
        <w:t>范围</w:t>
      </w:r>
      <w:bookmarkEnd w:id="143"/>
    </w:p>
    <w:p>
      <w:pPr>
        <w:pStyle w:val="7"/>
        <w:adjustRightInd w:val="0"/>
        <w:snapToGrid w:val="0"/>
        <w:spacing w:before="0" w:after="0" w:line="360" w:lineRule="auto"/>
        <w:jc w:val="left"/>
        <w:rPr>
          <w:sz w:val="24"/>
          <w:szCs w:val="24"/>
        </w:rPr>
      </w:pPr>
      <w:r>
        <w:rPr>
          <w:sz w:val="24"/>
          <w:szCs w:val="24"/>
        </w:rPr>
        <w:t>2.</w:t>
      </w:r>
      <w:r>
        <w:rPr>
          <w:rFonts w:hint="eastAsia"/>
          <w:sz w:val="24"/>
          <w:szCs w:val="24"/>
        </w:rPr>
        <w:t>5</w:t>
      </w:r>
      <w:r>
        <w:rPr>
          <w:sz w:val="24"/>
          <w:szCs w:val="24"/>
        </w:rPr>
        <w:t>.</w:t>
      </w:r>
      <w:r>
        <w:rPr>
          <w:rFonts w:hint="eastAsia"/>
          <w:sz w:val="24"/>
          <w:szCs w:val="24"/>
        </w:rPr>
        <w:t xml:space="preserve">1 </w:t>
      </w:r>
      <w:r>
        <w:rPr>
          <w:sz w:val="24"/>
          <w:szCs w:val="24"/>
        </w:rPr>
        <w:t>大气环境</w:t>
      </w:r>
    </w:p>
    <w:p>
      <w:pPr>
        <w:spacing w:line="360" w:lineRule="auto"/>
        <w:ind w:firstLine="480" w:firstLineChars="200"/>
        <w:rPr>
          <w:rFonts w:eastAsiaTheme="majorEastAsia"/>
          <w:sz w:val="24"/>
        </w:rPr>
      </w:pPr>
      <w:r>
        <w:rPr>
          <w:rFonts w:eastAsiaTheme="majorEastAsia"/>
          <w:sz w:val="24"/>
        </w:rPr>
        <w:t>本项目大气环境影响评价等级为二级，根据《环境影响评价技术导则</w:t>
      </w:r>
      <w:r>
        <w:rPr>
          <w:rFonts w:hint="eastAsia" w:eastAsiaTheme="majorEastAsia"/>
          <w:sz w:val="24"/>
        </w:rPr>
        <w:t xml:space="preserve">  </w:t>
      </w:r>
      <w:r>
        <w:rPr>
          <w:rFonts w:eastAsiaTheme="majorEastAsia"/>
          <w:sz w:val="24"/>
        </w:rPr>
        <w:t>大气环境》（HJ2.2-2018）确定的评价范围为：以项目建设地点为中心，边长为5km的正方形区域，具体见附图</w:t>
      </w:r>
      <w:r>
        <w:rPr>
          <w:rFonts w:hint="eastAsia" w:eastAsiaTheme="majorEastAsia"/>
          <w:sz w:val="24"/>
        </w:rPr>
        <w:t>3</w:t>
      </w:r>
      <w:r>
        <w:rPr>
          <w:rFonts w:eastAsiaTheme="majorEastAsia"/>
          <w:sz w:val="24"/>
        </w:rPr>
        <w:t>。</w:t>
      </w:r>
    </w:p>
    <w:p>
      <w:pPr>
        <w:pStyle w:val="7"/>
        <w:adjustRightInd w:val="0"/>
        <w:snapToGrid w:val="0"/>
        <w:spacing w:before="0" w:after="0" w:line="360" w:lineRule="auto"/>
        <w:jc w:val="left"/>
        <w:rPr>
          <w:sz w:val="24"/>
          <w:szCs w:val="24"/>
        </w:rPr>
      </w:pPr>
      <w:r>
        <w:rPr>
          <w:sz w:val="24"/>
          <w:szCs w:val="24"/>
        </w:rPr>
        <w:t>2.</w:t>
      </w:r>
      <w:r>
        <w:rPr>
          <w:rFonts w:hint="eastAsia"/>
          <w:sz w:val="24"/>
          <w:szCs w:val="24"/>
        </w:rPr>
        <w:t>5</w:t>
      </w:r>
      <w:r>
        <w:rPr>
          <w:sz w:val="24"/>
          <w:szCs w:val="24"/>
        </w:rPr>
        <w:t>.</w:t>
      </w:r>
      <w:r>
        <w:rPr>
          <w:rFonts w:hint="eastAsia"/>
          <w:sz w:val="24"/>
          <w:szCs w:val="24"/>
        </w:rPr>
        <w:t>2 地表水</w:t>
      </w:r>
    </w:p>
    <w:p>
      <w:pPr>
        <w:spacing w:line="360" w:lineRule="auto"/>
        <w:ind w:firstLine="480" w:firstLineChars="200"/>
        <w:rPr>
          <w:rFonts w:eastAsiaTheme="majorEastAsia"/>
          <w:sz w:val="24"/>
        </w:rPr>
      </w:pPr>
      <w:r>
        <w:rPr>
          <w:rFonts w:eastAsiaTheme="majorEastAsia"/>
          <w:sz w:val="24"/>
        </w:rPr>
        <w:t>根据《环境影响评价技术导则</w:t>
      </w:r>
      <w:r>
        <w:rPr>
          <w:rFonts w:hint="eastAsia" w:eastAsiaTheme="majorEastAsia"/>
          <w:sz w:val="24"/>
        </w:rPr>
        <w:t xml:space="preserve">  地表水环境</w:t>
      </w:r>
      <w:r>
        <w:rPr>
          <w:rFonts w:eastAsiaTheme="majorEastAsia"/>
          <w:sz w:val="24"/>
        </w:rPr>
        <w:t>》</w:t>
      </w:r>
      <w:r>
        <w:rPr>
          <w:rFonts w:hint="eastAsia" w:eastAsiaTheme="majorEastAsia"/>
          <w:sz w:val="24"/>
        </w:rPr>
        <w:t>（</w:t>
      </w:r>
      <w:r>
        <w:rPr>
          <w:rFonts w:eastAsiaTheme="majorEastAsia"/>
          <w:sz w:val="24"/>
        </w:rPr>
        <w:t>HJ/T2.3-</w:t>
      </w:r>
      <w:r>
        <w:rPr>
          <w:rFonts w:hint="eastAsia" w:eastAsiaTheme="majorEastAsia"/>
          <w:sz w:val="24"/>
        </w:rPr>
        <w:t>2018），三级项目不需设置地表水环境影响评价范围，仅对生产废水通过处理后用作农肥消纳可行性进行分析</w:t>
      </w:r>
      <w:r>
        <w:rPr>
          <w:rFonts w:hint="eastAsia"/>
          <w:sz w:val="24"/>
        </w:rPr>
        <w:t>。</w:t>
      </w:r>
    </w:p>
    <w:p>
      <w:pPr>
        <w:pStyle w:val="7"/>
        <w:adjustRightInd w:val="0"/>
        <w:snapToGrid w:val="0"/>
        <w:spacing w:before="0" w:after="0" w:line="360" w:lineRule="auto"/>
        <w:jc w:val="left"/>
        <w:rPr>
          <w:sz w:val="24"/>
          <w:szCs w:val="24"/>
        </w:rPr>
      </w:pPr>
      <w:r>
        <w:rPr>
          <w:sz w:val="24"/>
          <w:szCs w:val="24"/>
        </w:rPr>
        <w:t>2.</w:t>
      </w:r>
      <w:r>
        <w:rPr>
          <w:rFonts w:hint="eastAsia"/>
          <w:sz w:val="24"/>
          <w:szCs w:val="24"/>
        </w:rPr>
        <w:t>5</w:t>
      </w:r>
      <w:r>
        <w:rPr>
          <w:sz w:val="24"/>
          <w:szCs w:val="24"/>
        </w:rPr>
        <w:t>.</w:t>
      </w:r>
      <w:r>
        <w:rPr>
          <w:rFonts w:hint="eastAsia"/>
          <w:sz w:val="24"/>
          <w:szCs w:val="24"/>
        </w:rPr>
        <w:t>3 地下水</w:t>
      </w:r>
    </w:p>
    <w:p>
      <w:pPr>
        <w:spacing w:line="360" w:lineRule="auto"/>
        <w:ind w:firstLine="480" w:firstLineChars="200"/>
        <w:rPr>
          <w:sz w:val="24"/>
        </w:rPr>
      </w:pPr>
      <w:r>
        <w:rPr>
          <w:sz w:val="24"/>
        </w:rPr>
        <w:t>本项目地下水评价等级为三级，根据项目所在区域地形地貌特征、区域地质、水文地质条件、地下水环境保护目标，因此确定本次评价仅对地下水环境影响做简要分析，评价范围为</w:t>
      </w:r>
      <w:r>
        <w:rPr>
          <w:rFonts w:hint="eastAsia"/>
          <w:sz w:val="24"/>
        </w:rPr>
        <w:t>项目拟建地及沿地下水流向面积6km</w:t>
      </w:r>
      <w:r>
        <w:rPr>
          <w:rFonts w:hint="eastAsia"/>
          <w:sz w:val="24"/>
          <w:vertAlign w:val="superscript"/>
        </w:rPr>
        <w:t>2</w:t>
      </w:r>
      <w:r>
        <w:rPr>
          <w:rFonts w:hint="eastAsia"/>
          <w:sz w:val="24"/>
        </w:rPr>
        <w:t>的矩形区域</w:t>
      </w:r>
      <w:r>
        <w:rPr>
          <w:sz w:val="24"/>
        </w:rPr>
        <w:t>。详见附图4</w:t>
      </w:r>
      <w:r>
        <w:rPr>
          <w:rFonts w:hint="eastAsia"/>
          <w:sz w:val="24"/>
        </w:rPr>
        <w:t>。</w:t>
      </w:r>
    </w:p>
    <w:p>
      <w:pPr>
        <w:pStyle w:val="7"/>
        <w:adjustRightInd w:val="0"/>
        <w:snapToGrid w:val="0"/>
        <w:spacing w:before="0" w:after="0" w:line="360" w:lineRule="auto"/>
        <w:jc w:val="left"/>
        <w:rPr>
          <w:sz w:val="24"/>
          <w:szCs w:val="24"/>
        </w:rPr>
      </w:pPr>
      <w:r>
        <w:rPr>
          <w:sz w:val="24"/>
          <w:szCs w:val="24"/>
        </w:rPr>
        <w:t>2.</w:t>
      </w:r>
      <w:r>
        <w:rPr>
          <w:rFonts w:hint="eastAsia"/>
          <w:sz w:val="24"/>
          <w:szCs w:val="24"/>
        </w:rPr>
        <w:t>5</w:t>
      </w:r>
      <w:r>
        <w:rPr>
          <w:sz w:val="24"/>
          <w:szCs w:val="24"/>
        </w:rPr>
        <w:t>.</w:t>
      </w:r>
      <w:r>
        <w:rPr>
          <w:rFonts w:hint="eastAsia"/>
          <w:sz w:val="24"/>
          <w:szCs w:val="24"/>
        </w:rPr>
        <w:t>4 声环境</w:t>
      </w:r>
    </w:p>
    <w:p>
      <w:pPr>
        <w:spacing w:line="360" w:lineRule="auto"/>
        <w:ind w:firstLine="480" w:firstLineChars="200"/>
        <w:rPr>
          <w:sz w:val="24"/>
        </w:rPr>
      </w:pPr>
      <w:r>
        <w:rPr>
          <w:sz w:val="24"/>
        </w:rPr>
        <w:t>根据《环境影响评价技术导则</w:t>
      </w:r>
      <w:r>
        <w:rPr>
          <w:rFonts w:hint="eastAsia"/>
          <w:sz w:val="24"/>
        </w:rPr>
        <w:t xml:space="preserve">  </w:t>
      </w:r>
      <w:r>
        <w:rPr>
          <w:sz w:val="24"/>
        </w:rPr>
        <w:t>声环境》（HJ2.4-20</w:t>
      </w:r>
      <w:r>
        <w:rPr>
          <w:rFonts w:hint="eastAsia"/>
          <w:sz w:val="24"/>
        </w:rPr>
        <w:t>21</w:t>
      </w:r>
      <w:r>
        <w:rPr>
          <w:sz w:val="24"/>
        </w:rPr>
        <w:t>）的要求和项目特点，项目声环境评价范围为厂界周边</w:t>
      </w:r>
      <w:r>
        <w:rPr>
          <w:rFonts w:hint="eastAsia"/>
          <w:sz w:val="24"/>
        </w:rPr>
        <w:t>200m范围。</w:t>
      </w:r>
    </w:p>
    <w:p>
      <w:pPr>
        <w:pStyle w:val="7"/>
        <w:adjustRightInd w:val="0"/>
        <w:snapToGrid w:val="0"/>
        <w:spacing w:before="0" w:after="0" w:line="360" w:lineRule="auto"/>
        <w:jc w:val="left"/>
        <w:rPr>
          <w:sz w:val="24"/>
          <w:szCs w:val="24"/>
        </w:rPr>
      </w:pPr>
      <w:r>
        <w:rPr>
          <w:sz w:val="24"/>
          <w:szCs w:val="24"/>
        </w:rPr>
        <w:t>2.5.5土壤环境</w:t>
      </w:r>
    </w:p>
    <w:p>
      <w:pPr>
        <w:pStyle w:val="263"/>
        <w:snapToGrid w:val="0"/>
        <w:spacing w:line="360" w:lineRule="auto"/>
        <w:jc w:val="both"/>
        <w:rPr>
          <w:rFonts w:ascii="Times New Roman" w:hAnsi="Times New Roman"/>
          <w:sz w:val="24"/>
          <w:szCs w:val="24"/>
        </w:rPr>
      </w:pPr>
      <w:r>
        <w:rPr>
          <w:rFonts w:ascii="Times New Roman" w:hAnsi="Times New Roman"/>
          <w:sz w:val="24"/>
          <w:szCs w:val="24"/>
        </w:rPr>
        <w:t>根据《环境影响评价技术导则</w:t>
      </w:r>
      <w:r>
        <w:rPr>
          <w:rFonts w:hint="eastAsia" w:ascii="Times New Roman" w:hAnsi="Times New Roman"/>
          <w:sz w:val="24"/>
          <w:szCs w:val="24"/>
        </w:rPr>
        <w:t xml:space="preserve">  </w:t>
      </w:r>
      <w:r>
        <w:rPr>
          <w:rFonts w:ascii="Times New Roman" w:hAnsi="Times New Roman"/>
          <w:sz w:val="24"/>
          <w:szCs w:val="24"/>
        </w:rPr>
        <w:t>土壤环境</w:t>
      </w:r>
      <w:r>
        <w:rPr>
          <w:rFonts w:hint="eastAsia" w:ascii="Times New Roman" w:hAnsi="Times New Roman"/>
          <w:sz w:val="24"/>
          <w:szCs w:val="24"/>
        </w:rPr>
        <w:t>（试行）</w:t>
      </w:r>
      <w:r>
        <w:rPr>
          <w:rFonts w:ascii="Times New Roman" w:hAnsi="Times New Roman"/>
          <w:sz w:val="24"/>
          <w:szCs w:val="24"/>
        </w:rPr>
        <w:t>》（HJ946-2018）的要求和项目特点，本项目土壤环境影响评价工作等级为三级，故土壤环境评价范围</w:t>
      </w:r>
      <w:r>
        <w:rPr>
          <w:rFonts w:ascii="Times New Roman" w:hAnsi="Times New Roman" w:eastAsia="宋体" w:cs="Times New Roman"/>
          <w:kern w:val="2"/>
          <w:sz w:val="24"/>
          <w:szCs w:val="24"/>
        </w:rPr>
        <w:t>为项目场地及厂界向外延伸</w:t>
      </w:r>
      <w:r>
        <w:rPr>
          <w:rFonts w:hint="eastAsia" w:ascii="Times New Roman" w:hAnsi="Times New Roman" w:eastAsia="宋体" w:cs="Times New Roman"/>
          <w:kern w:val="2"/>
          <w:sz w:val="24"/>
          <w:szCs w:val="24"/>
          <w:lang w:val="en-US" w:eastAsia="zh-CN"/>
        </w:rPr>
        <w:t>5</w:t>
      </w:r>
      <w:r>
        <w:rPr>
          <w:rFonts w:ascii="Times New Roman" w:hAnsi="Times New Roman" w:eastAsia="宋体" w:cs="Times New Roman"/>
          <w:kern w:val="2"/>
          <w:sz w:val="24"/>
          <w:szCs w:val="24"/>
        </w:rPr>
        <w:t>0m范围</w:t>
      </w:r>
      <w:r>
        <w:rPr>
          <w:rFonts w:ascii="Times New Roman" w:hAnsi="Times New Roman"/>
          <w:sz w:val="24"/>
          <w:szCs w:val="24"/>
        </w:rPr>
        <w:t>。</w:t>
      </w:r>
    </w:p>
    <w:p>
      <w:pPr>
        <w:pStyle w:val="7"/>
        <w:adjustRightInd w:val="0"/>
        <w:snapToGrid w:val="0"/>
        <w:spacing w:before="0" w:after="0" w:line="360" w:lineRule="auto"/>
        <w:jc w:val="left"/>
        <w:rPr>
          <w:sz w:val="24"/>
          <w:szCs w:val="24"/>
        </w:rPr>
      </w:pPr>
      <w:r>
        <w:rPr>
          <w:sz w:val="24"/>
          <w:szCs w:val="24"/>
        </w:rPr>
        <w:t>2.</w:t>
      </w:r>
      <w:r>
        <w:rPr>
          <w:rFonts w:hint="eastAsia"/>
          <w:sz w:val="24"/>
          <w:szCs w:val="24"/>
        </w:rPr>
        <w:t>5</w:t>
      </w:r>
      <w:r>
        <w:rPr>
          <w:sz w:val="24"/>
          <w:szCs w:val="24"/>
        </w:rPr>
        <w:t>.</w:t>
      </w:r>
      <w:r>
        <w:rPr>
          <w:rFonts w:hint="eastAsia"/>
          <w:sz w:val="24"/>
          <w:szCs w:val="24"/>
        </w:rPr>
        <w:t>6 生态环境</w:t>
      </w:r>
    </w:p>
    <w:p>
      <w:pPr>
        <w:pStyle w:val="263"/>
        <w:snapToGrid w:val="0"/>
        <w:spacing w:line="360" w:lineRule="auto"/>
        <w:jc w:val="both"/>
        <w:rPr>
          <w:rFonts w:ascii="Times New Roman" w:hAnsi="Times New Roman" w:eastAsia="宋体" w:cs="Times New Roman"/>
          <w:kern w:val="2"/>
          <w:sz w:val="24"/>
          <w:szCs w:val="24"/>
        </w:rPr>
      </w:pPr>
      <w:r>
        <w:rPr>
          <w:rFonts w:ascii="Times New Roman" w:hAnsi="Times New Roman" w:eastAsia="宋体" w:cs="Times New Roman"/>
          <w:kern w:val="2"/>
          <w:sz w:val="24"/>
          <w:szCs w:val="24"/>
        </w:rPr>
        <w:t>根据《环境影响评价技术导则</w:t>
      </w:r>
      <w:r>
        <w:rPr>
          <w:rFonts w:hint="eastAsia" w:ascii="Times New Roman" w:hAnsi="Times New Roman" w:eastAsia="宋体" w:cs="Times New Roman"/>
          <w:kern w:val="2"/>
          <w:sz w:val="24"/>
          <w:szCs w:val="24"/>
        </w:rPr>
        <w:t xml:space="preserve">  </w:t>
      </w:r>
      <w:r>
        <w:rPr>
          <w:rFonts w:ascii="Times New Roman" w:hAnsi="Times New Roman" w:eastAsia="宋体" w:cs="Times New Roman"/>
          <w:kern w:val="2"/>
          <w:sz w:val="24"/>
          <w:szCs w:val="24"/>
        </w:rPr>
        <w:t>生态影响》（HJ19-20</w:t>
      </w:r>
      <w:r>
        <w:rPr>
          <w:rFonts w:hint="eastAsia" w:ascii="Times New Roman" w:hAnsi="Times New Roman" w:eastAsia="宋体" w:cs="Times New Roman"/>
          <w:kern w:val="2"/>
          <w:sz w:val="24"/>
          <w:szCs w:val="24"/>
        </w:rPr>
        <w:t>22</w:t>
      </w:r>
      <w:r>
        <w:rPr>
          <w:rFonts w:ascii="Times New Roman" w:hAnsi="Times New Roman" w:eastAsia="宋体" w:cs="Times New Roman"/>
          <w:kern w:val="2"/>
          <w:sz w:val="24"/>
          <w:szCs w:val="24"/>
        </w:rPr>
        <w:t>）的要求和项目特点，生态环境评价范围为项目场地及厂界向外延伸200m范围。</w:t>
      </w:r>
    </w:p>
    <w:p>
      <w:pPr>
        <w:pStyle w:val="7"/>
        <w:adjustRightInd w:val="0"/>
        <w:snapToGrid w:val="0"/>
        <w:spacing w:before="0" w:after="0" w:line="360" w:lineRule="auto"/>
        <w:jc w:val="left"/>
        <w:rPr>
          <w:sz w:val="24"/>
          <w:szCs w:val="24"/>
        </w:rPr>
      </w:pPr>
      <w:r>
        <w:rPr>
          <w:sz w:val="24"/>
          <w:szCs w:val="24"/>
        </w:rPr>
        <w:t>2.</w:t>
      </w:r>
      <w:r>
        <w:rPr>
          <w:rFonts w:hint="eastAsia"/>
          <w:sz w:val="24"/>
          <w:szCs w:val="24"/>
        </w:rPr>
        <w:t>5</w:t>
      </w:r>
      <w:r>
        <w:rPr>
          <w:sz w:val="24"/>
          <w:szCs w:val="24"/>
        </w:rPr>
        <w:t>.</w:t>
      </w:r>
      <w:r>
        <w:rPr>
          <w:rFonts w:hint="eastAsia"/>
          <w:sz w:val="24"/>
          <w:szCs w:val="24"/>
        </w:rPr>
        <w:t>7 环境风险</w:t>
      </w:r>
    </w:p>
    <w:p>
      <w:pPr>
        <w:pStyle w:val="263"/>
        <w:snapToGrid w:val="0"/>
        <w:spacing w:line="360" w:lineRule="auto"/>
        <w:jc w:val="both"/>
        <w:rPr>
          <w:rFonts w:ascii="Times New Roman" w:hAnsi="Times New Roman" w:eastAsia="宋体" w:cs="Times New Roman"/>
          <w:kern w:val="2"/>
          <w:sz w:val="24"/>
          <w:szCs w:val="24"/>
        </w:rPr>
      </w:pPr>
      <w:r>
        <w:rPr>
          <w:rFonts w:ascii="Times New Roman" w:hAnsi="Times New Roman"/>
          <w:sz w:val="24"/>
          <w:szCs w:val="24"/>
        </w:rPr>
        <w:t>项目环境风险等级为简单分析，根据</w:t>
      </w:r>
      <w:r>
        <w:rPr>
          <w:rFonts w:ascii="Times New Roman" w:hAnsi="Times New Roman"/>
          <w:sz w:val="24"/>
        </w:rPr>
        <w:t>《建设项目环境风险评价技术导则》（HJ/T169－2018）</w:t>
      </w:r>
      <w:r>
        <w:rPr>
          <w:rFonts w:ascii="Times New Roman" w:hAnsi="Times New Roman"/>
          <w:sz w:val="24"/>
          <w:szCs w:val="24"/>
        </w:rPr>
        <w:t>的要求和项目特点，本项目风险评价范围</w:t>
      </w:r>
      <w:r>
        <w:rPr>
          <w:rFonts w:hint="eastAsia"/>
          <w:sz w:val="24"/>
        </w:rPr>
        <w:t>：分别同大气环境、地表</w:t>
      </w:r>
      <w:r>
        <w:rPr>
          <w:rFonts w:hint="eastAsia" w:ascii="Times New Roman" w:hAnsi="Times New Roman"/>
          <w:sz w:val="24"/>
          <w:szCs w:val="24"/>
        </w:rPr>
        <w:t>水环境、地下水环境影响评价范围</w:t>
      </w:r>
      <w:r>
        <w:rPr>
          <w:rFonts w:ascii="Times New Roman" w:hAnsi="Times New Roman" w:eastAsia="宋体" w:cs="Times New Roman"/>
          <w:kern w:val="2"/>
          <w:sz w:val="24"/>
          <w:szCs w:val="24"/>
        </w:rPr>
        <w:t>。</w:t>
      </w:r>
    </w:p>
    <w:bookmarkEnd w:id="142"/>
    <w:p>
      <w:pPr>
        <w:pStyle w:val="6"/>
        <w:numPr>
          <w:ilvl w:val="0"/>
          <w:numId w:val="0"/>
        </w:numPr>
        <w:adjustRightInd w:val="0"/>
        <w:snapToGrid w:val="0"/>
        <w:spacing w:before="0" w:after="0" w:line="360" w:lineRule="auto"/>
        <w:rPr>
          <w:rFonts w:ascii="Times New Roman" w:hAnsi="Times New Roman" w:eastAsia="宋体"/>
          <w:szCs w:val="30"/>
        </w:rPr>
      </w:pPr>
      <w:bookmarkStart w:id="144" w:name="_Toc123886401"/>
      <w:bookmarkStart w:id="145" w:name="_Toc31897"/>
      <w:bookmarkStart w:id="146" w:name="_Toc517522257"/>
      <w:bookmarkStart w:id="147" w:name="_Toc10195"/>
      <w:bookmarkStart w:id="148" w:name="_Toc6506"/>
      <w:bookmarkStart w:id="149" w:name="_Toc15305"/>
      <w:bookmarkStart w:id="150" w:name="_Toc24276"/>
      <w:bookmarkStart w:id="151" w:name="_Toc29066"/>
      <w:r>
        <w:rPr>
          <w:rFonts w:ascii="Times New Roman" w:hAnsi="Times New Roman" w:eastAsia="宋体"/>
          <w:szCs w:val="30"/>
        </w:rPr>
        <w:t>2.</w:t>
      </w:r>
      <w:r>
        <w:rPr>
          <w:rFonts w:hint="eastAsia" w:ascii="Times New Roman" w:hAnsi="Times New Roman" w:eastAsia="宋体"/>
          <w:szCs w:val="30"/>
        </w:rPr>
        <w:t xml:space="preserve">6 </w:t>
      </w:r>
      <w:r>
        <w:rPr>
          <w:rFonts w:ascii="Times New Roman" w:hAnsi="Times New Roman" w:eastAsia="宋体"/>
          <w:szCs w:val="30"/>
        </w:rPr>
        <w:t>环境保护目标</w:t>
      </w:r>
      <w:bookmarkEnd w:id="144"/>
    </w:p>
    <w:p>
      <w:pPr>
        <w:spacing w:line="360" w:lineRule="auto"/>
        <w:ind w:firstLine="480" w:firstLineChars="200"/>
        <w:rPr>
          <w:rFonts w:hAnsiTheme="minorEastAsia" w:eastAsiaTheme="minorEastAsia"/>
          <w:kern w:val="0"/>
          <w:sz w:val="24"/>
        </w:rPr>
      </w:pPr>
      <w:r>
        <w:rPr>
          <w:rFonts w:hAnsiTheme="minorEastAsia" w:eastAsiaTheme="minorEastAsia"/>
          <w:bCs/>
          <w:kern w:val="0"/>
          <w:sz w:val="24"/>
        </w:rPr>
        <w:t>根据本次评价对现场进行的实地踏勘，项目</w:t>
      </w:r>
      <w:r>
        <w:rPr>
          <w:rFonts w:hint="eastAsia"/>
          <w:sz w:val="24"/>
        </w:rPr>
        <w:t>环境保护目标见表2.6-1~2.6-3，项目环境保护目标图见附图3</w:t>
      </w:r>
      <w:r>
        <w:rPr>
          <w:rFonts w:hAnsiTheme="minorEastAsia" w:eastAsiaTheme="minorEastAsia"/>
          <w:kern w:val="0"/>
          <w:sz w:val="24"/>
        </w:rPr>
        <w:t>。</w:t>
      </w:r>
    </w:p>
    <w:p>
      <w:pPr>
        <w:spacing w:line="360" w:lineRule="auto"/>
        <w:ind w:firstLine="480" w:firstLineChars="200"/>
        <w:rPr>
          <w:rFonts w:hAnsiTheme="minorEastAsia" w:eastAsiaTheme="minorEastAsia"/>
          <w:kern w:val="0"/>
          <w:sz w:val="24"/>
        </w:rPr>
      </w:pPr>
    </w:p>
    <w:p>
      <w:pPr>
        <w:pStyle w:val="17"/>
        <w:spacing w:beforeLines="50"/>
        <w:rPr>
          <w:rFonts w:ascii="Times New Roman" w:hAnsi="Times New Roman" w:cs="Times New Roman"/>
          <w:color w:val="auto"/>
          <w:sz w:val="21"/>
        </w:rPr>
        <w:sectPr>
          <w:headerReference r:id="rId13" w:type="default"/>
          <w:footerReference r:id="rId14"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17"/>
        <w:spacing w:beforeLines="50"/>
        <w:rPr>
          <w:rFonts w:ascii="Times New Roman" w:hAnsi="Times New Roman" w:cs="Times New Roman"/>
          <w:color w:val="auto"/>
          <w:sz w:val="21"/>
        </w:rPr>
      </w:pPr>
      <w:r>
        <w:rPr>
          <w:rFonts w:ascii="Times New Roman" w:hAnsi="Times New Roman" w:cs="Times New Roman"/>
          <w:color w:val="auto"/>
          <w:sz w:val="21"/>
        </w:rPr>
        <w:t>表</w:t>
      </w:r>
      <w:r>
        <w:rPr>
          <w:rFonts w:hint="eastAsia" w:ascii="Times New Roman" w:hAnsi="Times New Roman" w:cs="Times New Roman"/>
          <w:color w:val="auto"/>
          <w:sz w:val="21"/>
        </w:rPr>
        <w:t xml:space="preserve">2.6-1  </w:t>
      </w:r>
      <w:r>
        <w:rPr>
          <w:rFonts w:ascii="Times New Roman" w:hAnsi="Times New Roman" w:cs="Times New Roman"/>
          <w:color w:val="auto"/>
          <w:sz w:val="21"/>
        </w:rPr>
        <w:t>大气环境主要保护目标</w:t>
      </w:r>
    </w:p>
    <w:tbl>
      <w:tblPr>
        <w:tblStyle w:val="4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36"/>
        <w:gridCol w:w="2345"/>
        <w:gridCol w:w="1991"/>
        <w:gridCol w:w="2209"/>
        <w:gridCol w:w="1444"/>
        <w:gridCol w:w="1276"/>
        <w:gridCol w:w="1202"/>
        <w:gridCol w:w="15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Merge w:val="restart"/>
            <w:vAlign w:val="center"/>
          </w:tcPr>
          <w:p>
            <w:pPr>
              <w:pStyle w:val="90"/>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名称</w:t>
            </w:r>
          </w:p>
        </w:tc>
        <w:tc>
          <w:tcPr>
            <w:tcW w:w="1529" w:type="pct"/>
            <w:gridSpan w:val="2"/>
            <w:vAlign w:val="center"/>
          </w:tcPr>
          <w:p>
            <w:pPr>
              <w:pStyle w:val="90"/>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坐标/°</w:t>
            </w:r>
          </w:p>
        </w:tc>
        <w:tc>
          <w:tcPr>
            <w:tcW w:w="779" w:type="pct"/>
            <w:vMerge w:val="restart"/>
            <w:vAlign w:val="center"/>
          </w:tcPr>
          <w:p>
            <w:pPr>
              <w:pStyle w:val="90"/>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保护</w:t>
            </w:r>
          </w:p>
          <w:p>
            <w:pPr>
              <w:pStyle w:val="90"/>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对象</w:t>
            </w:r>
          </w:p>
        </w:tc>
        <w:tc>
          <w:tcPr>
            <w:tcW w:w="509" w:type="pct"/>
            <w:vMerge w:val="restart"/>
            <w:vAlign w:val="center"/>
          </w:tcPr>
          <w:p>
            <w:pPr>
              <w:pStyle w:val="90"/>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保护内容</w:t>
            </w:r>
          </w:p>
        </w:tc>
        <w:tc>
          <w:tcPr>
            <w:tcW w:w="450" w:type="pct"/>
            <w:vMerge w:val="restart"/>
            <w:vAlign w:val="center"/>
          </w:tcPr>
          <w:p>
            <w:pPr>
              <w:pStyle w:val="90"/>
              <w:rPr>
                <w:rFonts w:ascii="Times New Roman" w:hAnsi="Times New Roman" w:cs="Times New Roman" w:eastAsiaTheme="minorEastAsia"/>
                <w:kern w:val="44"/>
                <w:sz w:val="21"/>
                <w:szCs w:val="21"/>
                <w:lang w:val="en-US" w:eastAsia="zh-CN" w:bidi="ar-SA"/>
              </w:rPr>
            </w:pPr>
            <w:r>
              <w:rPr>
                <w:rFonts w:ascii="Times New Roman" w:hAnsi="Times New Roman" w:cs="Times New Roman" w:eastAsiaTheme="minorEastAsia"/>
                <w:b/>
                <w:sz w:val="21"/>
                <w:szCs w:val="21"/>
              </w:rPr>
              <w:t>环境功能区</w:t>
            </w:r>
          </w:p>
          <w:p>
            <w:pPr>
              <w:pStyle w:val="90"/>
              <w:rPr>
                <w:rFonts w:ascii="Times New Roman" w:hAnsi="Times New Roman" w:cs="Times New Roman" w:eastAsiaTheme="minorEastAsia"/>
                <w:b/>
                <w:sz w:val="21"/>
                <w:szCs w:val="21"/>
              </w:rPr>
            </w:pPr>
          </w:p>
        </w:tc>
        <w:tc>
          <w:tcPr>
            <w:tcW w:w="424" w:type="pct"/>
            <w:vMerge w:val="restart"/>
            <w:vAlign w:val="center"/>
          </w:tcPr>
          <w:p>
            <w:pPr>
              <w:pStyle w:val="90"/>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相对厂址方位</w:t>
            </w:r>
          </w:p>
        </w:tc>
        <w:tc>
          <w:tcPr>
            <w:tcW w:w="554" w:type="pct"/>
            <w:vMerge w:val="restart"/>
            <w:vAlign w:val="center"/>
          </w:tcPr>
          <w:p>
            <w:pPr>
              <w:pStyle w:val="90"/>
              <w:rPr>
                <w:rFonts w:ascii="Times New Roman" w:hAnsi="Times New Roman" w:cs="Times New Roman" w:eastAsiaTheme="minorEastAsia"/>
                <w:b/>
                <w:sz w:val="21"/>
                <w:szCs w:val="21"/>
              </w:rPr>
            </w:pPr>
            <w:r>
              <w:rPr>
                <w:rFonts w:ascii="Times New Roman" w:hAnsi="Times New Roman" w:cs="Times New Roman" w:eastAsiaTheme="minorEastAsia"/>
                <w:b/>
                <w:sz w:val="21"/>
                <w:szCs w:val="21"/>
              </w:rPr>
              <w:t>相对厂界最近距离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Merge w:val="continue"/>
            <w:vAlign w:val="center"/>
          </w:tcPr>
          <w:p>
            <w:pPr>
              <w:pStyle w:val="90"/>
              <w:rPr>
                <w:rFonts w:ascii="Times New Roman" w:hAnsi="Times New Roman" w:cs="Times New Roman" w:eastAsiaTheme="minorEastAsia"/>
                <w:sz w:val="21"/>
                <w:szCs w:val="21"/>
              </w:rPr>
            </w:pPr>
          </w:p>
        </w:tc>
        <w:tc>
          <w:tcPr>
            <w:tcW w:w="827" w:type="pct"/>
            <w:vAlign w:val="center"/>
          </w:tcPr>
          <w:p>
            <w:pPr>
              <w:pStyle w:val="90"/>
              <w:rPr>
                <w:rFonts w:ascii="Times New Roman" w:hAnsi="Times New Roman" w:cs="Times New Roman" w:eastAsiaTheme="minorEastAsia"/>
                <w:b/>
                <w:sz w:val="21"/>
                <w:szCs w:val="21"/>
              </w:rPr>
            </w:pPr>
            <w:r>
              <w:rPr>
                <w:rFonts w:ascii="Times New Roman" w:hAnsi="Times New Roman" w:cs="Times New Roman" w:eastAsiaTheme="minorEastAsia"/>
                <w:b/>
                <w:i/>
                <w:sz w:val="21"/>
                <w:szCs w:val="21"/>
              </w:rPr>
              <w:t>X</w:t>
            </w:r>
            <w:r>
              <w:rPr>
                <w:rFonts w:ascii="Times New Roman" w:hAnsi="Times New Roman" w:cs="Times New Roman" w:eastAsiaTheme="minorEastAsia"/>
                <w:b/>
                <w:sz w:val="21"/>
                <w:szCs w:val="21"/>
              </w:rPr>
              <w:t>（经度）</w:t>
            </w:r>
          </w:p>
        </w:tc>
        <w:tc>
          <w:tcPr>
            <w:tcW w:w="701" w:type="pct"/>
            <w:vAlign w:val="center"/>
          </w:tcPr>
          <w:p>
            <w:pPr>
              <w:pStyle w:val="90"/>
              <w:rPr>
                <w:rFonts w:ascii="Times New Roman" w:hAnsi="Times New Roman" w:cs="Times New Roman" w:eastAsiaTheme="minorEastAsia"/>
                <w:b/>
                <w:sz w:val="21"/>
                <w:szCs w:val="21"/>
              </w:rPr>
            </w:pPr>
            <w:r>
              <w:rPr>
                <w:rFonts w:ascii="Times New Roman" w:hAnsi="Times New Roman" w:cs="Times New Roman" w:eastAsiaTheme="minorEastAsia"/>
                <w:b/>
                <w:i/>
                <w:sz w:val="21"/>
                <w:szCs w:val="21"/>
              </w:rPr>
              <w:t>Y</w:t>
            </w:r>
            <w:r>
              <w:rPr>
                <w:rFonts w:ascii="Times New Roman" w:hAnsi="Times New Roman" w:cs="Times New Roman" w:eastAsiaTheme="minorEastAsia"/>
                <w:b/>
                <w:sz w:val="21"/>
                <w:szCs w:val="21"/>
              </w:rPr>
              <w:t>（纬度）</w:t>
            </w:r>
          </w:p>
        </w:tc>
        <w:tc>
          <w:tcPr>
            <w:tcW w:w="779" w:type="pct"/>
            <w:vMerge w:val="continue"/>
            <w:vAlign w:val="center"/>
          </w:tcPr>
          <w:p>
            <w:pPr>
              <w:pStyle w:val="90"/>
              <w:rPr>
                <w:rFonts w:ascii="Times New Roman" w:hAnsi="Times New Roman" w:cs="Times New Roman" w:eastAsiaTheme="minorEastAsia"/>
                <w:sz w:val="21"/>
                <w:szCs w:val="21"/>
              </w:rPr>
            </w:pPr>
          </w:p>
        </w:tc>
        <w:tc>
          <w:tcPr>
            <w:tcW w:w="509" w:type="pct"/>
            <w:vMerge w:val="continue"/>
            <w:vAlign w:val="center"/>
          </w:tcPr>
          <w:p>
            <w:pPr>
              <w:pStyle w:val="90"/>
              <w:rPr>
                <w:rFonts w:ascii="Times New Roman" w:hAnsi="Times New Roman" w:cs="Times New Roman" w:eastAsiaTheme="minorEastAsia"/>
                <w:sz w:val="21"/>
                <w:szCs w:val="21"/>
              </w:rPr>
            </w:pP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Merge w:val="continue"/>
            <w:vAlign w:val="center"/>
          </w:tcPr>
          <w:p>
            <w:pPr>
              <w:pStyle w:val="90"/>
              <w:rPr>
                <w:rFonts w:ascii="Times New Roman" w:hAnsi="Times New Roman" w:cs="Times New Roman" w:eastAsiaTheme="minorEastAsia"/>
                <w:sz w:val="21"/>
                <w:szCs w:val="21"/>
              </w:rPr>
            </w:pPr>
          </w:p>
        </w:tc>
        <w:tc>
          <w:tcPr>
            <w:tcW w:w="554" w:type="pct"/>
            <w:vMerge w:val="continue"/>
            <w:vAlign w:val="center"/>
          </w:tcPr>
          <w:p>
            <w:pPr>
              <w:pStyle w:val="90"/>
              <w:rPr>
                <w:rFonts w:ascii="Times New Roman" w:hAnsi="Times New Roman" w:cs="Times New Roman"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近斯塘</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112.398007</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27.077339</w:t>
            </w:r>
          </w:p>
        </w:tc>
        <w:tc>
          <w:tcPr>
            <w:tcW w:w="779" w:type="pct"/>
            <w:vAlign w:val="center"/>
          </w:tcPr>
          <w:p>
            <w:pPr>
              <w:pStyle w:val="90"/>
              <w:rPr>
                <w:rFonts w:hint="default" w:ascii="Times New Roman" w:hAnsi="Times New Roman" w:cs="Times New Roman" w:eastAsiaTheme="minorEastAsia"/>
                <w:sz w:val="21"/>
                <w:szCs w:val="21"/>
                <w:lang w:val="en-US" w:eastAsia="zh-CN"/>
              </w:rPr>
            </w:pPr>
            <w:r>
              <w:rPr>
                <w:rFonts w:ascii="Times New Roman" w:hAnsi="Times New Roman" w:cs="Times New Roman" w:eastAsiaTheme="minorEastAsia"/>
                <w:sz w:val="21"/>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约8户</w:t>
            </w:r>
          </w:p>
        </w:tc>
        <w:tc>
          <w:tcPr>
            <w:tcW w:w="509"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人群</w:t>
            </w:r>
          </w:p>
        </w:tc>
        <w:tc>
          <w:tcPr>
            <w:tcW w:w="450" w:type="pct"/>
            <w:vMerge w:val="restar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大气环境功能二类区</w:t>
            </w: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SE</w:t>
            </w:r>
          </w:p>
        </w:tc>
        <w:tc>
          <w:tcPr>
            <w:tcW w:w="55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r>
              <w:rPr>
                <w:rFonts w:hint="eastAsia" w:ascii="Times New Roman" w:hAnsi="Times New Roman" w:cs="Times New Roman" w:eastAsiaTheme="minorEastAsia"/>
                <w:sz w:val="21"/>
                <w:szCs w:val="21"/>
                <w:lang w:val="en-US" w:eastAsia="zh-CN"/>
              </w:rPr>
              <w:t>20</w:t>
            </w:r>
            <w:r>
              <w:rPr>
                <w:rFonts w:ascii="Times New Roman" w:hAnsi="Times New Roman" w:cs="Times New Roman" w:eastAsiaTheme="minorEastAsia"/>
                <w:sz w:val="21"/>
                <w:szCs w:val="21"/>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荷叶冲</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112.400625</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27.075966</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约10户</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SE</w:t>
            </w:r>
          </w:p>
        </w:tc>
        <w:tc>
          <w:tcPr>
            <w:tcW w:w="554" w:type="pct"/>
            <w:vAlign w:val="center"/>
          </w:tcPr>
          <w:p>
            <w:pPr>
              <w:pStyle w:val="9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190</w:t>
            </w:r>
            <w:r>
              <w:rPr>
                <w:rFonts w:ascii="Times New Roman" w:hAnsi="Times New Roman" w:cs="Times New Roman" w:eastAsiaTheme="minorEastAsia"/>
                <w:sz w:val="21"/>
                <w:szCs w:val="21"/>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绿丫塘</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112.397471</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27.069615</w:t>
            </w:r>
          </w:p>
        </w:tc>
        <w:tc>
          <w:tcPr>
            <w:tcW w:w="779"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约12户</w:t>
            </w:r>
          </w:p>
        </w:tc>
        <w:tc>
          <w:tcPr>
            <w:tcW w:w="509"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SE</w:t>
            </w:r>
          </w:p>
        </w:tc>
        <w:tc>
          <w:tcPr>
            <w:tcW w:w="554" w:type="pct"/>
            <w:vAlign w:val="center"/>
          </w:tcPr>
          <w:p>
            <w:pPr>
              <w:pStyle w:val="9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2</w:t>
            </w:r>
            <w:r>
              <w:rPr>
                <w:rFonts w:hint="eastAsia" w:ascii="Times New Roman" w:hAnsi="Times New Roman" w:cs="Times New Roman" w:eastAsiaTheme="minorEastAsia"/>
                <w:sz w:val="21"/>
                <w:szCs w:val="21"/>
                <w:lang w:val="en-US" w:eastAsia="zh-CN"/>
              </w:rPr>
              <w:t>5</w:t>
            </w:r>
            <w:r>
              <w:rPr>
                <w:rFonts w:ascii="Times New Roman" w:hAnsi="Times New Roman" w:cs="Times New Roman" w:eastAsiaTheme="minorEastAsia"/>
                <w:sz w:val="21"/>
                <w:szCs w:val="21"/>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东湖村</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112.412019</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27.072962</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约40户</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SE</w:t>
            </w:r>
          </w:p>
        </w:tc>
        <w:tc>
          <w:tcPr>
            <w:tcW w:w="55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r>
              <w:rPr>
                <w:rFonts w:hint="eastAsia" w:ascii="Times New Roman" w:hAnsi="Times New Roman" w:cs="Times New Roman" w:eastAsiaTheme="minorEastAsia"/>
                <w:sz w:val="21"/>
                <w:szCs w:val="21"/>
              </w:rPr>
              <w:t>2</w:t>
            </w:r>
            <w:r>
              <w:rPr>
                <w:rFonts w:ascii="Times New Roman" w:hAnsi="Times New Roman" w:cs="Times New Roman" w:eastAsiaTheme="minorEastAsia"/>
                <w:sz w:val="21"/>
                <w:szCs w:val="21"/>
              </w:rPr>
              <w:t>0km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湖公塘</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112.413264</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27.068885</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约25户</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SE</w:t>
            </w:r>
          </w:p>
        </w:tc>
        <w:tc>
          <w:tcPr>
            <w:tcW w:w="55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r>
              <w:rPr>
                <w:rFonts w:hint="eastAsia" w:ascii="Times New Roman" w:hAnsi="Times New Roman" w:cs="Times New Roman" w:eastAsiaTheme="minorEastAsia"/>
                <w:sz w:val="21"/>
                <w:szCs w:val="21"/>
              </w:rPr>
              <w:t>40</w:t>
            </w:r>
            <w:r>
              <w:rPr>
                <w:rFonts w:ascii="Times New Roman" w:hAnsi="Times New Roman" w:cs="Times New Roman" w:eastAsiaTheme="minorEastAsia"/>
                <w:sz w:val="21"/>
                <w:szCs w:val="21"/>
              </w:rPr>
              <w:t>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台源镇区</w:t>
            </w:r>
          </w:p>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（台源村）</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112.405110</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27.060045</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约20000人</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SE</w:t>
            </w:r>
          </w:p>
        </w:tc>
        <w:tc>
          <w:tcPr>
            <w:tcW w:w="554" w:type="pct"/>
            <w:vAlign w:val="center"/>
          </w:tcPr>
          <w:p>
            <w:pPr>
              <w:pStyle w:val="9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1.45</w:t>
            </w:r>
            <w:r>
              <w:rPr>
                <w:rFonts w:ascii="Times New Roman" w:hAnsi="Times New Roman" w:cs="Times New Roman" w:eastAsiaTheme="minorEastAsia"/>
                <w:sz w:val="21"/>
                <w:szCs w:val="21"/>
              </w:rPr>
              <w:t>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新福</w:t>
            </w:r>
            <w:r>
              <w:rPr>
                <w:rFonts w:ascii="Times New Roman" w:hAnsi="Times New Roman" w:cs="Times New Roman" w:eastAsiaTheme="minorEastAsia"/>
                <w:sz w:val="21"/>
                <w:szCs w:val="21"/>
              </w:rPr>
              <w:t>村</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112.410517</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27.056139</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约400户</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SE</w:t>
            </w:r>
          </w:p>
        </w:tc>
        <w:tc>
          <w:tcPr>
            <w:tcW w:w="554" w:type="pct"/>
            <w:vAlign w:val="center"/>
          </w:tcPr>
          <w:p>
            <w:pPr>
              <w:pStyle w:val="9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1.95</w:t>
            </w:r>
            <w:r>
              <w:rPr>
                <w:rFonts w:ascii="Times New Roman" w:hAnsi="Times New Roman" w:cs="Times New Roman" w:eastAsiaTheme="minorEastAsia"/>
                <w:sz w:val="21"/>
                <w:szCs w:val="21"/>
              </w:rPr>
              <w:t>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王大屋</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112.407127</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27.077425</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约120户</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E</w:t>
            </w:r>
          </w:p>
        </w:tc>
        <w:tc>
          <w:tcPr>
            <w:tcW w:w="554" w:type="pct"/>
            <w:vAlign w:val="center"/>
          </w:tcPr>
          <w:p>
            <w:pPr>
              <w:pStyle w:val="9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700</w:t>
            </w:r>
            <w:r>
              <w:rPr>
                <w:rFonts w:ascii="Times New Roman" w:hAnsi="Times New Roman" w:cs="Times New Roman" w:eastAsiaTheme="minorEastAsia"/>
                <w:sz w:val="21"/>
                <w:szCs w:val="21"/>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绿家堂</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112.404144</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27.081609</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约15户</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NE</w:t>
            </w:r>
          </w:p>
        </w:tc>
        <w:tc>
          <w:tcPr>
            <w:tcW w:w="554" w:type="pct"/>
            <w:vAlign w:val="center"/>
          </w:tcPr>
          <w:p>
            <w:pPr>
              <w:pStyle w:val="9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770</w:t>
            </w:r>
            <w:r>
              <w:rPr>
                <w:rFonts w:ascii="Times New Roman" w:hAnsi="Times New Roman" w:cs="Times New Roman" w:eastAsiaTheme="minorEastAsia"/>
                <w:sz w:val="21"/>
                <w:szCs w:val="21"/>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寺山村</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112.400754</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27.084313</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约8户</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NE</w:t>
            </w:r>
          </w:p>
        </w:tc>
        <w:tc>
          <w:tcPr>
            <w:tcW w:w="55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7</w:t>
            </w:r>
            <w:r>
              <w:rPr>
                <w:rFonts w:hint="eastAsia" w:ascii="Times New Roman" w:hAnsi="Times New Roman" w:cs="Times New Roman" w:eastAsiaTheme="minorEastAsia"/>
                <w:sz w:val="21"/>
                <w:szCs w:val="21"/>
                <w:lang w:val="en-US" w:eastAsia="zh-CN"/>
              </w:rPr>
              <w:t>60</w:t>
            </w:r>
            <w:r>
              <w:rPr>
                <w:rFonts w:ascii="Times New Roman" w:hAnsi="Times New Roman" w:cs="Times New Roman" w:eastAsiaTheme="minorEastAsia"/>
                <w:sz w:val="21"/>
                <w:szCs w:val="21"/>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三字场</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112.42122</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27.078252</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约25户</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NE</w:t>
            </w:r>
          </w:p>
        </w:tc>
        <w:tc>
          <w:tcPr>
            <w:tcW w:w="554" w:type="pct"/>
            <w:vAlign w:val="center"/>
          </w:tcPr>
          <w:p>
            <w:pPr>
              <w:pStyle w:val="9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1.6</w:t>
            </w:r>
            <w:r>
              <w:rPr>
                <w:rFonts w:hint="eastAsia" w:ascii="Times New Roman" w:hAnsi="Times New Roman" w:cs="Times New Roman" w:eastAsiaTheme="minorEastAsia"/>
                <w:sz w:val="21"/>
                <w:szCs w:val="21"/>
                <w:lang w:val="en-US" w:eastAsia="zh-CN"/>
              </w:rPr>
              <w:t>5</w:t>
            </w:r>
            <w:r>
              <w:rPr>
                <w:rFonts w:hint="eastAsia" w:ascii="Times New Roman" w:hAnsi="Times New Roman" w:cs="Times New Roman" w:eastAsiaTheme="minorEastAsia"/>
                <w:sz w:val="21"/>
                <w:szCs w:val="21"/>
              </w:rPr>
              <w:t>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群英村</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112.409895</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27.080966</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约10户</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NE</w:t>
            </w:r>
          </w:p>
        </w:tc>
        <w:tc>
          <w:tcPr>
            <w:tcW w:w="55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r>
              <w:rPr>
                <w:rFonts w:hint="eastAsia" w:ascii="Times New Roman" w:hAnsi="Times New Roman" w:cs="Times New Roman" w:eastAsiaTheme="minorEastAsia"/>
                <w:sz w:val="21"/>
                <w:szCs w:val="21"/>
              </w:rPr>
              <w:t>78</w:t>
            </w:r>
            <w:r>
              <w:rPr>
                <w:rFonts w:ascii="Times New Roman" w:hAnsi="Times New Roman" w:cs="Times New Roman" w:eastAsiaTheme="minorEastAsia"/>
                <w:sz w:val="21"/>
                <w:szCs w:val="21"/>
              </w:rPr>
              <w:t>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道坪塘</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112.418392</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27.091523</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约8户</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NE</w:t>
            </w:r>
          </w:p>
        </w:tc>
        <w:tc>
          <w:tcPr>
            <w:tcW w:w="55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2.59km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大壁村</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112.396634</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27.092596</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约20户</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N</w:t>
            </w:r>
          </w:p>
        </w:tc>
        <w:tc>
          <w:tcPr>
            <w:tcW w:w="55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r>
              <w:rPr>
                <w:rFonts w:hint="eastAsia" w:ascii="Times New Roman" w:hAnsi="Times New Roman" w:cs="Times New Roman" w:eastAsiaTheme="minorEastAsia"/>
                <w:sz w:val="21"/>
                <w:szCs w:val="21"/>
              </w:rPr>
              <w:t>.</w:t>
            </w:r>
            <w:r>
              <w:rPr>
                <w:rFonts w:hint="eastAsia" w:ascii="Times New Roman" w:hAnsi="Times New Roman" w:cs="Times New Roman" w:eastAsiaTheme="minorEastAsia"/>
                <w:sz w:val="21"/>
                <w:szCs w:val="21"/>
                <w:lang w:val="en-US" w:eastAsia="zh-CN"/>
              </w:rPr>
              <w:t>5</w:t>
            </w:r>
            <w:r>
              <w:rPr>
                <w:rFonts w:hint="eastAsia" w:ascii="Times New Roman" w:hAnsi="Times New Roman" w:cs="Times New Roman" w:eastAsiaTheme="minorEastAsia"/>
                <w:sz w:val="21"/>
                <w:szCs w:val="21"/>
              </w:rPr>
              <w:t>2</w:t>
            </w:r>
            <w:r>
              <w:rPr>
                <w:rFonts w:ascii="Times New Roman" w:hAnsi="Times New Roman" w:cs="Times New Roman" w:eastAsiaTheme="minorEastAsia"/>
                <w:sz w:val="21"/>
                <w:szCs w:val="21"/>
              </w:rPr>
              <w:t>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藤缠树</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112.379382</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27.086116</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约8户</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NW</w:t>
            </w:r>
          </w:p>
        </w:tc>
        <w:tc>
          <w:tcPr>
            <w:tcW w:w="55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1.7</w:t>
            </w:r>
            <w:r>
              <w:rPr>
                <w:rFonts w:hint="eastAsia" w:ascii="Times New Roman" w:hAnsi="Times New Roman" w:cs="Times New Roman" w:eastAsiaTheme="minorEastAsia"/>
                <w:sz w:val="21"/>
                <w:szCs w:val="21"/>
              </w:rPr>
              <w:t>3</w:t>
            </w:r>
            <w:r>
              <w:rPr>
                <w:rFonts w:ascii="Times New Roman" w:hAnsi="Times New Roman" w:cs="Times New Roman" w:eastAsiaTheme="minorEastAsia"/>
                <w:sz w:val="21"/>
                <w:szCs w:val="21"/>
              </w:rPr>
              <w:t>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柳树村</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112.383974</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27.080622</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约12户</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W</w:t>
            </w:r>
          </w:p>
        </w:tc>
        <w:tc>
          <w:tcPr>
            <w:tcW w:w="554" w:type="pct"/>
            <w:vAlign w:val="center"/>
          </w:tcPr>
          <w:p>
            <w:pPr>
              <w:pStyle w:val="9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0.94</w:t>
            </w:r>
            <w:r>
              <w:rPr>
                <w:rFonts w:ascii="Times New Roman" w:hAnsi="Times New Roman" w:cs="Times New Roman" w:eastAsiaTheme="minorEastAsia"/>
                <w:sz w:val="21"/>
                <w:szCs w:val="21"/>
              </w:rPr>
              <w:t>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长岭</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112.389210</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27.076803</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约15户</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SW</w:t>
            </w:r>
          </w:p>
        </w:tc>
        <w:tc>
          <w:tcPr>
            <w:tcW w:w="55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5</w:t>
            </w:r>
            <w:r>
              <w:rPr>
                <w:rFonts w:hint="eastAsia" w:ascii="Times New Roman" w:hAnsi="Times New Roman" w:cs="Times New Roman" w:eastAsiaTheme="minorEastAsia"/>
                <w:sz w:val="21"/>
                <w:szCs w:val="21"/>
              </w:rPr>
              <w:t>0</w:t>
            </w:r>
            <w:r>
              <w:rPr>
                <w:rFonts w:ascii="Times New Roman" w:hAnsi="Times New Roman" w:cs="Times New Roman" w:eastAsiaTheme="minorEastAsia"/>
                <w:sz w:val="21"/>
                <w:szCs w:val="21"/>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楼堂</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112.394113</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27.074121</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约14户</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S</w:t>
            </w:r>
          </w:p>
        </w:tc>
        <w:tc>
          <w:tcPr>
            <w:tcW w:w="55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w:t>
            </w:r>
            <w:r>
              <w:rPr>
                <w:rFonts w:hint="eastAsia" w:ascii="Times New Roman" w:hAnsi="Times New Roman" w:cs="Times New Roman" w:eastAsiaTheme="minorEastAsia"/>
                <w:sz w:val="21"/>
                <w:szCs w:val="21"/>
              </w:rPr>
              <w:t>0</w:t>
            </w:r>
            <w:r>
              <w:rPr>
                <w:rFonts w:ascii="Times New Roman" w:hAnsi="Times New Roman" w:cs="Times New Roman" w:eastAsiaTheme="minorEastAsia"/>
                <w:sz w:val="21"/>
                <w:szCs w:val="21"/>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演陂村</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112.394199</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27.070087</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约15户</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S</w:t>
            </w:r>
          </w:p>
        </w:tc>
        <w:tc>
          <w:tcPr>
            <w:tcW w:w="554" w:type="pct"/>
            <w:vAlign w:val="center"/>
          </w:tcPr>
          <w:p>
            <w:pPr>
              <w:pStyle w:val="9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28</w:t>
            </w:r>
            <w:r>
              <w:rPr>
                <w:rFonts w:ascii="Times New Roman" w:hAnsi="Times New Roman" w:cs="Times New Roman" w:eastAsiaTheme="minorEastAsia"/>
                <w:sz w:val="21"/>
                <w:szCs w:val="21"/>
              </w:rPr>
              <w:t>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洗牛塘</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112.388748</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27.070087</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约8户</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SW</w:t>
            </w:r>
          </w:p>
        </w:tc>
        <w:tc>
          <w:tcPr>
            <w:tcW w:w="554" w:type="pct"/>
            <w:vAlign w:val="center"/>
          </w:tcPr>
          <w:p>
            <w:pPr>
              <w:pStyle w:val="9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230</w:t>
            </w:r>
            <w:r>
              <w:rPr>
                <w:rFonts w:ascii="Times New Roman" w:hAnsi="Times New Roman" w:cs="Times New Roman" w:eastAsiaTheme="minorEastAsia"/>
                <w:sz w:val="21"/>
                <w:szCs w:val="21"/>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余家垅</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112.387418</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27.065752</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约10户</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SW</w:t>
            </w:r>
          </w:p>
        </w:tc>
        <w:tc>
          <w:tcPr>
            <w:tcW w:w="554" w:type="pct"/>
            <w:vAlign w:val="center"/>
          </w:tcPr>
          <w:p>
            <w:pPr>
              <w:pStyle w:val="9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76</w:t>
            </w:r>
            <w:r>
              <w:rPr>
                <w:rFonts w:hint="eastAsia" w:ascii="Times New Roman" w:hAnsi="Times New Roman" w:cs="Times New Roman" w:eastAsiaTheme="minorEastAsia"/>
                <w:sz w:val="21"/>
                <w:szCs w:val="21"/>
              </w:rPr>
              <w:t>0</w:t>
            </w:r>
            <w:r>
              <w:rPr>
                <w:rFonts w:ascii="Times New Roman" w:hAnsi="Times New Roman" w:cs="Times New Roman" w:eastAsiaTheme="minorEastAsia"/>
                <w:sz w:val="21"/>
                <w:szCs w:val="21"/>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塔桥村</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112.379082</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27.075515</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约12户</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SW</w:t>
            </w:r>
          </w:p>
        </w:tc>
        <w:tc>
          <w:tcPr>
            <w:tcW w:w="554" w:type="pct"/>
            <w:vAlign w:val="center"/>
          </w:tcPr>
          <w:p>
            <w:pPr>
              <w:pStyle w:val="9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500</w:t>
            </w:r>
            <w:r>
              <w:rPr>
                <w:rFonts w:ascii="Times New Roman" w:hAnsi="Times New Roman" w:cs="Times New Roman" w:eastAsiaTheme="minorEastAsia"/>
                <w:sz w:val="21"/>
                <w:szCs w:val="21"/>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井公塘</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112.380455</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27.071825</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约10户</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SW</w:t>
            </w:r>
          </w:p>
        </w:tc>
        <w:tc>
          <w:tcPr>
            <w:tcW w:w="554" w:type="pct"/>
            <w:vAlign w:val="center"/>
          </w:tcPr>
          <w:p>
            <w:pPr>
              <w:pStyle w:val="9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lang w:val="en-US" w:eastAsia="zh-CN"/>
              </w:rPr>
              <w:t>900</w:t>
            </w:r>
            <w:r>
              <w:rPr>
                <w:rFonts w:ascii="Times New Roman" w:hAnsi="Times New Roman" w:cs="Times New Roman" w:eastAsiaTheme="minorEastAsia"/>
                <w:sz w:val="21"/>
                <w:szCs w:val="21"/>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封老屋</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112.373889</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27.068005</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约8户</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SW</w:t>
            </w:r>
          </w:p>
        </w:tc>
        <w:tc>
          <w:tcPr>
            <w:tcW w:w="554" w:type="pct"/>
            <w:vAlign w:val="center"/>
          </w:tcPr>
          <w:p>
            <w:pPr>
              <w:pStyle w:val="9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1.66</w:t>
            </w:r>
            <w:r>
              <w:rPr>
                <w:rFonts w:ascii="Times New Roman" w:hAnsi="Times New Roman" w:cs="Times New Roman" w:eastAsiaTheme="minorEastAsia"/>
                <w:sz w:val="21"/>
                <w:szCs w:val="21"/>
              </w:rPr>
              <w:t>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虾陂塘</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112.396623</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27.065323</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约15户</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SE</w:t>
            </w:r>
          </w:p>
        </w:tc>
        <w:tc>
          <w:tcPr>
            <w:tcW w:w="554" w:type="pct"/>
            <w:vAlign w:val="center"/>
          </w:tcPr>
          <w:p>
            <w:pPr>
              <w:pStyle w:val="9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710</w:t>
            </w:r>
            <w:r>
              <w:rPr>
                <w:rFonts w:ascii="Times New Roman" w:hAnsi="Times New Roman" w:cs="Times New Roman" w:eastAsiaTheme="minorEastAsia"/>
                <w:sz w:val="21"/>
                <w:szCs w:val="21"/>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庆明村</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112.399284</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27.060302</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约60户</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SE</w:t>
            </w:r>
          </w:p>
        </w:tc>
        <w:tc>
          <w:tcPr>
            <w:tcW w:w="55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r>
              <w:rPr>
                <w:rFonts w:hint="eastAsia" w:ascii="Times New Roman" w:hAnsi="Times New Roman" w:cs="Times New Roman" w:eastAsiaTheme="minorEastAsia"/>
                <w:sz w:val="21"/>
                <w:szCs w:val="21"/>
              </w:rPr>
              <w:t>1</w:t>
            </w:r>
            <w:r>
              <w:rPr>
                <w:rFonts w:ascii="Times New Roman" w:hAnsi="Times New Roman" w:cs="Times New Roman" w:eastAsiaTheme="minorEastAsia"/>
                <w:sz w:val="21"/>
                <w:szCs w:val="21"/>
              </w:rPr>
              <w:t>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易家岭</w:t>
            </w:r>
          </w:p>
        </w:tc>
        <w:tc>
          <w:tcPr>
            <w:tcW w:w="827"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112.392804</w:t>
            </w:r>
          </w:p>
        </w:tc>
        <w:tc>
          <w:tcPr>
            <w:tcW w:w="701"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27.059959</w:t>
            </w:r>
          </w:p>
        </w:tc>
        <w:tc>
          <w:tcPr>
            <w:tcW w:w="779" w:type="pct"/>
            <w:vAlign w:val="center"/>
          </w:tcPr>
          <w:p>
            <w:pPr>
              <w:jc w:val="center"/>
              <w:rPr>
                <w:rFonts w:eastAsiaTheme="minorEastAsia"/>
                <w:szCs w:val="21"/>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约10户</w:t>
            </w:r>
          </w:p>
        </w:tc>
        <w:tc>
          <w:tcPr>
            <w:tcW w:w="509" w:type="pct"/>
            <w:vAlign w:val="center"/>
          </w:tcPr>
          <w:p>
            <w:pPr>
              <w:jc w:val="center"/>
              <w:rPr>
                <w:rFonts w:eastAsiaTheme="minorEastAsia"/>
                <w:szCs w:val="21"/>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S</w:t>
            </w:r>
          </w:p>
        </w:tc>
        <w:tc>
          <w:tcPr>
            <w:tcW w:w="554" w:type="pct"/>
            <w:vAlign w:val="center"/>
          </w:tcPr>
          <w:p>
            <w:pPr>
              <w:pStyle w:val="9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1.25</w:t>
            </w:r>
            <w:r>
              <w:rPr>
                <w:rFonts w:ascii="Times New Roman" w:hAnsi="Times New Roman" w:cs="Times New Roman" w:eastAsiaTheme="minorEastAsia"/>
                <w:sz w:val="21"/>
                <w:szCs w:val="21"/>
              </w:rPr>
              <w:t>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陈家冲</w:t>
            </w:r>
          </w:p>
        </w:tc>
        <w:tc>
          <w:tcPr>
            <w:tcW w:w="827" w:type="pct"/>
            <w:vAlign w:val="center"/>
          </w:tcPr>
          <w:p>
            <w:pPr>
              <w:pStyle w:val="9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112.395597</w:t>
            </w:r>
          </w:p>
        </w:tc>
        <w:tc>
          <w:tcPr>
            <w:tcW w:w="701" w:type="pct"/>
            <w:vAlign w:val="center"/>
          </w:tcPr>
          <w:p>
            <w:pPr>
              <w:pStyle w:val="9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27.058455</w:t>
            </w:r>
          </w:p>
        </w:tc>
        <w:tc>
          <w:tcPr>
            <w:tcW w:w="779" w:type="pct"/>
            <w:vAlign w:val="center"/>
          </w:tcPr>
          <w:p>
            <w:pPr>
              <w:jc w:val="center"/>
              <w:rPr>
                <w:rFonts w:ascii="Times New Roman" w:hAnsi="Times New Roman" w:cs="Times New Roman" w:eastAsiaTheme="minorEastAsia"/>
                <w:kern w:val="2"/>
                <w:sz w:val="21"/>
                <w:szCs w:val="21"/>
                <w:lang w:val="en-US" w:eastAsia="zh-CN" w:bidi="ar-SA"/>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约8户</w:t>
            </w:r>
          </w:p>
        </w:tc>
        <w:tc>
          <w:tcPr>
            <w:tcW w:w="509" w:type="pct"/>
            <w:vAlign w:val="center"/>
          </w:tcPr>
          <w:p>
            <w:pPr>
              <w:jc w:val="center"/>
              <w:rPr>
                <w:rFonts w:ascii="Times New Roman" w:hAnsi="Times New Roman" w:cs="Times New Roman" w:eastAsiaTheme="minorEastAsia"/>
                <w:kern w:val="2"/>
                <w:sz w:val="21"/>
                <w:szCs w:val="21"/>
                <w:lang w:val="en-US" w:eastAsia="zh-CN" w:bidi="ar-SA"/>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SW</w:t>
            </w:r>
          </w:p>
        </w:tc>
        <w:tc>
          <w:tcPr>
            <w:tcW w:w="554" w:type="pct"/>
            <w:vAlign w:val="center"/>
          </w:tcPr>
          <w:p>
            <w:pPr>
              <w:pStyle w:val="90"/>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1.15km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kern w:val="44"/>
                <w:sz w:val="21"/>
                <w:szCs w:val="21"/>
                <w:lang w:val="en-US" w:eastAsia="zh-CN" w:bidi="ar-SA"/>
              </w:rPr>
            </w:pPr>
            <w:r>
              <w:rPr>
                <w:rFonts w:ascii="Times New Roman" w:hAnsi="Times New Roman" w:cs="Times New Roman" w:eastAsiaTheme="minorEastAsia"/>
                <w:sz w:val="21"/>
                <w:szCs w:val="21"/>
              </w:rPr>
              <w:t>老屋塘</w:t>
            </w:r>
          </w:p>
        </w:tc>
        <w:tc>
          <w:tcPr>
            <w:tcW w:w="827" w:type="pct"/>
            <w:vAlign w:val="center"/>
          </w:tcPr>
          <w:p>
            <w:pPr>
              <w:pStyle w:val="90"/>
              <w:rPr>
                <w:rFonts w:ascii="Times New Roman" w:hAnsi="Times New Roman" w:cs="Times New Roman" w:eastAsiaTheme="minorEastAsia"/>
                <w:kern w:val="44"/>
                <w:sz w:val="21"/>
                <w:szCs w:val="21"/>
                <w:lang w:val="en-US" w:eastAsia="zh-CN" w:bidi="ar-SA"/>
              </w:rPr>
            </w:pPr>
            <w:r>
              <w:rPr>
                <w:rFonts w:ascii="Times New Roman" w:hAnsi="Times New Roman" w:cs="Times New Roman" w:eastAsiaTheme="minorEastAsia"/>
                <w:sz w:val="21"/>
                <w:szCs w:val="21"/>
              </w:rPr>
              <w:t>112.381066</w:t>
            </w:r>
          </w:p>
        </w:tc>
        <w:tc>
          <w:tcPr>
            <w:tcW w:w="701" w:type="pct"/>
            <w:vAlign w:val="center"/>
          </w:tcPr>
          <w:p>
            <w:pPr>
              <w:pStyle w:val="90"/>
              <w:rPr>
                <w:rFonts w:ascii="Times New Roman" w:hAnsi="Times New Roman" w:cs="Times New Roman" w:eastAsiaTheme="minorEastAsia"/>
                <w:kern w:val="44"/>
                <w:sz w:val="21"/>
                <w:szCs w:val="21"/>
                <w:lang w:val="en-US" w:eastAsia="zh-CN" w:bidi="ar-SA"/>
              </w:rPr>
            </w:pPr>
            <w:r>
              <w:rPr>
                <w:rFonts w:ascii="Times New Roman" w:hAnsi="Times New Roman" w:cs="Times New Roman" w:eastAsiaTheme="minorEastAsia"/>
                <w:sz w:val="21"/>
                <w:szCs w:val="21"/>
              </w:rPr>
              <w:t>27.063564</w:t>
            </w:r>
          </w:p>
        </w:tc>
        <w:tc>
          <w:tcPr>
            <w:tcW w:w="779" w:type="pct"/>
            <w:vAlign w:val="center"/>
          </w:tcPr>
          <w:p>
            <w:pPr>
              <w:jc w:val="center"/>
              <w:rPr>
                <w:rFonts w:ascii="Times New Roman" w:hAnsi="Times New Roman" w:cs="Times New Roman" w:eastAsiaTheme="minorEastAsia"/>
                <w:kern w:val="2"/>
                <w:sz w:val="21"/>
                <w:szCs w:val="21"/>
                <w:lang w:val="en-US" w:eastAsia="zh-CN" w:bidi="ar-SA"/>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约15户</w:t>
            </w:r>
          </w:p>
        </w:tc>
        <w:tc>
          <w:tcPr>
            <w:tcW w:w="509" w:type="pct"/>
            <w:vAlign w:val="center"/>
          </w:tcPr>
          <w:p>
            <w:pPr>
              <w:jc w:val="center"/>
              <w:rPr>
                <w:rFonts w:ascii="Times New Roman" w:hAnsi="Times New Roman" w:cs="Times New Roman" w:eastAsiaTheme="minorEastAsia"/>
                <w:kern w:val="2"/>
                <w:sz w:val="21"/>
                <w:szCs w:val="21"/>
                <w:lang w:val="en-US" w:eastAsia="zh-CN" w:bidi="ar-SA"/>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kern w:val="44"/>
                <w:sz w:val="21"/>
                <w:szCs w:val="21"/>
                <w:lang w:val="en-US" w:eastAsia="zh-CN" w:bidi="ar-SA"/>
              </w:rPr>
            </w:pPr>
            <w:r>
              <w:rPr>
                <w:rFonts w:ascii="Times New Roman" w:hAnsi="Times New Roman" w:cs="Times New Roman" w:eastAsiaTheme="minorEastAsia"/>
                <w:sz w:val="21"/>
                <w:szCs w:val="21"/>
              </w:rPr>
              <w:t>SW</w:t>
            </w:r>
          </w:p>
        </w:tc>
        <w:tc>
          <w:tcPr>
            <w:tcW w:w="554" w:type="pct"/>
            <w:vAlign w:val="center"/>
          </w:tcPr>
          <w:p>
            <w:pPr>
              <w:pStyle w:val="90"/>
              <w:rPr>
                <w:rFonts w:ascii="Times New Roman" w:hAnsi="Times New Roman" w:cs="Times New Roman" w:eastAsiaTheme="minorEastAsia"/>
                <w:kern w:val="44"/>
                <w:sz w:val="21"/>
                <w:szCs w:val="21"/>
                <w:lang w:val="en-US" w:eastAsia="zh-CN" w:bidi="ar-SA"/>
              </w:rPr>
            </w:pPr>
            <w:r>
              <w:rPr>
                <w:rFonts w:ascii="Times New Roman" w:hAnsi="Times New Roman" w:cs="Times New Roman" w:eastAsiaTheme="minorEastAsia"/>
                <w:sz w:val="21"/>
                <w:szCs w:val="21"/>
              </w:rPr>
              <w:t>1.</w:t>
            </w:r>
            <w:r>
              <w:rPr>
                <w:rFonts w:hint="eastAsia" w:ascii="Times New Roman" w:hAnsi="Times New Roman" w:cs="Times New Roman" w:eastAsiaTheme="minorEastAsia"/>
                <w:sz w:val="21"/>
                <w:szCs w:val="21"/>
              </w:rPr>
              <w:t>3</w:t>
            </w:r>
            <w:r>
              <w:rPr>
                <w:rFonts w:hint="eastAsia" w:ascii="Times New Roman" w:hAnsi="Times New Roman" w:cs="Times New Roman" w:eastAsiaTheme="minorEastAsia"/>
                <w:sz w:val="21"/>
                <w:szCs w:val="21"/>
                <w:lang w:val="en-US" w:eastAsia="zh-CN"/>
              </w:rPr>
              <w:t>2</w:t>
            </w:r>
            <w:r>
              <w:rPr>
                <w:rFonts w:ascii="Times New Roman" w:hAnsi="Times New Roman" w:cs="Times New Roman" w:eastAsiaTheme="minorEastAsia"/>
                <w:sz w:val="21"/>
                <w:szCs w:val="21"/>
              </w:rPr>
              <w:t>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kern w:val="44"/>
                <w:sz w:val="21"/>
                <w:szCs w:val="21"/>
                <w:lang w:val="en-US" w:eastAsia="zh-CN" w:bidi="ar-SA"/>
              </w:rPr>
            </w:pPr>
            <w:r>
              <w:rPr>
                <w:rFonts w:ascii="Times New Roman" w:hAnsi="Times New Roman" w:cs="Times New Roman" w:eastAsiaTheme="minorEastAsia"/>
                <w:sz w:val="21"/>
                <w:szCs w:val="21"/>
              </w:rPr>
              <w:t>云峰村</w:t>
            </w:r>
          </w:p>
        </w:tc>
        <w:tc>
          <w:tcPr>
            <w:tcW w:w="827" w:type="pct"/>
            <w:vAlign w:val="center"/>
          </w:tcPr>
          <w:p>
            <w:pPr>
              <w:pStyle w:val="90"/>
              <w:rPr>
                <w:rFonts w:ascii="Times New Roman" w:hAnsi="Times New Roman" w:cs="Times New Roman" w:eastAsiaTheme="minorEastAsia"/>
                <w:kern w:val="44"/>
                <w:sz w:val="21"/>
                <w:szCs w:val="21"/>
                <w:lang w:val="en-US" w:eastAsia="zh-CN" w:bidi="ar-SA"/>
              </w:rPr>
            </w:pPr>
            <w:r>
              <w:rPr>
                <w:rFonts w:ascii="Times New Roman" w:hAnsi="Times New Roman" w:cs="Times New Roman" w:eastAsiaTheme="minorEastAsia"/>
                <w:sz w:val="21"/>
                <w:szCs w:val="21"/>
              </w:rPr>
              <w:t>112.374758</w:t>
            </w:r>
          </w:p>
        </w:tc>
        <w:tc>
          <w:tcPr>
            <w:tcW w:w="701" w:type="pct"/>
            <w:vAlign w:val="center"/>
          </w:tcPr>
          <w:p>
            <w:pPr>
              <w:pStyle w:val="90"/>
              <w:rPr>
                <w:rFonts w:ascii="Times New Roman" w:hAnsi="Times New Roman" w:cs="Times New Roman" w:eastAsiaTheme="minorEastAsia"/>
                <w:kern w:val="44"/>
                <w:sz w:val="21"/>
                <w:szCs w:val="21"/>
                <w:lang w:val="en-US" w:eastAsia="zh-CN" w:bidi="ar-SA"/>
              </w:rPr>
            </w:pPr>
            <w:r>
              <w:rPr>
                <w:rFonts w:ascii="Times New Roman" w:hAnsi="Times New Roman" w:cs="Times New Roman" w:eastAsiaTheme="minorEastAsia"/>
                <w:sz w:val="21"/>
                <w:szCs w:val="21"/>
              </w:rPr>
              <w:t>27.063134</w:t>
            </w:r>
          </w:p>
        </w:tc>
        <w:tc>
          <w:tcPr>
            <w:tcW w:w="779" w:type="pct"/>
            <w:vAlign w:val="center"/>
          </w:tcPr>
          <w:p>
            <w:pPr>
              <w:jc w:val="center"/>
              <w:rPr>
                <w:rFonts w:ascii="Times New Roman" w:hAnsi="Times New Roman" w:cs="Times New Roman" w:eastAsiaTheme="minorEastAsia"/>
                <w:kern w:val="2"/>
                <w:sz w:val="21"/>
                <w:szCs w:val="21"/>
                <w:lang w:val="en-US" w:eastAsia="zh-CN" w:bidi="ar-SA"/>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约8户</w:t>
            </w:r>
          </w:p>
        </w:tc>
        <w:tc>
          <w:tcPr>
            <w:tcW w:w="509" w:type="pct"/>
            <w:vAlign w:val="center"/>
          </w:tcPr>
          <w:p>
            <w:pPr>
              <w:jc w:val="center"/>
              <w:rPr>
                <w:rFonts w:ascii="Times New Roman" w:hAnsi="Times New Roman" w:cs="Times New Roman" w:eastAsiaTheme="minorEastAsia"/>
                <w:kern w:val="2"/>
                <w:sz w:val="21"/>
                <w:szCs w:val="21"/>
                <w:lang w:val="en-US" w:eastAsia="zh-CN" w:bidi="ar-SA"/>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kern w:val="44"/>
                <w:sz w:val="21"/>
                <w:szCs w:val="21"/>
                <w:lang w:val="en-US" w:eastAsia="zh-CN" w:bidi="ar-SA"/>
              </w:rPr>
            </w:pPr>
            <w:r>
              <w:rPr>
                <w:rFonts w:ascii="Times New Roman" w:hAnsi="Times New Roman" w:cs="Times New Roman" w:eastAsiaTheme="minorEastAsia"/>
                <w:sz w:val="21"/>
                <w:szCs w:val="21"/>
              </w:rPr>
              <w:t>SW</w:t>
            </w:r>
          </w:p>
        </w:tc>
        <w:tc>
          <w:tcPr>
            <w:tcW w:w="554" w:type="pct"/>
            <w:vAlign w:val="center"/>
          </w:tcPr>
          <w:p>
            <w:pPr>
              <w:pStyle w:val="90"/>
              <w:rPr>
                <w:rFonts w:ascii="Times New Roman" w:hAnsi="Times New Roman" w:cs="Times New Roman" w:eastAsiaTheme="minorEastAsia"/>
                <w:kern w:val="44"/>
                <w:sz w:val="21"/>
                <w:szCs w:val="21"/>
                <w:lang w:val="en-US" w:eastAsia="zh-CN" w:bidi="ar-SA"/>
              </w:rPr>
            </w:pPr>
            <w:r>
              <w:rPr>
                <w:rFonts w:hint="eastAsia" w:ascii="Times New Roman" w:hAnsi="Times New Roman" w:cs="Times New Roman" w:eastAsiaTheme="minorEastAsia"/>
                <w:sz w:val="21"/>
                <w:szCs w:val="21"/>
              </w:rPr>
              <w:t>1.8</w:t>
            </w:r>
            <w:r>
              <w:rPr>
                <w:rFonts w:hint="eastAsia" w:ascii="Times New Roman" w:hAnsi="Times New Roman" w:cs="Times New Roman" w:eastAsiaTheme="minorEastAsia"/>
                <w:sz w:val="21"/>
                <w:szCs w:val="21"/>
                <w:lang w:val="en-US" w:eastAsia="zh-CN"/>
              </w:rPr>
              <w:t>2</w:t>
            </w:r>
            <w:r>
              <w:rPr>
                <w:rFonts w:ascii="Times New Roman" w:hAnsi="Times New Roman" w:cs="Times New Roman" w:eastAsiaTheme="minorEastAsia"/>
                <w:sz w:val="21"/>
                <w:szCs w:val="21"/>
              </w:rPr>
              <w:t>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ascii="Times New Roman" w:hAnsi="Times New Roman" w:cs="Times New Roman" w:eastAsiaTheme="minorEastAsia"/>
                <w:kern w:val="44"/>
                <w:sz w:val="21"/>
                <w:szCs w:val="21"/>
                <w:lang w:val="en-US" w:eastAsia="zh-CN" w:bidi="ar-SA"/>
              </w:rPr>
            </w:pPr>
            <w:r>
              <w:rPr>
                <w:rFonts w:ascii="Times New Roman" w:hAnsi="Times New Roman" w:cs="Times New Roman" w:eastAsiaTheme="minorEastAsia"/>
                <w:sz w:val="21"/>
                <w:szCs w:val="21"/>
              </w:rPr>
              <w:t>司林村</w:t>
            </w:r>
          </w:p>
        </w:tc>
        <w:tc>
          <w:tcPr>
            <w:tcW w:w="827" w:type="pct"/>
            <w:vAlign w:val="center"/>
          </w:tcPr>
          <w:p>
            <w:pPr>
              <w:pStyle w:val="90"/>
              <w:rPr>
                <w:rFonts w:ascii="Times New Roman" w:hAnsi="Times New Roman" w:cs="Times New Roman" w:eastAsiaTheme="minorEastAsia"/>
                <w:kern w:val="44"/>
                <w:sz w:val="21"/>
                <w:szCs w:val="21"/>
                <w:lang w:val="en-US" w:eastAsia="zh-CN" w:bidi="ar-SA"/>
              </w:rPr>
            </w:pPr>
            <w:r>
              <w:rPr>
                <w:rFonts w:ascii="Times New Roman" w:hAnsi="Times New Roman" w:cs="Times New Roman" w:eastAsiaTheme="minorEastAsia"/>
                <w:sz w:val="21"/>
                <w:szCs w:val="21"/>
              </w:rPr>
              <w:t>112.386367</w:t>
            </w:r>
          </w:p>
        </w:tc>
        <w:tc>
          <w:tcPr>
            <w:tcW w:w="701" w:type="pct"/>
            <w:vAlign w:val="center"/>
          </w:tcPr>
          <w:p>
            <w:pPr>
              <w:pStyle w:val="90"/>
              <w:rPr>
                <w:rFonts w:ascii="Times New Roman" w:hAnsi="Times New Roman" w:cs="Times New Roman" w:eastAsiaTheme="minorEastAsia"/>
                <w:kern w:val="44"/>
                <w:sz w:val="21"/>
                <w:szCs w:val="21"/>
                <w:lang w:val="en-US" w:eastAsia="zh-CN" w:bidi="ar-SA"/>
              </w:rPr>
            </w:pPr>
            <w:r>
              <w:rPr>
                <w:rFonts w:ascii="Times New Roman" w:hAnsi="Times New Roman" w:cs="Times New Roman" w:eastAsiaTheme="minorEastAsia"/>
                <w:sz w:val="21"/>
                <w:szCs w:val="21"/>
              </w:rPr>
              <w:t>27.058542</w:t>
            </w:r>
          </w:p>
        </w:tc>
        <w:tc>
          <w:tcPr>
            <w:tcW w:w="779" w:type="pct"/>
            <w:vAlign w:val="center"/>
          </w:tcPr>
          <w:p>
            <w:pPr>
              <w:jc w:val="center"/>
              <w:rPr>
                <w:rFonts w:ascii="Times New Roman" w:hAnsi="Times New Roman" w:cs="Times New Roman" w:eastAsiaTheme="minorEastAsia"/>
                <w:kern w:val="2"/>
                <w:sz w:val="21"/>
                <w:szCs w:val="21"/>
                <w:lang w:val="en-US" w:eastAsia="zh-CN" w:bidi="ar-SA"/>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约15户</w:t>
            </w:r>
          </w:p>
        </w:tc>
        <w:tc>
          <w:tcPr>
            <w:tcW w:w="509" w:type="pct"/>
            <w:vAlign w:val="center"/>
          </w:tcPr>
          <w:p>
            <w:pPr>
              <w:jc w:val="center"/>
              <w:rPr>
                <w:rFonts w:ascii="Times New Roman" w:hAnsi="Times New Roman" w:cs="Times New Roman" w:eastAsiaTheme="minorEastAsia"/>
                <w:kern w:val="2"/>
                <w:sz w:val="21"/>
                <w:szCs w:val="21"/>
                <w:lang w:val="en-US" w:eastAsia="zh-CN" w:bidi="ar-SA"/>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kern w:val="44"/>
                <w:sz w:val="21"/>
                <w:szCs w:val="21"/>
                <w:lang w:val="en-US" w:eastAsia="zh-CN" w:bidi="ar-SA"/>
              </w:rPr>
            </w:pPr>
          </w:p>
        </w:tc>
        <w:tc>
          <w:tcPr>
            <w:tcW w:w="424" w:type="pct"/>
            <w:vAlign w:val="center"/>
          </w:tcPr>
          <w:p>
            <w:pPr>
              <w:pStyle w:val="90"/>
              <w:rPr>
                <w:rFonts w:ascii="Times New Roman" w:hAnsi="Times New Roman" w:cs="Times New Roman" w:eastAsiaTheme="minorEastAsia"/>
                <w:kern w:val="44"/>
                <w:sz w:val="21"/>
                <w:szCs w:val="21"/>
                <w:lang w:val="en-US" w:eastAsia="zh-CN" w:bidi="ar-SA"/>
              </w:rPr>
            </w:pPr>
            <w:r>
              <w:rPr>
                <w:rFonts w:ascii="Times New Roman" w:hAnsi="Times New Roman" w:cs="Times New Roman" w:eastAsiaTheme="minorEastAsia"/>
                <w:sz w:val="21"/>
                <w:szCs w:val="21"/>
              </w:rPr>
              <w:t>SW</w:t>
            </w:r>
          </w:p>
        </w:tc>
        <w:tc>
          <w:tcPr>
            <w:tcW w:w="554" w:type="pct"/>
            <w:vAlign w:val="center"/>
          </w:tcPr>
          <w:p>
            <w:pPr>
              <w:pStyle w:val="90"/>
              <w:rPr>
                <w:rFonts w:ascii="Times New Roman" w:hAnsi="Times New Roman" w:cs="Times New Roman" w:eastAsiaTheme="minorEastAsia"/>
                <w:kern w:val="44"/>
                <w:sz w:val="21"/>
                <w:szCs w:val="21"/>
                <w:lang w:val="en-US" w:eastAsia="zh-CN" w:bidi="ar-SA"/>
              </w:rPr>
            </w:pPr>
            <w:r>
              <w:rPr>
                <w:rFonts w:hint="eastAsia" w:ascii="Times New Roman" w:hAnsi="Times New Roman" w:cs="Times New Roman" w:eastAsiaTheme="minorEastAsia"/>
                <w:sz w:val="21"/>
                <w:szCs w:val="21"/>
              </w:rPr>
              <w:t>1.4</w:t>
            </w:r>
            <w:r>
              <w:rPr>
                <w:rFonts w:hint="eastAsia" w:ascii="Times New Roman" w:hAnsi="Times New Roman" w:cs="Times New Roman" w:eastAsiaTheme="minorEastAsia"/>
                <w:sz w:val="21"/>
                <w:szCs w:val="21"/>
                <w:lang w:val="en-US" w:eastAsia="zh-CN"/>
              </w:rPr>
              <w:t>4</w:t>
            </w:r>
            <w:r>
              <w:rPr>
                <w:rFonts w:ascii="Times New Roman" w:hAnsi="Times New Roman" w:cs="Times New Roman" w:eastAsiaTheme="minorEastAsia"/>
                <w:sz w:val="21"/>
                <w:szCs w:val="21"/>
              </w:rPr>
              <w:t>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夏瓦屋</w:t>
            </w:r>
          </w:p>
        </w:tc>
        <w:tc>
          <w:tcPr>
            <w:tcW w:w="827" w:type="pct"/>
            <w:vAlign w:val="center"/>
          </w:tcPr>
          <w:p>
            <w:pPr>
              <w:pStyle w:val="9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112.389863</w:t>
            </w:r>
          </w:p>
        </w:tc>
        <w:tc>
          <w:tcPr>
            <w:tcW w:w="701" w:type="pct"/>
            <w:vAlign w:val="center"/>
          </w:tcPr>
          <w:p>
            <w:pPr>
              <w:pStyle w:val="9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27.051360</w:t>
            </w:r>
          </w:p>
        </w:tc>
        <w:tc>
          <w:tcPr>
            <w:tcW w:w="779" w:type="pct"/>
            <w:vAlign w:val="center"/>
          </w:tcPr>
          <w:p>
            <w:pPr>
              <w:jc w:val="center"/>
              <w:rPr>
                <w:rFonts w:ascii="Times New Roman" w:hAnsi="Times New Roman" w:cs="Times New Roman" w:eastAsiaTheme="minorEastAsia"/>
                <w:kern w:val="2"/>
                <w:sz w:val="21"/>
                <w:szCs w:val="21"/>
                <w:lang w:val="en-US" w:eastAsia="zh-CN" w:bidi="ar-SA"/>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约15户</w:t>
            </w:r>
          </w:p>
        </w:tc>
        <w:tc>
          <w:tcPr>
            <w:tcW w:w="509" w:type="pct"/>
            <w:vAlign w:val="center"/>
          </w:tcPr>
          <w:p>
            <w:pPr>
              <w:jc w:val="center"/>
              <w:rPr>
                <w:rFonts w:ascii="Times New Roman" w:hAnsi="Times New Roman" w:cs="Times New Roman" w:eastAsiaTheme="minorEastAsia"/>
                <w:kern w:val="2"/>
                <w:sz w:val="21"/>
                <w:szCs w:val="21"/>
                <w:lang w:val="en-US" w:eastAsia="zh-CN" w:bidi="ar-SA"/>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SW</w:t>
            </w:r>
          </w:p>
        </w:tc>
        <w:tc>
          <w:tcPr>
            <w:tcW w:w="554" w:type="pct"/>
            <w:vAlign w:val="center"/>
          </w:tcPr>
          <w:p>
            <w:pPr>
              <w:pStyle w:val="90"/>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1.92km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53" w:type="pct"/>
            <w:vAlign w:val="center"/>
          </w:tcPr>
          <w:p>
            <w:pPr>
              <w:pStyle w:val="90"/>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茶山冲</w:t>
            </w:r>
          </w:p>
        </w:tc>
        <w:tc>
          <w:tcPr>
            <w:tcW w:w="827" w:type="pct"/>
            <w:vAlign w:val="center"/>
          </w:tcPr>
          <w:p>
            <w:pPr>
              <w:pStyle w:val="9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112.381680</w:t>
            </w:r>
          </w:p>
        </w:tc>
        <w:tc>
          <w:tcPr>
            <w:tcW w:w="701" w:type="pct"/>
            <w:vAlign w:val="center"/>
          </w:tcPr>
          <w:p>
            <w:pPr>
              <w:pStyle w:val="90"/>
              <w:rPr>
                <w:rFonts w:ascii="Times New Roman" w:hAnsi="Times New Roman" w:cs="Times New Roman" w:eastAsiaTheme="minorEastAsia"/>
                <w:sz w:val="21"/>
                <w:szCs w:val="21"/>
              </w:rPr>
            </w:pPr>
            <w:r>
              <w:rPr>
                <w:rFonts w:hint="eastAsia" w:ascii="Times New Roman" w:hAnsi="Times New Roman" w:cs="Times New Roman" w:eastAsiaTheme="minorEastAsia"/>
                <w:sz w:val="21"/>
                <w:szCs w:val="21"/>
              </w:rPr>
              <w:t>27.051601</w:t>
            </w:r>
          </w:p>
        </w:tc>
        <w:tc>
          <w:tcPr>
            <w:tcW w:w="779" w:type="pct"/>
            <w:vAlign w:val="center"/>
          </w:tcPr>
          <w:p>
            <w:pPr>
              <w:jc w:val="center"/>
              <w:rPr>
                <w:rFonts w:ascii="Times New Roman" w:hAnsi="Times New Roman" w:cs="Times New Roman" w:eastAsiaTheme="minorEastAsia"/>
                <w:kern w:val="2"/>
                <w:sz w:val="21"/>
                <w:szCs w:val="21"/>
                <w:lang w:val="en-US" w:eastAsia="zh-CN" w:bidi="ar-SA"/>
              </w:rPr>
            </w:pPr>
            <w:r>
              <w:rPr>
                <w:rFonts w:eastAsiaTheme="minorEastAsia"/>
                <w:szCs w:val="21"/>
              </w:rPr>
              <w:t>居民点</w:t>
            </w:r>
            <w:r>
              <w:rPr>
                <w:rFonts w:hint="eastAsia" w:ascii="Times New Roman" w:hAnsi="Times New Roman" w:cs="Times New Roman" w:eastAsiaTheme="minorEastAsia"/>
                <w:sz w:val="21"/>
                <w:szCs w:val="21"/>
                <w:lang w:eastAsia="zh-CN"/>
              </w:rPr>
              <w:t>，</w:t>
            </w:r>
            <w:r>
              <w:rPr>
                <w:rFonts w:hint="eastAsia" w:ascii="Times New Roman" w:hAnsi="Times New Roman" w:cs="Times New Roman" w:eastAsiaTheme="minorEastAsia"/>
                <w:sz w:val="21"/>
                <w:szCs w:val="21"/>
                <w:lang w:val="en-US" w:eastAsia="zh-CN"/>
              </w:rPr>
              <w:t>约8户</w:t>
            </w:r>
          </w:p>
        </w:tc>
        <w:tc>
          <w:tcPr>
            <w:tcW w:w="509" w:type="pct"/>
            <w:vAlign w:val="center"/>
          </w:tcPr>
          <w:p>
            <w:pPr>
              <w:jc w:val="center"/>
              <w:rPr>
                <w:rFonts w:ascii="Times New Roman" w:hAnsi="Times New Roman" w:cs="Times New Roman" w:eastAsiaTheme="minorEastAsia"/>
                <w:kern w:val="2"/>
                <w:sz w:val="21"/>
                <w:szCs w:val="21"/>
                <w:lang w:val="en-US" w:eastAsia="zh-CN" w:bidi="ar-SA"/>
              </w:rPr>
            </w:pPr>
            <w:r>
              <w:rPr>
                <w:rFonts w:eastAsiaTheme="minorEastAsia"/>
                <w:szCs w:val="21"/>
              </w:rPr>
              <w:t>人群</w:t>
            </w:r>
          </w:p>
        </w:tc>
        <w:tc>
          <w:tcPr>
            <w:tcW w:w="450" w:type="pct"/>
            <w:vMerge w:val="continue"/>
            <w:vAlign w:val="center"/>
          </w:tcPr>
          <w:p>
            <w:pPr>
              <w:pStyle w:val="90"/>
              <w:rPr>
                <w:rFonts w:ascii="Times New Roman" w:hAnsi="Times New Roman" w:cs="Times New Roman" w:eastAsiaTheme="minorEastAsia"/>
                <w:sz w:val="21"/>
                <w:szCs w:val="21"/>
              </w:rPr>
            </w:pPr>
          </w:p>
        </w:tc>
        <w:tc>
          <w:tcPr>
            <w:tcW w:w="424" w:type="pct"/>
            <w:vAlign w:val="center"/>
          </w:tcPr>
          <w:p>
            <w:pPr>
              <w:pStyle w:val="90"/>
              <w:rPr>
                <w:rFonts w:ascii="Times New Roman" w:hAnsi="Times New Roman" w:cs="Times New Roman" w:eastAsiaTheme="minorEastAsia"/>
                <w:sz w:val="21"/>
                <w:szCs w:val="21"/>
              </w:rPr>
            </w:pPr>
            <w:r>
              <w:rPr>
                <w:rFonts w:ascii="Times New Roman" w:hAnsi="Times New Roman" w:cs="Times New Roman" w:eastAsiaTheme="minorEastAsia"/>
                <w:sz w:val="21"/>
                <w:szCs w:val="21"/>
              </w:rPr>
              <w:t>SW</w:t>
            </w:r>
          </w:p>
        </w:tc>
        <w:tc>
          <w:tcPr>
            <w:tcW w:w="554" w:type="pct"/>
            <w:vAlign w:val="center"/>
          </w:tcPr>
          <w:p>
            <w:pPr>
              <w:pStyle w:val="90"/>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2.36km</w:t>
            </w:r>
          </w:p>
        </w:tc>
      </w:tr>
    </w:tbl>
    <w:p>
      <w:pPr>
        <w:pStyle w:val="17"/>
        <w:spacing w:beforeLines="50"/>
        <w:rPr>
          <w:rFonts w:ascii="Times New Roman" w:hAnsi="Times New Roman" w:cs="Times New Roman"/>
          <w:color w:val="auto"/>
          <w:sz w:val="21"/>
        </w:rPr>
      </w:pPr>
      <w:r>
        <w:rPr>
          <w:rFonts w:ascii="Times New Roman" w:hAnsi="Times New Roman" w:cs="Times New Roman"/>
          <w:color w:val="auto"/>
          <w:sz w:val="21"/>
        </w:rPr>
        <w:t>表</w:t>
      </w:r>
      <w:r>
        <w:rPr>
          <w:rFonts w:hint="eastAsia" w:ascii="Times New Roman" w:hAnsi="Times New Roman" w:cs="Times New Roman"/>
          <w:color w:val="auto"/>
          <w:sz w:val="21"/>
        </w:rPr>
        <w:t>2.6-2  水</w:t>
      </w:r>
      <w:r>
        <w:rPr>
          <w:rFonts w:ascii="Times New Roman" w:hAnsi="Times New Roman" w:cs="Times New Roman"/>
          <w:color w:val="auto"/>
          <w:sz w:val="21"/>
        </w:rPr>
        <w:t>环境主要保护目标</w:t>
      </w:r>
    </w:p>
    <w:tbl>
      <w:tblPr>
        <w:tblStyle w:val="4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67"/>
        <w:gridCol w:w="992"/>
        <w:gridCol w:w="788"/>
        <w:gridCol w:w="1536"/>
        <w:gridCol w:w="1429"/>
        <w:gridCol w:w="2225"/>
        <w:gridCol w:w="55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88" w:type="pct"/>
            <w:vMerge w:val="restart"/>
            <w:vAlign w:val="center"/>
          </w:tcPr>
          <w:p>
            <w:pPr>
              <w:jc w:val="center"/>
              <w:rPr>
                <w:b/>
              </w:rPr>
            </w:pPr>
            <w:r>
              <w:rPr>
                <w:b/>
              </w:rPr>
              <w:t>保护对象</w:t>
            </w:r>
          </w:p>
        </w:tc>
        <w:tc>
          <w:tcPr>
            <w:tcW w:w="350" w:type="pct"/>
            <w:vMerge w:val="restart"/>
            <w:vAlign w:val="center"/>
          </w:tcPr>
          <w:p>
            <w:pPr>
              <w:jc w:val="center"/>
              <w:rPr>
                <w:b/>
              </w:rPr>
            </w:pPr>
            <w:r>
              <w:rPr>
                <w:b/>
              </w:rPr>
              <w:t>保护内容</w:t>
            </w:r>
          </w:p>
        </w:tc>
        <w:tc>
          <w:tcPr>
            <w:tcW w:w="1324" w:type="pct"/>
            <w:gridSpan w:val="3"/>
            <w:vAlign w:val="center"/>
          </w:tcPr>
          <w:p>
            <w:pPr>
              <w:jc w:val="center"/>
              <w:rPr>
                <w:b/>
              </w:rPr>
            </w:pPr>
            <w:r>
              <w:rPr>
                <w:b/>
              </w:rPr>
              <w:t>相对厂界</w:t>
            </w:r>
            <w:r>
              <w:rPr>
                <w:rFonts w:hint="eastAsia"/>
                <w:b/>
              </w:rPr>
              <w:t>/m</w:t>
            </w:r>
          </w:p>
        </w:tc>
        <w:tc>
          <w:tcPr>
            <w:tcW w:w="785" w:type="pct"/>
            <w:vMerge w:val="restart"/>
            <w:vAlign w:val="center"/>
          </w:tcPr>
          <w:p>
            <w:pPr>
              <w:jc w:val="center"/>
              <w:rPr>
                <w:b/>
              </w:rPr>
            </w:pPr>
            <w:r>
              <w:rPr>
                <w:b/>
              </w:rPr>
              <w:t>与本项目的水利联系</w:t>
            </w:r>
          </w:p>
        </w:tc>
        <w:tc>
          <w:tcPr>
            <w:tcW w:w="1953" w:type="pct"/>
            <w:vMerge w:val="restart"/>
            <w:vAlign w:val="center"/>
          </w:tcPr>
          <w:p>
            <w:pPr>
              <w:jc w:val="center"/>
              <w:rPr>
                <w:b/>
              </w:rPr>
            </w:pPr>
            <w:r>
              <w:rPr>
                <w:b/>
              </w:rPr>
              <w:t>保护级别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88" w:type="pct"/>
            <w:vMerge w:val="continue"/>
            <w:vAlign w:val="center"/>
          </w:tcPr>
          <w:p>
            <w:pPr>
              <w:jc w:val="center"/>
            </w:pPr>
          </w:p>
        </w:tc>
        <w:tc>
          <w:tcPr>
            <w:tcW w:w="350" w:type="pct"/>
            <w:vMerge w:val="continue"/>
            <w:vAlign w:val="center"/>
          </w:tcPr>
          <w:p>
            <w:pPr>
              <w:jc w:val="center"/>
            </w:pPr>
          </w:p>
        </w:tc>
        <w:tc>
          <w:tcPr>
            <w:tcW w:w="278" w:type="pct"/>
            <w:vAlign w:val="center"/>
          </w:tcPr>
          <w:p>
            <w:pPr>
              <w:jc w:val="center"/>
              <w:rPr>
                <w:b/>
              </w:rPr>
            </w:pPr>
            <w:r>
              <w:rPr>
                <w:b/>
              </w:rPr>
              <w:t>距离</w:t>
            </w:r>
          </w:p>
        </w:tc>
        <w:tc>
          <w:tcPr>
            <w:tcW w:w="542" w:type="pct"/>
            <w:vAlign w:val="center"/>
          </w:tcPr>
          <w:p>
            <w:pPr>
              <w:jc w:val="center"/>
              <w:rPr>
                <w:b/>
              </w:rPr>
            </w:pPr>
            <w:r>
              <w:rPr>
                <w:b/>
              </w:rPr>
              <w:t>X（°E）</w:t>
            </w:r>
          </w:p>
        </w:tc>
        <w:tc>
          <w:tcPr>
            <w:tcW w:w="504" w:type="pct"/>
            <w:vAlign w:val="center"/>
          </w:tcPr>
          <w:p>
            <w:pPr>
              <w:jc w:val="center"/>
              <w:rPr>
                <w:b/>
              </w:rPr>
            </w:pPr>
            <w:r>
              <w:rPr>
                <w:b/>
              </w:rPr>
              <w:t>Y（°</w:t>
            </w:r>
            <w:r>
              <w:rPr>
                <w:rFonts w:hint="eastAsia"/>
                <w:b/>
              </w:rPr>
              <w:t>N</w:t>
            </w:r>
            <w:r>
              <w:rPr>
                <w:b/>
              </w:rPr>
              <w:t>）</w:t>
            </w:r>
          </w:p>
        </w:tc>
        <w:tc>
          <w:tcPr>
            <w:tcW w:w="785" w:type="pct"/>
            <w:vMerge w:val="continue"/>
            <w:vAlign w:val="center"/>
          </w:tcPr>
          <w:p>
            <w:pPr>
              <w:jc w:val="center"/>
            </w:pPr>
          </w:p>
        </w:tc>
        <w:tc>
          <w:tcPr>
            <w:tcW w:w="1953" w:type="pct"/>
            <w:vMerge w:val="continue"/>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88" w:type="pct"/>
            <w:vAlign w:val="center"/>
          </w:tcPr>
          <w:p>
            <w:pPr>
              <w:jc w:val="center"/>
            </w:pPr>
            <w:r>
              <w:t>北侧水塘</w:t>
            </w:r>
          </w:p>
        </w:tc>
        <w:tc>
          <w:tcPr>
            <w:tcW w:w="350" w:type="pct"/>
            <w:vAlign w:val="center"/>
          </w:tcPr>
          <w:p>
            <w:pPr>
              <w:jc w:val="center"/>
            </w:pPr>
            <w:r>
              <w:t>水体</w:t>
            </w:r>
          </w:p>
        </w:tc>
        <w:tc>
          <w:tcPr>
            <w:tcW w:w="278" w:type="pct"/>
            <w:vAlign w:val="center"/>
          </w:tcPr>
          <w:p>
            <w:pPr>
              <w:jc w:val="center"/>
            </w:pPr>
            <w:r>
              <w:t>紧邻</w:t>
            </w:r>
          </w:p>
        </w:tc>
        <w:tc>
          <w:tcPr>
            <w:tcW w:w="542" w:type="pct"/>
            <w:vAlign w:val="center"/>
          </w:tcPr>
          <w:p>
            <w:pPr>
              <w:jc w:val="center"/>
              <w:rPr>
                <w:color w:val="000000"/>
                <w:szCs w:val="21"/>
              </w:rPr>
            </w:pPr>
            <w:r>
              <w:rPr>
                <w:color w:val="000000"/>
                <w:szCs w:val="21"/>
              </w:rPr>
              <w:t>112°2</w:t>
            </w:r>
            <w:r>
              <w:rPr>
                <w:rFonts w:hint="eastAsia"/>
                <w:color w:val="000000"/>
                <w:szCs w:val="21"/>
              </w:rPr>
              <w:t>1</w:t>
            </w:r>
            <w:r>
              <w:rPr>
                <w:color w:val="000000"/>
                <w:szCs w:val="21"/>
              </w:rPr>
              <w:t>′</w:t>
            </w:r>
            <w:r>
              <w:rPr>
                <w:rFonts w:hint="eastAsia"/>
                <w:color w:val="000000"/>
                <w:szCs w:val="21"/>
              </w:rPr>
              <w:t>1.42</w:t>
            </w:r>
            <w:r>
              <w:rPr>
                <w:color w:val="000000"/>
                <w:szCs w:val="21"/>
              </w:rPr>
              <w:t>″</w:t>
            </w:r>
          </w:p>
        </w:tc>
        <w:tc>
          <w:tcPr>
            <w:tcW w:w="504" w:type="pct"/>
            <w:vAlign w:val="center"/>
          </w:tcPr>
          <w:p>
            <w:pPr>
              <w:jc w:val="center"/>
              <w:rPr>
                <w:color w:val="000000"/>
                <w:szCs w:val="21"/>
              </w:rPr>
            </w:pPr>
            <w:r>
              <w:rPr>
                <w:rFonts w:hint="eastAsia"/>
                <w:color w:val="000000"/>
                <w:szCs w:val="21"/>
              </w:rPr>
              <w:t>27</w:t>
            </w:r>
            <w:r>
              <w:rPr>
                <w:color w:val="000000"/>
                <w:szCs w:val="21"/>
              </w:rPr>
              <w:t>°</w:t>
            </w:r>
            <w:r>
              <w:rPr>
                <w:rFonts w:hint="eastAsia"/>
                <w:color w:val="000000"/>
                <w:szCs w:val="21"/>
              </w:rPr>
              <w:t>4</w:t>
            </w:r>
            <w:r>
              <w:rPr>
                <w:color w:val="000000"/>
                <w:szCs w:val="21"/>
              </w:rPr>
              <w:t>′</w:t>
            </w:r>
            <w:r>
              <w:rPr>
                <w:rFonts w:hint="eastAsia"/>
                <w:color w:val="000000"/>
                <w:szCs w:val="21"/>
              </w:rPr>
              <w:t>20.49</w:t>
            </w:r>
          </w:p>
        </w:tc>
        <w:tc>
          <w:tcPr>
            <w:tcW w:w="785" w:type="pct"/>
            <w:vAlign w:val="center"/>
          </w:tcPr>
          <w:p>
            <w:pPr>
              <w:jc w:val="center"/>
            </w:pPr>
            <w:r>
              <w:t>无</w:t>
            </w:r>
          </w:p>
        </w:tc>
        <w:tc>
          <w:tcPr>
            <w:tcW w:w="1953" w:type="pct"/>
            <w:vAlign w:val="center"/>
          </w:tcPr>
          <w:p>
            <w:pPr>
              <w:jc w:val="center"/>
            </w:pPr>
            <w:r>
              <w:t>《地表水环境质量标准》</w:t>
            </w:r>
            <w:r>
              <w:rPr>
                <w:rFonts w:hint="eastAsia"/>
              </w:rPr>
              <w:t>（</w:t>
            </w:r>
            <w:r>
              <w:t>GB3838-2002</w:t>
            </w:r>
            <w:r>
              <w:rPr>
                <w:rFonts w:hint="eastAsia"/>
              </w:rPr>
              <w:t>）</w:t>
            </w:r>
            <w:r>
              <w:t>表</w:t>
            </w:r>
            <w:r>
              <w:rPr>
                <w:rFonts w:hint="eastAsia"/>
              </w:rPr>
              <w:t>Ⅲ</w:t>
            </w:r>
            <w:r>
              <w:t>类标准</w:t>
            </w:r>
          </w:p>
        </w:tc>
      </w:tr>
    </w:tbl>
    <w:p>
      <w:pPr>
        <w:adjustRightInd w:val="0"/>
        <w:snapToGrid w:val="0"/>
        <w:spacing w:beforeLines="50"/>
        <w:jc w:val="center"/>
        <w:rPr>
          <w:b/>
          <w:kern w:val="0"/>
          <w:szCs w:val="21"/>
        </w:rPr>
      </w:pPr>
      <w:r>
        <w:rPr>
          <w:b/>
          <w:kern w:val="0"/>
          <w:szCs w:val="21"/>
        </w:rPr>
        <w:t>表</w:t>
      </w:r>
      <w:r>
        <w:rPr>
          <w:rFonts w:hint="eastAsia"/>
          <w:b/>
          <w:kern w:val="0"/>
          <w:szCs w:val="21"/>
        </w:rPr>
        <w:t>2.6-3  其他要素</w:t>
      </w:r>
      <w:r>
        <w:rPr>
          <w:b/>
          <w:kern w:val="0"/>
          <w:szCs w:val="21"/>
        </w:rPr>
        <w:t>环境保护目标一览表</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75"/>
        <w:gridCol w:w="2234"/>
        <w:gridCol w:w="1134"/>
        <w:gridCol w:w="1420"/>
        <w:gridCol w:w="2835"/>
        <w:gridCol w:w="52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0" w:type="pct"/>
            <w:vAlign w:val="center"/>
          </w:tcPr>
          <w:p>
            <w:pPr>
              <w:jc w:val="center"/>
              <w:rPr>
                <w:rFonts w:eastAsiaTheme="majorEastAsia"/>
                <w:b/>
                <w:szCs w:val="21"/>
              </w:rPr>
            </w:pPr>
            <w:r>
              <w:rPr>
                <w:rFonts w:hAnsiTheme="majorEastAsia" w:eastAsiaTheme="majorEastAsia"/>
                <w:b/>
                <w:szCs w:val="21"/>
              </w:rPr>
              <w:t>项目</w:t>
            </w:r>
          </w:p>
        </w:tc>
        <w:tc>
          <w:tcPr>
            <w:tcW w:w="788" w:type="pct"/>
            <w:vAlign w:val="center"/>
          </w:tcPr>
          <w:p>
            <w:pPr>
              <w:pStyle w:val="90"/>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rPr>
              <w:t>环境保护目标</w:t>
            </w:r>
          </w:p>
        </w:tc>
        <w:tc>
          <w:tcPr>
            <w:tcW w:w="400" w:type="pct"/>
            <w:vAlign w:val="center"/>
          </w:tcPr>
          <w:p>
            <w:pPr>
              <w:pStyle w:val="90"/>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rPr>
              <w:t>方位</w:t>
            </w:r>
          </w:p>
        </w:tc>
        <w:tc>
          <w:tcPr>
            <w:tcW w:w="501" w:type="pct"/>
            <w:vAlign w:val="center"/>
          </w:tcPr>
          <w:p>
            <w:pPr>
              <w:pStyle w:val="90"/>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rPr>
              <w:t>与厂界距离</w:t>
            </w:r>
          </w:p>
        </w:tc>
        <w:tc>
          <w:tcPr>
            <w:tcW w:w="1000" w:type="pct"/>
            <w:vAlign w:val="center"/>
          </w:tcPr>
          <w:p>
            <w:pPr>
              <w:pStyle w:val="90"/>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rPr>
              <w:t>规模</w:t>
            </w:r>
            <w:r>
              <w:rPr>
                <w:rFonts w:ascii="Times New Roman" w:hAnsi="Times New Roman" w:cs="Times New Roman" w:eastAsiaTheme="majorEastAsia"/>
                <w:b/>
                <w:sz w:val="21"/>
                <w:szCs w:val="21"/>
              </w:rPr>
              <w:t>/</w:t>
            </w:r>
            <w:r>
              <w:rPr>
                <w:rFonts w:ascii="Times New Roman" w:cs="Times New Roman" w:hAnsiTheme="majorEastAsia" w:eastAsiaTheme="majorEastAsia"/>
                <w:b/>
                <w:sz w:val="21"/>
                <w:szCs w:val="21"/>
              </w:rPr>
              <w:t>功能</w:t>
            </w:r>
          </w:p>
        </w:tc>
        <w:tc>
          <w:tcPr>
            <w:tcW w:w="1861" w:type="pct"/>
            <w:vAlign w:val="center"/>
          </w:tcPr>
          <w:p>
            <w:pPr>
              <w:pStyle w:val="90"/>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rPr>
              <w:t>保护级别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0" w:type="pct"/>
            <w:vAlign w:val="center"/>
          </w:tcPr>
          <w:p>
            <w:pPr>
              <w:jc w:val="center"/>
              <w:rPr>
                <w:rFonts w:hAnsiTheme="majorEastAsia" w:eastAsiaTheme="majorEastAsia"/>
                <w:szCs w:val="21"/>
              </w:rPr>
            </w:pPr>
            <w:r>
              <w:rPr>
                <w:rFonts w:hAnsiTheme="majorEastAsia" w:eastAsiaTheme="majorEastAsia"/>
                <w:szCs w:val="21"/>
              </w:rPr>
              <w:t>声环境</w:t>
            </w:r>
          </w:p>
        </w:tc>
        <w:tc>
          <w:tcPr>
            <w:tcW w:w="788" w:type="pct"/>
            <w:vAlign w:val="center"/>
          </w:tcPr>
          <w:p>
            <w:pPr>
              <w:pStyle w:val="90"/>
              <w:rPr>
                <w:rFonts w:ascii="Times New Roman" w:hAnsi="Times New Roman" w:cs="Times New Roman" w:eastAsiaTheme="minorEastAsia"/>
                <w:sz w:val="21"/>
                <w:szCs w:val="21"/>
              </w:rPr>
            </w:pPr>
            <w:r>
              <w:rPr>
                <w:rFonts w:hint="eastAsia" w:eastAsiaTheme="minorEastAsia"/>
                <w:color w:val="000000"/>
                <w:sz w:val="21"/>
                <w:szCs w:val="21"/>
              </w:rPr>
              <w:t>楼堂散户</w:t>
            </w:r>
          </w:p>
        </w:tc>
        <w:tc>
          <w:tcPr>
            <w:tcW w:w="400" w:type="pct"/>
            <w:vAlign w:val="center"/>
          </w:tcPr>
          <w:p>
            <w:pPr>
              <w:pStyle w:val="90"/>
              <w:rPr>
                <w:rFonts w:ascii="Times New Roman" w:hAnsi="Times New Roman" w:cs="Times New Roman" w:eastAsiaTheme="majorEastAsia"/>
                <w:sz w:val="21"/>
                <w:szCs w:val="21"/>
              </w:rPr>
            </w:pPr>
            <w:r>
              <w:rPr>
                <w:rFonts w:ascii="Times New Roman" w:hAnsi="Times New Roman" w:cs="Times New Roman" w:eastAsiaTheme="majorEastAsia"/>
                <w:sz w:val="21"/>
                <w:szCs w:val="21"/>
              </w:rPr>
              <w:t>南</w:t>
            </w:r>
          </w:p>
        </w:tc>
        <w:tc>
          <w:tcPr>
            <w:tcW w:w="501" w:type="pct"/>
            <w:vAlign w:val="center"/>
          </w:tcPr>
          <w:p>
            <w:pPr>
              <w:pStyle w:val="9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120~200</w:t>
            </w:r>
          </w:p>
        </w:tc>
        <w:tc>
          <w:tcPr>
            <w:tcW w:w="1000" w:type="pct"/>
            <w:vAlign w:val="center"/>
          </w:tcPr>
          <w:p>
            <w:pPr>
              <w:pStyle w:val="90"/>
              <w:rPr>
                <w:rFonts w:ascii="Times New Roman" w:hAnsi="Times New Roman" w:cs="Times New Roman" w:eastAsiaTheme="majorEastAsia"/>
                <w:sz w:val="21"/>
                <w:szCs w:val="21"/>
              </w:rPr>
            </w:pPr>
            <w:r>
              <w:rPr>
                <w:rFonts w:hint="eastAsia" w:ascii="Times New Roman" w:hAnsi="Times New Roman" w:cs="Times New Roman" w:eastAsiaTheme="majorEastAsia"/>
                <w:sz w:val="21"/>
                <w:szCs w:val="21"/>
              </w:rPr>
              <w:t>7户30人</w:t>
            </w:r>
          </w:p>
        </w:tc>
        <w:tc>
          <w:tcPr>
            <w:tcW w:w="1861" w:type="pct"/>
            <w:vAlign w:val="center"/>
          </w:tcPr>
          <w:p>
            <w:pPr>
              <w:pStyle w:val="90"/>
              <w:rPr>
                <w:rFonts w:ascii="Times New Roman" w:cs="Times New Roman" w:hAnsiTheme="majorEastAsia" w:eastAsiaTheme="majorEastAsia"/>
                <w:sz w:val="21"/>
                <w:szCs w:val="21"/>
              </w:rPr>
            </w:pPr>
            <w:r>
              <w:rPr>
                <w:rFonts w:hint="eastAsia" w:ascii="Times New Roman" w:cs="Times New Roman" w:hAnsiTheme="majorEastAsia" w:eastAsiaTheme="majorEastAsia"/>
                <w:sz w:val="21"/>
                <w:szCs w:val="21"/>
              </w:rPr>
              <w:t>声环境质量标准（GB3096-2008）2类区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0" w:type="pct"/>
            <w:vAlign w:val="center"/>
          </w:tcPr>
          <w:p>
            <w:pPr>
              <w:jc w:val="center"/>
              <w:rPr>
                <w:rFonts w:hAnsiTheme="majorEastAsia" w:eastAsiaTheme="majorEastAsia"/>
                <w:szCs w:val="21"/>
              </w:rPr>
            </w:pPr>
            <w:r>
              <w:rPr>
                <w:rFonts w:hAnsiTheme="majorEastAsia" w:eastAsiaTheme="majorEastAsia"/>
                <w:szCs w:val="21"/>
              </w:rPr>
              <w:t>地下水</w:t>
            </w:r>
          </w:p>
        </w:tc>
        <w:tc>
          <w:tcPr>
            <w:tcW w:w="2689" w:type="pct"/>
            <w:gridSpan w:val="4"/>
            <w:vAlign w:val="center"/>
          </w:tcPr>
          <w:p>
            <w:pPr>
              <w:spacing w:line="240" w:lineRule="exact"/>
              <w:jc w:val="center"/>
              <w:rPr>
                <w:rFonts w:eastAsiaTheme="majorEastAsia"/>
                <w:szCs w:val="21"/>
              </w:rPr>
            </w:pPr>
            <w:r>
              <w:rPr>
                <w:rFonts w:hint="eastAsia"/>
                <w:szCs w:val="21"/>
              </w:rPr>
              <w:t>拟建地及沿地下水流向面积6km</w:t>
            </w:r>
            <w:r>
              <w:rPr>
                <w:rFonts w:hint="eastAsia"/>
                <w:szCs w:val="21"/>
                <w:vertAlign w:val="superscript"/>
              </w:rPr>
              <w:t>2</w:t>
            </w:r>
            <w:r>
              <w:rPr>
                <w:rFonts w:hint="eastAsia"/>
                <w:szCs w:val="21"/>
              </w:rPr>
              <w:t>的矩形区域</w:t>
            </w:r>
          </w:p>
        </w:tc>
        <w:tc>
          <w:tcPr>
            <w:tcW w:w="1861" w:type="pct"/>
            <w:vAlign w:val="center"/>
          </w:tcPr>
          <w:p>
            <w:pPr>
              <w:pStyle w:val="90"/>
              <w:rPr>
                <w:rFonts w:ascii="Times New Roman" w:cs="Times New Roman" w:hAnsiTheme="majorEastAsia" w:eastAsiaTheme="majorEastAsia"/>
                <w:sz w:val="21"/>
                <w:szCs w:val="21"/>
              </w:rPr>
            </w:pPr>
            <w:r>
              <w:rPr>
                <w:rFonts w:ascii="Times New Roman" w:cs="Times New Roman" w:hAnsiTheme="majorEastAsia" w:eastAsiaTheme="majorEastAsia"/>
                <w:sz w:val="21"/>
                <w:szCs w:val="21"/>
              </w:rPr>
              <w:t>《地下水质量标准》（</w:t>
            </w:r>
            <w:r>
              <w:rPr>
                <w:rFonts w:ascii="Times New Roman" w:hAnsi="Times New Roman" w:cs="Times New Roman" w:eastAsiaTheme="majorEastAsia"/>
                <w:sz w:val="21"/>
                <w:szCs w:val="21"/>
              </w:rPr>
              <w:t>GB/T14848-2017</w:t>
            </w:r>
            <w:r>
              <w:rPr>
                <w:rFonts w:ascii="Times New Roman" w:cs="Times New Roman" w:hAnsiTheme="majorEastAsia" w:eastAsiaTheme="majorEastAsia"/>
                <w:sz w:val="21"/>
                <w:szCs w:val="21"/>
              </w:rPr>
              <w:t>）中的</w:t>
            </w:r>
            <w:r>
              <w:rPr>
                <w:rFonts w:ascii="Times New Roman" w:hAnsi="Times New Roman" w:cs="Times New Roman" w:eastAsiaTheme="majorEastAsia"/>
                <w:sz w:val="21"/>
                <w:szCs w:val="21"/>
              </w:rPr>
              <w:t>Ⅲ</w:t>
            </w:r>
            <w:r>
              <w:rPr>
                <w:rFonts w:ascii="Times New Roman" w:cs="Times New Roman" w:hAnsiTheme="majorEastAsia" w:eastAsiaTheme="majorEastAsia"/>
                <w:sz w:val="21"/>
                <w:szCs w:val="21"/>
              </w:rPr>
              <w:t>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50" w:type="pct"/>
            <w:vAlign w:val="center"/>
          </w:tcPr>
          <w:p>
            <w:pPr>
              <w:jc w:val="center"/>
              <w:rPr>
                <w:rFonts w:hAnsiTheme="majorEastAsia" w:eastAsiaTheme="majorEastAsia"/>
                <w:szCs w:val="21"/>
              </w:rPr>
            </w:pPr>
            <w:r>
              <w:rPr>
                <w:rFonts w:hAnsiTheme="majorEastAsia" w:eastAsiaTheme="majorEastAsia"/>
                <w:szCs w:val="21"/>
              </w:rPr>
              <w:t>生态环境</w:t>
            </w:r>
          </w:p>
        </w:tc>
        <w:tc>
          <w:tcPr>
            <w:tcW w:w="2689" w:type="pct"/>
            <w:gridSpan w:val="4"/>
            <w:vAlign w:val="center"/>
          </w:tcPr>
          <w:p>
            <w:pPr>
              <w:spacing w:line="240" w:lineRule="exact"/>
              <w:jc w:val="center"/>
              <w:rPr>
                <w:szCs w:val="21"/>
              </w:rPr>
            </w:pPr>
            <w:r>
              <w:rPr>
                <w:rFonts w:hint="eastAsia"/>
                <w:szCs w:val="21"/>
              </w:rPr>
              <w:t>场地及厂界向外延伸200m</w:t>
            </w:r>
          </w:p>
        </w:tc>
        <w:tc>
          <w:tcPr>
            <w:tcW w:w="1861" w:type="pct"/>
            <w:vAlign w:val="center"/>
          </w:tcPr>
          <w:p>
            <w:pPr>
              <w:pStyle w:val="90"/>
              <w:rPr>
                <w:rFonts w:ascii="Times New Roman" w:cs="Times New Roman" w:hAnsiTheme="majorEastAsia" w:eastAsiaTheme="majorEastAsia"/>
                <w:sz w:val="21"/>
                <w:szCs w:val="21"/>
              </w:rPr>
            </w:pPr>
            <w:r>
              <w:rPr>
                <w:rFonts w:ascii="Times New Roman" w:cs="Times New Roman" w:hAnsiTheme="majorEastAsia" w:eastAsiaTheme="majorEastAsia"/>
                <w:sz w:val="21"/>
                <w:szCs w:val="21"/>
              </w:rPr>
              <w:t>不造成新的水土流失、土壤侵蚀及生态破坏</w:t>
            </w:r>
          </w:p>
        </w:tc>
      </w:tr>
    </w:tbl>
    <w:p>
      <w:pPr>
        <w:widowControl/>
        <w:jc w:val="left"/>
        <w:rPr>
          <w:rFonts w:hAnsiTheme="minorEastAsia" w:eastAsiaTheme="minorEastAsia"/>
          <w:kern w:val="0"/>
          <w:sz w:val="24"/>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145"/>
    <w:bookmarkEnd w:id="146"/>
    <w:bookmarkEnd w:id="147"/>
    <w:bookmarkEnd w:id="148"/>
    <w:bookmarkEnd w:id="149"/>
    <w:bookmarkEnd w:id="150"/>
    <w:bookmarkEnd w:id="151"/>
    <w:p>
      <w:pPr>
        <w:pStyle w:val="4"/>
        <w:pageBreakBefore/>
        <w:numPr>
          <w:ilvl w:val="0"/>
          <w:numId w:val="0"/>
        </w:numPr>
        <w:spacing w:beforeLines="0" w:line="360" w:lineRule="auto"/>
        <w:jc w:val="center"/>
        <w:rPr>
          <w:rFonts w:eastAsia="宋体"/>
        </w:rPr>
      </w:pPr>
      <w:bookmarkStart w:id="152" w:name="_Toc18122"/>
      <w:bookmarkStart w:id="153" w:name="_Toc448849767"/>
      <w:bookmarkStart w:id="154" w:name="_Toc517522261"/>
      <w:bookmarkStart w:id="155" w:name="_Toc24030"/>
      <w:bookmarkStart w:id="156" w:name="_Toc9370"/>
      <w:bookmarkStart w:id="157" w:name="_Toc26751"/>
      <w:bookmarkStart w:id="158" w:name="_Toc19700"/>
      <w:bookmarkStart w:id="159" w:name="_Toc27693"/>
      <w:bookmarkStart w:id="160" w:name="_Toc123886402"/>
      <w:bookmarkStart w:id="161" w:name="_Toc333863805"/>
      <w:r>
        <w:rPr>
          <w:rFonts w:eastAsia="宋体"/>
        </w:rPr>
        <w:t xml:space="preserve">3 </w:t>
      </w:r>
      <w:bookmarkEnd w:id="152"/>
      <w:bookmarkEnd w:id="153"/>
      <w:bookmarkEnd w:id="154"/>
      <w:bookmarkEnd w:id="155"/>
      <w:bookmarkEnd w:id="156"/>
      <w:bookmarkEnd w:id="157"/>
      <w:bookmarkEnd w:id="158"/>
      <w:bookmarkEnd w:id="159"/>
      <w:r>
        <w:rPr>
          <w:rFonts w:eastAsia="宋体"/>
        </w:rPr>
        <w:t>建设项目概况与工程分析</w:t>
      </w:r>
      <w:bookmarkEnd w:id="160"/>
    </w:p>
    <w:p>
      <w:pPr>
        <w:pStyle w:val="6"/>
        <w:numPr>
          <w:ilvl w:val="0"/>
          <w:numId w:val="0"/>
        </w:numPr>
        <w:rPr>
          <w:rFonts w:ascii="Times New Roman" w:hAnsi="Times New Roman" w:eastAsia="宋体"/>
          <w:szCs w:val="30"/>
        </w:rPr>
      </w:pPr>
      <w:bookmarkStart w:id="162" w:name="_Toc10905"/>
      <w:bookmarkStart w:id="163" w:name="_Toc13185"/>
      <w:bookmarkStart w:id="164" w:name="_Toc14163"/>
      <w:bookmarkStart w:id="165" w:name="_Toc448849768"/>
      <w:bookmarkStart w:id="166" w:name="_Toc26919"/>
      <w:bookmarkStart w:id="167" w:name="_Toc27562"/>
      <w:bookmarkStart w:id="168" w:name="_Toc517522262"/>
      <w:bookmarkStart w:id="169" w:name="_Toc8904"/>
      <w:bookmarkStart w:id="170" w:name="_Toc123886403"/>
      <w:r>
        <w:rPr>
          <w:rFonts w:ascii="Times New Roman" w:hAnsi="Times New Roman" w:eastAsia="宋体"/>
          <w:szCs w:val="30"/>
        </w:rPr>
        <w:t>3.1</w:t>
      </w:r>
      <w:bookmarkEnd w:id="161"/>
      <w:bookmarkEnd w:id="162"/>
      <w:bookmarkEnd w:id="163"/>
      <w:bookmarkEnd w:id="164"/>
      <w:bookmarkEnd w:id="165"/>
      <w:bookmarkEnd w:id="166"/>
      <w:bookmarkEnd w:id="167"/>
      <w:bookmarkEnd w:id="168"/>
      <w:bookmarkEnd w:id="169"/>
      <w:r>
        <w:rPr>
          <w:rFonts w:hint="eastAsia" w:ascii="Times New Roman" w:hAnsi="Times New Roman" w:eastAsia="宋体"/>
          <w:szCs w:val="30"/>
        </w:rPr>
        <w:t xml:space="preserve"> </w:t>
      </w:r>
      <w:r>
        <w:rPr>
          <w:rFonts w:ascii="Times New Roman" w:hAnsi="Times New Roman" w:eastAsia="宋体"/>
          <w:szCs w:val="30"/>
        </w:rPr>
        <w:t>项目概况</w:t>
      </w:r>
      <w:bookmarkEnd w:id="170"/>
    </w:p>
    <w:p>
      <w:pPr>
        <w:pStyle w:val="7"/>
        <w:adjustRightInd w:val="0"/>
        <w:snapToGrid w:val="0"/>
        <w:spacing w:before="0" w:after="0" w:line="360" w:lineRule="auto"/>
        <w:jc w:val="left"/>
        <w:rPr>
          <w:sz w:val="24"/>
          <w:szCs w:val="24"/>
        </w:rPr>
      </w:pPr>
      <w:bookmarkStart w:id="171" w:name="_Toc517522263"/>
      <w:r>
        <w:rPr>
          <w:rFonts w:hint="eastAsia"/>
          <w:sz w:val="24"/>
          <w:szCs w:val="24"/>
        </w:rPr>
        <w:t>3.1.1</w:t>
      </w:r>
      <w:bookmarkEnd w:id="171"/>
      <w:r>
        <w:rPr>
          <w:rFonts w:hint="eastAsia"/>
          <w:sz w:val="24"/>
          <w:szCs w:val="24"/>
        </w:rPr>
        <w:t xml:space="preserve"> </w:t>
      </w:r>
      <w:r>
        <w:rPr>
          <w:sz w:val="24"/>
          <w:szCs w:val="24"/>
        </w:rPr>
        <w:t>项目基本情况</w:t>
      </w:r>
    </w:p>
    <w:p>
      <w:pPr>
        <w:autoSpaceDE w:val="0"/>
        <w:autoSpaceDN w:val="0"/>
        <w:adjustRightInd w:val="0"/>
        <w:spacing w:line="360" w:lineRule="auto"/>
        <w:ind w:firstLine="480" w:firstLineChars="200"/>
        <w:rPr>
          <w:kern w:val="0"/>
          <w:sz w:val="24"/>
        </w:rPr>
      </w:pPr>
      <w:r>
        <w:rPr>
          <w:kern w:val="0"/>
          <w:sz w:val="24"/>
        </w:rPr>
        <w:t>（1）项目名称：</w:t>
      </w:r>
      <w:bookmarkStart w:id="382" w:name="_GoBack"/>
      <w:r>
        <w:rPr>
          <w:rFonts w:hint="eastAsia"/>
          <w:kern w:val="0"/>
          <w:sz w:val="24"/>
        </w:rPr>
        <w:t>湖南安发原生态农业旅游开发有限公司台源蛋鸡养殖二场建设项目</w:t>
      </w:r>
      <w:bookmarkEnd w:id="382"/>
    </w:p>
    <w:p>
      <w:pPr>
        <w:autoSpaceDE w:val="0"/>
        <w:autoSpaceDN w:val="0"/>
        <w:adjustRightInd w:val="0"/>
        <w:spacing w:line="360" w:lineRule="auto"/>
        <w:ind w:firstLine="480" w:firstLineChars="200"/>
        <w:rPr>
          <w:kern w:val="0"/>
          <w:sz w:val="24"/>
        </w:rPr>
      </w:pPr>
      <w:r>
        <w:rPr>
          <w:kern w:val="0"/>
          <w:sz w:val="24"/>
        </w:rPr>
        <w:t>（2）建设单位：</w:t>
      </w:r>
      <w:r>
        <w:rPr>
          <w:rFonts w:hint="eastAsia"/>
          <w:kern w:val="0"/>
          <w:sz w:val="24"/>
        </w:rPr>
        <w:t>湖南安发原生态农业旅游开发有限公司</w:t>
      </w:r>
    </w:p>
    <w:p>
      <w:pPr>
        <w:autoSpaceDE w:val="0"/>
        <w:autoSpaceDN w:val="0"/>
        <w:adjustRightInd w:val="0"/>
        <w:spacing w:line="360" w:lineRule="auto"/>
        <w:ind w:firstLine="480" w:firstLineChars="200"/>
        <w:rPr>
          <w:kern w:val="0"/>
          <w:sz w:val="24"/>
        </w:rPr>
      </w:pPr>
      <w:r>
        <w:rPr>
          <w:kern w:val="0"/>
          <w:sz w:val="24"/>
        </w:rPr>
        <w:t>（3）建设地点：</w:t>
      </w:r>
      <w:r>
        <w:rPr>
          <w:rFonts w:hint="eastAsia"/>
          <w:sz w:val="24"/>
        </w:rPr>
        <w:t>衡阳县台源镇紫霞村、前进村</w:t>
      </w:r>
      <w:r>
        <w:rPr>
          <w:sz w:val="24"/>
        </w:rPr>
        <w:t>，中心地理坐标为：</w:t>
      </w:r>
      <w:r>
        <w:rPr>
          <w:rFonts w:hint="eastAsia"/>
          <w:sz w:val="24"/>
        </w:rPr>
        <w:t>E 112.400339°，N 27.071417°</w:t>
      </w:r>
    </w:p>
    <w:p>
      <w:pPr>
        <w:autoSpaceDE w:val="0"/>
        <w:autoSpaceDN w:val="0"/>
        <w:adjustRightInd w:val="0"/>
        <w:spacing w:line="360" w:lineRule="auto"/>
        <w:ind w:firstLine="480" w:firstLineChars="200"/>
        <w:rPr>
          <w:kern w:val="0"/>
          <w:sz w:val="24"/>
        </w:rPr>
      </w:pPr>
      <w:r>
        <w:rPr>
          <w:kern w:val="0"/>
          <w:sz w:val="24"/>
        </w:rPr>
        <w:t>（4）项目性质：新建</w:t>
      </w:r>
    </w:p>
    <w:p>
      <w:pPr>
        <w:autoSpaceDE w:val="0"/>
        <w:autoSpaceDN w:val="0"/>
        <w:adjustRightInd w:val="0"/>
        <w:spacing w:line="360" w:lineRule="auto"/>
        <w:ind w:firstLine="480" w:firstLineChars="200"/>
        <w:rPr>
          <w:kern w:val="0"/>
          <w:sz w:val="24"/>
        </w:rPr>
      </w:pPr>
      <w:r>
        <w:rPr>
          <w:kern w:val="0"/>
          <w:sz w:val="24"/>
        </w:rPr>
        <w:t>（5）项目总投资：</w:t>
      </w:r>
      <w:r>
        <w:rPr>
          <w:rFonts w:hint="eastAsia"/>
          <w:kern w:val="0"/>
          <w:sz w:val="24"/>
        </w:rPr>
        <w:t>1.5亿</w:t>
      </w:r>
      <w:r>
        <w:rPr>
          <w:color w:val="000000" w:themeColor="text1"/>
          <w:kern w:val="0"/>
          <w:sz w:val="24"/>
        </w:rPr>
        <w:t>元，</w:t>
      </w:r>
      <w:r>
        <w:rPr>
          <w:kern w:val="0"/>
          <w:sz w:val="24"/>
        </w:rPr>
        <w:t>其中环保投资为</w:t>
      </w:r>
      <w:r>
        <w:rPr>
          <w:rFonts w:hint="eastAsia"/>
          <w:kern w:val="0"/>
          <w:sz w:val="24"/>
        </w:rPr>
        <w:t>400</w:t>
      </w:r>
      <w:r>
        <w:rPr>
          <w:kern w:val="0"/>
          <w:sz w:val="24"/>
        </w:rPr>
        <w:t>万元，约占总投资的</w:t>
      </w:r>
      <w:r>
        <w:rPr>
          <w:rFonts w:hint="eastAsia"/>
          <w:kern w:val="0"/>
          <w:sz w:val="24"/>
        </w:rPr>
        <w:t>2.67</w:t>
      </w:r>
      <w:r>
        <w:rPr>
          <w:kern w:val="0"/>
          <w:sz w:val="24"/>
        </w:rPr>
        <w:t>%</w:t>
      </w:r>
    </w:p>
    <w:p>
      <w:pPr>
        <w:autoSpaceDE w:val="0"/>
        <w:autoSpaceDN w:val="0"/>
        <w:adjustRightInd w:val="0"/>
        <w:spacing w:line="360" w:lineRule="auto"/>
        <w:ind w:firstLine="480" w:firstLineChars="200"/>
        <w:rPr>
          <w:rFonts w:hint="eastAsia" w:eastAsia="宋体"/>
          <w:color w:val="FF0000"/>
          <w:kern w:val="0"/>
          <w:sz w:val="24"/>
          <w:u w:val="wave"/>
          <w:lang w:eastAsia="zh-CN"/>
        </w:rPr>
      </w:pPr>
      <w:r>
        <w:rPr>
          <w:color w:val="FF0000"/>
          <w:kern w:val="0"/>
          <w:sz w:val="24"/>
          <w:u w:val="wave"/>
        </w:rPr>
        <w:t>（6）占地面积：</w:t>
      </w:r>
      <w:r>
        <w:rPr>
          <w:rFonts w:hint="eastAsia"/>
          <w:color w:val="FF0000"/>
          <w:sz w:val="24"/>
          <w:u w:val="wave"/>
        </w:rPr>
        <w:t>总占地约32.96亩</w:t>
      </w:r>
      <w:r>
        <w:rPr>
          <w:rFonts w:hint="eastAsia"/>
          <w:color w:val="FF0000"/>
          <w:sz w:val="24"/>
          <w:u w:val="wave"/>
          <w:lang w:eastAsia="zh-CN"/>
        </w:rPr>
        <w:t>，</w:t>
      </w:r>
      <w:r>
        <w:rPr>
          <w:rFonts w:hint="eastAsia"/>
          <w:color w:val="FF0000"/>
          <w:sz w:val="24"/>
          <w:u w:val="wave"/>
          <w:lang w:val="en-US" w:eastAsia="zh-CN"/>
        </w:rPr>
        <w:t>占地类型主要为一般耕地、其他农用地</w:t>
      </w:r>
      <w:r>
        <w:rPr>
          <w:rFonts w:hint="eastAsia"/>
          <w:color w:val="FF0000"/>
          <w:sz w:val="24"/>
          <w:u w:val="wave"/>
        </w:rPr>
        <w:t>项目</w:t>
      </w:r>
      <w:r>
        <w:rPr>
          <w:rFonts w:hint="eastAsia"/>
          <w:color w:val="FF0000"/>
          <w:sz w:val="24"/>
          <w:u w:val="wave"/>
          <w:lang w:eastAsia="zh-CN"/>
        </w:rPr>
        <w:t>（</w:t>
      </w:r>
      <w:r>
        <w:rPr>
          <w:rFonts w:hint="eastAsia"/>
          <w:color w:val="FF0000"/>
          <w:sz w:val="24"/>
          <w:u w:val="wave"/>
          <w:lang w:val="en-US" w:eastAsia="zh-CN"/>
        </w:rPr>
        <w:t>不含永久基本农田</w:t>
      </w:r>
      <w:r>
        <w:rPr>
          <w:rFonts w:hint="eastAsia"/>
          <w:color w:val="FF0000"/>
          <w:sz w:val="24"/>
          <w:u w:val="wave"/>
          <w:lang w:eastAsia="zh-CN"/>
        </w:rPr>
        <w:t>）</w:t>
      </w:r>
    </w:p>
    <w:p>
      <w:pPr>
        <w:autoSpaceDE w:val="0"/>
        <w:autoSpaceDN w:val="0"/>
        <w:adjustRightInd w:val="0"/>
        <w:spacing w:line="360" w:lineRule="auto"/>
        <w:ind w:firstLine="480" w:firstLineChars="200"/>
        <w:rPr>
          <w:kern w:val="0"/>
          <w:sz w:val="24"/>
        </w:rPr>
      </w:pPr>
      <w:r>
        <w:rPr>
          <w:kern w:val="0"/>
          <w:sz w:val="24"/>
        </w:rPr>
        <w:t>（7）人员编制：</w:t>
      </w:r>
      <w:r>
        <w:rPr>
          <w:rFonts w:hint="eastAsia"/>
          <w:kern w:val="0"/>
          <w:sz w:val="24"/>
        </w:rPr>
        <w:t>职工50人，一半职工在厂内食宿，一半仅在厂内用餐不住宿</w:t>
      </w:r>
    </w:p>
    <w:p>
      <w:pPr>
        <w:autoSpaceDE w:val="0"/>
        <w:autoSpaceDN w:val="0"/>
        <w:adjustRightInd w:val="0"/>
        <w:spacing w:line="360" w:lineRule="auto"/>
        <w:ind w:firstLine="480" w:firstLineChars="200"/>
        <w:rPr>
          <w:kern w:val="0"/>
          <w:sz w:val="24"/>
        </w:rPr>
      </w:pPr>
      <w:r>
        <w:rPr>
          <w:kern w:val="0"/>
          <w:sz w:val="24"/>
        </w:rPr>
        <w:t>（8）工作制度：</w:t>
      </w:r>
      <w:r>
        <w:rPr>
          <w:rFonts w:hint="eastAsia"/>
          <w:kern w:val="0"/>
          <w:sz w:val="24"/>
        </w:rPr>
        <w:t>年运营365天，每天1班，日工作8小时；夜间不进行喂料等工作</w:t>
      </w:r>
      <w:r>
        <w:rPr>
          <w:kern w:val="0"/>
          <w:sz w:val="24"/>
        </w:rPr>
        <w:t>。</w:t>
      </w:r>
    </w:p>
    <w:p>
      <w:pPr>
        <w:autoSpaceDE w:val="0"/>
        <w:autoSpaceDN w:val="0"/>
        <w:adjustRightInd w:val="0"/>
        <w:spacing w:line="360" w:lineRule="auto"/>
        <w:ind w:firstLine="480" w:firstLineChars="200"/>
        <w:rPr>
          <w:kern w:val="0"/>
          <w:sz w:val="24"/>
        </w:rPr>
      </w:pPr>
      <w:r>
        <w:rPr>
          <w:kern w:val="0"/>
          <w:sz w:val="24"/>
        </w:rPr>
        <w:t>（</w:t>
      </w:r>
      <w:r>
        <w:rPr>
          <w:rFonts w:hint="eastAsia"/>
          <w:kern w:val="0"/>
          <w:sz w:val="24"/>
        </w:rPr>
        <w:t>9</w:t>
      </w:r>
      <w:r>
        <w:rPr>
          <w:kern w:val="0"/>
          <w:sz w:val="24"/>
        </w:rPr>
        <w:t>）建设内容：包括</w:t>
      </w:r>
      <w:r>
        <w:rPr>
          <w:rFonts w:hint="eastAsia"/>
          <w:kern w:val="0"/>
          <w:sz w:val="24"/>
          <w:lang w:val="en-US" w:eastAsia="zh-CN"/>
        </w:rPr>
        <w:t>6</w:t>
      </w:r>
      <w:r>
        <w:rPr>
          <w:rFonts w:hint="eastAsia"/>
          <w:kern w:val="0"/>
          <w:sz w:val="24"/>
        </w:rPr>
        <w:t>栋标准化鸡舍</w:t>
      </w:r>
      <w:r>
        <w:rPr>
          <w:rFonts w:hint="eastAsia"/>
          <w:kern w:val="0"/>
          <w:sz w:val="24"/>
          <w:lang w:eastAsia="zh-CN"/>
        </w:rPr>
        <w:t>，</w:t>
      </w:r>
      <w:r>
        <w:rPr>
          <w:rFonts w:hint="eastAsia"/>
          <w:kern w:val="0"/>
          <w:sz w:val="24"/>
          <w:lang w:val="en-US" w:eastAsia="zh-CN"/>
        </w:rPr>
        <w:t>1栋蛋库</w:t>
      </w:r>
      <w:r>
        <w:rPr>
          <w:kern w:val="0"/>
          <w:sz w:val="24"/>
        </w:rPr>
        <w:t>，配套相应的</w:t>
      </w:r>
      <w:r>
        <w:rPr>
          <w:rFonts w:hint="eastAsia"/>
          <w:kern w:val="0"/>
          <w:sz w:val="24"/>
        </w:rPr>
        <w:t>鸡粪收集室</w:t>
      </w:r>
      <w:r>
        <w:rPr>
          <w:rFonts w:hint="eastAsia"/>
          <w:kern w:val="0"/>
          <w:sz w:val="24"/>
          <w:lang w:eastAsia="zh-CN"/>
        </w:rPr>
        <w:t>、</w:t>
      </w:r>
      <w:r>
        <w:rPr>
          <w:rFonts w:hint="eastAsia"/>
          <w:kern w:val="0"/>
          <w:sz w:val="24"/>
          <w:lang w:val="en-US" w:eastAsia="zh-CN"/>
        </w:rPr>
        <w:t>备用仓库</w:t>
      </w:r>
      <w:r>
        <w:rPr>
          <w:rFonts w:hint="eastAsia"/>
          <w:kern w:val="0"/>
          <w:sz w:val="24"/>
          <w:lang w:eastAsia="zh-CN"/>
        </w:rPr>
        <w:t>、</w:t>
      </w:r>
      <w:r>
        <w:rPr>
          <w:rFonts w:hint="eastAsia"/>
          <w:kern w:val="0"/>
          <w:sz w:val="24"/>
        </w:rPr>
        <w:t>宿舍</w:t>
      </w:r>
      <w:r>
        <w:rPr>
          <w:rFonts w:hint="eastAsia"/>
          <w:kern w:val="0"/>
          <w:sz w:val="24"/>
          <w:lang w:val="en-US" w:eastAsia="zh-CN"/>
        </w:rPr>
        <w:t>楼、食堂等</w:t>
      </w:r>
      <w:r>
        <w:rPr>
          <w:kern w:val="0"/>
          <w:sz w:val="24"/>
        </w:rPr>
        <w:t>，总</w:t>
      </w:r>
      <w:r>
        <w:rPr>
          <w:rFonts w:hint="eastAsia"/>
          <w:kern w:val="0"/>
          <w:sz w:val="24"/>
        </w:rPr>
        <w:t>占地</w:t>
      </w:r>
      <w:r>
        <w:rPr>
          <w:kern w:val="0"/>
          <w:sz w:val="24"/>
        </w:rPr>
        <w:t>面积</w:t>
      </w:r>
      <w:r>
        <w:rPr>
          <w:rFonts w:hint="eastAsia"/>
          <w:kern w:val="0"/>
          <w:sz w:val="24"/>
          <w:lang w:val="en-US" w:eastAsia="zh-CN"/>
        </w:rPr>
        <w:t>约</w:t>
      </w:r>
      <w:r>
        <w:rPr>
          <w:kern w:val="0"/>
          <w:sz w:val="24"/>
        </w:rPr>
        <w:t>1</w:t>
      </w:r>
      <w:r>
        <w:rPr>
          <w:rFonts w:hint="eastAsia"/>
          <w:kern w:val="0"/>
          <w:sz w:val="24"/>
          <w:lang w:val="en-US" w:eastAsia="zh-CN"/>
        </w:rPr>
        <w:t>6774.56m</w:t>
      </w:r>
      <w:r>
        <w:rPr>
          <w:rFonts w:hint="eastAsia"/>
          <w:kern w:val="0"/>
          <w:sz w:val="24"/>
          <w:vertAlign w:val="superscript"/>
          <w:lang w:val="en-US" w:eastAsia="zh-CN"/>
        </w:rPr>
        <w:t>2</w:t>
      </w:r>
      <w:r>
        <w:rPr>
          <w:rFonts w:hint="eastAsia"/>
          <w:kern w:val="0"/>
          <w:sz w:val="24"/>
        </w:rPr>
        <w:t>。项目仅进行蛋鸡饲养和鸡蛋生产，不涉及蛋鸡屠宰、鸡蛋加工、饲料粉碎工艺环节</w:t>
      </w:r>
      <w:r>
        <w:rPr>
          <w:rFonts w:hint="eastAsia"/>
          <w:kern w:val="0"/>
          <w:sz w:val="24"/>
          <w:lang w:eastAsia="zh-CN"/>
        </w:rPr>
        <w:t>，</w:t>
      </w:r>
      <w:r>
        <w:rPr>
          <w:rFonts w:hint="eastAsia"/>
          <w:kern w:val="0"/>
          <w:sz w:val="24"/>
        </w:rPr>
        <w:t>养殖不进行育雏，由建设方购买105~120天左右的青年鸡，年存栏蛋鸡60万羽</w:t>
      </w:r>
      <w:r>
        <w:rPr>
          <w:kern w:val="0"/>
          <w:sz w:val="24"/>
        </w:rPr>
        <w:t>。</w:t>
      </w:r>
    </w:p>
    <w:p>
      <w:pPr>
        <w:autoSpaceDE w:val="0"/>
        <w:autoSpaceDN w:val="0"/>
        <w:adjustRightInd w:val="0"/>
        <w:spacing w:line="360" w:lineRule="auto"/>
        <w:ind w:firstLine="480" w:firstLineChars="200"/>
        <w:rPr>
          <w:rFonts w:hAnsiTheme="majorEastAsia" w:eastAsiaTheme="majorEastAsia"/>
          <w:kern w:val="0"/>
          <w:sz w:val="24"/>
        </w:rPr>
      </w:pPr>
      <w:r>
        <w:rPr>
          <w:kern w:val="0"/>
          <w:sz w:val="24"/>
        </w:rPr>
        <w:t>项目工程组成一览表见表3.1-1</w:t>
      </w:r>
      <w:r>
        <w:rPr>
          <w:rFonts w:hint="eastAsia" w:hAnsiTheme="majorEastAsia" w:eastAsiaTheme="majorEastAsia"/>
          <w:kern w:val="0"/>
          <w:sz w:val="24"/>
        </w:rPr>
        <w:t>。</w:t>
      </w:r>
    </w:p>
    <w:p>
      <w:pPr>
        <w:spacing w:beforeLines="50"/>
        <w:jc w:val="center"/>
        <w:rPr>
          <w:b/>
          <w:color w:val="FF0000"/>
          <w:u w:val="wave"/>
        </w:rPr>
      </w:pPr>
      <w:r>
        <w:rPr>
          <w:rFonts w:hint="eastAsia"/>
          <w:b/>
          <w:color w:val="FF0000"/>
          <w:u w:val="wave"/>
        </w:rPr>
        <w:t>表3.1-1  项目工程组成一览表</w:t>
      </w:r>
    </w:p>
    <w:tbl>
      <w:tblPr>
        <w:tblStyle w:val="48"/>
        <w:tblW w:w="48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3"/>
        <w:gridCol w:w="1275"/>
        <w:gridCol w:w="5671"/>
        <w:gridCol w:w="7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403" w:type="pct"/>
            <w:vAlign w:val="center"/>
          </w:tcPr>
          <w:p>
            <w:pPr>
              <w:jc w:val="center"/>
              <w:rPr>
                <w:b/>
                <w:color w:val="FF0000"/>
                <w:szCs w:val="21"/>
                <w:u w:val="wave"/>
              </w:rPr>
            </w:pPr>
            <w:r>
              <w:rPr>
                <w:rFonts w:hint="eastAsia"/>
                <w:b/>
                <w:color w:val="FF0000"/>
                <w:szCs w:val="21"/>
                <w:u w:val="wave"/>
              </w:rPr>
              <w:t>工程类型</w:t>
            </w:r>
          </w:p>
        </w:tc>
        <w:tc>
          <w:tcPr>
            <w:tcW w:w="763" w:type="pct"/>
            <w:vAlign w:val="center"/>
          </w:tcPr>
          <w:p>
            <w:pPr>
              <w:jc w:val="center"/>
              <w:rPr>
                <w:b/>
                <w:color w:val="FF0000"/>
                <w:szCs w:val="21"/>
                <w:u w:val="wave"/>
              </w:rPr>
            </w:pPr>
            <w:r>
              <w:rPr>
                <w:rFonts w:hint="eastAsia"/>
                <w:b/>
                <w:color w:val="FF0000"/>
                <w:szCs w:val="21"/>
                <w:u w:val="wave"/>
              </w:rPr>
              <w:t>工程名称</w:t>
            </w:r>
          </w:p>
        </w:tc>
        <w:tc>
          <w:tcPr>
            <w:tcW w:w="3394" w:type="pct"/>
            <w:vAlign w:val="center"/>
          </w:tcPr>
          <w:p>
            <w:pPr>
              <w:jc w:val="center"/>
              <w:rPr>
                <w:b/>
                <w:color w:val="FF0000"/>
                <w:szCs w:val="21"/>
                <w:u w:val="wave"/>
              </w:rPr>
            </w:pPr>
            <w:r>
              <w:rPr>
                <w:b/>
                <w:color w:val="FF0000"/>
                <w:szCs w:val="21"/>
                <w:u w:val="wave"/>
              </w:rPr>
              <w:t>主要建设内容</w:t>
            </w:r>
          </w:p>
        </w:tc>
        <w:tc>
          <w:tcPr>
            <w:tcW w:w="438" w:type="pct"/>
            <w:vAlign w:val="center"/>
          </w:tcPr>
          <w:p>
            <w:pPr>
              <w:jc w:val="center"/>
              <w:rPr>
                <w:b/>
                <w:color w:val="FF0000"/>
                <w:szCs w:val="21"/>
                <w:u w:val="wave"/>
              </w:rPr>
            </w:pPr>
            <w:r>
              <w:rPr>
                <w:rFonts w:hint="eastAsia"/>
                <w:b/>
                <w:color w:val="FF0000"/>
                <w:szCs w:val="21"/>
                <w:u w:val="wave"/>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403" w:type="pct"/>
            <w:vMerge w:val="restart"/>
            <w:vAlign w:val="center"/>
          </w:tcPr>
          <w:p>
            <w:pPr>
              <w:jc w:val="center"/>
              <w:rPr>
                <w:color w:val="FF0000"/>
                <w:szCs w:val="21"/>
                <w:u w:val="wave"/>
              </w:rPr>
            </w:pPr>
            <w:r>
              <w:rPr>
                <w:rFonts w:hint="eastAsia"/>
                <w:color w:val="FF0000"/>
                <w:szCs w:val="21"/>
                <w:u w:val="wave"/>
              </w:rPr>
              <w:t>主体工程</w:t>
            </w:r>
          </w:p>
        </w:tc>
        <w:tc>
          <w:tcPr>
            <w:tcW w:w="763" w:type="pct"/>
            <w:vAlign w:val="center"/>
          </w:tcPr>
          <w:p>
            <w:pPr>
              <w:jc w:val="center"/>
              <w:rPr>
                <w:color w:val="FF0000"/>
                <w:szCs w:val="21"/>
                <w:u w:val="wave"/>
              </w:rPr>
            </w:pPr>
            <w:r>
              <w:rPr>
                <w:rFonts w:hint="eastAsia"/>
                <w:color w:val="FF0000"/>
                <w:szCs w:val="21"/>
                <w:u w:val="wave"/>
                <w:lang w:val="en-US" w:eastAsia="zh-CN"/>
              </w:rPr>
              <w:t>南场</w:t>
            </w:r>
            <w:r>
              <w:rPr>
                <w:color w:val="FF0000"/>
                <w:szCs w:val="21"/>
                <w:u w:val="wave"/>
              </w:rPr>
              <w:t>蛋鸡舍</w:t>
            </w:r>
          </w:p>
        </w:tc>
        <w:tc>
          <w:tcPr>
            <w:tcW w:w="3394" w:type="pct"/>
            <w:vAlign w:val="center"/>
          </w:tcPr>
          <w:p>
            <w:pPr>
              <w:jc w:val="center"/>
              <w:rPr>
                <w:color w:val="FF0000"/>
                <w:szCs w:val="21"/>
                <w:u w:val="wave"/>
              </w:rPr>
            </w:pPr>
            <w:r>
              <w:rPr>
                <w:rFonts w:hint="eastAsia"/>
                <w:color w:val="FF0000"/>
                <w:szCs w:val="21"/>
                <w:u w:val="wave"/>
                <w:lang w:val="en-US" w:eastAsia="zh-CN"/>
              </w:rPr>
              <w:t>3</w:t>
            </w:r>
            <w:r>
              <w:rPr>
                <w:color w:val="FF0000"/>
                <w:szCs w:val="21"/>
                <w:u w:val="wave"/>
              </w:rPr>
              <w:t>栋，每栋建筑面积1</w:t>
            </w:r>
            <w:r>
              <w:rPr>
                <w:rFonts w:hint="eastAsia"/>
                <w:color w:val="FF0000"/>
                <w:szCs w:val="21"/>
                <w:u w:val="wave"/>
              </w:rPr>
              <w:t>813.61</w:t>
            </w:r>
            <w:r>
              <w:rPr>
                <w:color w:val="FF0000"/>
                <w:szCs w:val="21"/>
                <w:u w:val="wave"/>
              </w:rPr>
              <w:t>m</w:t>
            </w:r>
            <w:r>
              <w:rPr>
                <w:color w:val="FF0000"/>
                <w:szCs w:val="21"/>
                <w:u w:val="wave"/>
                <w:vertAlign w:val="superscript"/>
              </w:rPr>
              <w:t>2</w:t>
            </w:r>
            <w:r>
              <w:rPr>
                <w:color w:val="FF0000"/>
                <w:szCs w:val="21"/>
                <w:u w:val="wave"/>
              </w:rPr>
              <w:t>，</w:t>
            </w:r>
            <w:r>
              <w:rPr>
                <w:rFonts w:hint="eastAsia"/>
                <w:color w:val="FF0000"/>
                <w:szCs w:val="21"/>
                <w:u w:val="wave"/>
              </w:rPr>
              <w:t>每栋存栏10万羽蛋鸡，单层钢结构，层高约8m；采用自动喂料、乳头式饮、自动送料、自动集粪、喷雾、驱槽、螺旋推进、水帘降温及电脑控制系统等</w:t>
            </w:r>
          </w:p>
        </w:tc>
        <w:tc>
          <w:tcPr>
            <w:tcW w:w="438" w:type="pct"/>
            <w:vAlign w:val="center"/>
          </w:tcPr>
          <w:p>
            <w:pPr>
              <w:jc w:val="center"/>
              <w:rPr>
                <w:color w:val="FF0000"/>
                <w:szCs w:val="21"/>
                <w:u w:val="wave"/>
              </w:rPr>
            </w:pPr>
            <w:r>
              <w:rPr>
                <w:color w:val="FF0000"/>
                <w:szCs w:val="21"/>
                <w:u w:val="wav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403" w:type="pct"/>
            <w:vMerge w:val="continue"/>
            <w:vAlign w:val="center"/>
          </w:tcPr>
          <w:p>
            <w:pPr>
              <w:jc w:val="center"/>
              <w:rPr>
                <w:rFonts w:hint="eastAsia"/>
                <w:color w:val="FF0000"/>
                <w:szCs w:val="21"/>
                <w:u w:val="wave"/>
              </w:rPr>
            </w:pPr>
          </w:p>
        </w:tc>
        <w:tc>
          <w:tcPr>
            <w:tcW w:w="763" w:type="pct"/>
            <w:vAlign w:val="center"/>
          </w:tcPr>
          <w:p>
            <w:pPr>
              <w:jc w:val="center"/>
              <w:rPr>
                <w:rFonts w:hint="default"/>
                <w:color w:val="FF0000"/>
                <w:szCs w:val="21"/>
                <w:u w:val="wave"/>
                <w:lang w:val="en-US" w:eastAsia="zh-CN"/>
              </w:rPr>
            </w:pPr>
            <w:r>
              <w:rPr>
                <w:rFonts w:hint="eastAsia"/>
                <w:color w:val="FF0000"/>
                <w:szCs w:val="21"/>
                <w:u w:val="wave"/>
                <w:lang w:val="en-US" w:eastAsia="zh-CN"/>
              </w:rPr>
              <w:t>东场</w:t>
            </w:r>
            <w:r>
              <w:rPr>
                <w:color w:val="FF0000"/>
                <w:szCs w:val="21"/>
                <w:u w:val="wave"/>
              </w:rPr>
              <w:t>蛋鸡舍</w:t>
            </w:r>
          </w:p>
        </w:tc>
        <w:tc>
          <w:tcPr>
            <w:tcW w:w="3394" w:type="pct"/>
            <w:vAlign w:val="center"/>
          </w:tcPr>
          <w:p>
            <w:pPr>
              <w:jc w:val="center"/>
              <w:rPr>
                <w:rFonts w:hint="eastAsia"/>
                <w:color w:val="FF0000"/>
                <w:szCs w:val="21"/>
                <w:u w:val="wave"/>
              </w:rPr>
            </w:pPr>
            <w:r>
              <w:rPr>
                <w:rFonts w:hint="eastAsia"/>
                <w:color w:val="FF0000"/>
                <w:szCs w:val="21"/>
                <w:u w:val="wave"/>
                <w:lang w:val="en-US" w:eastAsia="zh-CN"/>
              </w:rPr>
              <w:t>3</w:t>
            </w:r>
            <w:r>
              <w:rPr>
                <w:color w:val="FF0000"/>
                <w:szCs w:val="21"/>
                <w:u w:val="wave"/>
              </w:rPr>
              <w:t>栋，每栋建筑面积1</w:t>
            </w:r>
            <w:r>
              <w:rPr>
                <w:rFonts w:hint="eastAsia"/>
                <w:color w:val="FF0000"/>
                <w:szCs w:val="21"/>
                <w:u w:val="wave"/>
              </w:rPr>
              <w:t>813.61</w:t>
            </w:r>
            <w:r>
              <w:rPr>
                <w:color w:val="FF0000"/>
                <w:szCs w:val="21"/>
                <w:u w:val="wave"/>
              </w:rPr>
              <w:t>m</w:t>
            </w:r>
            <w:r>
              <w:rPr>
                <w:color w:val="FF0000"/>
                <w:szCs w:val="21"/>
                <w:u w:val="wave"/>
                <w:vertAlign w:val="superscript"/>
              </w:rPr>
              <w:t>2</w:t>
            </w:r>
            <w:r>
              <w:rPr>
                <w:color w:val="FF0000"/>
                <w:szCs w:val="21"/>
                <w:u w:val="wave"/>
              </w:rPr>
              <w:t>，</w:t>
            </w:r>
            <w:r>
              <w:rPr>
                <w:rFonts w:hint="eastAsia"/>
                <w:color w:val="FF0000"/>
                <w:szCs w:val="21"/>
                <w:u w:val="wave"/>
              </w:rPr>
              <w:t>每栋存栏10万羽蛋鸡，单层钢结构，层高约8m；采用自动喂料、乳头式饮、自动送料、自动集粪、喷雾、驱槽、螺旋推进、水帘降温及电脑控制系统等</w:t>
            </w:r>
          </w:p>
        </w:tc>
        <w:tc>
          <w:tcPr>
            <w:tcW w:w="438" w:type="pct"/>
            <w:vAlign w:val="center"/>
          </w:tcPr>
          <w:p>
            <w:pPr>
              <w:jc w:val="center"/>
              <w:rPr>
                <w:color w:val="FF0000"/>
                <w:szCs w:val="21"/>
                <w:u w:val="wave"/>
              </w:rPr>
            </w:pPr>
            <w:r>
              <w:rPr>
                <w:color w:val="FF0000"/>
                <w:szCs w:val="21"/>
                <w:u w:val="wav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3" w:type="pct"/>
            <w:vMerge w:val="continue"/>
            <w:vAlign w:val="center"/>
          </w:tcPr>
          <w:p>
            <w:pPr>
              <w:jc w:val="center"/>
              <w:rPr>
                <w:color w:val="FF0000"/>
                <w:szCs w:val="21"/>
                <w:u w:val="wave"/>
              </w:rPr>
            </w:pPr>
          </w:p>
        </w:tc>
        <w:tc>
          <w:tcPr>
            <w:tcW w:w="763" w:type="pct"/>
            <w:vAlign w:val="center"/>
          </w:tcPr>
          <w:p>
            <w:pPr>
              <w:jc w:val="center"/>
              <w:rPr>
                <w:color w:val="FF0000"/>
                <w:szCs w:val="21"/>
                <w:u w:val="wave"/>
              </w:rPr>
            </w:pPr>
            <w:r>
              <w:rPr>
                <w:color w:val="FF0000"/>
                <w:szCs w:val="21"/>
                <w:u w:val="wave"/>
              </w:rPr>
              <w:t>中央蛋库</w:t>
            </w:r>
          </w:p>
        </w:tc>
        <w:tc>
          <w:tcPr>
            <w:tcW w:w="3394" w:type="pct"/>
            <w:vAlign w:val="center"/>
          </w:tcPr>
          <w:p>
            <w:pPr>
              <w:jc w:val="center"/>
              <w:rPr>
                <w:color w:val="FF0000"/>
                <w:szCs w:val="21"/>
                <w:u w:val="wave"/>
              </w:rPr>
            </w:pPr>
            <w:r>
              <w:rPr>
                <w:rFonts w:hint="eastAsia"/>
                <w:color w:val="FF0000"/>
                <w:szCs w:val="21"/>
                <w:u w:val="wave"/>
              </w:rPr>
              <w:t>1</w:t>
            </w:r>
            <w:r>
              <w:rPr>
                <w:color w:val="FF0000"/>
                <w:szCs w:val="21"/>
                <w:u w:val="wave"/>
              </w:rPr>
              <w:t>栋，建筑面积约</w:t>
            </w:r>
            <w:r>
              <w:rPr>
                <w:rFonts w:hint="eastAsia"/>
                <w:color w:val="FF0000"/>
                <w:szCs w:val="21"/>
                <w:u w:val="wave"/>
              </w:rPr>
              <w:t>3000.03m</w:t>
            </w:r>
            <w:r>
              <w:rPr>
                <w:rFonts w:hint="eastAsia"/>
                <w:color w:val="FF0000"/>
                <w:szCs w:val="21"/>
                <w:u w:val="wave"/>
                <w:vertAlign w:val="superscript"/>
              </w:rPr>
              <w:t>2</w:t>
            </w:r>
            <w:r>
              <w:rPr>
                <w:rFonts w:hint="eastAsia"/>
                <w:color w:val="FF0000"/>
                <w:szCs w:val="21"/>
                <w:u w:val="wave"/>
              </w:rPr>
              <w:t>，单层钢结构、层高约5</w:t>
            </w:r>
            <w:r>
              <w:rPr>
                <w:color w:val="FF0000"/>
                <w:szCs w:val="21"/>
                <w:u w:val="wave"/>
              </w:rPr>
              <w:t>m，位于厂区中部</w:t>
            </w:r>
          </w:p>
        </w:tc>
        <w:tc>
          <w:tcPr>
            <w:tcW w:w="438" w:type="pct"/>
            <w:vAlign w:val="center"/>
          </w:tcPr>
          <w:p>
            <w:pPr>
              <w:jc w:val="center"/>
              <w:rPr>
                <w:color w:val="FF0000"/>
                <w:szCs w:val="21"/>
                <w:u w:val="wave"/>
              </w:rPr>
            </w:pPr>
            <w:r>
              <w:rPr>
                <w:color w:val="FF0000"/>
                <w:szCs w:val="21"/>
                <w:u w:val="wav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403" w:type="pct"/>
            <w:vMerge w:val="restart"/>
            <w:vAlign w:val="center"/>
          </w:tcPr>
          <w:p>
            <w:pPr>
              <w:jc w:val="center"/>
              <w:rPr>
                <w:color w:val="FF0000"/>
                <w:szCs w:val="21"/>
                <w:u w:val="wave"/>
              </w:rPr>
            </w:pPr>
            <w:r>
              <w:rPr>
                <w:color w:val="FF0000"/>
                <w:szCs w:val="21"/>
                <w:u w:val="wave"/>
              </w:rPr>
              <w:t>辅助工程</w:t>
            </w:r>
          </w:p>
        </w:tc>
        <w:tc>
          <w:tcPr>
            <w:tcW w:w="763" w:type="pct"/>
            <w:vAlign w:val="center"/>
          </w:tcPr>
          <w:p>
            <w:pPr>
              <w:jc w:val="center"/>
              <w:rPr>
                <w:rFonts w:hint="default" w:eastAsia="宋体"/>
                <w:color w:val="FF0000"/>
                <w:szCs w:val="21"/>
                <w:u w:val="wave"/>
                <w:lang w:val="en-US" w:eastAsia="zh-CN"/>
              </w:rPr>
            </w:pPr>
            <w:r>
              <w:rPr>
                <w:rFonts w:hint="eastAsia"/>
                <w:color w:val="FF0000"/>
                <w:szCs w:val="21"/>
                <w:u w:val="wave"/>
                <w:lang w:val="en-US" w:eastAsia="zh-CN"/>
              </w:rPr>
              <w:t>中部宿舍楼</w:t>
            </w:r>
          </w:p>
        </w:tc>
        <w:tc>
          <w:tcPr>
            <w:tcW w:w="3394" w:type="pct"/>
            <w:vAlign w:val="center"/>
          </w:tcPr>
          <w:p>
            <w:pPr>
              <w:jc w:val="center"/>
              <w:rPr>
                <w:color w:val="FF0000"/>
                <w:szCs w:val="21"/>
                <w:u w:val="wave"/>
              </w:rPr>
            </w:pPr>
            <w:r>
              <w:rPr>
                <w:rFonts w:hint="eastAsia"/>
                <w:color w:val="FF0000"/>
                <w:szCs w:val="21"/>
                <w:u w:val="wave"/>
                <w:lang w:val="en-US" w:eastAsia="zh-CN"/>
              </w:rPr>
              <w:t>1</w:t>
            </w:r>
            <w:r>
              <w:rPr>
                <w:rFonts w:hint="eastAsia"/>
                <w:color w:val="FF0000"/>
                <w:szCs w:val="21"/>
                <w:u w:val="wave"/>
              </w:rPr>
              <w:t>栋，</w:t>
            </w:r>
            <w:r>
              <w:rPr>
                <w:rFonts w:hint="eastAsia"/>
                <w:color w:val="FF0000"/>
                <w:szCs w:val="21"/>
                <w:u w:val="wave"/>
                <w:lang w:val="en-US" w:eastAsia="zh-CN"/>
              </w:rPr>
              <w:t>3F，砖混结构，</w:t>
            </w:r>
            <w:r>
              <w:rPr>
                <w:rFonts w:hint="eastAsia"/>
                <w:color w:val="FF0000"/>
                <w:szCs w:val="21"/>
                <w:u w:val="wave"/>
              </w:rPr>
              <w:t>建筑面积约</w:t>
            </w:r>
            <w:r>
              <w:rPr>
                <w:rFonts w:hint="eastAsia"/>
                <w:color w:val="FF0000"/>
                <w:szCs w:val="21"/>
                <w:u w:val="wave"/>
                <w:lang w:val="en-US" w:eastAsia="zh-CN"/>
              </w:rPr>
              <w:t>600</w:t>
            </w:r>
            <w:r>
              <w:rPr>
                <w:rFonts w:hint="eastAsia"/>
                <w:color w:val="FF0000"/>
                <w:szCs w:val="21"/>
                <w:u w:val="wave"/>
              </w:rPr>
              <w:t>m</w:t>
            </w:r>
            <w:r>
              <w:rPr>
                <w:rFonts w:hint="eastAsia"/>
                <w:color w:val="FF0000"/>
                <w:szCs w:val="21"/>
                <w:u w:val="wave"/>
                <w:vertAlign w:val="superscript"/>
              </w:rPr>
              <w:t>2</w:t>
            </w:r>
            <w:r>
              <w:rPr>
                <w:rFonts w:hint="eastAsia"/>
                <w:color w:val="FF0000"/>
                <w:szCs w:val="21"/>
                <w:u w:val="wave"/>
              </w:rPr>
              <w:t>，</w:t>
            </w:r>
            <w:r>
              <w:rPr>
                <w:color w:val="FF0000"/>
                <w:szCs w:val="21"/>
                <w:u w:val="wave"/>
              </w:rPr>
              <w:t>位于厂区中部</w:t>
            </w:r>
          </w:p>
        </w:tc>
        <w:tc>
          <w:tcPr>
            <w:tcW w:w="438" w:type="pct"/>
            <w:vAlign w:val="center"/>
          </w:tcPr>
          <w:p>
            <w:pPr>
              <w:jc w:val="center"/>
              <w:rPr>
                <w:color w:val="FF0000"/>
                <w:szCs w:val="21"/>
                <w:u w:val="wave"/>
              </w:rPr>
            </w:pPr>
            <w:r>
              <w:rPr>
                <w:color w:val="FF0000"/>
                <w:szCs w:val="21"/>
                <w:u w:val="wav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3" w:type="pct"/>
            <w:vMerge w:val="continue"/>
            <w:vAlign w:val="center"/>
          </w:tcPr>
          <w:p>
            <w:pPr>
              <w:jc w:val="center"/>
              <w:rPr>
                <w:color w:val="FF0000"/>
                <w:szCs w:val="21"/>
                <w:u w:val="wave"/>
              </w:rPr>
            </w:pPr>
          </w:p>
        </w:tc>
        <w:tc>
          <w:tcPr>
            <w:tcW w:w="763" w:type="pct"/>
            <w:vAlign w:val="center"/>
          </w:tcPr>
          <w:p>
            <w:pPr>
              <w:jc w:val="center"/>
              <w:rPr>
                <w:rFonts w:hint="eastAsia"/>
                <w:color w:val="FF0000"/>
                <w:szCs w:val="21"/>
                <w:u w:val="wave"/>
                <w:lang w:val="en-US" w:eastAsia="zh-CN"/>
              </w:rPr>
            </w:pPr>
            <w:r>
              <w:rPr>
                <w:rFonts w:hint="eastAsia"/>
                <w:color w:val="FF0000"/>
                <w:szCs w:val="21"/>
                <w:u w:val="wave"/>
                <w:lang w:val="en-US" w:eastAsia="zh-CN"/>
              </w:rPr>
              <w:t>东部宿舍楼</w:t>
            </w:r>
          </w:p>
        </w:tc>
        <w:tc>
          <w:tcPr>
            <w:tcW w:w="3394" w:type="pct"/>
            <w:vAlign w:val="center"/>
          </w:tcPr>
          <w:p>
            <w:pPr>
              <w:jc w:val="center"/>
              <w:rPr>
                <w:rFonts w:hint="default" w:eastAsia="宋体"/>
                <w:color w:val="FF0000"/>
                <w:szCs w:val="21"/>
                <w:u w:val="wave"/>
                <w:lang w:val="en-US" w:eastAsia="zh-CN"/>
              </w:rPr>
            </w:pPr>
            <w:r>
              <w:rPr>
                <w:rFonts w:hint="eastAsia"/>
                <w:color w:val="FF0000"/>
                <w:szCs w:val="21"/>
                <w:u w:val="wave"/>
                <w:lang w:val="en-US" w:eastAsia="zh-CN"/>
              </w:rPr>
              <w:t>1</w:t>
            </w:r>
            <w:r>
              <w:rPr>
                <w:rFonts w:hint="eastAsia"/>
                <w:color w:val="FF0000"/>
                <w:szCs w:val="21"/>
                <w:u w:val="wave"/>
              </w:rPr>
              <w:t>栋，</w:t>
            </w:r>
            <w:r>
              <w:rPr>
                <w:rFonts w:hint="eastAsia"/>
                <w:color w:val="FF0000"/>
                <w:szCs w:val="21"/>
                <w:u w:val="wave"/>
                <w:lang w:val="en-US" w:eastAsia="zh-CN"/>
              </w:rPr>
              <w:t>3F，砖混结构，</w:t>
            </w:r>
            <w:r>
              <w:rPr>
                <w:rFonts w:hint="eastAsia"/>
                <w:color w:val="FF0000"/>
                <w:szCs w:val="21"/>
                <w:u w:val="wave"/>
              </w:rPr>
              <w:t>建筑面积约</w:t>
            </w:r>
            <w:r>
              <w:rPr>
                <w:rFonts w:hint="eastAsia"/>
                <w:color w:val="FF0000"/>
                <w:szCs w:val="21"/>
                <w:u w:val="wave"/>
                <w:lang w:val="en-US" w:eastAsia="zh-CN"/>
              </w:rPr>
              <w:t>600</w:t>
            </w:r>
            <w:r>
              <w:rPr>
                <w:rFonts w:hint="eastAsia"/>
                <w:color w:val="FF0000"/>
                <w:szCs w:val="21"/>
                <w:u w:val="wave"/>
              </w:rPr>
              <w:t>m</w:t>
            </w:r>
            <w:r>
              <w:rPr>
                <w:rFonts w:hint="eastAsia"/>
                <w:color w:val="FF0000"/>
                <w:szCs w:val="21"/>
                <w:u w:val="wave"/>
                <w:vertAlign w:val="superscript"/>
              </w:rPr>
              <w:t>2</w:t>
            </w:r>
            <w:r>
              <w:rPr>
                <w:rFonts w:hint="eastAsia"/>
                <w:color w:val="FF0000"/>
                <w:szCs w:val="21"/>
                <w:u w:val="wave"/>
              </w:rPr>
              <w:t>，</w:t>
            </w:r>
            <w:r>
              <w:rPr>
                <w:color w:val="FF0000"/>
                <w:szCs w:val="21"/>
                <w:u w:val="wave"/>
              </w:rPr>
              <w:t>位于厂区</w:t>
            </w:r>
            <w:r>
              <w:rPr>
                <w:rFonts w:hint="eastAsia"/>
                <w:color w:val="FF0000"/>
                <w:szCs w:val="21"/>
                <w:u w:val="wave"/>
                <w:lang w:val="en-US" w:eastAsia="zh-CN"/>
              </w:rPr>
              <w:t>东南面</w:t>
            </w:r>
          </w:p>
        </w:tc>
        <w:tc>
          <w:tcPr>
            <w:tcW w:w="438" w:type="pct"/>
            <w:vAlign w:val="center"/>
          </w:tcPr>
          <w:p>
            <w:pPr>
              <w:jc w:val="center"/>
              <w:rPr>
                <w:color w:val="FF0000"/>
                <w:szCs w:val="21"/>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3" w:type="pct"/>
            <w:vMerge w:val="continue"/>
            <w:vAlign w:val="center"/>
          </w:tcPr>
          <w:p>
            <w:pPr>
              <w:jc w:val="center"/>
              <w:rPr>
                <w:color w:val="FF0000"/>
                <w:szCs w:val="21"/>
                <w:u w:val="wave"/>
              </w:rPr>
            </w:pPr>
          </w:p>
        </w:tc>
        <w:tc>
          <w:tcPr>
            <w:tcW w:w="763" w:type="pct"/>
            <w:vAlign w:val="center"/>
          </w:tcPr>
          <w:p>
            <w:pPr>
              <w:jc w:val="center"/>
              <w:rPr>
                <w:rFonts w:hint="eastAsia" w:eastAsia="宋体"/>
                <w:color w:val="FF0000"/>
                <w:szCs w:val="21"/>
                <w:u w:val="wave"/>
                <w:lang w:val="en-US" w:eastAsia="zh-CN"/>
              </w:rPr>
            </w:pPr>
            <w:r>
              <w:rPr>
                <w:rFonts w:hint="eastAsia"/>
                <w:color w:val="FF0000"/>
                <w:szCs w:val="21"/>
                <w:u w:val="wave"/>
                <w:lang w:val="en-US" w:eastAsia="zh-CN"/>
              </w:rPr>
              <w:t>食堂</w:t>
            </w:r>
          </w:p>
        </w:tc>
        <w:tc>
          <w:tcPr>
            <w:tcW w:w="3394" w:type="pct"/>
            <w:vAlign w:val="center"/>
          </w:tcPr>
          <w:p>
            <w:pPr>
              <w:jc w:val="center"/>
              <w:rPr>
                <w:rFonts w:hint="eastAsia"/>
                <w:color w:val="FF0000"/>
                <w:szCs w:val="21"/>
                <w:u w:val="wave"/>
              </w:rPr>
            </w:pPr>
            <w:r>
              <w:rPr>
                <w:rFonts w:hint="eastAsia"/>
                <w:color w:val="FF0000"/>
                <w:szCs w:val="21"/>
                <w:u w:val="wave"/>
                <w:lang w:val="en-US" w:eastAsia="zh-CN"/>
              </w:rPr>
              <w:t>1</w:t>
            </w:r>
            <w:r>
              <w:rPr>
                <w:rFonts w:hint="eastAsia"/>
                <w:color w:val="FF0000"/>
                <w:szCs w:val="21"/>
                <w:u w:val="wave"/>
              </w:rPr>
              <w:t>栋，</w:t>
            </w:r>
            <w:r>
              <w:rPr>
                <w:rFonts w:hint="eastAsia"/>
                <w:color w:val="FF0000"/>
                <w:szCs w:val="21"/>
                <w:u w:val="wave"/>
                <w:lang w:val="en-US" w:eastAsia="zh-CN"/>
              </w:rPr>
              <w:t>1F，砖混结构，</w:t>
            </w:r>
            <w:r>
              <w:rPr>
                <w:rFonts w:hint="eastAsia"/>
                <w:color w:val="FF0000"/>
                <w:szCs w:val="21"/>
                <w:u w:val="wave"/>
              </w:rPr>
              <w:t>建筑面积约</w:t>
            </w:r>
            <w:r>
              <w:rPr>
                <w:rFonts w:hint="eastAsia"/>
                <w:color w:val="FF0000"/>
                <w:szCs w:val="21"/>
                <w:u w:val="wave"/>
                <w:lang w:val="en-US" w:eastAsia="zh-CN"/>
              </w:rPr>
              <w:t>75</w:t>
            </w:r>
            <w:r>
              <w:rPr>
                <w:rFonts w:hint="eastAsia"/>
                <w:color w:val="FF0000"/>
                <w:szCs w:val="21"/>
                <w:u w:val="wave"/>
              </w:rPr>
              <w:t>m</w:t>
            </w:r>
            <w:r>
              <w:rPr>
                <w:rFonts w:hint="eastAsia"/>
                <w:color w:val="FF0000"/>
                <w:szCs w:val="21"/>
                <w:u w:val="wave"/>
                <w:vertAlign w:val="superscript"/>
              </w:rPr>
              <w:t>2</w:t>
            </w:r>
            <w:r>
              <w:rPr>
                <w:rFonts w:hint="eastAsia"/>
                <w:color w:val="FF0000"/>
                <w:szCs w:val="21"/>
                <w:u w:val="wave"/>
              </w:rPr>
              <w:t>，</w:t>
            </w:r>
            <w:r>
              <w:rPr>
                <w:color w:val="FF0000"/>
                <w:szCs w:val="21"/>
                <w:u w:val="wave"/>
              </w:rPr>
              <w:t>位于厂区中部</w:t>
            </w:r>
          </w:p>
        </w:tc>
        <w:tc>
          <w:tcPr>
            <w:tcW w:w="438" w:type="pct"/>
            <w:vAlign w:val="center"/>
          </w:tcPr>
          <w:p>
            <w:pPr>
              <w:jc w:val="center"/>
              <w:rPr>
                <w:color w:val="FF0000"/>
                <w:szCs w:val="21"/>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3" w:type="pct"/>
            <w:vMerge w:val="continue"/>
            <w:vAlign w:val="center"/>
          </w:tcPr>
          <w:p>
            <w:pPr>
              <w:jc w:val="center"/>
              <w:rPr>
                <w:color w:val="FF0000"/>
                <w:szCs w:val="21"/>
                <w:u w:val="wave"/>
              </w:rPr>
            </w:pPr>
          </w:p>
        </w:tc>
        <w:tc>
          <w:tcPr>
            <w:tcW w:w="763" w:type="pct"/>
            <w:vAlign w:val="center"/>
          </w:tcPr>
          <w:p>
            <w:pPr>
              <w:jc w:val="center"/>
              <w:rPr>
                <w:color w:val="FF0000"/>
                <w:szCs w:val="21"/>
                <w:u w:val="wave"/>
              </w:rPr>
            </w:pPr>
            <w:r>
              <w:rPr>
                <w:rFonts w:hint="eastAsia"/>
                <w:color w:val="FF0000"/>
                <w:szCs w:val="21"/>
                <w:u w:val="wave"/>
                <w:lang w:val="en-US" w:eastAsia="zh-CN"/>
              </w:rPr>
              <w:t>南场</w:t>
            </w:r>
            <w:r>
              <w:rPr>
                <w:rFonts w:hint="eastAsia"/>
                <w:color w:val="FF0000"/>
                <w:szCs w:val="21"/>
                <w:u w:val="wave"/>
              </w:rPr>
              <w:t>鸡粪收集室</w:t>
            </w:r>
          </w:p>
        </w:tc>
        <w:tc>
          <w:tcPr>
            <w:tcW w:w="3394" w:type="pct"/>
            <w:vAlign w:val="center"/>
          </w:tcPr>
          <w:p>
            <w:pPr>
              <w:jc w:val="center"/>
              <w:rPr>
                <w:rFonts w:hint="default" w:eastAsia="宋体"/>
                <w:color w:val="FF0000"/>
                <w:szCs w:val="21"/>
                <w:u w:val="wave"/>
                <w:lang w:val="en-US" w:eastAsia="zh-CN"/>
              </w:rPr>
            </w:pPr>
            <w:r>
              <w:rPr>
                <w:rFonts w:hint="eastAsia"/>
                <w:color w:val="FF0000"/>
                <w:szCs w:val="21"/>
                <w:u w:val="wave"/>
                <w:lang w:val="en-US" w:eastAsia="zh-CN"/>
              </w:rPr>
              <w:t>1</w:t>
            </w:r>
            <w:r>
              <w:rPr>
                <w:rFonts w:hint="eastAsia"/>
                <w:color w:val="FF0000"/>
                <w:szCs w:val="21"/>
                <w:u w:val="wave"/>
              </w:rPr>
              <w:t>栋</w:t>
            </w:r>
            <w:r>
              <w:rPr>
                <w:rFonts w:hint="eastAsia"/>
                <w:bCs/>
                <w:color w:val="FF0000"/>
                <w:u w:val="wave"/>
                <w:lang w:val="en-US" w:eastAsia="zh-CN"/>
              </w:rPr>
              <w:t>，</w:t>
            </w:r>
            <w:r>
              <w:rPr>
                <w:rFonts w:hint="eastAsia"/>
                <w:color w:val="FF0000"/>
                <w:szCs w:val="21"/>
                <w:u w:val="wave"/>
              </w:rPr>
              <w:t>单层钢结构</w:t>
            </w:r>
            <w:r>
              <w:rPr>
                <w:rFonts w:hint="eastAsia"/>
                <w:color w:val="FF0000"/>
                <w:szCs w:val="21"/>
                <w:u w:val="wave"/>
                <w:lang w:val="en-US" w:eastAsia="zh-CN"/>
              </w:rPr>
              <w:t>封闭式车间</w:t>
            </w:r>
            <w:r>
              <w:rPr>
                <w:rFonts w:hint="eastAsia"/>
                <w:color w:val="FF0000"/>
                <w:szCs w:val="21"/>
                <w:u w:val="wave"/>
                <w:lang w:eastAsia="zh-CN"/>
              </w:rPr>
              <w:t>，</w:t>
            </w:r>
            <w:r>
              <w:rPr>
                <w:rFonts w:hint="eastAsia"/>
                <w:color w:val="FF0000"/>
                <w:szCs w:val="21"/>
                <w:u w:val="wave"/>
              </w:rPr>
              <w:t>建筑面积约932.87m</w:t>
            </w:r>
            <w:r>
              <w:rPr>
                <w:rFonts w:hint="eastAsia"/>
                <w:color w:val="FF0000"/>
                <w:szCs w:val="21"/>
                <w:u w:val="wave"/>
                <w:vertAlign w:val="superscript"/>
              </w:rPr>
              <w:t>2</w:t>
            </w:r>
            <w:r>
              <w:rPr>
                <w:color w:val="FF0000"/>
                <w:szCs w:val="21"/>
                <w:u w:val="wave"/>
              </w:rPr>
              <w:t>，位于</w:t>
            </w:r>
            <w:r>
              <w:rPr>
                <w:rFonts w:hint="eastAsia"/>
                <w:color w:val="FF0000"/>
                <w:szCs w:val="21"/>
                <w:u w:val="wave"/>
                <w:lang w:val="en-US" w:eastAsia="zh-CN"/>
              </w:rPr>
              <w:t>南场蛋鸡舍西北角</w:t>
            </w:r>
          </w:p>
        </w:tc>
        <w:tc>
          <w:tcPr>
            <w:tcW w:w="438" w:type="pct"/>
            <w:vAlign w:val="center"/>
          </w:tcPr>
          <w:p>
            <w:pPr>
              <w:jc w:val="center"/>
              <w:rPr>
                <w:color w:val="FF0000"/>
                <w:szCs w:val="21"/>
                <w:u w:val="wave"/>
              </w:rPr>
            </w:pPr>
            <w:r>
              <w:rPr>
                <w:color w:val="FF0000"/>
                <w:szCs w:val="21"/>
                <w:u w:val="wav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3" w:type="pct"/>
            <w:vMerge w:val="continue"/>
            <w:vAlign w:val="center"/>
          </w:tcPr>
          <w:p>
            <w:pPr>
              <w:jc w:val="center"/>
              <w:rPr>
                <w:color w:val="FF0000"/>
                <w:szCs w:val="21"/>
                <w:u w:val="wave"/>
              </w:rPr>
            </w:pPr>
          </w:p>
        </w:tc>
        <w:tc>
          <w:tcPr>
            <w:tcW w:w="763" w:type="pct"/>
            <w:vAlign w:val="center"/>
          </w:tcPr>
          <w:p>
            <w:pPr>
              <w:jc w:val="center"/>
              <w:rPr>
                <w:rFonts w:hint="eastAsia"/>
                <w:color w:val="FF0000"/>
                <w:szCs w:val="21"/>
                <w:u w:val="wave"/>
              </w:rPr>
            </w:pPr>
            <w:r>
              <w:rPr>
                <w:rFonts w:hint="eastAsia"/>
                <w:color w:val="FF0000"/>
                <w:szCs w:val="21"/>
                <w:u w:val="wave"/>
                <w:lang w:val="en-US" w:eastAsia="zh-CN"/>
              </w:rPr>
              <w:t>东场</w:t>
            </w:r>
            <w:r>
              <w:rPr>
                <w:rFonts w:hint="eastAsia"/>
                <w:color w:val="FF0000"/>
                <w:szCs w:val="21"/>
                <w:u w:val="wave"/>
              </w:rPr>
              <w:t>鸡粪收集室</w:t>
            </w:r>
          </w:p>
        </w:tc>
        <w:tc>
          <w:tcPr>
            <w:tcW w:w="3394" w:type="pct"/>
            <w:vAlign w:val="center"/>
          </w:tcPr>
          <w:p>
            <w:pPr>
              <w:jc w:val="center"/>
              <w:rPr>
                <w:rFonts w:hint="eastAsia"/>
                <w:color w:val="FF0000"/>
                <w:szCs w:val="21"/>
                <w:u w:val="wave"/>
              </w:rPr>
            </w:pPr>
            <w:r>
              <w:rPr>
                <w:rFonts w:hint="eastAsia"/>
                <w:color w:val="FF0000"/>
                <w:szCs w:val="21"/>
                <w:u w:val="wave"/>
                <w:lang w:val="en-US" w:eastAsia="zh-CN"/>
              </w:rPr>
              <w:t>1</w:t>
            </w:r>
            <w:r>
              <w:rPr>
                <w:rFonts w:hint="eastAsia"/>
                <w:color w:val="FF0000"/>
                <w:szCs w:val="21"/>
                <w:u w:val="wave"/>
              </w:rPr>
              <w:t>栋</w:t>
            </w:r>
            <w:r>
              <w:rPr>
                <w:rFonts w:hint="eastAsia"/>
                <w:bCs/>
                <w:color w:val="FF0000"/>
                <w:u w:val="wave"/>
                <w:lang w:val="en-US" w:eastAsia="zh-CN"/>
              </w:rPr>
              <w:t>，</w:t>
            </w:r>
            <w:r>
              <w:rPr>
                <w:rFonts w:hint="eastAsia"/>
                <w:color w:val="FF0000"/>
                <w:szCs w:val="21"/>
                <w:u w:val="wave"/>
              </w:rPr>
              <w:t>单层钢结构</w:t>
            </w:r>
            <w:r>
              <w:rPr>
                <w:rFonts w:hint="eastAsia"/>
                <w:color w:val="FF0000"/>
                <w:szCs w:val="21"/>
                <w:u w:val="wave"/>
                <w:lang w:val="en-US" w:eastAsia="zh-CN"/>
              </w:rPr>
              <w:t>封闭式车间</w:t>
            </w:r>
            <w:r>
              <w:rPr>
                <w:rFonts w:hint="eastAsia"/>
                <w:color w:val="FF0000"/>
                <w:szCs w:val="21"/>
                <w:u w:val="wave"/>
                <w:lang w:eastAsia="zh-CN"/>
              </w:rPr>
              <w:t>，</w:t>
            </w:r>
            <w:r>
              <w:rPr>
                <w:rFonts w:hint="eastAsia"/>
                <w:color w:val="FF0000"/>
                <w:szCs w:val="21"/>
                <w:u w:val="wave"/>
              </w:rPr>
              <w:t>建筑面积约</w:t>
            </w:r>
            <w:r>
              <w:rPr>
                <w:rFonts w:hint="eastAsia"/>
                <w:color w:val="FF0000"/>
                <w:szCs w:val="21"/>
                <w:u w:val="wave"/>
                <w:lang w:val="en-US" w:eastAsia="zh-CN"/>
              </w:rPr>
              <w:t>645</w:t>
            </w:r>
            <w:r>
              <w:rPr>
                <w:rFonts w:hint="eastAsia"/>
                <w:color w:val="FF0000"/>
                <w:szCs w:val="21"/>
                <w:u w:val="wave"/>
              </w:rPr>
              <w:t>m</w:t>
            </w:r>
            <w:r>
              <w:rPr>
                <w:rFonts w:hint="eastAsia"/>
                <w:color w:val="FF0000"/>
                <w:szCs w:val="21"/>
                <w:u w:val="wave"/>
                <w:vertAlign w:val="superscript"/>
              </w:rPr>
              <w:t>2</w:t>
            </w:r>
            <w:r>
              <w:rPr>
                <w:color w:val="FF0000"/>
                <w:szCs w:val="21"/>
                <w:u w:val="wave"/>
              </w:rPr>
              <w:t>，位于</w:t>
            </w:r>
            <w:r>
              <w:rPr>
                <w:rFonts w:hint="eastAsia"/>
                <w:color w:val="FF0000"/>
                <w:szCs w:val="21"/>
                <w:u w:val="wave"/>
                <w:lang w:val="en-US" w:eastAsia="zh-CN"/>
              </w:rPr>
              <w:t>东场蛋鸡舍西北角</w:t>
            </w:r>
          </w:p>
        </w:tc>
        <w:tc>
          <w:tcPr>
            <w:tcW w:w="438" w:type="pct"/>
            <w:vAlign w:val="center"/>
          </w:tcPr>
          <w:p>
            <w:pPr>
              <w:jc w:val="center"/>
              <w:rPr>
                <w:color w:val="FF0000"/>
                <w:szCs w:val="21"/>
                <w:u w:val="wave"/>
              </w:rPr>
            </w:pPr>
            <w:r>
              <w:rPr>
                <w:color w:val="FF0000"/>
                <w:szCs w:val="21"/>
                <w:u w:val="wav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3" w:type="pct"/>
            <w:vMerge w:val="continue"/>
            <w:vAlign w:val="center"/>
          </w:tcPr>
          <w:p>
            <w:pPr>
              <w:jc w:val="center"/>
              <w:rPr>
                <w:color w:val="FF0000"/>
                <w:szCs w:val="21"/>
                <w:u w:val="wave"/>
              </w:rPr>
            </w:pPr>
          </w:p>
        </w:tc>
        <w:tc>
          <w:tcPr>
            <w:tcW w:w="763" w:type="pct"/>
            <w:vAlign w:val="center"/>
          </w:tcPr>
          <w:p>
            <w:pPr>
              <w:jc w:val="center"/>
              <w:rPr>
                <w:color w:val="FF0000"/>
                <w:szCs w:val="21"/>
                <w:u w:val="wave"/>
              </w:rPr>
            </w:pPr>
            <w:r>
              <w:rPr>
                <w:color w:val="FF0000"/>
                <w:szCs w:val="21"/>
                <w:u w:val="wave"/>
              </w:rPr>
              <w:t>备用仓库</w:t>
            </w:r>
          </w:p>
        </w:tc>
        <w:tc>
          <w:tcPr>
            <w:tcW w:w="3394" w:type="pct"/>
            <w:vAlign w:val="center"/>
          </w:tcPr>
          <w:p>
            <w:pPr>
              <w:jc w:val="center"/>
              <w:rPr>
                <w:color w:val="FF0000"/>
                <w:szCs w:val="21"/>
                <w:u w:val="wave"/>
              </w:rPr>
            </w:pPr>
            <w:r>
              <w:rPr>
                <w:rFonts w:hint="eastAsia"/>
                <w:color w:val="FF0000"/>
                <w:szCs w:val="21"/>
                <w:u w:val="wave"/>
              </w:rPr>
              <w:t>1栋，建筑面积约367.92m</w:t>
            </w:r>
            <w:r>
              <w:rPr>
                <w:rFonts w:hint="eastAsia"/>
                <w:color w:val="FF0000"/>
                <w:szCs w:val="21"/>
                <w:u w:val="wave"/>
                <w:vertAlign w:val="superscript"/>
              </w:rPr>
              <w:t>2</w:t>
            </w:r>
            <w:r>
              <w:rPr>
                <w:rFonts w:hint="eastAsia"/>
                <w:color w:val="FF0000"/>
                <w:szCs w:val="21"/>
                <w:u w:val="wave"/>
              </w:rPr>
              <w:t>，1F，用于放置药品、鸡只用具</w:t>
            </w:r>
            <w:r>
              <w:rPr>
                <w:rFonts w:hint="eastAsia"/>
                <w:color w:val="FF0000"/>
                <w:szCs w:val="21"/>
                <w:u w:val="wave"/>
                <w:lang w:eastAsia="zh-CN"/>
              </w:rPr>
              <w:t>、</w:t>
            </w:r>
            <w:r>
              <w:rPr>
                <w:rFonts w:hint="eastAsia"/>
                <w:color w:val="FF0000"/>
                <w:szCs w:val="21"/>
                <w:u w:val="wave"/>
                <w:lang w:val="en-US" w:eastAsia="zh-CN"/>
              </w:rPr>
              <w:t>冷柜</w:t>
            </w:r>
            <w:r>
              <w:rPr>
                <w:rFonts w:hint="eastAsia"/>
                <w:color w:val="FF0000"/>
                <w:szCs w:val="21"/>
                <w:u w:val="wave"/>
              </w:rPr>
              <w:t>等</w:t>
            </w:r>
          </w:p>
        </w:tc>
        <w:tc>
          <w:tcPr>
            <w:tcW w:w="438" w:type="pct"/>
            <w:vAlign w:val="center"/>
          </w:tcPr>
          <w:p>
            <w:pPr>
              <w:jc w:val="center"/>
              <w:rPr>
                <w:color w:val="FF0000"/>
                <w:szCs w:val="21"/>
                <w:u w:val="wave"/>
              </w:rPr>
            </w:pPr>
            <w:r>
              <w:rPr>
                <w:color w:val="FF0000"/>
                <w:szCs w:val="21"/>
                <w:u w:val="wav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3" w:type="pct"/>
            <w:vMerge w:val="continue"/>
            <w:vAlign w:val="center"/>
          </w:tcPr>
          <w:p>
            <w:pPr>
              <w:jc w:val="center"/>
              <w:rPr>
                <w:color w:val="FF0000"/>
                <w:szCs w:val="21"/>
                <w:u w:val="wave"/>
              </w:rPr>
            </w:pPr>
          </w:p>
        </w:tc>
        <w:tc>
          <w:tcPr>
            <w:tcW w:w="763" w:type="pct"/>
            <w:vAlign w:val="center"/>
          </w:tcPr>
          <w:p>
            <w:pPr>
              <w:jc w:val="center"/>
              <w:rPr>
                <w:rFonts w:ascii="Times New Roman" w:hAnsi="Times New Roman" w:eastAsia="宋体" w:cs="Times New Roman"/>
                <w:color w:val="FF0000"/>
                <w:kern w:val="2"/>
                <w:sz w:val="21"/>
                <w:szCs w:val="21"/>
                <w:u w:val="wave"/>
                <w:lang w:val="en-US" w:eastAsia="zh-CN" w:bidi="ar-SA"/>
              </w:rPr>
            </w:pPr>
            <w:r>
              <w:rPr>
                <w:rFonts w:hint="eastAsia"/>
                <w:color w:val="FF0000"/>
                <w:szCs w:val="21"/>
                <w:u w:val="wave"/>
                <w:lang w:val="en-US" w:eastAsia="zh-CN"/>
              </w:rPr>
              <w:t>南场</w:t>
            </w:r>
            <w:r>
              <w:rPr>
                <w:color w:val="FF0000"/>
                <w:szCs w:val="21"/>
                <w:u w:val="wave"/>
              </w:rPr>
              <w:t>发电机房</w:t>
            </w:r>
          </w:p>
        </w:tc>
        <w:tc>
          <w:tcPr>
            <w:tcW w:w="3394" w:type="pct"/>
            <w:vAlign w:val="center"/>
          </w:tcPr>
          <w:p>
            <w:pPr>
              <w:jc w:val="center"/>
              <w:rPr>
                <w:rFonts w:hint="eastAsia" w:ascii="Times New Roman" w:hAnsi="Times New Roman" w:eastAsia="宋体" w:cs="Times New Roman"/>
                <w:color w:val="FF0000"/>
                <w:kern w:val="2"/>
                <w:sz w:val="21"/>
                <w:szCs w:val="21"/>
                <w:u w:val="wave"/>
                <w:lang w:val="en-US" w:eastAsia="zh-CN" w:bidi="ar-SA"/>
              </w:rPr>
            </w:pPr>
            <w:r>
              <w:rPr>
                <w:rFonts w:hint="eastAsia"/>
                <w:color w:val="FF0000"/>
                <w:szCs w:val="21"/>
                <w:u w:val="wave"/>
                <w:lang w:val="en-US" w:eastAsia="zh-CN"/>
              </w:rPr>
              <w:t>1</w:t>
            </w:r>
            <w:r>
              <w:rPr>
                <w:rFonts w:hint="eastAsia"/>
                <w:color w:val="FF0000"/>
                <w:szCs w:val="21"/>
                <w:u w:val="wave"/>
              </w:rPr>
              <w:t>栋</w:t>
            </w:r>
            <w:r>
              <w:rPr>
                <w:rFonts w:hint="eastAsia"/>
                <w:color w:val="FF0000"/>
                <w:szCs w:val="21"/>
                <w:u w:val="wave"/>
                <w:lang w:eastAsia="zh-CN"/>
              </w:rPr>
              <w:t>，</w:t>
            </w:r>
            <w:r>
              <w:rPr>
                <w:rFonts w:hint="eastAsia"/>
                <w:color w:val="FF0000"/>
                <w:szCs w:val="21"/>
                <w:u w:val="wave"/>
                <w:lang w:val="en-US" w:eastAsia="zh-CN"/>
              </w:rPr>
              <w:t>1F，砖混结构</w:t>
            </w:r>
            <w:r>
              <w:rPr>
                <w:rFonts w:hint="eastAsia"/>
                <w:color w:val="FF0000"/>
                <w:szCs w:val="21"/>
                <w:u w:val="wave"/>
              </w:rPr>
              <w:t>，建筑面积约20m</w:t>
            </w:r>
            <w:r>
              <w:rPr>
                <w:rFonts w:hint="eastAsia"/>
                <w:color w:val="FF0000"/>
                <w:szCs w:val="21"/>
                <w:u w:val="wave"/>
                <w:vertAlign w:val="superscript"/>
              </w:rPr>
              <w:t>2</w:t>
            </w:r>
          </w:p>
        </w:tc>
        <w:tc>
          <w:tcPr>
            <w:tcW w:w="438" w:type="pct"/>
            <w:vAlign w:val="center"/>
          </w:tcPr>
          <w:p>
            <w:pPr>
              <w:jc w:val="center"/>
              <w:rPr>
                <w:rFonts w:ascii="Times New Roman" w:hAnsi="Times New Roman" w:eastAsia="宋体" w:cs="Times New Roman"/>
                <w:color w:val="FF0000"/>
                <w:kern w:val="2"/>
                <w:sz w:val="21"/>
                <w:szCs w:val="21"/>
                <w:u w:val="wave"/>
                <w:lang w:val="en-US" w:eastAsia="zh-CN" w:bidi="ar-SA"/>
              </w:rPr>
            </w:pPr>
            <w:r>
              <w:rPr>
                <w:color w:val="FF0000"/>
                <w:szCs w:val="21"/>
                <w:u w:val="wav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3" w:type="pct"/>
            <w:vMerge w:val="continue"/>
            <w:vAlign w:val="center"/>
          </w:tcPr>
          <w:p>
            <w:pPr>
              <w:jc w:val="center"/>
              <w:rPr>
                <w:color w:val="FF0000"/>
                <w:szCs w:val="21"/>
                <w:u w:val="wave"/>
              </w:rPr>
            </w:pPr>
          </w:p>
        </w:tc>
        <w:tc>
          <w:tcPr>
            <w:tcW w:w="763" w:type="pct"/>
            <w:vAlign w:val="center"/>
          </w:tcPr>
          <w:p>
            <w:pPr>
              <w:jc w:val="center"/>
              <w:rPr>
                <w:color w:val="FF0000"/>
                <w:szCs w:val="21"/>
                <w:u w:val="wave"/>
              </w:rPr>
            </w:pPr>
            <w:r>
              <w:rPr>
                <w:rFonts w:hint="eastAsia"/>
                <w:color w:val="FF0000"/>
                <w:szCs w:val="21"/>
                <w:u w:val="wave"/>
                <w:lang w:val="en-US" w:eastAsia="zh-CN"/>
              </w:rPr>
              <w:t>东场</w:t>
            </w:r>
            <w:r>
              <w:rPr>
                <w:color w:val="FF0000"/>
                <w:szCs w:val="21"/>
                <w:u w:val="wave"/>
              </w:rPr>
              <w:t>发电机房</w:t>
            </w:r>
          </w:p>
        </w:tc>
        <w:tc>
          <w:tcPr>
            <w:tcW w:w="3394" w:type="pct"/>
            <w:vAlign w:val="center"/>
          </w:tcPr>
          <w:p>
            <w:pPr>
              <w:jc w:val="center"/>
              <w:rPr>
                <w:rFonts w:hint="default" w:eastAsia="宋体"/>
                <w:color w:val="FF0000"/>
                <w:szCs w:val="21"/>
                <w:u w:val="wave"/>
                <w:lang w:val="en-US" w:eastAsia="zh-CN"/>
              </w:rPr>
            </w:pPr>
            <w:r>
              <w:rPr>
                <w:rFonts w:hint="eastAsia"/>
                <w:color w:val="FF0000"/>
                <w:szCs w:val="21"/>
                <w:u w:val="wave"/>
                <w:lang w:val="en-US" w:eastAsia="zh-CN"/>
              </w:rPr>
              <w:t>1</w:t>
            </w:r>
            <w:r>
              <w:rPr>
                <w:rFonts w:hint="eastAsia"/>
                <w:color w:val="FF0000"/>
                <w:szCs w:val="21"/>
                <w:u w:val="wave"/>
              </w:rPr>
              <w:t>栋</w:t>
            </w:r>
            <w:r>
              <w:rPr>
                <w:rFonts w:hint="eastAsia"/>
                <w:color w:val="FF0000"/>
                <w:szCs w:val="21"/>
                <w:u w:val="wave"/>
                <w:lang w:eastAsia="zh-CN"/>
              </w:rPr>
              <w:t>，</w:t>
            </w:r>
            <w:r>
              <w:rPr>
                <w:rFonts w:hint="eastAsia"/>
                <w:color w:val="FF0000"/>
                <w:szCs w:val="21"/>
                <w:u w:val="wave"/>
                <w:lang w:val="en-US" w:eastAsia="zh-CN"/>
              </w:rPr>
              <w:t>1F，砖混结构</w:t>
            </w:r>
            <w:r>
              <w:rPr>
                <w:rFonts w:hint="eastAsia"/>
                <w:color w:val="FF0000"/>
                <w:szCs w:val="21"/>
                <w:u w:val="wave"/>
              </w:rPr>
              <w:t>，建筑面积约20m</w:t>
            </w:r>
            <w:r>
              <w:rPr>
                <w:rFonts w:hint="eastAsia"/>
                <w:color w:val="FF0000"/>
                <w:szCs w:val="21"/>
                <w:u w:val="wave"/>
                <w:vertAlign w:val="superscript"/>
              </w:rPr>
              <w:t>2</w:t>
            </w:r>
          </w:p>
        </w:tc>
        <w:tc>
          <w:tcPr>
            <w:tcW w:w="438" w:type="pct"/>
            <w:vAlign w:val="center"/>
          </w:tcPr>
          <w:p>
            <w:pPr>
              <w:jc w:val="center"/>
              <w:rPr>
                <w:color w:val="FF0000"/>
                <w:szCs w:val="21"/>
                <w:u w:val="wave"/>
              </w:rPr>
            </w:pPr>
            <w:r>
              <w:rPr>
                <w:color w:val="FF0000"/>
                <w:szCs w:val="21"/>
                <w:u w:val="wav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3" w:type="pct"/>
            <w:vMerge w:val="restart"/>
            <w:vAlign w:val="center"/>
          </w:tcPr>
          <w:p>
            <w:pPr>
              <w:jc w:val="center"/>
              <w:rPr>
                <w:color w:val="FF0000"/>
                <w:szCs w:val="21"/>
                <w:u w:val="wave"/>
              </w:rPr>
            </w:pPr>
            <w:r>
              <w:rPr>
                <w:color w:val="FF0000"/>
                <w:szCs w:val="21"/>
                <w:u w:val="wave"/>
              </w:rPr>
              <w:t>公用工程</w:t>
            </w:r>
          </w:p>
        </w:tc>
        <w:tc>
          <w:tcPr>
            <w:tcW w:w="763" w:type="pct"/>
            <w:vAlign w:val="center"/>
          </w:tcPr>
          <w:p>
            <w:pPr>
              <w:jc w:val="center"/>
              <w:rPr>
                <w:color w:val="FF0000"/>
                <w:szCs w:val="21"/>
                <w:u w:val="wave"/>
              </w:rPr>
            </w:pPr>
            <w:r>
              <w:rPr>
                <w:rFonts w:hint="eastAsia"/>
                <w:color w:val="FF0000"/>
                <w:szCs w:val="21"/>
                <w:u w:val="wave"/>
              </w:rPr>
              <w:t>供水</w:t>
            </w:r>
          </w:p>
        </w:tc>
        <w:tc>
          <w:tcPr>
            <w:tcW w:w="3394" w:type="pct"/>
            <w:vAlign w:val="center"/>
          </w:tcPr>
          <w:p>
            <w:pPr>
              <w:jc w:val="center"/>
              <w:rPr>
                <w:color w:val="FF0000"/>
                <w:szCs w:val="21"/>
                <w:u w:val="wave"/>
              </w:rPr>
            </w:pPr>
            <w:r>
              <w:rPr>
                <w:color w:val="FF0000"/>
                <w:kern w:val="0"/>
                <w:szCs w:val="21"/>
                <w:u w:val="wave"/>
              </w:rPr>
              <w:t>厂区地下水井，建设水井、水塔及供水管网</w:t>
            </w:r>
          </w:p>
        </w:tc>
        <w:tc>
          <w:tcPr>
            <w:tcW w:w="438" w:type="pct"/>
            <w:vAlign w:val="center"/>
          </w:tcPr>
          <w:p>
            <w:pPr>
              <w:jc w:val="center"/>
              <w:rPr>
                <w:color w:val="FF0000"/>
                <w:szCs w:val="21"/>
                <w:u w:val="wave"/>
              </w:rPr>
            </w:pPr>
            <w:r>
              <w:rPr>
                <w:color w:val="FF0000"/>
                <w:szCs w:val="21"/>
                <w:u w:val="wav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3" w:type="pct"/>
            <w:vMerge w:val="continue"/>
            <w:vAlign w:val="center"/>
          </w:tcPr>
          <w:p>
            <w:pPr>
              <w:jc w:val="center"/>
              <w:rPr>
                <w:color w:val="FF0000"/>
                <w:szCs w:val="21"/>
                <w:u w:val="wave"/>
              </w:rPr>
            </w:pPr>
          </w:p>
        </w:tc>
        <w:tc>
          <w:tcPr>
            <w:tcW w:w="763" w:type="pct"/>
            <w:vAlign w:val="center"/>
          </w:tcPr>
          <w:p>
            <w:pPr>
              <w:jc w:val="center"/>
              <w:rPr>
                <w:color w:val="FF0000"/>
                <w:szCs w:val="21"/>
                <w:u w:val="wave"/>
              </w:rPr>
            </w:pPr>
            <w:r>
              <w:rPr>
                <w:rFonts w:hint="eastAsia"/>
                <w:color w:val="FF0000"/>
                <w:szCs w:val="21"/>
                <w:u w:val="wave"/>
              </w:rPr>
              <w:t>排水</w:t>
            </w:r>
          </w:p>
        </w:tc>
        <w:tc>
          <w:tcPr>
            <w:tcW w:w="3394" w:type="pct"/>
            <w:vAlign w:val="center"/>
          </w:tcPr>
          <w:p>
            <w:pPr>
              <w:jc w:val="center"/>
              <w:rPr>
                <w:rFonts w:eastAsiaTheme="minorEastAsia"/>
                <w:color w:val="FF0000"/>
                <w:szCs w:val="21"/>
                <w:u w:val="wave"/>
              </w:rPr>
            </w:pPr>
            <w:r>
              <w:rPr>
                <w:color w:val="FF0000"/>
                <w:kern w:val="0"/>
                <w:szCs w:val="21"/>
                <w:u w:val="wave"/>
              </w:rPr>
              <w:t>雨污分流，</w:t>
            </w:r>
            <w:r>
              <w:rPr>
                <w:rFonts w:hint="eastAsia"/>
                <w:color w:val="FF0000"/>
                <w:kern w:val="0"/>
                <w:szCs w:val="21"/>
                <w:u w:val="wave"/>
              </w:rPr>
              <w:t>雨水沿屋檐落至鸡舍外雨水沟，雨水通过雨水沟直接排出场外；废水经污水处理站（采用“厌氧发酵”）处理后</w:t>
            </w:r>
            <w:r>
              <w:rPr>
                <w:rFonts w:hint="eastAsia"/>
                <w:color w:val="FF0000"/>
                <w:kern w:val="0"/>
                <w:szCs w:val="21"/>
                <w:u w:val="wave"/>
                <w:lang w:eastAsia="zh-CN"/>
              </w:rPr>
              <w:t>用于周边种植基地灌溉</w:t>
            </w:r>
            <w:r>
              <w:rPr>
                <w:rFonts w:hint="eastAsia"/>
                <w:color w:val="FF0000"/>
                <w:kern w:val="0"/>
                <w:szCs w:val="21"/>
                <w:u w:val="wave"/>
              </w:rPr>
              <w:t>，不外排</w:t>
            </w:r>
          </w:p>
        </w:tc>
        <w:tc>
          <w:tcPr>
            <w:tcW w:w="438" w:type="pct"/>
            <w:vAlign w:val="center"/>
          </w:tcPr>
          <w:p>
            <w:pPr>
              <w:jc w:val="center"/>
              <w:rPr>
                <w:color w:val="FF0000"/>
                <w:szCs w:val="21"/>
                <w:u w:val="wave"/>
              </w:rPr>
            </w:pPr>
            <w:r>
              <w:rPr>
                <w:color w:val="FF0000"/>
                <w:szCs w:val="21"/>
                <w:u w:val="wav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3" w:type="pct"/>
            <w:vMerge w:val="continue"/>
            <w:vAlign w:val="center"/>
          </w:tcPr>
          <w:p>
            <w:pPr>
              <w:jc w:val="center"/>
              <w:rPr>
                <w:color w:val="FF0000"/>
                <w:szCs w:val="21"/>
                <w:u w:val="wave"/>
              </w:rPr>
            </w:pPr>
          </w:p>
        </w:tc>
        <w:tc>
          <w:tcPr>
            <w:tcW w:w="763" w:type="pct"/>
            <w:vAlign w:val="center"/>
          </w:tcPr>
          <w:p>
            <w:pPr>
              <w:jc w:val="center"/>
              <w:rPr>
                <w:color w:val="FF0000"/>
                <w:szCs w:val="21"/>
                <w:u w:val="wave"/>
              </w:rPr>
            </w:pPr>
            <w:r>
              <w:rPr>
                <w:rFonts w:hint="eastAsia"/>
                <w:color w:val="FF0000"/>
                <w:szCs w:val="21"/>
                <w:u w:val="wave"/>
              </w:rPr>
              <w:t>供电</w:t>
            </w:r>
          </w:p>
        </w:tc>
        <w:tc>
          <w:tcPr>
            <w:tcW w:w="3394" w:type="pct"/>
            <w:vAlign w:val="center"/>
          </w:tcPr>
          <w:p>
            <w:pPr>
              <w:jc w:val="center"/>
              <w:rPr>
                <w:color w:val="FF0000"/>
                <w:szCs w:val="21"/>
                <w:u w:val="wave"/>
              </w:rPr>
            </w:pPr>
            <w:r>
              <w:rPr>
                <w:color w:val="FF0000"/>
                <w:kern w:val="0"/>
                <w:szCs w:val="21"/>
                <w:u w:val="wave"/>
              </w:rPr>
              <w:t>市政电网供电，</w:t>
            </w:r>
            <w:r>
              <w:rPr>
                <w:rFonts w:hint="eastAsia"/>
                <w:color w:val="FF0000"/>
                <w:szCs w:val="21"/>
                <w:u w:val="wave"/>
              </w:rPr>
              <w:t>东、</w:t>
            </w:r>
            <w:r>
              <w:rPr>
                <w:rFonts w:hint="eastAsia"/>
                <w:color w:val="FF0000"/>
                <w:szCs w:val="21"/>
                <w:u w:val="wave"/>
                <w:lang w:eastAsia="zh-CN"/>
              </w:rPr>
              <w:t>南部养殖区</w:t>
            </w:r>
            <w:r>
              <w:rPr>
                <w:color w:val="FF0000"/>
                <w:kern w:val="0"/>
                <w:szCs w:val="21"/>
                <w:u w:val="wave"/>
              </w:rPr>
              <w:t>均设1台柴油发电机组（</w:t>
            </w:r>
            <w:r>
              <w:rPr>
                <w:rFonts w:hint="eastAsia"/>
                <w:color w:val="FF0000"/>
                <w:kern w:val="0"/>
                <w:szCs w:val="21"/>
                <w:u w:val="wave"/>
              </w:rPr>
              <w:t>50</w:t>
            </w:r>
            <w:r>
              <w:rPr>
                <w:color w:val="FF0000"/>
                <w:kern w:val="0"/>
                <w:szCs w:val="21"/>
                <w:u w:val="wave"/>
              </w:rPr>
              <w:t>0kVA）作为备用电源</w:t>
            </w:r>
          </w:p>
        </w:tc>
        <w:tc>
          <w:tcPr>
            <w:tcW w:w="438" w:type="pct"/>
            <w:vAlign w:val="center"/>
          </w:tcPr>
          <w:p>
            <w:pPr>
              <w:jc w:val="center"/>
              <w:rPr>
                <w:color w:val="FF0000"/>
                <w:szCs w:val="21"/>
                <w:u w:val="wave"/>
              </w:rPr>
            </w:pPr>
            <w:r>
              <w:rPr>
                <w:color w:val="FF0000"/>
                <w:szCs w:val="21"/>
                <w:u w:val="wav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403" w:type="pct"/>
            <w:vMerge w:val="restart"/>
            <w:vAlign w:val="center"/>
          </w:tcPr>
          <w:p>
            <w:pPr>
              <w:jc w:val="center"/>
              <w:rPr>
                <w:color w:val="FF0000"/>
                <w:szCs w:val="21"/>
                <w:u w:val="wave"/>
              </w:rPr>
            </w:pPr>
            <w:r>
              <w:rPr>
                <w:rFonts w:hint="eastAsia"/>
                <w:color w:val="FF0000"/>
                <w:szCs w:val="21"/>
                <w:u w:val="wave"/>
              </w:rPr>
              <w:t>环保工程</w:t>
            </w:r>
          </w:p>
        </w:tc>
        <w:tc>
          <w:tcPr>
            <w:tcW w:w="763" w:type="pct"/>
            <w:vAlign w:val="center"/>
          </w:tcPr>
          <w:p>
            <w:pPr>
              <w:jc w:val="center"/>
              <w:rPr>
                <w:color w:val="FF0000"/>
                <w:szCs w:val="21"/>
                <w:u w:val="wave"/>
              </w:rPr>
            </w:pPr>
            <w:r>
              <w:rPr>
                <w:rFonts w:hint="eastAsia"/>
                <w:color w:val="FF0000"/>
                <w:szCs w:val="21"/>
                <w:u w:val="wave"/>
              </w:rPr>
              <w:t>废水</w:t>
            </w:r>
          </w:p>
        </w:tc>
        <w:tc>
          <w:tcPr>
            <w:tcW w:w="3394" w:type="pct"/>
            <w:vAlign w:val="center"/>
          </w:tcPr>
          <w:p>
            <w:pPr>
              <w:widowControl/>
              <w:jc w:val="center"/>
              <w:rPr>
                <w:rFonts w:eastAsiaTheme="minorEastAsia"/>
                <w:color w:val="FF0000"/>
                <w:kern w:val="0"/>
                <w:szCs w:val="21"/>
                <w:u w:val="wave"/>
              </w:rPr>
            </w:pPr>
            <w:r>
              <w:rPr>
                <w:rFonts w:hint="eastAsia" w:eastAsiaTheme="minorEastAsia"/>
                <w:color w:val="FF0000"/>
                <w:kern w:val="0"/>
                <w:szCs w:val="21"/>
                <w:u w:val="wave"/>
              </w:rPr>
              <w:t>共设2座污水处理站，</w:t>
            </w:r>
            <w:r>
              <w:rPr>
                <w:rFonts w:hint="eastAsia" w:eastAsiaTheme="minorEastAsia"/>
                <w:color w:val="FF0000"/>
                <w:kern w:val="0"/>
                <w:szCs w:val="21"/>
                <w:u w:val="wave"/>
                <w:lang w:eastAsia="zh-CN"/>
              </w:rPr>
              <w:t>南场</w:t>
            </w:r>
            <w:r>
              <w:rPr>
                <w:rFonts w:hint="eastAsia" w:eastAsiaTheme="minorEastAsia"/>
                <w:color w:val="FF0000"/>
                <w:kern w:val="0"/>
                <w:szCs w:val="21"/>
                <w:u w:val="wave"/>
              </w:rPr>
              <w:t>污水处理站收集</w:t>
            </w:r>
            <w:r>
              <w:rPr>
                <w:rFonts w:hint="eastAsia" w:eastAsiaTheme="minorEastAsia"/>
                <w:color w:val="FF0000"/>
                <w:kern w:val="0"/>
                <w:szCs w:val="21"/>
                <w:u w:val="wave"/>
                <w:lang w:eastAsia="zh-CN"/>
              </w:rPr>
              <w:t>南部养殖区</w:t>
            </w:r>
            <w:r>
              <w:rPr>
                <w:rFonts w:hint="eastAsia" w:eastAsiaTheme="minorEastAsia"/>
                <w:color w:val="FF0000"/>
                <w:kern w:val="0"/>
                <w:szCs w:val="21"/>
                <w:u w:val="wave"/>
              </w:rPr>
              <w:t>鸡舍冲洗废水、防尘间喷淋废水和中部生活污水（隔油预处理），</w:t>
            </w:r>
            <w:r>
              <w:rPr>
                <w:rFonts w:hint="eastAsia" w:eastAsiaTheme="minorEastAsia"/>
                <w:color w:val="FF0000"/>
                <w:kern w:val="0"/>
                <w:szCs w:val="21"/>
                <w:u w:val="wave"/>
                <w:lang w:eastAsia="zh-CN"/>
              </w:rPr>
              <w:t>东场</w:t>
            </w:r>
            <w:r>
              <w:rPr>
                <w:rFonts w:hint="eastAsia" w:eastAsiaTheme="minorEastAsia"/>
                <w:color w:val="FF0000"/>
                <w:kern w:val="0"/>
                <w:szCs w:val="21"/>
                <w:u w:val="wave"/>
              </w:rPr>
              <w:t>污水处理站收集东部养殖区鸡舍冲洗废水、防尘间喷淋废水和东部生活污水，废水经污水处理站（采用“厌氧发酵”工艺）处理后用于周边种植基地灌溉，不外排</w:t>
            </w:r>
          </w:p>
        </w:tc>
        <w:tc>
          <w:tcPr>
            <w:tcW w:w="438" w:type="pct"/>
            <w:vAlign w:val="center"/>
          </w:tcPr>
          <w:p>
            <w:pPr>
              <w:jc w:val="center"/>
              <w:rPr>
                <w:color w:val="FF0000"/>
                <w:szCs w:val="21"/>
                <w:u w:val="wave"/>
              </w:rPr>
            </w:pPr>
            <w:r>
              <w:rPr>
                <w:color w:val="FF0000"/>
                <w:szCs w:val="21"/>
                <w:u w:val="wav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3" w:type="pct"/>
            <w:vMerge w:val="continue"/>
            <w:vAlign w:val="center"/>
          </w:tcPr>
          <w:p>
            <w:pPr>
              <w:jc w:val="center"/>
              <w:rPr>
                <w:color w:val="FF0000"/>
                <w:szCs w:val="21"/>
                <w:u w:val="wave"/>
              </w:rPr>
            </w:pPr>
          </w:p>
        </w:tc>
        <w:tc>
          <w:tcPr>
            <w:tcW w:w="763" w:type="pct"/>
            <w:vMerge w:val="restart"/>
            <w:vAlign w:val="center"/>
          </w:tcPr>
          <w:p>
            <w:pPr>
              <w:jc w:val="center"/>
              <w:rPr>
                <w:color w:val="FF0000"/>
                <w:szCs w:val="21"/>
                <w:u w:val="wave"/>
              </w:rPr>
            </w:pPr>
            <w:r>
              <w:rPr>
                <w:rFonts w:hint="eastAsia"/>
                <w:color w:val="FF0000"/>
                <w:szCs w:val="21"/>
                <w:u w:val="wave"/>
              </w:rPr>
              <w:t>废气</w:t>
            </w:r>
          </w:p>
        </w:tc>
        <w:tc>
          <w:tcPr>
            <w:tcW w:w="3394" w:type="pct"/>
            <w:vAlign w:val="center"/>
          </w:tcPr>
          <w:p>
            <w:pPr>
              <w:pStyle w:val="146"/>
              <w:ind w:firstLine="210"/>
              <w:jc w:val="center"/>
              <w:rPr>
                <w:rFonts w:hint="eastAsia" w:ascii="Times New Roman" w:hAnsi="Times New Roman" w:eastAsia="宋体" w:cs="Times New Roman"/>
                <w:color w:val="FF0000"/>
                <w:kern w:val="0"/>
                <w:sz w:val="21"/>
                <w:szCs w:val="21"/>
                <w:u w:val="wave"/>
                <w:lang w:val="en-US" w:eastAsia="zh-CN" w:bidi="ar-SA"/>
              </w:rPr>
            </w:pPr>
            <w:r>
              <w:rPr>
                <w:rFonts w:hint="eastAsia" w:ascii="Times New Roman" w:hAnsi="Times New Roman" w:eastAsia="宋体" w:cs="Times New Roman"/>
                <w:color w:val="FF0000"/>
                <w:kern w:val="0"/>
                <w:sz w:val="21"/>
                <w:szCs w:val="21"/>
                <w:u w:val="wave"/>
                <w:lang w:val="en-US" w:eastAsia="zh-CN" w:bidi="ar-SA"/>
              </w:rPr>
              <w:t>鸡舍恶臭：鸡粪采取带式自动清粪方式，日产日清，鸡舍定期喷洒生物处理液除臭；加强鸡舍通风；优化饲料配方，提高饲养技术，合理调配饲料，饲料中添加EM菌；加强场区内绿化管理，种植较高大的绿色植物</w:t>
            </w:r>
          </w:p>
        </w:tc>
        <w:tc>
          <w:tcPr>
            <w:tcW w:w="438" w:type="pct"/>
            <w:vMerge w:val="restart"/>
            <w:vAlign w:val="center"/>
          </w:tcPr>
          <w:p>
            <w:pPr>
              <w:jc w:val="center"/>
              <w:rPr>
                <w:color w:val="FF0000"/>
                <w:szCs w:val="21"/>
                <w:u w:val="wave"/>
              </w:rPr>
            </w:pPr>
            <w:r>
              <w:rPr>
                <w:color w:val="FF0000"/>
                <w:szCs w:val="21"/>
                <w:u w:val="wav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3" w:type="pct"/>
            <w:vMerge w:val="continue"/>
            <w:vAlign w:val="center"/>
          </w:tcPr>
          <w:p>
            <w:pPr>
              <w:jc w:val="center"/>
              <w:rPr>
                <w:color w:val="FF0000"/>
                <w:szCs w:val="21"/>
                <w:u w:val="wave"/>
              </w:rPr>
            </w:pPr>
          </w:p>
        </w:tc>
        <w:tc>
          <w:tcPr>
            <w:tcW w:w="763" w:type="pct"/>
            <w:vMerge w:val="continue"/>
            <w:vAlign w:val="center"/>
          </w:tcPr>
          <w:p>
            <w:pPr>
              <w:jc w:val="center"/>
              <w:rPr>
                <w:color w:val="FF0000"/>
                <w:szCs w:val="21"/>
                <w:u w:val="wave"/>
              </w:rPr>
            </w:pPr>
          </w:p>
        </w:tc>
        <w:tc>
          <w:tcPr>
            <w:tcW w:w="3394" w:type="pct"/>
            <w:vAlign w:val="center"/>
          </w:tcPr>
          <w:p>
            <w:pPr>
              <w:pStyle w:val="146"/>
              <w:ind w:firstLine="210"/>
              <w:jc w:val="center"/>
              <w:rPr>
                <w:rFonts w:hint="eastAsia" w:ascii="Times New Roman" w:hAnsi="Times New Roman" w:eastAsia="宋体" w:cs="Times New Roman"/>
                <w:color w:val="FF0000"/>
                <w:kern w:val="0"/>
                <w:sz w:val="21"/>
                <w:szCs w:val="21"/>
                <w:u w:val="wave"/>
                <w:lang w:val="en-US" w:eastAsia="zh-CN" w:bidi="ar-SA"/>
              </w:rPr>
            </w:pPr>
            <w:r>
              <w:rPr>
                <w:rFonts w:hint="eastAsia" w:ascii="Times New Roman" w:hAnsi="Times New Roman" w:eastAsia="宋体" w:cs="Times New Roman"/>
                <w:color w:val="FF0000"/>
                <w:kern w:val="0"/>
                <w:sz w:val="21"/>
                <w:szCs w:val="21"/>
                <w:u w:val="wave"/>
                <w:lang w:val="en-US" w:eastAsia="zh-CN" w:bidi="ar-SA"/>
              </w:rPr>
              <w:t>鸡粪室外输送恶臭：设置密封输送廊道、喷雾除臭、加强周边绿化</w:t>
            </w:r>
          </w:p>
        </w:tc>
        <w:tc>
          <w:tcPr>
            <w:tcW w:w="438" w:type="pct"/>
            <w:vMerge w:val="continue"/>
            <w:vAlign w:val="center"/>
          </w:tcPr>
          <w:p>
            <w:pPr>
              <w:jc w:val="center"/>
              <w:rPr>
                <w:color w:val="FF0000"/>
                <w:szCs w:val="21"/>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403" w:type="pct"/>
            <w:vMerge w:val="continue"/>
            <w:vAlign w:val="center"/>
          </w:tcPr>
          <w:p>
            <w:pPr>
              <w:jc w:val="center"/>
              <w:rPr>
                <w:color w:val="FF0000"/>
                <w:szCs w:val="21"/>
                <w:u w:val="wave"/>
              </w:rPr>
            </w:pPr>
          </w:p>
        </w:tc>
        <w:tc>
          <w:tcPr>
            <w:tcW w:w="763" w:type="pct"/>
            <w:vMerge w:val="continue"/>
            <w:vAlign w:val="center"/>
          </w:tcPr>
          <w:p>
            <w:pPr>
              <w:jc w:val="center"/>
              <w:rPr>
                <w:color w:val="FF0000"/>
                <w:szCs w:val="21"/>
                <w:u w:val="wave"/>
              </w:rPr>
            </w:pPr>
          </w:p>
        </w:tc>
        <w:tc>
          <w:tcPr>
            <w:tcW w:w="3394" w:type="pct"/>
            <w:vAlign w:val="center"/>
          </w:tcPr>
          <w:p>
            <w:pPr>
              <w:pStyle w:val="146"/>
              <w:ind w:firstLine="210"/>
              <w:jc w:val="center"/>
              <w:rPr>
                <w:rFonts w:hint="eastAsia" w:ascii="Times New Roman" w:hAnsi="Times New Roman" w:eastAsia="宋体" w:cs="Times New Roman"/>
                <w:color w:val="FF0000"/>
                <w:kern w:val="0"/>
                <w:sz w:val="21"/>
                <w:szCs w:val="21"/>
                <w:u w:val="wave"/>
                <w:lang w:val="en-US" w:eastAsia="zh-CN" w:bidi="ar-SA"/>
              </w:rPr>
            </w:pPr>
            <w:r>
              <w:rPr>
                <w:rFonts w:hint="eastAsia" w:ascii="Times New Roman" w:hAnsi="Times New Roman" w:eastAsia="宋体" w:cs="Times New Roman"/>
                <w:color w:val="FF0000"/>
                <w:kern w:val="0"/>
                <w:sz w:val="21"/>
                <w:szCs w:val="21"/>
                <w:u w:val="wave"/>
                <w:lang w:val="en-US" w:eastAsia="zh-CN" w:bidi="ar-SA"/>
              </w:rPr>
              <w:t>鸡粪收集室恶臭：加强管理，确保鸡粪能够及时清运，冬季堆存时间不大于三天，夏天做到日产日清；保证鸡粪收集室干燥，做好防风、防雨、防渗措施；设置喷雾除臭</w:t>
            </w:r>
          </w:p>
        </w:tc>
        <w:tc>
          <w:tcPr>
            <w:tcW w:w="438" w:type="pct"/>
            <w:vMerge w:val="continue"/>
            <w:vAlign w:val="center"/>
          </w:tcPr>
          <w:p>
            <w:pPr>
              <w:jc w:val="center"/>
              <w:rPr>
                <w:color w:val="FF0000"/>
                <w:szCs w:val="21"/>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3" w:type="pct"/>
            <w:vMerge w:val="continue"/>
            <w:vAlign w:val="center"/>
          </w:tcPr>
          <w:p>
            <w:pPr>
              <w:jc w:val="center"/>
              <w:rPr>
                <w:color w:val="FF0000"/>
                <w:szCs w:val="21"/>
                <w:u w:val="wave"/>
              </w:rPr>
            </w:pPr>
          </w:p>
        </w:tc>
        <w:tc>
          <w:tcPr>
            <w:tcW w:w="763" w:type="pct"/>
            <w:vMerge w:val="continue"/>
            <w:vAlign w:val="center"/>
          </w:tcPr>
          <w:p>
            <w:pPr>
              <w:jc w:val="center"/>
              <w:rPr>
                <w:color w:val="FF0000"/>
                <w:szCs w:val="21"/>
                <w:u w:val="wave"/>
              </w:rPr>
            </w:pPr>
          </w:p>
        </w:tc>
        <w:tc>
          <w:tcPr>
            <w:tcW w:w="3394" w:type="pct"/>
            <w:vAlign w:val="center"/>
          </w:tcPr>
          <w:p>
            <w:pPr>
              <w:pStyle w:val="146"/>
              <w:ind w:firstLine="210"/>
              <w:jc w:val="center"/>
              <w:rPr>
                <w:rFonts w:hint="eastAsia" w:ascii="Times New Roman" w:hAnsi="Times New Roman" w:eastAsia="宋体" w:cs="Times New Roman"/>
                <w:color w:val="FF0000"/>
                <w:kern w:val="0"/>
                <w:sz w:val="21"/>
                <w:szCs w:val="21"/>
                <w:u w:val="wave"/>
                <w:lang w:val="en-US" w:eastAsia="zh-CN" w:bidi="ar-SA"/>
              </w:rPr>
            </w:pPr>
            <w:r>
              <w:rPr>
                <w:rFonts w:hint="eastAsia" w:ascii="Times New Roman" w:hAnsi="Times New Roman" w:eastAsia="宋体" w:cs="Times New Roman"/>
                <w:color w:val="FF0000"/>
                <w:kern w:val="0"/>
                <w:sz w:val="21"/>
                <w:szCs w:val="21"/>
                <w:u w:val="wave"/>
                <w:lang w:val="en-US" w:eastAsia="zh-CN" w:bidi="ar-SA"/>
              </w:rPr>
              <w:t>粉尘：鸡舍地面每日打扫，鸡舍排风尾端设置防尘间封闭，并在排放口上部布置防尘网，设置水雾喷淋系统</w:t>
            </w:r>
          </w:p>
        </w:tc>
        <w:tc>
          <w:tcPr>
            <w:tcW w:w="438" w:type="pct"/>
            <w:vMerge w:val="continue"/>
            <w:vAlign w:val="center"/>
          </w:tcPr>
          <w:p>
            <w:pPr>
              <w:jc w:val="center"/>
              <w:rPr>
                <w:color w:val="FF0000"/>
                <w:szCs w:val="21"/>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403" w:type="pct"/>
            <w:vMerge w:val="continue"/>
            <w:vAlign w:val="center"/>
          </w:tcPr>
          <w:p>
            <w:pPr>
              <w:jc w:val="center"/>
              <w:rPr>
                <w:color w:val="FF0000"/>
                <w:szCs w:val="21"/>
                <w:u w:val="wave"/>
              </w:rPr>
            </w:pPr>
          </w:p>
        </w:tc>
        <w:tc>
          <w:tcPr>
            <w:tcW w:w="763" w:type="pct"/>
            <w:vMerge w:val="continue"/>
            <w:vAlign w:val="center"/>
          </w:tcPr>
          <w:p>
            <w:pPr>
              <w:jc w:val="center"/>
              <w:rPr>
                <w:color w:val="FF0000"/>
                <w:szCs w:val="21"/>
                <w:u w:val="wave"/>
              </w:rPr>
            </w:pPr>
          </w:p>
        </w:tc>
        <w:tc>
          <w:tcPr>
            <w:tcW w:w="3394" w:type="pct"/>
            <w:vAlign w:val="center"/>
          </w:tcPr>
          <w:p>
            <w:pPr>
              <w:widowControl/>
              <w:jc w:val="center"/>
              <w:rPr>
                <w:rFonts w:hint="eastAsia" w:ascii="Times New Roman" w:hAnsi="Times New Roman" w:eastAsia="宋体" w:cs="Times New Roman"/>
                <w:color w:val="FF0000"/>
                <w:kern w:val="0"/>
                <w:sz w:val="21"/>
                <w:szCs w:val="21"/>
                <w:u w:val="wave"/>
                <w:lang w:val="en-US" w:eastAsia="zh-CN" w:bidi="ar-SA"/>
              </w:rPr>
            </w:pPr>
            <w:r>
              <w:rPr>
                <w:rFonts w:hint="eastAsia" w:ascii="Times New Roman" w:hAnsi="Times New Roman" w:eastAsia="宋体" w:cs="Times New Roman"/>
                <w:color w:val="FF0000"/>
                <w:kern w:val="0"/>
                <w:sz w:val="21"/>
                <w:szCs w:val="21"/>
                <w:u w:val="wave"/>
                <w:lang w:val="en-US" w:eastAsia="zh-CN" w:bidi="ar-SA"/>
              </w:rPr>
              <w:t>备用柴油发电机废气：经设备自带尾气净化装置处理后专管高于楼顶排放</w:t>
            </w:r>
          </w:p>
        </w:tc>
        <w:tc>
          <w:tcPr>
            <w:tcW w:w="438" w:type="pct"/>
            <w:vMerge w:val="continue"/>
            <w:vAlign w:val="center"/>
          </w:tcPr>
          <w:p>
            <w:pPr>
              <w:jc w:val="center"/>
              <w:rPr>
                <w:color w:val="FF0000"/>
                <w:szCs w:val="21"/>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3" w:type="pct"/>
            <w:vMerge w:val="continue"/>
            <w:vAlign w:val="center"/>
          </w:tcPr>
          <w:p>
            <w:pPr>
              <w:jc w:val="center"/>
              <w:rPr>
                <w:color w:val="FF0000"/>
                <w:szCs w:val="21"/>
                <w:u w:val="wave"/>
              </w:rPr>
            </w:pPr>
          </w:p>
        </w:tc>
        <w:tc>
          <w:tcPr>
            <w:tcW w:w="763" w:type="pct"/>
            <w:vMerge w:val="continue"/>
            <w:vAlign w:val="center"/>
          </w:tcPr>
          <w:p>
            <w:pPr>
              <w:jc w:val="center"/>
              <w:rPr>
                <w:color w:val="FF0000"/>
                <w:szCs w:val="21"/>
                <w:u w:val="wave"/>
              </w:rPr>
            </w:pPr>
          </w:p>
        </w:tc>
        <w:tc>
          <w:tcPr>
            <w:tcW w:w="3394" w:type="pct"/>
            <w:vAlign w:val="center"/>
          </w:tcPr>
          <w:p>
            <w:pPr>
              <w:widowControl/>
              <w:jc w:val="center"/>
              <w:rPr>
                <w:rFonts w:hint="eastAsia" w:ascii="Times New Roman" w:hAnsi="Times New Roman" w:eastAsia="宋体" w:cs="Times New Roman"/>
                <w:color w:val="FF0000"/>
                <w:kern w:val="0"/>
                <w:sz w:val="21"/>
                <w:szCs w:val="21"/>
                <w:u w:val="wave"/>
                <w:lang w:val="en-US" w:eastAsia="zh-CN" w:bidi="ar-SA"/>
              </w:rPr>
            </w:pPr>
            <w:r>
              <w:rPr>
                <w:rFonts w:hint="eastAsia" w:ascii="Times New Roman" w:hAnsi="Times New Roman" w:eastAsia="宋体" w:cs="Times New Roman"/>
                <w:color w:val="FF0000"/>
                <w:kern w:val="0"/>
                <w:sz w:val="21"/>
                <w:szCs w:val="21"/>
                <w:u w:val="wave"/>
                <w:lang w:val="en-US" w:eastAsia="zh-CN" w:bidi="ar-SA"/>
              </w:rPr>
              <w:t>食堂油烟：高效油烟净化器+引至楼面高空排放</w:t>
            </w:r>
          </w:p>
        </w:tc>
        <w:tc>
          <w:tcPr>
            <w:tcW w:w="438" w:type="pct"/>
            <w:vMerge w:val="continue"/>
            <w:vAlign w:val="center"/>
          </w:tcPr>
          <w:p>
            <w:pPr>
              <w:jc w:val="center"/>
              <w:rPr>
                <w:color w:val="FF0000"/>
                <w:szCs w:val="21"/>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403" w:type="pct"/>
            <w:vMerge w:val="continue"/>
            <w:vAlign w:val="center"/>
          </w:tcPr>
          <w:p>
            <w:pPr>
              <w:jc w:val="center"/>
              <w:rPr>
                <w:color w:val="FF0000"/>
                <w:szCs w:val="21"/>
                <w:u w:val="wave"/>
              </w:rPr>
            </w:pPr>
          </w:p>
        </w:tc>
        <w:tc>
          <w:tcPr>
            <w:tcW w:w="763" w:type="pct"/>
            <w:vAlign w:val="center"/>
          </w:tcPr>
          <w:p>
            <w:pPr>
              <w:jc w:val="center"/>
              <w:rPr>
                <w:color w:val="FF0000"/>
                <w:szCs w:val="21"/>
                <w:u w:val="wave"/>
              </w:rPr>
            </w:pPr>
            <w:r>
              <w:rPr>
                <w:rFonts w:hint="eastAsia"/>
                <w:color w:val="FF0000"/>
                <w:szCs w:val="21"/>
                <w:u w:val="wave"/>
              </w:rPr>
              <w:t>噪声</w:t>
            </w:r>
          </w:p>
        </w:tc>
        <w:tc>
          <w:tcPr>
            <w:tcW w:w="3394" w:type="pct"/>
            <w:vAlign w:val="center"/>
          </w:tcPr>
          <w:p>
            <w:pPr>
              <w:widowControl/>
              <w:jc w:val="center"/>
              <w:rPr>
                <w:rFonts w:hint="eastAsia" w:ascii="Times New Roman" w:hAnsi="Times New Roman" w:eastAsia="宋体" w:cs="Times New Roman"/>
                <w:color w:val="FF0000"/>
                <w:kern w:val="0"/>
                <w:sz w:val="21"/>
                <w:szCs w:val="21"/>
                <w:u w:val="wave"/>
                <w:lang w:val="en-US" w:eastAsia="zh-CN" w:bidi="ar-SA"/>
              </w:rPr>
            </w:pPr>
            <w:r>
              <w:rPr>
                <w:rFonts w:hint="eastAsia" w:ascii="Times New Roman" w:hAnsi="Times New Roman" w:eastAsia="宋体" w:cs="Times New Roman"/>
                <w:color w:val="FF0000"/>
                <w:kern w:val="0"/>
                <w:sz w:val="21"/>
                <w:szCs w:val="21"/>
                <w:u w:val="wave"/>
                <w:lang w:val="en-US" w:eastAsia="zh-CN" w:bidi="ar-SA"/>
              </w:rPr>
              <w:t>选购性能良好的设备、隔声间、消声减震设施</w:t>
            </w:r>
          </w:p>
        </w:tc>
        <w:tc>
          <w:tcPr>
            <w:tcW w:w="438" w:type="pct"/>
            <w:vAlign w:val="center"/>
          </w:tcPr>
          <w:p>
            <w:pPr>
              <w:jc w:val="center"/>
              <w:rPr>
                <w:color w:val="FF0000"/>
                <w:szCs w:val="21"/>
                <w:u w:val="wave"/>
              </w:rPr>
            </w:pPr>
            <w:r>
              <w:rPr>
                <w:color w:val="FF0000"/>
                <w:szCs w:val="21"/>
                <w:u w:val="wav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3" w:type="pct"/>
            <w:vMerge w:val="continue"/>
            <w:vAlign w:val="center"/>
          </w:tcPr>
          <w:p>
            <w:pPr>
              <w:jc w:val="center"/>
              <w:rPr>
                <w:color w:val="FF0000"/>
                <w:szCs w:val="21"/>
                <w:u w:val="wave"/>
              </w:rPr>
            </w:pPr>
          </w:p>
        </w:tc>
        <w:tc>
          <w:tcPr>
            <w:tcW w:w="763" w:type="pct"/>
            <w:vMerge w:val="restart"/>
            <w:vAlign w:val="center"/>
          </w:tcPr>
          <w:p>
            <w:pPr>
              <w:jc w:val="center"/>
              <w:rPr>
                <w:color w:val="FF0000"/>
                <w:szCs w:val="21"/>
                <w:u w:val="wave"/>
              </w:rPr>
            </w:pPr>
            <w:r>
              <w:rPr>
                <w:rFonts w:hint="eastAsia"/>
                <w:color w:val="FF0000"/>
                <w:szCs w:val="21"/>
                <w:u w:val="wave"/>
              </w:rPr>
              <w:t>固废</w:t>
            </w:r>
          </w:p>
        </w:tc>
        <w:tc>
          <w:tcPr>
            <w:tcW w:w="3394" w:type="pct"/>
            <w:vAlign w:val="center"/>
          </w:tcPr>
          <w:p>
            <w:pPr>
              <w:pStyle w:val="146"/>
              <w:ind w:firstLine="210"/>
              <w:jc w:val="center"/>
              <w:rPr>
                <w:rFonts w:hint="eastAsia" w:ascii="Times New Roman" w:hAnsi="Times New Roman" w:eastAsia="宋体" w:cs="Times New Roman"/>
                <w:color w:val="FF0000"/>
                <w:kern w:val="0"/>
                <w:sz w:val="21"/>
                <w:szCs w:val="21"/>
                <w:u w:val="wave"/>
                <w:lang w:val="en-US" w:eastAsia="zh-CN" w:bidi="ar-SA"/>
              </w:rPr>
            </w:pPr>
            <w:r>
              <w:rPr>
                <w:rFonts w:hint="eastAsia" w:ascii="Times New Roman" w:hAnsi="Times New Roman" w:eastAsia="宋体" w:cs="Times New Roman"/>
                <w:color w:val="FF0000"/>
                <w:kern w:val="0"/>
                <w:sz w:val="21"/>
                <w:szCs w:val="21"/>
                <w:u w:val="wave"/>
                <w:lang w:val="en-US" w:eastAsia="zh-CN" w:bidi="ar-SA"/>
              </w:rPr>
              <w:t>鸡粪：鸡粪采用自动干清粪清掏排出鸡舍后，部分直接拉走依托台源蛋鸡养殖一场好氧发酵罐制有机肥；剩余部分则直接拉走外售衡阳县沛科生态科技有限责任公司制有机肥，在衡阳县沛科生态科技有限责任公司进行发酵预处理，不在本厂区进行预处理，在鸡粪收集室内堆存时间很短</w:t>
            </w:r>
          </w:p>
        </w:tc>
        <w:tc>
          <w:tcPr>
            <w:tcW w:w="438" w:type="pct"/>
            <w:vMerge w:val="restart"/>
            <w:vAlign w:val="center"/>
          </w:tcPr>
          <w:p>
            <w:pPr>
              <w:jc w:val="center"/>
              <w:rPr>
                <w:color w:val="FF0000"/>
                <w:szCs w:val="21"/>
                <w:u w:val="wave"/>
              </w:rPr>
            </w:pPr>
            <w:r>
              <w:rPr>
                <w:color w:val="FF0000"/>
                <w:szCs w:val="21"/>
                <w:u w:val="wav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3" w:type="pct"/>
            <w:vMerge w:val="continue"/>
            <w:vAlign w:val="center"/>
          </w:tcPr>
          <w:p>
            <w:pPr>
              <w:jc w:val="center"/>
              <w:rPr>
                <w:color w:val="FF0000"/>
                <w:szCs w:val="21"/>
                <w:u w:val="wave"/>
              </w:rPr>
            </w:pPr>
          </w:p>
        </w:tc>
        <w:tc>
          <w:tcPr>
            <w:tcW w:w="763" w:type="pct"/>
            <w:vMerge w:val="continue"/>
            <w:vAlign w:val="center"/>
          </w:tcPr>
          <w:p>
            <w:pPr>
              <w:jc w:val="center"/>
              <w:rPr>
                <w:color w:val="FF0000"/>
                <w:szCs w:val="21"/>
                <w:u w:val="wave"/>
              </w:rPr>
            </w:pPr>
          </w:p>
        </w:tc>
        <w:tc>
          <w:tcPr>
            <w:tcW w:w="3394" w:type="pct"/>
            <w:vAlign w:val="center"/>
          </w:tcPr>
          <w:p>
            <w:pPr>
              <w:widowControl/>
              <w:jc w:val="center"/>
              <w:rPr>
                <w:rFonts w:eastAsiaTheme="minorEastAsia"/>
                <w:color w:val="FF0000"/>
                <w:kern w:val="0"/>
                <w:szCs w:val="21"/>
                <w:u w:val="wave"/>
              </w:rPr>
            </w:pPr>
            <w:r>
              <w:rPr>
                <w:rFonts w:hint="eastAsia" w:eastAsiaTheme="minorEastAsia"/>
                <w:color w:val="FF0000"/>
                <w:kern w:val="0"/>
                <w:szCs w:val="21"/>
                <w:u w:val="wave"/>
              </w:rPr>
              <w:t>病死鸡</w:t>
            </w:r>
            <w:r>
              <w:rPr>
                <w:color w:val="FF0000"/>
                <w:szCs w:val="21"/>
                <w:u w:val="wave"/>
              </w:rPr>
              <w:t>：消</w:t>
            </w:r>
            <w:r>
              <w:rPr>
                <w:rFonts w:hint="eastAsia" w:eastAsiaTheme="minorEastAsia"/>
                <w:color w:val="FF0000"/>
                <w:kern w:val="0"/>
                <w:szCs w:val="21"/>
                <w:u w:val="wave"/>
              </w:rPr>
              <w:t>毒后袋装化，存放于病死鸡暂存间的冷冻冰柜中，病死鸡暂存间采取“四防”措施，并配备消毒液消毒，定期由畜禽无害化资质单位清运处置</w:t>
            </w:r>
          </w:p>
        </w:tc>
        <w:tc>
          <w:tcPr>
            <w:tcW w:w="438" w:type="pct"/>
            <w:vMerge w:val="continue"/>
            <w:vAlign w:val="center"/>
          </w:tcPr>
          <w:p>
            <w:pPr>
              <w:jc w:val="center"/>
              <w:rPr>
                <w:color w:val="FF0000"/>
                <w:szCs w:val="21"/>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403" w:type="pct"/>
            <w:vMerge w:val="continue"/>
            <w:vAlign w:val="center"/>
          </w:tcPr>
          <w:p>
            <w:pPr>
              <w:jc w:val="center"/>
              <w:rPr>
                <w:color w:val="FF0000"/>
                <w:szCs w:val="21"/>
                <w:u w:val="wave"/>
              </w:rPr>
            </w:pPr>
          </w:p>
        </w:tc>
        <w:tc>
          <w:tcPr>
            <w:tcW w:w="763" w:type="pct"/>
            <w:vMerge w:val="continue"/>
            <w:vAlign w:val="center"/>
          </w:tcPr>
          <w:p>
            <w:pPr>
              <w:jc w:val="center"/>
              <w:rPr>
                <w:color w:val="FF0000"/>
                <w:szCs w:val="21"/>
                <w:u w:val="wave"/>
              </w:rPr>
            </w:pPr>
          </w:p>
        </w:tc>
        <w:tc>
          <w:tcPr>
            <w:tcW w:w="3394" w:type="pct"/>
            <w:vAlign w:val="center"/>
          </w:tcPr>
          <w:p>
            <w:pPr>
              <w:widowControl/>
              <w:jc w:val="center"/>
              <w:rPr>
                <w:rFonts w:eastAsiaTheme="minorEastAsia"/>
                <w:color w:val="FF0000"/>
                <w:kern w:val="0"/>
                <w:szCs w:val="21"/>
                <w:u w:val="wave"/>
              </w:rPr>
            </w:pPr>
            <w:r>
              <w:rPr>
                <w:color w:val="FF0000"/>
                <w:szCs w:val="21"/>
                <w:u w:val="wave"/>
              </w:rPr>
              <w:t>废包装袋：</w:t>
            </w:r>
            <w:r>
              <w:rPr>
                <w:rFonts w:hint="eastAsia"/>
                <w:color w:val="FF0000"/>
                <w:szCs w:val="21"/>
                <w:u w:val="wave"/>
              </w:rPr>
              <w:t>外售废品回收站</w:t>
            </w:r>
          </w:p>
        </w:tc>
        <w:tc>
          <w:tcPr>
            <w:tcW w:w="438" w:type="pct"/>
            <w:vMerge w:val="continue"/>
            <w:vAlign w:val="center"/>
          </w:tcPr>
          <w:p>
            <w:pPr>
              <w:jc w:val="center"/>
              <w:rPr>
                <w:color w:val="FF0000"/>
                <w:szCs w:val="21"/>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3" w:type="pct"/>
            <w:vMerge w:val="continue"/>
            <w:vAlign w:val="center"/>
          </w:tcPr>
          <w:p>
            <w:pPr>
              <w:jc w:val="center"/>
              <w:rPr>
                <w:color w:val="FF0000"/>
                <w:szCs w:val="21"/>
                <w:u w:val="wave"/>
              </w:rPr>
            </w:pPr>
          </w:p>
        </w:tc>
        <w:tc>
          <w:tcPr>
            <w:tcW w:w="763" w:type="pct"/>
            <w:vMerge w:val="continue"/>
            <w:vAlign w:val="center"/>
          </w:tcPr>
          <w:p>
            <w:pPr>
              <w:jc w:val="center"/>
              <w:rPr>
                <w:color w:val="FF0000"/>
                <w:szCs w:val="21"/>
                <w:u w:val="wave"/>
              </w:rPr>
            </w:pPr>
          </w:p>
        </w:tc>
        <w:tc>
          <w:tcPr>
            <w:tcW w:w="3394" w:type="pct"/>
            <w:vAlign w:val="center"/>
          </w:tcPr>
          <w:p>
            <w:pPr>
              <w:widowControl/>
              <w:jc w:val="center"/>
              <w:rPr>
                <w:rFonts w:eastAsiaTheme="minorEastAsia"/>
                <w:color w:val="FF0000"/>
                <w:kern w:val="0"/>
                <w:szCs w:val="21"/>
                <w:u w:val="wave"/>
              </w:rPr>
            </w:pPr>
            <w:r>
              <w:rPr>
                <w:color w:val="FF0000"/>
                <w:szCs w:val="21"/>
                <w:u w:val="wave"/>
              </w:rPr>
              <w:t>不合格蛋：</w:t>
            </w:r>
            <w:r>
              <w:rPr>
                <w:rFonts w:hint="eastAsia"/>
                <w:color w:val="FF0000"/>
                <w:szCs w:val="21"/>
                <w:u w:val="wave"/>
              </w:rPr>
              <w:t>用作企业自养甲鱼饲料</w:t>
            </w:r>
          </w:p>
        </w:tc>
        <w:tc>
          <w:tcPr>
            <w:tcW w:w="438" w:type="pct"/>
            <w:vMerge w:val="continue"/>
            <w:vAlign w:val="center"/>
          </w:tcPr>
          <w:p>
            <w:pPr>
              <w:jc w:val="center"/>
              <w:rPr>
                <w:color w:val="FF0000"/>
                <w:szCs w:val="21"/>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3" w:type="pct"/>
            <w:vMerge w:val="continue"/>
            <w:vAlign w:val="center"/>
          </w:tcPr>
          <w:p>
            <w:pPr>
              <w:jc w:val="center"/>
              <w:rPr>
                <w:color w:val="FF0000"/>
                <w:szCs w:val="21"/>
                <w:u w:val="wave"/>
              </w:rPr>
            </w:pPr>
          </w:p>
        </w:tc>
        <w:tc>
          <w:tcPr>
            <w:tcW w:w="763" w:type="pct"/>
            <w:vMerge w:val="continue"/>
            <w:vAlign w:val="center"/>
          </w:tcPr>
          <w:p>
            <w:pPr>
              <w:jc w:val="center"/>
              <w:rPr>
                <w:color w:val="FF0000"/>
                <w:szCs w:val="21"/>
                <w:u w:val="wave"/>
              </w:rPr>
            </w:pPr>
          </w:p>
        </w:tc>
        <w:tc>
          <w:tcPr>
            <w:tcW w:w="3394" w:type="pct"/>
            <w:vAlign w:val="center"/>
          </w:tcPr>
          <w:p>
            <w:pPr>
              <w:widowControl/>
              <w:jc w:val="center"/>
              <w:rPr>
                <w:color w:val="FF0000"/>
                <w:szCs w:val="21"/>
                <w:u w:val="wave"/>
              </w:rPr>
            </w:pPr>
            <w:r>
              <w:rPr>
                <w:rFonts w:hint="eastAsia" w:eastAsiaTheme="minorEastAsia"/>
                <w:color w:val="FF0000"/>
                <w:szCs w:val="21"/>
                <w:u w:val="wave"/>
              </w:rPr>
              <w:t>饲料渣和脱落的羽毛：</w:t>
            </w:r>
            <w:r>
              <w:rPr>
                <w:rFonts w:hint="eastAsia"/>
                <w:color w:val="FF0000"/>
                <w:szCs w:val="21"/>
                <w:u w:val="wave"/>
              </w:rPr>
              <w:t>经收集后交由当地环卫部门处理</w:t>
            </w:r>
          </w:p>
        </w:tc>
        <w:tc>
          <w:tcPr>
            <w:tcW w:w="438" w:type="pct"/>
            <w:vMerge w:val="continue"/>
            <w:vAlign w:val="center"/>
          </w:tcPr>
          <w:p>
            <w:pPr>
              <w:jc w:val="center"/>
              <w:rPr>
                <w:color w:val="FF0000"/>
                <w:szCs w:val="21"/>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3" w:type="pct"/>
            <w:vMerge w:val="continue"/>
            <w:vAlign w:val="center"/>
          </w:tcPr>
          <w:p>
            <w:pPr>
              <w:jc w:val="center"/>
              <w:rPr>
                <w:color w:val="FF0000"/>
                <w:szCs w:val="21"/>
                <w:u w:val="wave"/>
              </w:rPr>
            </w:pPr>
          </w:p>
        </w:tc>
        <w:tc>
          <w:tcPr>
            <w:tcW w:w="763" w:type="pct"/>
            <w:vMerge w:val="continue"/>
            <w:vAlign w:val="center"/>
          </w:tcPr>
          <w:p>
            <w:pPr>
              <w:jc w:val="center"/>
              <w:rPr>
                <w:color w:val="FF0000"/>
                <w:szCs w:val="21"/>
                <w:u w:val="wave"/>
              </w:rPr>
            </w:pPr>
          </w:p>
        </w:tc>
        <w:tc>
          <w:tcPr>
            <w:tcW w:w="3394" w:type="pct"/>
            <w:vAlign w:val="center"/>
          </w:tcPr>
          <w:p>
            <w:pPr>
              <w:widowControl/>
              <w:jc w:val="center"/>
              <w:rPr>
                <w:rFonts w:eastAsiaTheme="minorEastAsia"/>
                <w:color w:val="FF0000"/>
                <w:kern w:val="0"/>
                <w:szCs w:val="21"/>
                <w:u w:val="wave"/>
              </w:rPr>
            </w:pPr>
            <w:r>
              <w:rPr>
                <w:color w:val="FF0000"/>
                <w:szCs w:val="21"/>
                <w:u w:val="wave"/>
              </w:rPr>
              <w:t>医疗废物：</w:t>
            </w:r>
            <w:r>
              <w:rPr>
                <w:rFonts w:eastAsiaTheme="minorEastAsia"/>
                <w:color w:val="FF0000"/>
                <w:kern w:val="0"/>
                <w:szCs w:val="21"/>
                <w:u w:val="wave"/>
              </w:rPr>
              <w:t>危废暂存间内暂存后交由有资质单位代为处置</w:t>
            </w:r>
          </w:p>
        </w:tc>
        <w:tc>
          <w:tcPr>
            <w:tcW w:w="438" w:type="pct"/>
            <w:vMerge w:val="continue"/>
            <w:vAlign w:val="center"/>
          </w:tcPr>
          <w:p>
            <w:pPr>
              <w:jc w:val="center"/>
              <w:rPr>
                <w:color w:val="FF0000"/>
                <w:szCs w:val="21"/>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3" w:type="pct"/>
            <w:vMerge w:val="continue"/>
            <w:vAlign w:val="center"/>
          </w:tcPr>
          <w:p>
            <w:pPr>
              <w:jc w:val="center"/>
              <w:rPr>
                <w:color w:val="FF0000"/>
                <w:szCs w:val="21"/>
                <w:u w:val="wave"/>
              </w:rPr>
            </w:pPr>
          </w:p>
        </w:tc>
        <w:tc>
          <w:tcPr>
            <w:tcW w:w="763" w:type="pct"/>
            <w:vMerge w:val="continue"/>
            <w:vAlign w:val="center"/>
          </w:tcPr>
          <w:p>
            <w:pPr>
              <w:jc w:val="center"/>
              <w:rPr>
                <w:color w:val="FF0000"/>
                <w:szCs w:val="21"/>
                <w:u w:val="wave"/>
              </w:rPr>
            </w:pPr>
          </w:p>
        </w:tc>
        <w:tc>
          <w:tcPr>
            <w:tcW w:w="3394" w:type="pct"/>
            <w:vAlign w:val="center"/>
          </w:tcPr>
          <w:p>
            <w:pPr>
              <w:widowControl/>
              <w:jc w:val="center"/>
              <w:rPr>
                <w:color w:val="FF0000"/>
                <w:szCs w:val="21"/>
                <w:u w:val="wave"/>
              </w:rPr>
            </w:pPr>
            <w:r>
              <w:rPr>
                <w:rFonts w:eastAsiaTheme="minorEastAsia"/>
                <w:color w:val="FF0000"/>
                <w:kern w:val="0"/>
                <w:szCs w:val="21"/>
                <w:u w:val="wave"/>
              </w:rPr>
              <w:t>生活垃圾：垃圾桶暂存，委托环卫部门定期清运处置</w:t>
            </w:r>
          </w:p>
        </w:tc>
        <w:tc>
          <w:tcPr>
            <w:tcW w:w="438" w:type="pct"/>
            <w:vAlign w:val="center"/>
          </w:tcPr>
          <w:p>
            <w:pPr>
              <w:jc w:val="center"/>
              <w:rPr>
                <w:color w:val="FF0000"/>
                <w:szCs w:val="21"/>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403" w:type="pct"/>
            <w:vMerge w:val="restart"/>
            <w:vAlign w:val="center"/>
          </w:tcPr>
          <w:p>
            <w:pPr>
              <w:jc w:val="center"/>
              <w:rPr>
                <w:color w:val="FF0000"/>
                <w:szCs w:val="21"/>
                <w:u w:val="wave"/>
              </w:rPr>
            </w:pPr>
            <w:r>
              <w:rPr>
                <w:color w:val="FF0000"/>
                <w:szCs w:val="21"/>
                <w:u w:val="wave"/>
              </w:rPr>
              <w:t>其他</w:t>
            </w:r>
          </w:p>
        </w:tc>
        <w:tc>
          <w:tcPr>
            <w:tcW w:w="763" w:type="pct"/>
            <w:vAlign w:val="center"/>
          </w:tcPr>
          <w:p>
            <w:pPr>
              <w:jc w:val="center"/>
              <w:rPr>
                <w:color w:val="FF0000"/>
                <w:szCs w:val="21"/>
                <w:u w:val="wave"/>
              </w:rPr>
            </w:pPr>
            <w:r>
              <w:rPr>
                <w:color w:val="FF0000"/>
                <w:szCs w:val="21"/>
                <w:u w:val="wave"/>
              </w:rPr>
              <w:t>地下水</w:t>
            </w:r>
          </w:p>
        </w:tc>
        <w:tc>
          <w:tcPr>
            <w:tcW w:w="3394" w:type="pct"/>
            <w:vAlign w:val="center"/>
          </w:tcPr>
          <w:p>
            <w:pPr>
              <w:widowControl/>
              <w:jc w:val="center"/>
              <w:rPr>
                <w:rFonts w:eastAsiaTheme="minorEastAsia"/>
                <w:color w:val="FF0000"/>
                <w:kern w:val="0"/>
                <w:szCs w:val="21"/>
                <w:u w:val="wave"/>
              </w:rPr>
            </w:pPr>
            <w:r>
              <w:rPr>
                <w:rFonts w:eastAsiaTheme="minorEastAsia"/>
                <w:color w:val="FF0000"/>
                <w:szCs w:val="21"/>
                <w:u w:val="wave"/>
              </w:rPr>
              <w:t>分区防渗、定期地下水监测等</w:t>
            </w:r>
          </w:p>
        </w:tc>
        <w:tc>
          <w:tcPr>
            <w:tcW w:w="438" w:type="pct"/>
            <w:vAlign w:val="center"/>
          </w:tcPr>
          <w:p>
            <w:pPr>
              <w:jc w:val="center"/>
              <w:rPr>
                <w:color w:val="FF0000"/>
                <w:szCs w:val="21"/>
                <w:u w:val="wave"/>
              </w:rPr>
            </w:pPr>
            <w:r>
              <w:rPr>
                <w:color w:val="FF0000"/>
                <w:szCs w:val="21"/>
                <w:u w:val="wave"/>
              </w:rPr>
              <w:t>新建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3" w:type="pct"/>
            <w:vMerge w:val="continue"/>
            <w:vAlign w:val="center"/>
          </w:tcPr>
          <w:p>
            <w:pPr>
              <w:jc w:val="center"/>
              <w:rPr>
                <w:color w:val="FF0000"/>
                <w:szCs w:val="21"/>
                <w:u w:val="wave"/>
              </w:rPr>
            </w:pPr>
          </w:p>
        </w:tc>
        <w:tc>
          <w:tcPr>
            <w:tcW w:w="763" w:type="pct"/>
            <w:vAlign w:val="center"/>
          </w:tcPr>
          <w:p>
            <w:pPr>
              <w:jc w:val="center"/>
              <w:rPr>
                <w:color w:val="FF0000"/>
                <w:szCs w:val="21"/>
                <w:u w:val="wave"/>
              </w:rPr>
            </w:pPr>
            <w:r>
              <w:rPr>
                <w:color w:val="FF0000"/>
                <w:szCs w:val="21"/>
                <w:u w:val="wave"/>
              </w:rPr>
              <w:t>绿化</w:t>
            </w:r>
          </w:p>
        </w:tc>
        <w:tc>
          <w:tcPr>
            <w:tcW w:w="3394" w:type="pct"/>
            <w:vAlign w:val="center"/>
          </w:tcPr>
          <w:p>
            <w:pPr>
              <w:jc w:val="center"/>
              <w:rPr>
                <w:rFonts w:ascii="宋体" w:cs="宋体" w:hAnsiTheme="minorHAnsi"/>
                <w:color w:val="FF0000"/>
                <w:kern w:val="0"/>
                <w:szCs w:val="21"/>
                <w:u w:val="wave"/>
              </w:rPr>
            </w:pPr>
            <w:r>
              <w:rPr>
                <w:color w:val="FF0000"/>
                <w:szCs w:val="21"/>
                <w:u w:val="wave"/>
              </w:rPr>
              <w:t>加强厂区绿化</w:t>
            </w:r>
          </w:p>
        </w:tc>
        <w:tc>
          <w:tcPr>
            <w:tcW w:w="438" w:type="pct"/>
            <w:vAlign w:val="center"/>
          </w:tcPr>
          <w:p>
            <w:pPr>
              <w:jc w:val="center"/>
              <w:rPr>
                <w:color w:val="FF0000"/>
                <w:szCs w:val="21"/>
                <w:u w:val="wave"/>
              </w:rPr>
            </w:pPr>
            <w:r>
              <w:rPr>
                <w:color w:val="FF0000"/>
                <w:szCs w:val="21"/>
                <w:u w:val="wave"/>
              </w:rPr>
              <w:t>新建</w:t>
            </w:r>
          </w:p>
        </w:tc>
      </w:tr>
    </w:tbl>
    <w:p>
      <w:pPr>
        <w:pStyle w:val="7"/>
        <w:adjustRightInd w:val="0"/>
        <w:snapToGrid w:val="0"/>
        <w:spacing w:before="0" w:after="0" w:line="360" w:lineRule="auto"/>
        <w:jc w:val="left"/>
        <w:rPr>
          <w:sz w:val="24"/>
          <w:szCs w:val="24"/>
        </w:rPr>
      </w:pPr>
      <w:r>
        <w:rPr>
          <w:rFonts w:hint="eastAsia"/>
          <w:sz w:val="24"/>
          <w:szCs w:val="24"/>
        </w:rPr>
        <w:t xml:space="preserve">3.1.2 </w:t>
      </w:r>
      <w:r>
        <w:rPr>
          <w:sz w:val="24"/>
          <w:szCs w:val="24"/>
        </w:rPr>
        <w:t>项目产品方案及存栏量</w:t>
      </w:r>
    </w:p>
    <w:p>
      <w:pPr>
        <w:pStyle w:val="215"/>
        <w:rPr>
          <w:szCs w:val="22"/>
        </w:rPr>
      </w:pPr>
      <w:r>
        <w:rPr>
          <w:rFonts w:hint="eastAsia"/>
          <w:szCs w:val="22"/>
        </w:rPr>
        <w:t>本项目外购</w:t>
      </w:r>
      <w:r>
        <w:rPr>
          <w:rFonts w:hint="eastAsia"/>
          <w:szCs w:val="22"/>
          <w:lang w:eastAsia="zh-CN"/>
        </w:rPr>
        <w:t>105-120</w:t>
      </w:r>
      <w:r>
        <w:rPr>
          <w:rFonts w:hint="eastAsia"/>
          <w:szCs w:val="22"/>
        </w:rPr>
        <w:t>天龄蛋鸡，在本项目内平均饲养400天至淘汰龄后外售，根据建设单位提供的资料，蛋鸡饲养过程存活率为92-94%，平均产蛋率90%（每日鸡蛋产量/蛋鸡数量），不合格蛋率1-1.5%，本环评取蛋鸡存活率94%，不合格蛋率1%计算，主产品鸡蛋年产量=60万×94%×90%×365×99%=18342.126万枚，副产品淘汰鸡年产量=（60万×94%）÷（400÷365）=51.465万羽，项目产品方案详见下表</w:t>
      </w:r>
      <w:r>
        <w:rPr>
          <w:szCs w:val="22"/>
        </w:rPr>
        <w:t>。</w:t>
      </w:r>
    </w:p>
    <w:p>
      <w:pPr>
        <w:spacing w:beforeLines="50"/>
        <w:jc w:val="center"/>
        <w:rPr>
          <w:b/>
        </w:rPr>
      </w:pPr>
      <w:r>
        <w:rPr>
          <w:rFonts w:hint="eastAsia"/>
          <w:b/>
        </w:rPr>
        <w:t>表3.1-2  项目产品方案及存栏量</w:t>
      </w:r>
    </w:p>
    <w:tbl>
      <w:tblPr>
        <w:tblStyle w:val="4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7"/>
        <w:gridCol w:w="1276"/>
        <w:gridCol w:w="2170"/>
        <w:gridCol w:w="1421"/>
        <w:gridCol w:w="1422"/>
        <w:gridCol w:w="14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9" w:type="pct"/>
            <w:vAlign w:val="center"/>
          </w:tcPr>
          <w:p>
            <w:pPr>
              <w:jc w:val="center"/>
              <w:rPr>
                <w:rFonts w:eastAsiaTheme="minorEastAsia"/>
                <w:b/>
                <w:szCs w:val="21"/>
              </w:rPr>
            </w:pPr>
            <w:r>
              <w:rPr>
                <w:rFonts w:hAnsiTheme="minorEastAsia" w:eastAsiaTheme="minorEastAsia"/>
                <w:b/>
                <w:szCs w:val="21"/>
              </w:rPr>
              <w:t>序号</w:t>
            </w:r>
          </w:p>
        </w:tc>
        <w:tc>
          <w:tcPr>
            <w:tcW w:w="748" w:type="pct"/>
            <w:vAlign w:val="center"/>
          </w:tcPr>
          <w:p>
            <w:pPr>
              <w:jc w:val="center"/>
              <w:rPr>
                <w:rFonts w:hAnsiTheme="minorEastAsia" w:eastAsiaTheme="minorEastAsia"/>
                <w:b/>
                <w:szCs w:val="21"/>
              </w:rPr>
            </w:pPr>
            <w:r>
              <w:rPr>
                <w:rFonts w:hAnsiTheme="minorEastAsia" w:eastAsiaTheme="minorEastAsia"/>
                <w:b/>
                <w:szCs w:val="21"/>
              </w:rPr>
              <w:t>主副类型</w:t>
            </w:r>
          </w:p>
        </w:tc>
        <w:tc>
          <w:tcPr>
            <w:tcW w:w="1272" w:type="pct"/>
            <w:vAlign w:val="center"/>
          </w:tcPr>
          <w:p>
            <w:pPr>
              <w:jc w:val="center"/>
              <w:rPr>
                <w:rFonts w:eastAsiaTheme="minorEastAsia"/>
                <w:b/>
                <w:szCs w:val="21"/>
              </w:rPr>
            </w:pPr>
            <w:r>
              <w:rPr>
                <w:rFonts w:hAnsiTheme="minorEastAsia" w:eastAsiaTheme="minorEastAsia"/>
                <w:b/>
                <w:szCs w:val="21"/>
              </w:rPr>
              <w:t>产品名称</w:t>
            </w:r>
          </w:p>
        </w:tc>
        <w:tc>
          <w:tcPr>
            <w:tcW w:w="833" w:type="pct"/>
            <w:vAlign w:val="center"/>
          </w:tcPr>
          <w:p>
            <w:pPr>
              <w:jc w:val="center"/>
              <w:rPr>
                <w:rFonts w:hAnsiTheme="minorEastAsia" w:eastAsiaTheme="minorEastAsia"/>
                <w:b/>
                <w:szCs w:val="21"/>
              </w:rPr>
            </w:pPr>
            <w:r>
              <w:rPr>
                <w:rFonts w:hAnsiTheme="minorEastAsia" w:eastAsiaTheme="minorEastAsia"/>
                <w:b/>
                <w:szCs w:val="21"/>
              </w:rPr>
              <w:t>单位</w:t>
            </w:r>
          </w:p>
        </w:tc>
        <w:tc>
          <w:tcPr>
            <w:tcW w:w="833" w:type="pct"/>
            <w:vAlign w:val="center"/>
          </w:tcPr>
          <w:p>
            <w:pPr>
              <w:jc w:val="center"/>
              <w:rPr>
                <w:rFonts w:eastAsiaTheme="minorEastAsia"/>
                <w:b/>
                <w:szCs w:val="21"/>
              </w:rPr>
            </w:pPr>
            <w:r>
              <w:rPr>
                <w:rFonts w:eastAsiaTheme="minorEastAsia"/>
                <w:b/>
                <w:szCs w:val="21"/>
              </w:rPr>
              <w:t>数量</w:t>
            </w:r>
          </w:p>
        </w:tc>
        <w:tc>
          <w:tcPr>
            <w:tcW w:w="833" w:type="pct"/>
            <w:vAlign w:val="center"/>
          </w:tcPr>
          <w:p>
            <w:pPr>
              <w:jc w:val="center"/>
              <w:rPr>
                <w:rFonts w:eastAsiaTheme="minorEastAsia"/>
                <w:b/>
                <w:szCs w:val="21"/>
              </w:rPr>
            </w:pPr>
            <w:r>
              <w:rPr>
                <w:rFonts w:eastAsiaTheme="minorEastAsia"/>
                <w:b/>
                <w:szCs w:val="21"/>
              </w:rPr>
              <w:t>用途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479" w:type="pct"/>
            <w:vAlign w:val="center"/>
          </w:tcPr>
          <w:p>
            <w:pPr>
              <w:jc w:val="center"/>
              <w:rPr>
                <w:rFonts w:eastAsiaTheme="minorEastAsia"/>
                <w:szCs w:val="21"/>
              </w:rPr>
            </w:pPr>
            <w:r>
              <w:rPr>
                <w:rFonts w:eastAsiaTheme="minorEastAsia"/>
                <w:szCs w:val="21"/>
              </w:rPr>
              <w:t>1</w:t>
            </w:r>
          </w:p>
        </w:tc>
        <w:tc>
          <w:tcPr>
            <w:tcW w:w="748" w:type="pct"/>
            <w:vAlign w:val="center"/>
          </w:tcPr>
          <w:p>
            <w:pPr>
              <w:jc w:val="center"/>
              <w:rPr>
                <w:rFonts w:hAnsiTheme="minorEastAsia" w:eastAsiaTheme="minorEastAsia"/>
                <w:szCs w:val="21"/>
              </w:rPr>
            </w:pPr>
            <w:r>
              <w:rPr>
                <w:rFonts w:hAnsiTheme="minorEastAsia" w:eastAsiaTheme="minorEastAsia"/>
                <w:szCs w:val="21"/>
              </w:rPr>
              <w:t>主产品</w:t>
            </w:r>
          </w:p>
        </w:tc>
        <w:tc>
          <w:tcPr>
            <w:tcW w:w="1272" w:type="pct"/>
            <w:vAlign w:val="center"/>
          </w:tcPr>
          <w:p>
            <w:pPr>
              <w:jc w:val="center"/>
              <w:rPr>
                <w:rFonts w:eastAsiaTheme="minorEastAsia"/>
                <w:szCs w:val="21"/>
              </w:rPr>
            </w:pPr>
            <w:r>
              <w:rPr>
                <w:rFonts w:hAnsiTheme="minorEastAsia" w:eastAsiaTheme="minorEastAsia"/>
                <w:szCs w:val="21"/>
              </w:rPr>
              <w:t>鸡蛋</w:t>
            </w:r>
          </w:p>
        </w:tc>
        <w:tc>
          <w:tcPr>
            <w:tcW w:w="833" w:type="pct"/>
            <w:vAlign w:val="center"/>
          </w:tcPr>
          <w:p>
            <w:pPr>
              <w:jc w:val="center"/>
              <w:rPr>
                <w:rFonts w:eastAsiaTheme="minorEastAsia"/>
                <w:szCs w:val="21"/>
              </w:rPr>
            </w:pPr>
            <w:r>
              <w:rPr>
                <w:rFonts w:hint="eastAsia" w:eastAsiaTheme="minorEastAsia"/>
                <w:szCs w:val="21"/>
              </w:rPr>
              <w:t>万枚/年</w:t>
            </w:r>
          </w:p>
        </w:tc>
        <w:tc>
          <w:tcPr>
            <w:tcW w:w="833" w:type="pct"/>
            <w:vAlign w:val="center"/>
          </w:tcPr>
          <w:p>
            <w:pPr>
              <w:jc w:val="center"/>
              <w:rPr>
                <w:rFonts w:eastAsiaTheme="minorEastAsia"/>
                <w:szCs w:val="21"/>
              </w:rPr>
            </w:pPr>
            <w:r>
              <w:rPr>
                <w:rFonts w:hint="eastAsia" w:eastAsiaTheme="minorEastAsia"/>
                <w:szCs w:val="21"/>
              </w:rPr>
              <w:t>18342.126</w:t>
            </w:r>
          </w:p>
        </w:tc>
        <w:tc>
          <w:tcPr>
            <w:tcW w:w="833" w:type="pct"/>
            <w:vAlign w:val="center"/>
          </w:tcPr>
          <w:p>
            <w:pPr>
              <w:jc w:val="center"/>
              <w:rPr>
                <w:rFonts w:eastAsiaTheme="minorEastAsia"/>
                <w:szCs w:val="21"/>
              </w:rPr>
            </w:pPr>
            <w:r>
              <w:rPr>
                <w:rFonts w:eastAsiaTheme="minorEastAsia"/>
                <w:szCs w:val="21"/>
              </w:rPr>
              <w:t>外售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9" w:type="pct"/>
            <w:vAlign w:val="center"/>
          </w:tcPr>
          <w:p>
            <w:pPr>
              <w:jc w:val="center"/>
              <w:rPr>
                <w:rFonts w:eastAsiaTheme="minorEastAsia"/>
                <w:szCs w:val="21"/>
              </w:rPr>
            </w:pPr>
            <w:r>
              <w:rPr>
                <w:rFonts w:eastAsiaTheme="minorEastAsia"/>
                <w:szCs w:val="21"/>
              </w:rPr>
              <w:t>2</w:t>
            </w:r>
          </w:p>
        </w:tc>
        <w:tc>
          <w:tcPr>
            <w:tcW w:w="748" w:type="pct"/>
            <w:vAlign w:val="center"/>
          </w:tcPr>
          <w:p>
            <w:pPr>
              <w:jc w:val="center"/>
              <w:rPr>
                <w:rFonts w:hAnsiTheme="minorEastAsia" w:eastAsiaTheme="minorEastAsia"/>
                <w:szCs w:val="21"/>
              </w:rPr>
            </w:pPr>
            <w:r>
              <w:rPr>
                <w:rFonts w:hAnsiTheme="minorEastAsia" w:eastAsiaTheme="minorEastAsia"/>
                <w:szCs w:val="21"/>
              </w:rPr>
              <w:t>副产品</w:t>
            </w:r>
          </w:p>
        </w:tc>
        <w:tc>
          <w:tcPr>
            <w:tcW w:w="1272" w:type="pct"/>
            <w:vAlign w:val="center"/>
          </w:tcPr>
          <w:p>
            <w:pPr>
              <w:jc w:val="center"/>
              <w:rPr>
                <w:rFonts w:eastAsiaTheme="minorEastAsia"/>
                <w:szCs w:val="21"/>
              </w:rPr>
            </w:pPr>
            <w:r>
              <w:rPr>
                <w:rFonts w:eastAsiaTheme="minorEastAsia"/>
                <w:szCs w:val="21"/>
              </w:rPr>
              <w:t>淘汰鸡</w:t>
            </w:r>
          </w:p>
        </w:tc>
        <w:tc>
          <w:tcPr>
            <w:tcW w:w="833" w:type="pct"/>
            <w:vAlign w:val="center"/>
          </w:tcPr>
          <w:p>
            <w:pPr>
              <w:jc w:val="center"/>
              <w:rPr>
                <w:rFonts w:eastAsiaTheme="minorEastAsia"/>
                <w:szCs w:val="21"/>
              </w:rPr>
            </w:pPr>
            <w:r>
              <w:rPr>
                <w:rFonts w:hint="eastAsia" w:eastAsiaTheme="minorEastAsia"/>
                <w:szCs w:val="21"/>
              </w:rPr>
              <w:t>万羽/年</w:t>
            </w:r>
          </w:p>
        </w:tc>
        <w:tc>
          <w:tcPr>
            <w:tcW w:w="833" w:type="pct"/>
            <w:vAlign w:val="center"/>
          </w:tcPr>
          <w:p>
            <w:pPr>
              <w:jc w:val="center"/>
              <w:rPr>
                <w:rFonts w:eastAsiaTheme="minorEastAsia"/>
                <w:szCs w:val="21"/>
              </w:rPr>
            </w:pPr>
            <w:r>
              <w:rPr>
                <w:rFonts w:hint="eastAsia" w:eastAsiaTheme="minorEastAsia"/>
                <w:szCs w:val="21"/>
              </w:rPr>
              <w:t>51.465</w:t>
            </w:r>
          </w:p>
        </w:tc>
        <w:tc>
          <w:tcPr>
            <w:tcW w:w="833" w:type="pct"/>
            <w:vAlign w:val="center"/>
          </w:tcPr>
          <w:p>
            <w:pPr>
              <w:jc w:val="center"/>
              <w:rPr>
                <w:rFonts w:eastAsiaTheme="minorEastAsia"/>
                <w:szCs w:val="21"/>
              </w:rPr>
            </w:pPr>
            <w:r>
              <w:rPr>
                <w:rFonts w:eastAsiaTheme="minorEastAsia"/>
                <w:szCs w:val="21"/>
              </w:rPr>
              <w:t>外售</w:t>
            </w:r>
          </w:p>
        </w:tc>
      </w:tr>
    </w:tbl>
    <w:p>
      <w:pPr>
        <w:pStyle w:val="7"/>
        <w:adjustRightInd w:val="0"/>
        <w:snapToGrid w:val="0"/>
        <w:spacing w:before="0" w:after="0" w:line="360" w:lineRule="auto"/>
        <w:jc w:val="left"/>
        <w:rPr>
          <w:sz w:val="24"/>
          <w:szCs w:val="24"/>
        </w:rPr>
      </w:pPr>
      <w:r>
        <w:rPr>
          <w:sz w:val="24"/>
          <w:szCs w:val="24"/>
        </w:rPr>
        <w:t>3.</w:t>
      </w:r>
      <w:r>
        <w:rPr>
          <w:rFonts w:hint="eastAsia"/>
          <w:sz w:val="24"/>
          <w:szCs w:val="24"/>
        </w:rPr>
        <w:t>1.3 主要原辅材料及能源消耗</w:t>
      </w:r>
    </w:p>
    <w:p>
      <w:pPr>
        <w:pStyle w:val="5"/>
        <w:spacing w:after="0" w:line="360" w:lineRule="auto"/>
        <w:ind w:firstLine="482" w:firstLineChars="200"/>
        <w:rPr>
          <w:rFonts w:ascii="Times New Roman" w:hAnsi="Times New Roman" w:eastAsia="宋体" w:cs="Times New Roman"/>
          <w:b/>
          <w:kern w:val="0"/>
          <w:sz w:val="24"/>
          <w:szCs w:val="22"/>
        </w:rPr>
      </w:pPr>
      <w:r>
        <w:rPr>
          <w:rFonts w:hint="eastAsia" w:ascii="Times New Roman" w:hAnsi="Times New Roman" w:eastAsia="宋体" w:cs="Times New Roman"/>
          <w:b/>
          <w:kern w:val="0"/>
          <w:sz w:val="24"/>
          <w:szCs w:val="22"/>
        </w:rPr>
        <w:t>1、</w:t>
      </w:r>
      <w:r>
        <w:rPr>
          <w:rFonts w:ascii="Times New Roman" w:hAnsi="Times New Roman" w:eastAsia="宋体" w:cs="Times New Roman"/>
          <w:b/>
          <w:kern w:val="0"/>
          <w:sz w:val="24"/>
          <w:szCs w:val="22"/>
        </w:rPr>
        <w:t>养鸡饲料</w:t>
      </w:r>
    </w:p>
    <w:p>
      <w:pPr>
        <w:pStyle w:val="5"/>
        <w:spacing w:after="0" w:line="360" w:lineRule="auto"/>
        <w:ind w:firstLine="480" w:firstLineChars="200"/>
        <w:rPr>
          <w:rFonts w:ascii="Times New Roman" w:hAnsi="Times New Roman" w:eastAsia="宋体" w:cs="Times New Roman"/>
          <w:kern w:val="0"/>
          <w:sz w:val="24"/>
          <w:szCs w:val="22"/>
        </w:rPr>
      </w:pPr>
      <w:r>
        <w:rPr>
          <w:rFonts w:ascii="Times New Roman" w:hAnsi="Times New Roman" w:eastAsia="宋体" w:cs="Times New Roman"/>
          <w:kern w:val="0"/>
          <w:sz w:val="24"/>
          <w:szCs w:val="22"/>
        </w:rPr>
        <w:t>根据建设单位提供的资料，本项目使用的饲料以粮食作物为主，饲料成分主要是玉米、豆粕等，饲料直接外购，无需再次加工，主要贮存在饲料塔内，本项目饲料的使用情况见下表。</w:t>
      </w:r>
    </w:p>
    <w:p>
      <w:pPr>
        <w:spacing w:beforeLines="50"/>
        <w:jc w:val="center"/>
        <w:rPr>
          <w:b/>
        </w:rPr>
      </w:pPr>
      <w:r>
        <w:rPr>
          <w:b/>
        </w:rPr>
        <w:t>表3.1-</w:t>
      </w:r>
      <w:r>
        <w:rPr>
          <w:rFonts w:hint="eastAsia"/>
          <w:b/>
        </w:rPr>
        <w:t>3</w:t>
      </w:r>
      <w:r>
        <w:rPr>
          <w:b/>
        </w:rPr>
        <w:t xml:space="preserve">  饲料消耗情况一览表</w:t>
      </w:r>
    </w:p>
    <w:tbl>
      <w:tblPr>
        <w:tblStyle w:val="4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1"/>
        <w:gridCol w:w="42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1" w:type="dxa"/>
            <w:tcBorders>
              <w:tl2br w:val="nil"/>
              <w:tr2bl w:val="nil"/>
            </w:tcBorders>
            <w:vAlign w:val="center"/>
          </w:tcPr>
          <w:p>
            <w:pPr>
              <w:pStyle w:val="90"/>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项目</w:t>
            </w:r>
          </w:p>
        </w:tc>
        <w:tc>
          <w:tcPr>
            <w:tcW w:w="4257" w:type="dxa"/>
            <w:tcBorders>
              <w:tl2br w:val="nil"/>
              <w:tr2bl w:val="nil"/>
            </w:tcBorders>
            <w:vAlign w:val="center"/>
          </w:tcPr>
          <w:p>
            <w:pPr>
              <w:pStyle w:val="90"/>
              <w:rPr>
                <w:rFonts w:ascii="Times New Roman" w:hAnsi="Times New Roman" w:cs="Times New Roman" w:eastAsiaTheme="majorEastAsia"/>
                <w:b/>
                <w:sz w:val="21"/>
                <w:szCs w:val="21"/>
              </w:rPr>
            </w:pPr>
            <w:r>
              <w:rPr>
                <w:rFonts w:ascii="Times New Roman" w:hAnsi="Times New Roman" w:cs="Times New Roman" w:eastAsiaTheme="majorEastAsia"/>
                <w:b/>
                <w:sz w:val="21"/>
                <w:szCs w:val="21"/>
              </w:rPr>
              <w:t>蛋鸡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1" w:type="dxa"/>
            <w:tcBorders>
              <w:tl2br w:val="nil"/>
              <w:tr2bl w:val="nil"/>
            </w:tcBorders>
            <w:vAlign w:val="center"/>
          </w:tcPr>
          <w:p>
            <w:pPr>
              <w:pStyle w:val="90"/>
              <w:rPr>
                <w:rFonts w:ascii="Times New Roman" w:hAnsi="Times New Roman" w:cs="Times New Roman" w:eastAsiaTheme="majorEastAsia"/>
                <w:sz w:val="21"/>
                <w:szCs w:val="21"/>
              </w:rPr>
            </w:pPr>
            <w:r>
              <w:rPr>
                <w:rFonts w:ascii="Times New Roman" w:hAnsi="Times New Roman" w:cs="Times New Roman" w:eastAsiaTheme="majorEastAsia"/>
                <w:sz w:val="21"/>
                <w:szCs w:val="21"/>
              </w:rPr>
              <w:t>数量（万只）</w:t>
            </w:r>
          </w:p>
        </w:tc>
        <w:tc>
          <w:tcPr>
            <w:tcW w:w="4257" w:type="dxa"/>
            <w:tcBorders>
              <w:tl2br w:val="nil"/>
              <w:tr2bl w:val="nil"/>
            </w:tcBorders>
            <w:vAlign w:val="center"/>
          </w:tcPr>
          <w:p>
            <w:pPr>
              <w:pStyle w:val="90"/>
              <w:rPr>
                <w:rFonts w:ascii="Times New Roman" w:hAnsi="Times New Roman" w:cs="Times New Roman" w:eastAsiaTheme="majorEastAsia"/>
                <w:sz w:val="21"/>
                <w:szCs w:val="21"/>
              </w:rPr>
            </w:pPr>
            <w:r>
              <w:rPr>
                <w:rFonts w:ascii="Times New Roman" w:hAnsi="Times New Roman" w:cs="Times New Roman" w:eastAsiaTheme="majorEastAsia"/>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1" w:type="dxa"/>
            <w:tcBorders>
              <w:tl2br w:val="nil"/>
              <w:tr2bl w:val="nil"/>
            </w:tcBorders>
            <w:vAlign w:val="center"/>
          </w:tcPr>
          <w:p>
            <w:pPr>
              <w:pStyle w:val="90"/>
              <w:rPr>
                <w:rFonts w:ascii="Times New Roman" w:hAnsi="Times New Roman" w:cs="Times New Roman" w:eastAsiaTheme="majorEastAsia"/>
                <w:sz w:val="21"/>
                <w:szCs w:val="21"/>
              </w:rPr>
            </w:pPr>
            <w:r>
              <w:rPr>
                <w:rFonts w:ascii="Times New Roman" w:hAnsi="Times New Roman" w:cs="Times New Roman" w:eastAsiaTheme="majorEastAsia"/>
                <w:sz w:val="21"/>
                <w:szCs w:val="21"/>
              </w:rPr>
              <w:t>平均饲料用量（g/只·天）</w:t>
            </w:r>
          </w:p>
        </w:tc>
        <w:tc>
          <w:tcPr>
            <w:tcW w:w="4257" w:type="dxa"/>
            <w:tcBorders>
              <w:tl2br w:val="nil"/>
              <w:tr2bl w:val="nil"/>
            </w:tcBorders>
            <w:vAlign w:val="center"/>
          </w:tcPr>
          <w:p>
            <w:pPr>
              <w:pStyle w:val="90"/>
              <w:rPr>
                <w:rFonts w:ascii="Times New Roman" w:hAnsi="Times New Roman" w:cs="Times New Roman" w:eastAsiaTheme="majorEastAsia"/>
                <w:sz w:val="21"/>
                <w:szCs w:val="21"/>
              </w:rPr>
            </w:pPr>
            <w:r>
              <w:rPr>
                <w:rFonts w:ascii="Times New Roman" w:hAnsi="Times New Roman" w:cs="Times New Roman" w:eastAsiaTheme="majorEastAsia"/>
                <w:sz w:val="21"/>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1" w:type="dxa"/>
            <w:tcBorders>
              <w:tl2br w:val="nil"/>
              <w:tr2bl w:val="nil"/>
            </w:tcBorders>
            <w:vAlign w:val="center"/>
          </w:tcPr>
          <w:p>
            <w:pPr>
              <w:pStyle w:val="90"/>
              <w:rPr>
                <w:rFonts w:ascii="Times New Roman" w:hAnsi="Times New Roman" w:cs="Times New Roman" w:eastAsiaTheme="majorEastAsia"/>
                <w:sz w:val="21"/>
                <w:szCs w:val="21"/>
              </w:rPr>
            </w:pPr>
            <w:r>
              <w:rPr>
                <w:rFonts w:ascii="Times New Roman" w:hAnsi="Times New Roman" w:cs="Times New Roman" w:eastAsiaTheme="majorEastAsia"/>
                <w:sz w:val="21"/>
                <w:szCs w:val="21"/>
              </w:rPr>
              <w:t>饲料总用量（t/d）</w:t>
            </w:r>
          </w:p>
        </w:tc>
        <w:tc>
          <w:tcPr>
            <w:tcW w:w="4257" w:type="dxa"/>
            <w:tcBorders>
              <w:tl2br w:val="nil"/>
              <w:tr2bl w:val="nil"/>
            </w:tcBorders>
            <w:vAlign w:val="center"/>
          </w:tcPr>
          <w:p>
            <w:pPr>
              <w:pStyle w:val="90"/>
              <w:rPr>
                <w:rFonts w:ascii="Times New Roman" w:hAnsi="Times New Roman" w:cs="Times New Roman" w:eastAsiaTheme="majorEastAsia"/>
                <w:sz w:val="21"/>
                <w:szCs w:val="21"/>
              </w:rPr>
            </w:pPr>
            <w:r>
              <w:rPr>
                <w:rFonts w:ascii="Times New Roman" w:hAnsi="Times New Roman" w:cs="Times New Roman" w:eastAsiaTheme="majorEastAsia"/>
                <w:sz w:val="21"/>
                <w:szCs w:val="21"/>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71" w:type="dxa"/>
            <w:tcBorders>
              <w:tl2br w:val="nil"/>
              <w:tr2bl w:val="nil"/>
            </w:tcBorders>
            <w:vAlign w:val="center"/>
          </w:tcPr>
          <w:p>
            <w:pPr>
              <w:pStyle w:val="90"/>
              <w:rPr>
                <w:rFonts w:ascii="Times New Roman" w:hAnsi="Times New Roman" w:cs="Times New Roman" w:eastAsiaTheme="majorEastAsia"/>
                <w:sz w:val="21"/>
                <w:szCs w:val="21"/>
              </w:rPr>
            </w:pPr>
            <w:r>
              <w:rPr>
                <w:rFonts w:ascii="Times New Roman" w:hAnsi="Times New Roman" w:cs="Times New Roman" w:eastAsiaTheme="majorEastAsia"/>
                <w:sz w:val="21"/>
                <w:szCs w:val="21"/>
              </w:rPr>
              <w:t>合计（t/a）</w:t>
            </w:r>
          </w:p>
        </w:tc>
        <w:tc>
          <w:tcPr>
            <w:tcW w:w="4257" w:type="dxa"/>
            <w:tcBorders>
              <w:tl2br w:val="nil"/>
              <w:tr2bl w:val="nil"/>
            </w:tcBorders>
            <w:vAlign w:val="center"/>
          </w:tcPr>
          <w:p>
            <w:pPr>
              <w:pStyle w:val="90"/>
              <w:rPr>
                <w:rFonts w:ascii="Times New Roman" w:hAnsi="Times New Roman" w:cs="Times New Roman" w:eastAsiaTheme="majorEastAsia"/>
                <w:sz w:val="21"/>
                <w:szCs w:val="21"/>
              </w:rPr>
            </w:pPr>
            <w:r>
              <w:rPr>
                <w:rFonts w:ascii="Times New Roman" w:hAnsi="Times New Roman" w:cs="Times New Roman" w:eastAsiaTheme="majorEastAsia"/>
                <w:sz w:val="21"/>
                <w:szCs w:val="21"/>
              </w:rPr>
              <w:t>21900</w:t>
            </w:r>
          </w:p>
        </w:tc>
      </w:tr>
    </w:tbl>
    <w:p>
      <w:pPr>
        <w:pStyle w:val="5"/>
        <w:spacing w:after="0" w:line="360" w:lineRule="auto"/>
        <w:ind w:firstLine="482" w:firstLineChars="200"/>
        <w:rPr>
          <w:rFonts w:ascii="Times New Roman" w:hAnsi="Times New Roman" w:eastAsia="宋体" w:cs="Times New Roman"/>
          <w:b/>
          <w:color w:val="FF0000"/>
          <w:kern w:val="0"/>
          <w:sz w:val="24"/>
          <w:szCs w:val="22"/>
          <w:u w:val="wave"/>
        </w:rPr>
      </w:pPr>
      <w:r>
        <w:rPr>
          <w:rFonts w:hint="eastAsia" w:ascii="Times New Roman" w:hAnsi="Times New Roman" w:eastAsia="宋体" w:cs="Times New Roman"/>
          <w:b/>
          <w:color w:val="FF0000"/>
          <w:kern w:val="0"/>
          <w:sz w:val="24"/>
          <w:szCs w:val="22"/>
          <w:u w:val="wave"/>
        </w:rPr>
        <w:t>2、</w:t>
      </w:r>
      <w:r>
        <w:rPr>
          <w:rFonts w:ascii="Times New Roman" w:hAnsi="Times New Roman" w:eastAsia="宋体" w:cs="Times New Roman"/>
          <w:b/>
          <w:color w:val="FF0000"/>
          <w:kern w:val="0"/>
          <w:sz w:val="24"/>
          <w:szCs w:val="22"/>
          <w:u w:val="wave"/>
        </w:rPr>
        <w:t>其他材料</w:t>
      </w:r>
    </w:p>
    <w:p>
      <w:pPr>
        <w:pStyle w:val="5"/>
        <w:spacing w:after="0" w:line="360" w:lineRule="auto"/>
        <w:ind w:firstLine="480" w:firstLineChars="200"/>
        <w:rPr>
          <w:rFonts w:ascii="Times New Roman" w:hAnsi="Times New Roman" w:eastAsia="宋体" w:cs="Times New Roman"/>
          <w:color w:val="FF0000"/>
          <w:kern w:val="0"/>
          <w:sz w:val="24"/>
          <w:szCs w:val="22"/>
          <w:u w:val="wave"/>
        </w:rPr>
      </w:pPr>
      <w:r>
        <w:rPr>
          <w:rFonts w:ascii="Times New Roman" w:hAnsi="Times New Roman" w:eastAsia="宋体" w:cs="Times New Roman"/>
          <w:color w:val="FF0000"/>
          <w:kern w:val="0"/>
          <w:sz w:val="24"/>
          <w:szCs w:val="22"/>
          <w:u w:val="wave"/>
        </w:rPr>
        <w:t>养殖场防疫及消毒用到兽药、疫苗、消毒剂，食堂和发电机用到燃料，本项目其他材料使用量见表3.1-</w:t>
      </w:r>
      <w:r>
        <w:rPr>
          <w:rFonts w:hint="eastAsia" w:ascii="Times New Roman" w:hAnsi="Times New Roman" w:eastAsia="宋体" w:cs="Times New Roman"/>
          <w:color w:val="FF0000"/>
          <w:kern w:val="0"/>
          <w:sz w:val="24"/>
          <w:szCs w:val="22"/>
          <w:u w:val="wave"/>
        </w:rPr>
        <w:t>4</w:t>
      </w:r>
      <w:r>
        <w:rPr>
          <w:rFonts w:ascii="Times New Roman" w:hAnsi="Times New Roman" w:eastAsia="宋体" w:cs="Times New Roman"/>
          <w:color w:val="FF0000"/>
          <w:kern w:val="0"/>
          <w:sz w:val="24"/>
          <w:szCs w:val="22"/>
          <w:u w:val="wave"/>
        </w:rPr>
        <w:t>。</w:t>
      </w:r>
    </w:p>
    <w:p>
      <w:pPr>
        <w:spacing w:beforeLines="50"/>
        <w:jc w:val="center"/>
        <w:rPr>
          <w:b/>
          <w:color w:val="FF0000"/>
          <w:u w:val="wave"/>
        </w:rPr>
      </w:pPr>
      <w:r>
        <w:rPr>
          <w:rFonts w:hint="eastAsia"/>
          <w:b/>
          <w:color w:val="FF0000"/>
          <w:u w:val="wave"/>
        </w:rPr>
        <w:t>表3.1-4  项目主要原辅料消耗及资源能源消耗情况一览表</w:t>
      </w:r>
    </w:p>
    <w:tbl>
      <w:tblPr>
        <w:tblStyle w:val="4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58"/>
        <w:gridCol w:w="1146"/>
        <w:gridCol w:w="1499"/>
        <w:gridCol w:w="1247"/>
        <w:gridCol w:w="1115"/>
        <w:gridCol w:w="868"/>
        <w:gridCol w:w="993"/>
        <w:gridCol w:w="10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6" w:type="pct"/>
            <w:vAlign w:val="center"/>
          </w:tcPr>
          <w:p>
            <w:pPr>
              <w:pStyle w:val="90"/>
              <w:rPr>
                <w:rFonts w:ascii="Times New Roman" w:hAnsi="Times New Roman" w:cs="Times New Roman" w:eastAsiaTheme="majorEastAsia"/>
                <w:b/>
                <w:color w:val="FF0000"/>
                <w:sz w:val="21"/>
                <w:szCs w:val="21"/>
                <w:u w:val="wave"/>
              </w:rPr>
            </w:pPr>
            <w:r>
              <w:rPr>
                <w:rFonts w:ascii="Times New Roman" w:hAnsi="Times New Roman" w:cs="Times New Roman" w:eastAsiaTheme="majorEastAsia"/>
                <w:b/>
                <w:color w:val="FF0000"/>
                <w:sz w:val="21"/>
                <w:szCs w:val="21"/>
                <w:u w:val="wave"/>
              </w:rPr>
              <w:t>序号</w:t>
            </w:r>
          </w:p>
        </w:tc>
        <w:tc>
          <w:tcPr>
            <w:tcW w:w="672" w:type="pct"/>
            <w:vAlign w:val="center"/>
          </w:tcPr>
          <w:p>
            <w:pPr>
              <w:pStyle w:val="90"/>
              <w:rPr>
                <w:rFonts w:ascii="Times New Roman" w:hAnsi="Times New Roman" w:cs="Times New Roman" w:eastAsiaTheme="majorEastAsia"/>
                <w:b/>
                <w:color w:val="FF0000"/>
                <w:sz w:val="21"/>
                <w:szCs w:val="21"/>
                <w:u w:val="wave"/>
              </w:rPr>
            </w:pPr>
            <w:r>
              <w:rPr>
                <w:rFonts w:ascii="Times New Roman" w:hAnsi="Times New Roman" w:cs="Times New Roman" w:eastAsiaTheme="majorEastAsia"/>
                <w:b/>
                <w:color w:val="FF0000"/>
                <w:sz w:val="21"/>
                <w:szCs w:val="21"/>
                <w:u w:val="wave"/>
              </w:rPr>
              <w:t>原料名称</w:t>
            </w:r>
          </w:p>
        </w:tc>
        <w:tc>
          <w:tcPr>
            <w:tcW w:w="879" w:type="pct"/>
            <w:vAlign w:val="center"/>
          </w:tcPr>
          <w:p>
            <w:pPr>
              <w:pStyle w:val="90"/>
              <w:rPr>
                <w:rFonts w:ascii="Times New Roman" w:hAnsi="Times New Roman" w:cs="Times New Roman" w:eastAsiaTheme="majorEastAsia"/>
                <w:b/>
                <w:color w:val="FF0000"/>
                <w:sz w:val="21"/>
                <w:szCs w:val="21"/>
                <w:u w:val="wave"/>
              </w:rPr>
            </w:pPr>
            <w:r>
              <w:rPr>
                <w:rFonts w:ascii="Times New Roman" w:hAnsi="Times New Roman" w:cs="Times New Roman" w:eastAsiaTheme="majorEastAsia"/>
                <w:b/>
                <w:color w:val="FF0000"/>
                <w:sz w:val="21"/>
                <w:szCs w:val="21"/>
                <w:u w:val="wave"/>
              </w:rPr>
              <w:t>主要成分</w:t>
            </w:r>
          </w:p>
        </w:tc>
        <w:tc>
          <w:tcPr>
            <w:tcW w:w="731" w:type="pct"/>
            <w:vAlign w:val="center"/>
          </w:tcPr>
          <w:p>
            <w:pPr>
              <w:pStyle w:val="90"/>
              <w:rPr>
                <w:rFonts w:ascii="Times New Roman" w:hAnsi="Times New Roman" w:cs="Times New Roman" w:eastAsiaTheme="majorEastAsia"/>
                <w:b/>
                <w:color w:val="FF0000"/>
                <w:sz w:val="21"/>
                <w:szCs w:val="21"/>
                <w:u w:val="wave"/>
              </w:rPr>
            </w:pPr>
            <w:r>
              <w:rPr>
                <w:rFonts w:ascii="Times New Roman" w:hAnsi="Times New Roman" w:cs="Times New Roman" w:eastAsiaTheme="majorEastAsia"/>
                <w:b/>
                <w:color w:val="FF0000"/>
                <w:sz w:val="21"/>
                <w:szCs w:val="21"/>
                <w:u w:val="wave"/>
              </w:rPr>
              <w:t>包装</w:t>
            </w:r>
          </w:p>
        </w:tc>
        <w:tc>
          <w:tcPr>
            <w:tcW w:w="654" w:type="pct"/>
            <w:vAlign w:val="center"/>
          </w:tcPr>
          <w:p>
            <w:pPr>
              <w:pStyle w:val="90"/>
              <w:rPr>
                <w:rFonts w:ascii="Times New Roman" w:hAnsi="Times New Roman" w:cs="Times New Roman" w:eastAsiaTheme="majorEastAsia"/>
                <w:b/>
                <w:color w:val="FF0000"/>
                <w:sz w:val="21"/>
                <w:szCs w:val="21"/>
                <w:u w:val="wave"/>
              </w:rPr>
            </w:pPr>
            <w:r>
              <w:rPr>
                <w:rFonts w:ascii="Times New Roman" w:hAnsi="Times New Roman" w:cs="Times New Roman" w:eastAsiaTheme="majorEastAsia"/>
                <w:b/>
                <w:color w:val="FF0000"/>
                <w:sz w:val="21"/>
                <w:szCs w:val="21"/>
                <w:u w:val="wave"/>
              </w:rPr>
              <w:t>年用量</w:t>
            </w:r>
          </w:p>
        </w:tc>
        <w:tc>
          <w:tcPr>
            <w:tcW w:w="509" w:type="pct"/>
            <w:vAlign w:val="center"/>
          </w:tcPr>
          <w:p>
            <w:pPr>
              <w:pStyle w:val="90"/>
              <w:rPr>
                <w:rFonts w:ascii="Times New Roman" w:hAnsi="Times New Roman" w:cs="Times New Roman" w:eastAsiaTheme="majorEastAsia"/>
                <w:b/>
                <w:color w:val="FF0000"/>
                <w:sz w:val="21"/>
                <w:szCs w:val="21"/>
                <w:u w:val="wave"/>
              </w:rPr>
            </w:pPr>
            <w:r>
              <w:rPr>
                <w:rFonts w:ascii="Times New Roman" w:hAnsi="Times New Roman" w:cs="Times New Roman" w:eastAsiaTheme="majorEastAsia"/>
                <w:b/>
                <w:color w:val="FF0000"/>
                <w:sz w:val="21"/>
                <w:szCs w:val="21"/>
                <w:u w:val="wave"/>
              </w:rPr>
              <w:t>最大储存量</w:t>
            </w:r>
          </w:p>
        </w:tc>
        <w:tc>
          <w:tcPr>
            <w:tcW w:w="582" w:type="pct"/>
            <w:vAlign w:val="center"/>
          </w:tcPr>
          <w:p>
            <w:pPr>
              <w:pStyle w:val="90"/>
              <w:rPr>
                <w:rFonts w:ascii="Times New Roman" w:hAnsi="Times New Roman" w:cs="Times New Roman" w:eastAsiaTheme="majorEastAsia"/>
                <w:b/>
                <w:color w:val="FF0000"/>
                <w:sz w:val="21"/>
                <w:szCs w:val="21"/>
                <w:u w:val="wave"/>
              </w:rPr>
            </w:pPr>
            <w:r>
              <w:rPr>
                <w:rFonts w:ascii="Times New Roman" w:hAnsi="Times New Roman" w:cs="Times New Roman" w:eastAsiaTheme="majorEastAsia"/>
                <w:b/>
                <w:color w:val="FF0000"/>
                <w:sz w:val="21"/>
                <w:szCs w:val="21"/>
                <w:u w:val="wave"/>
              </w:rPr>
              <w:t>用途</w:t>
            </w:r>
          </w:p>
        </w:tc>
        <w:tc>
          <w:tcPr>
            <w:tcW w:w="587" w:type="pct"/>
            <w:vAlign w:val="center"/>
          </w:tcPr>
          <w:p>
            <w:pPr>
              <w:pStyle w:val="90"/>
              <w:rPr>
                <w:rFonts w:ascii="Times New Roman" w:hAnsi="Times New Roman" w:cs="Times New Roman" w:eastAsiaTheme="majorEastAsia"/>
                <w:b/>
                <w:color w:val="FF0000"/>
                <w:sz w:val="21"/>
                <w:szCs w:val="21"/>
                <w:u w:val="wave"/>
              </w:rPr>
            </w:pPr>
            <w:r>
              <w:rPr>
                <w:rFonts w:ascii="Times New Roman" w:hAnsi="Times New Roman" w:cs="Times New Roman" w:eastAsiaTheme="majorEastAsia"/>
                <w:b/>
                <w:color w:val="FF0000"/>
                <w:sz w:val="21"/>
                <w:szCs w:val="21"/>
                <w:u w:val="wave"/>
              </w:rPr>
              <w:t>储存位置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6"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1</w:t>
            </w:r>
          </w:p>
        </w:tc>
        <w:tc>
          <w:tcPr>
            <w:tcW w:w="672"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青年鸡</w:t>
            </w:r>
          </w:p>
        </w:tc>
        <w:tc>
          <w:tcPr>
            <w:tcW w:w="879"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w:t>
            </w:r>
          </w:p>
        </w:tc>
        <w:tc>
          <w:tcPr>
            <w:tcW w:w="731"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w:t>
            </w:r>
          </w:p>
        </w:tc>
        <w:tc>
          <w:tcPr>
            <w:tcW w:w="654"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约60万只/a</w:t>
            </w:r>
          </w:p>
        </w:tc>
        <w:tc>
          <w:tcPr>
            <w:tcW w:w="509" w:type="pct"/>
            <w:vAlign w:val="center"/>
          </w:tcPr>
          <w:p>
            <w:pPr>
              <w:pStyle w:val="90"/>
              <w:rPr>
                <w:rFonts w:ascii="Times New Roman" w:hAnsi="Times New Roman" w:cs="Times New Roman" w:eastAsiaTheme="majorEastAsia"/>
                <w:color w:val="FF0000"/>
                <w:sz w:val="21"/>
                <w:szCs w:val="21"/>
                <w:u w:val="wave"/>
              </w:rPr>
            </w:pPr>
            <w:r>
              <w:rPr>
                <w:rFonts w:hint="eastAsia" w:ascii="Times New Roman" w:hAnsi="Times New Roman" w:cs="Times New Roman" w:eastAsiaTheme="majorEastAsia"/>
                <w:color w:val="FF0000"/>
                <w:sz w:val="21"/>
                <w:szCs w:val="21"/>
                <w:u w:val="wave"/>
              </w:rPr>
              <w:t>60</w:t>
            </w:r>
            <w:r>
              <w:rPr>
                <w:rFonts w:ascii="Times New Roman" w:hAnsi="Times New Roman" w:cs="Times New Roman" w:eastAsiaTheme="majorEastAsia"/>
                <w:color w:val="FF0000"/>
                <w:sz w:val="21"/>
                <w:szCs w:val="21"/>
                <w:u w:val="wave"/>
              </w:rPr>
              <w:t>万只/a</w:t>
            </w:r>
          </w:p>
        </w:tc>
        <w:tc>
          <w:tcPr>
            <w:tcW w:w="582"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产鸡</w:t>
            </w:r>
          </w:p>
        </w:tc>
        <w:tc>
          <w:tcPr>
            <w:tcW w:w="587"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鸡舍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6"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2</w:t>
            </w:r>
          </w:p>
        </w:tc>
        <w:tc>
          <w:tcPr>
            <w:tcW w:w="672"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疫苗</w:t>
            </w:r>
          </w:p>
        </w:tc>
        <w:tc>
          <w:tcPr>
            <w:tcW w:w="879"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kern w:val="0"/>
                <w:sz w:val="21"/>
                <w:szCs w:val="21"/>
                <w:u w:val="wave"/>
              </w:rPr>
              <w:t>青霉素类、泰妙菌素类等</w:t>
            </w:r>
          </w:p>
        </w:tc>
        <w:tc>
          <w:tcPr>
            <w:tcW w:w="731"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500</w:t>
            </w:r>
            <w:r>
              <w:rPr>
                <w:rFonts w:ascii="Times New Roman" w:hAnsi="Times New Roman" w:cs="Times New Roman" w:eastAsiaTheme="majorEastAsia"/>
                <w:color w:val="FF0000"/>
                <w:kern w:val="0"/>
                <w:sz w:val="21"/>
                <w:szCs w:val="21"/>
                <w:u w:val="wave"/>
              </w:rPr>
              <w:t>ml/瓶</w:t>
            </w:r>
          </w:p>
        </w:tc>
        <w:tc>
          <w:tcPr>
            <w:tcW w:w="654"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约1万瓶</w:t>
            </w:r>
          </w:p>
        </w:tc>
        <w:tc>
          <w:tcPr>
            <w:tcW w:w="509"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200瓶</w:t>
            </w:r>
          </w:p>
        </w:tc>
        <w:tc>
          <w:tcPr>
            <w:tcW w:w="582"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kern w:val="0"/>
                <w:sz w:val="21"/>
                <w:szCs w:val="21"/>
                <w:u w:val="wave"/>
              </w:rPr>
              <w:t>防疫</w:t>
            </w:r>
          </w:p>
        </w:tc>
        <w:tc>
          <w:tcPr>
            <w:tcW w:w="587"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kern w:val="0"/>
                <w:sz w:val="21"/>
                <w:szCs w:val="21"/>
                <w:u w:val="wave"/>
              </w:rPr>
              <w:t>兽医室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6"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3</w:t>
            </w:r>
          </w:p>
        </w:tc>
        <w:tc>
          <w:tcPr>
            <w:tcW w:w="672"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兽药</w:t>
            </w:r>
          </w:p>
        </w:tc>
        <w:tc>
          <w:tcPr>
            <w:tcW w:w="879" w:type="pct"/>
            <w:vAlign w:val="center"/>
          </w:tcPr>
          <w:p>
            <w:pPr>
              <w:pStyle w:val="90"/>
              <w:rPr>
                <w:rFonts w:ascii="Times New Roman" w:hAnsi="Times New Roman" w:cs="Times New Roman" w:eastAsiaTheme="majorEastAsia"/>
                <w:color w:val="FF0000"/>
                <w:kern w:val="0"/>
                <w:sz w:val="21"/>
                <w:szCs w:val="21"/>
                <w:u w:val="wave"/>
              </w:rPr>
            </w:pPr>
            <w:r>
              <w:rPr>
                <w:rFonts w:ascii="Times New Roman" w:hAnsi="Times New Roman" w:cs="Times New Roman" w:eastAsiaTheme="majorEastAsia"/>
                <w:color w:val="FF0000"/>
                <w:kern w:val="0"/>
                <w:sz w:val="21"/>
                <w:szCs w:val="21"/>
                <w:u w:val="wave"/>
              </w:rPr>
              <w:t>中药制剂等</w:t>
            </w:r>
          </w:p>
        </w:tc>
        <w:tc>
          <w:tcPr>
            <w:tcW w:w="731"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500g/袋</w:t>
            </w:r>
          </w:p>
        </w:tc>
        <w:tc>
          <w:tcPr>
            <w:tcW w:w="654"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约1万袋</w:t>
            </w:r>
          </w:p>
        </w:tc>
        <w:tc>
          <w:tcPr>
            <w:tcW w:w="509"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500袋</w:t>
            </w:r>
          </w:p>
        </w:tc>
        <w:tc>
          <w:tcPr>
            <w:tcW w:w="582"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kern w:val="0"/>
                <w:sz w:val="21"/>
                <w:szCs w:val="21"/>
                <w:u w:val="wave"/>
              </w:rPr>
              <w:t>防疫</w:t>
            </w:r>
          </w:p>
        </w:tc>
        <w:tc>
          <w:tcPr>
            <w:tcW w:w="587"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kern w:val="0"/>
                <w:sz w:val="21"/>
                <w:szCs w:val="21"/>
                <w:u w:val="wave"/>
              </w:rPr>
              <w:t>兽医室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6"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4</w:t>
            </w:r>
          </w:p>
        </w:tc>
        <w:tc>
          <w:tcPr>
            <w:tcW w:w="672"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消毒液</w:t>
            </w:r>
          </w:p>
        </w:tc>
        <w:tc>
          <w:tcPr>
            <w:tcW w:w="879" w:type="pct"/>
            <w:vAlign w:val="center"/>
          </w:tcPr>
          <w:p>
            <w:pPr>
              <w:autoSpaceDE w:val="0"/>
              <w:autoSpaceDN w:val="0"/>
              <w:jc w:val="center"/>
              <w:rPr>
                <w:rFonts w:hint="default" w:eastAsiaTheme="majorEastAsia"/>
                <w:color w:val="FF0000"/>
                <w:szCs w:val="21"/>
                <w:u w:val="wave"/>
                <w:lang w:val="en-US" w:eastAsia="zh-CN"/>
              </w:rPr>
            </w:pPr>
            <w:r>
              <w:rPr>
                <w:rFonts w:hint="eastAsia" w:eastAsiaTheme="majorEastAsia"/>
                <w:color w:val="FF0000"/>
                <w:szCs w:val="21"/>
                <w:u w:val="wave"/>
              </w:rPr>
              <w:t>过硫酸氢钾复合盐</w:t>
            </w:r>
            <w:r>
              <w:rPr>
                <w:rFonts w:hint="eastAsia" w:eastAsiaTheme="majorEastAsia"/>
                <w:color w:val="FF0000"/>
                <w:szCs w:val="21"/>
                <w:u w:val="wave"/>
                <w:lang w:eastAsia="zh-CN"/>
              </w:rPr>
              <w:t>、聚维酮碘溶液、复方戌二醛溶液</w:t>
            </w:r>
            <w:r>
              <w:rPr>
                <w:rFonts w:hint="eastAsia" w:eastAsiaTheme="majorEastAsia"/>
                <w:color w:val="FF0000"/>
                <w:szCs w:val="21"/>
                <w:u w:val="wave"/>
                <w:lang w:val="en-US" w:eastAsia="zh-CN"/>
              </w:rPr>
              <w:t>等</w:t>
            </w:r>
          </w:p>
        </w:tc>
        <w:tc>
          <w:tcPr>
            <w:tcW w:w="731"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500</w:t>
            </w:r>
            <w:r>
              <w:rPr>
                <w:rFonts w:ascii="Times New Roman" w:hAnsi="Times New Roman" w:cs="Times New Roman" w:eastAsiaTheme="majorEastAsia"/>
                <w:color w:val="FF0000"/>
                <w:kern w:val="0"/>
                <w:sz w:val="21"/>
                <w:szCs w:val="21"/>
                <w:u w:val="wave"/>
              </w:rPr>
              <w:t>ml/瓶</w:t>
            </w:r>
          </w:p>
        </w:tc>
        <w:tc>
          <w:tcPr>
            <w:tcW w:w="654"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约6000瓶</w:t>
            </w:r>
          </w:p>
        </w:tc>
        <w:tc>
          <w:tcPr>
            <w:tcW w:w="509"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600瓶</w:t>
            </w:r>
          </w:p>
        </w:tc>
        <w:tc>
          <w:tcPr>
            <w:tcW w:w="582"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消毒</w:t>
            </w:r>
          </w:p>
        </w:tc>
        <w:tc>
          <w:tcPr>
            <w:tcW w:w="587"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仓库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6"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5</w:t>
            </w:r>
          </w:p>
        </w:tc>
        <w:tc>
          <w:tcPr>
            <w:tcW w:w="672"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微生物除臭菌剂</w:t>
            </w:r>
          </w:p>
        </w:tc>
        <w:tc>
          <w:tcPr>
            <w:tcW w:w="879" w:type="pct"/>
            <w:vAlign w:val="center"/>
          </w:tcPr>
          <w:p>
            <w:pPr>
              <w:autoSpaceDE w:val="0"/>
              <w:autoSpaceDN w:val="0"/>
              <w:jc w:val="center"/>
              <w:rPr>
                <w:rFonts w:eastAsiaTheme="majorEastAsia"/>
                <w:color w:val="FF0000"/>
                <w:szCs w:val="21"/>
                <w:u w:val="wave"/>
              </w:rPr>
            </w:pPr>
            <w:r>
              <w:rPr>
                <w:rFonts w:eastAsiaTheme="majorEastAsia"/>
                <w:color w:val="FF0000"/>
                <w:szCs w:val="21"/>
                <w:u w:val="wave"/>
              </w:rPr>
              <w:t>芽孢杆菌、酵母菌、乳酸菌等</w:t>
            </w:r>
          </w:p>
        </w:tc>
        <w:tc>
          <w:tcPr>
            <w:tcW w:w="731"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500kg/瓶</w:t>
            </w:r>
          </w:p>
        </w:tc>
        <w:tc>
          <w:tcPr>
            <w:tcW w:w="654"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3t/a</w:t>
            </w:r>
          </w:p>
        </w:tc>
        <w:tc>
          <w:tcPr>
            <w:tcW w:w="509"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10瓶</w:t>
            </w:r>
          </w:p>
        </w:tc>
        <w:tc>
          <w:tcPr>
            <w:tcW w:w="582"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除臭</w:t>
            </w:r>
          </w:p>
        </w:tc>
        <w:tc>
          <w:tcPr>
            <w:tcW w:w="587"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仓库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6"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6</w:t>
            </w:r>
          </w:p>
        </w:tc>
        <w:tc>
          <w:tcPr>
            <w:tcW w:w="672"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柴油</w:t>
            </w:r>
          </w:p>
        </w:tc>
        <w:tc>
          <w:tcPr>
            <w:tcW w:w="879"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w:t>
            </w:r>
          </w:p>
        </w:tc>
        <w:tc>
          <w:tcPr>
            <w:tcW w:w="731"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桶装</w:t>
            </w:r>
          </w:p>
        </w:tc>
        <w:tc>
          <w:tcPr>
            <w:tcW w:w="654"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4.4t</w:t>
            </w:r>
          </w:p>
        </w:tc>
        <w:tc>
          <w:tcPr>
            <w:tcW w:w="509"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1t</w:t>
            </w:r>
          </w:p>
        </w:tc>
        <w:tc>
          <w:tcPr>
            <w:tcW w:w="582"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备用发电</w:t>
            </w:r>
          </w:p>
        </w:tc>
        <w:tc>
          <w:tcPr>
            <w:tcW w:w="587"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配电房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86" w:type="pct"/>
            <w:vAlign w:val="center"/>
          </w:tcPr>
          <w:p>
            <w:pPr>
              <w:pStyle w:val="90"/>
              <w:rPr>
                <w:rFonts w:ascii="Times New Roman" w:hAnsi="Times New Roman" w:cs="Times New Roman" w:eastAsiaTheme="majorEastAsia"/>
                <w:color w:val="FF0000"/>
                <w:sz w:val="21"/>
                <w:szCs w:val="21"/>
                <w:u w:val="wave"/>
              </w:rPr>
            </w:pPr>
            <w:r>
              <w:rPr>
                <w:rFonts w:hint="eastAsia" w:ascii="Times New Roman" w:hAnsi="Times New Roman" w:cs="Times New Roman" w:eastAsiaTheme="majorEastAsia"/>
                <w:color w:val="FF0000"/>
                <w:sz w:val="21"/>
                <w:szCs w:val="21"/>
                <w:u w:val="wave"/>
              </w:rPr>
              <w:t>7</w:t>
            </w:r>
          </w:p>
        </w:tc>
        <w:tc>
          <w:tcPr>
            <w:tcW w:w="672"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水</w:t>
            </w:r>
          </w:p>
        </w:tc>
        <w:tc>
          <w:tcPr>
            <w:tcW w:w="879"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w:t>
            </w:r>
          </w:p>
        </w:tc>
        <w:tc>
          <w:tcPr>
            <w:tcW w:w="731" w:type="pct"/>
            <w:vAlign w:val="center"/>
          </w:tcPr>
          <w:p>
            <w:pPr>
              <w:pStyle w:val="90"/>
              <w:rPr>
                <w:rFonts w:ascii="Times New Roman" w:hAnsi="Times New Roman" w:cs="Times New Roman" w:eastAsiaTheme="majorEastAsia"/>
                <w:color w:val="FF0000"/>
                <w:sz w:val="21"/>
                <w:szCs w:val="21"/>
                <w:u w:val="wave"/>
              </w:rPr>
            </w:pPr>
          </w:p>
        </w:tc>
        <w:tc>
          <w:tcPr>
            <w:tcW w:w="654" w:type="pct"/>
            <w:vAlign w:val="center"/>
          </w:tcPr>
          <w:p>
            <w:pPr>
              <w:pStyle w:val="90"/>
              <w:rPr>
                <w:rFonts w:ascii="Times New Roman" w:hAnsi="Times New Roman" w:cs="Times New Roman" w:eastAsiaTheme="majorEastAsia"/>
                <w:color w:val="FF0000"/>
                <w:sz w:val="21"/>
                <w:szCs w:val="21"/>
                <w:u w:val="wave"/>
              </w:rPr>
            </w:pPr>
            <w:r>
              <w:rPr>
                <w:rFonts w:hint="eastAsia" w:ascii="Times New Roman" w:hAnsi="Times New Roman" w:cs="Times New Roman" w:eastAsiaTheme="majorEastAsia"/>
                <w:color w:val="FF0000"/>
                <w:sz w:val="21"/>
                <w:szCs w:val="21"/>
                <w:u w:val="wave"/>
              </w:rPr>
              <w:t>45831.29</w:t>
            </w:r>
          </w:p>
        </w:tc>
        <w:tc>
          <w:tcPr>
            <w:tcW w:w="509"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w:t>
            </w:r>
          </w:p>
        </w:tc>
        <w:tc>
          <w:tcPr>
            <w:tcW w:w="582"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w:t>
            </w:r>
          </w:p>
        </w:tc>
        <w:tc>
          <w:tcPr>
            <w:tcW w:w="587" w:type="pct"/>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厂区内水井</w:t>
            </w:r>
          </w:p>
        </w:tc>
      </w:tr>
    </w:tbl>
    <w:p>
      <w:pPr>
        <w:pStyle w:val="7"/>
        <w:adjustRightInd w:val="0"/>
        <w:snapToGrid w:val="0"/>
        <w:spacing w:before="0" w:after="0" w:line="360" w:lineRule="auto"/>
        <w:jc w:val="left"/>
        <w:rPr>
          <w:sz w:val="24"/>
          <w:szCs w:val="24"/>
        </w:rPr>
      </w:pPr>
      <w:r>
        <w:rPr>
          <w:sz w:val="24"/>
          <w:szCs w:val="24"/>
        </w:rPr>
        <w:t>3.</w:t>
      </w:r>
      <w:r>
        <w:rPr>
          <w:rFonts w:hint="eastAsia"/>
          <w:sz w:val="24"/>
          <w:szCs w:val="24"/>
        </w:rPr>
        <w:t>1.4 生产设备及辅助设施</w:t>
      </w:r>
    </w:p>
    <w:p>
      <w:pPr>
        <w:pStyle w:val="5"/>
        <w:adjustRightInd w:val="0"/>
        <w:snapToGrid w:val="0"/>
        <w:spacing w:after="0" w:line="360" w:lineRule="auto"/>
        <w:ind w:firstLine="480" w:firstLineChars="200"/>
        <w:rPr>
          <w:rFonts w:ascii="Times New Roman" w:hAnsi="Times New Roman" w:cs="Times New Roman"/>
          <w:color w:val="FF0000"/>
          <w:sz w:val="24"/>
          <w:u w:val="wave"/>
        </w:rPr>
      </w:pPr>
      <w:r>
        <w:rPr>
          <w:rFonts w:ascii="Times New Roman" w:hAnsi="Times New Roman" w:cs="Times New Roman"/>
          <w:color w:val="FF0000"/>
          <w:sz w:val="24"/>
          <w:u w:val="wave"/>
        </w:rPr>
        <w:t>根据建设单位提供的资料，本项目生产过程中使用的主要设备为养殖区使用相关配套设备等，具体情况见表</w:t>
      </w:r>
      <w:r>
        <w:rPr>
          <w:rFonts w:hint="eastAsia" w:ascii="Times New Roman" w:hAnsi="Times New Roman" w:cs="Times New Roman"/>
          <w:color w:val="FF0000"/>
          <w:sz w:val="24"/>
          <w:u w:val="wave"/>
        </w:rPr>
        <w:t>3.1-5。</w:t>
      </w:r>
    </w:p>
    <w:p>
      <w:pPr>
        <w:spacing w:beforeLines="50"/>
        <w:jc w:val="center"/>
        <w:rPr>
          <w:b/>
          <w:color w:val="FF0000"/>
          <w:u w:val="wave"/>
        </w:rPr>
      </w:pPr>
      <w:r>
        <w:rPr>
          <w:rFonts w:hint="eastAsia"/>
          <w:b/>
          <w:color w:val="FF0000"/>
          <w:u w:val="wave"/>
        </w:rPr>
        <w:t>表3.1-5  主要设备清单一览表</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2828"/>
        <w:gridCol w:w="48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b/>
                <w:color w:val="FF0000"/>
                <w:sz w:val="21"/>
                <w:szCs w:val="21"/>
                <w:u w:val="wave"/>
              </w:rPr>
            </w:pPr>
            <w:r>
              <w:rPr>
                <w:rFonts w:ascii="Times New Roman" w:hAnsi="Times New Roman" w:eastAsiaTheme="majorEastAsia"/>
                <w:b/>
                <w:color w:val="FF0000"/>
                <w:sz w:val="21"/>
                <w:szCs w:val="21"/>
                <w:u w:val="wave"/>
              </w:rPr>
              <w:t>序号</w:t>
            </w:r>
          </w:p>
        </w:tc>
        <w:tc>
          <w:tcPr>
            <w:tcW w:w="1658" w:type="pct"/>
            <w:tcBorders>
              <w:tl2br w:val="nil"/>
              <w:tr2bl w:val="nil"/>
            </w:tcBorders>
            <w:vAlign w:val="center"/>
          </w:tcPr>
          <w:p>
            <w:pPr>
              <w:pStyle w:val="245"/>
              <w:snapToGrid w:val="0"/>
              <w:spacing w:line="240" w:lineRule="auto"/>
              <w:jc w:val="center"/>
              <w:rPr>
                <w:rFonts w:ascii="Times New Roman" w:hAnsi="Times New Roman" w:eastAsiaTheme="majorEastAsia"/>
                <w:b/>
                <w:color w:val="FF0000"/>
                <w:sz w:val="21"/>
                <w:szCs w:val="21"/>
                <w:u w:val="wave"/>
              </w:rPr>
            </w:pPr>
            <w:r>
              <w:rPr>
                <w:rFonts w:ascii="Times New Roman" w:hAnsi="Times New Roman" w:eastAsiaTheme="majorEastAsia"/>
                <w:b/>
                <w:color w:val="FF0000"/>
                <w:sz w:val="21"/>
                <w:szCs w:val="21"/>
                <w:u w:val="wave"/>
              </w:rPr>
              <w:t>设备名称</w:t>
            </w:r>
          </w:p>
        </w:tc>
        <w:tc>
          <w:tcPr>
            <w:tcW w:w="2844" w:type="pct"/>
            <w:tcBorders>
              <w:tl2br w:val="nil"/>
              <w:tr2bl w:val="nil"/>
            </w:tcBorders>
            <w:vAlign w:val="center"/>
          </w:tcPr>
          <w:p>
            <w:pPr>
              <w:pStyle w:val="245"/>
              <w:snapToGrid w:val="0"/>
              <w:spacing w:line="240" w:lineRule="auto"/>
              <w:jc w:val="center"/>
              <w:rPr>
                <w:rFonts w:ascii="Times New Roman" w:hAnsi="Times New Roman" w:eastAsiaTheme="majorEastAsia"/>
                <w:b/>
                <w:color w:val="FF0000"/>
                <w:sz w:val="21"/>
                <w:szCs w:val="21"/>
                <w:u w:val="wave"/>
              </w:rPr>
            </w:pPr>
            <w:r>
              <w:rPr>
                <w:rFonts w:ascii="Times New Roman" w:hAnsi="Times New Roman" w:eastAsiaTheme="majorEastAsia"/>
                <w:b/>
                <w:color w:val="FF0000"/>
                <w:sz w:val="21"/>
                <w:szCs w:val="21"/>
                <w:u w:val="wave"/>
              </w:rPr>
              <w:t>规模型号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b/>
                <w:color w:val="FF0000"/>
                <w:sz w:val="21"/>
                <w:szCs w:val="21"/>
                <w:u w:val="wave"/>
              </w:rPr>
            </w:pPr>
            <w:r>
              <w:rPr>
                <w:rFonts w:ascii="Times New Roman" w:hAnsi="Times New Roman" w:eastAsiaTheme="majorEastAsia"/>
                <w:b/>
                <w:color w:val="FF0000"/>
                <w:sz w:val="21"/>
                <w:szCs w:val="21"/>
                <w:u w:val="wave"/>
              </w:rPr>
              <w:t>（</w:t>
            </w:r>
            <w:r>
              <w:rPr>
                <w:rFonts w:ascii="Times New Roman" w:hAnsi="Times New Roman" w:eastAsiaTheme="majorEastAsia"/>
                <w:color w:val="FF0000"/>
                <w:sz w:val="21"/>
                <w:szCs w:val="21"/>
                <w:u w:val="wave"/>
              </w:rPr>
              <w:t>一</w:t>
            </w:r>
            <w:r>
              <w:rPr>
                <w:rFonts w:ascii="Times New Roman" w:hAnsi="Times New Roman" w:eastAsiaTheme="majorEastAsia"/>
                <w:b/>
                <w:color w:val="FF0000"/>
                <w:sz w:val="21"/>
                <w:szCs w:val="21"/>
                <w:u w:val="wave"/>
              </w:rPr>
              <w:t>）</w:t>
            </w:r>
          </w:p>
        </w:tc>
        <w:tc>
          <w:tcPr>
            <w:tcW w:w="4502" w:type="pct"/>
            <w:gridSpan w:val="2"/>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笼架系统</w:t>
            </w:r>
            <w:r>
              <w:rPr>
                <w:rFonts w:hint="eastAsia" w:ascii="Times New Roman" w:hAnsi="Times New Roman" w:eastAsiaTheme="majorEastAsia"/>
                <w:color w:val="FF0000"/>
                <w:sz w:val="21"/>
                <w:szCs w:val="21"/>
                <w:u w:val="wave"/>
                <w:lang w:eastAsia="zh-CN"/>
              </w:rPr>
              <w:t>（</w:t>
            </w:r>
            <w:r>
              <w:rPr>
                <w:rFonts w:hint="eastAsia" w:ascii="Times New Roman" w:hAnsi="Times New Roman" w:eastAsiaTheme="majorEastAsia"/>
                <w:color w:val="FF0000"/>
                <w:sz w:val="21"/>
                <w:szCs w:val="21"/>
                <w:u w:val="wave"/>
              </w:rPr>
              <w:t>装配式</w:t>
            </w:r>
            <w:r>
              <w:rPr>
                <w:rFonts w:hint="eastAsia" w:ascii="Times New Roman" w:hAnsi="Times New Roman" w:eastAsiaTheme="majorEastAsia"/>
                <w:color w:val="FF0000"/>
                <w:sz w:val="21"/>
                <w:szCs w:val="21"/>
                <w:u w:val="wav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1</w:t>
            </w:r>
          </w:p>
        </w:tc>
        <w:tc>
          <w:tcPr>
            <w:tcW w:w="1658"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笼网</w:t>
            </w:r>
          </w:p>
        </w:tc>
        <w:tc>
          <w:tcPr>
            <w:tcW w:w="2844" w:type="pct"/>
            <w:tcBorders>
              <w:tl2br w:val="nil"/>
              <w:tr2bl w:val="nil"/>
            </w:tcBorders>
            <w:vAlign w:val="center"/>
          </w:tcPr>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单组尺寸</w:t>
            </w:r>
            <w:r>
              <w:rPr>
                <w:rFonts w:hint="eastAsia" w:ascii="Times New Roman" w:hAnsi="Times New Roman" w:eastAsiaTheme="majorEastAsia"/>
                <w:color w:val="FF0000"/>
                <w:sz w:val="21"/>
                <w:szCs w:val="21"/>
                <w:u w:val="wave"/>
                <w:lang w:eastAsia="zh-CN"/>
              </w:rPr>
              <w:t>：</w:t>
            </w:r>
            <w:r>
              <w:rPr>
                <w:rFonts w:hint="eastAsia" w:ascii="Times New Roman" w:hAnsi="Times New Roman" w:eastAsiaTheme="majorEastAsia"/>
                <w:color w:val="FF0000"/>
                <w:sz w:val="21"/>
                <w:szCs w:val="21"/>
                <w:u w:val="wave"/>
              </w:rPr>
              <w:t>120﹡62.5﹡54cm</w:t>
            </w:r>
          </w:p>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处理工艺：采用热浸锌工艺处理</w:t>
            </w:r>
          </w:p>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层距高度：65cm</w:t>
            </w:r>
            <w:r>
              <w:rPr>
                <w:rFonts w:hint="eastAsia" w:ascii="Times New Roman" w:hAnsi="Times New Roman" w:eastAsiaTheme="majorEastAsia"/>
                <w:color w:val="FF0000"/>
                <w:sz w:val="21"/>
                <w:szCs w:val="21"/>
                <w:u w:val="wave"/>
                <w:lang w:eastAsia="zh-CN"/>
              </w:rPr>
              <w:t>（</w:t>
            </w:r>
            <w:r>
              <w:rPr>
                <w:rFonts w:hint="eastAsia" w:ascii="Times New Roman" w:hAnsi="Times New Roman" w:eastAsiaTheme="majorEastAsia"/>
                <w:color w:val="FF0000"/>
                <w:sz w:val="21"/>
                <w:szCs w:val="21"/>
                <w:u w:val="wave"/>
              </w:rPr>
              <w:t>配上层顶网</w:t>
            </w:r>
            <w:r>
              <w:rPr>
                <w:rFonts w:hint="eastAsia" w:ascii="Times New Roman" w:hAnsi="Times New Roman" w:eastAsiaTheme="majorEastAsia"/>
                <w:color w:val="FF0000"/>
                <w:sz w:val="21"/>
                <w:szCs w:val="21"/>
                <w:u w:val="wave"/>
                <w:lang w:eastAsia="zh-CN"/>
              </w:rPr>
              <w:t>）</w:t>
            </w:r>
          </w:p>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线材</w:t>
            </w:r>
            <w:r>
              <w:rPr>
                <w:rFonts w:hint="eastAsia" w:ascii="Times New Roman" w:hAnsi="Times New Roman" w:eastAsiaTheme="majorEastAsia"/>
                <w:color w:val="FF0000"/>
                <w:sz w:val="21"/>
                <w:szCs w:val="21"/>
                <w:u w:val="wave"/>
                <w:lang w:eastAsia="zh-CN"/>
              </w:rPr>
              <w:t>：</w:t>
            </w:r>
            <w:r>
              <w:rPr>
                <w:rFonts w:hint="eastAsia" w:ascii="Times New Roman" w:hAnsi="Times New Roman" w:eastAsiaTheme="majorEastAsia"/>
                <w:color w:val="FF0000"/>
                <w:sz w:val="21"/>
                <w:szCs w:val="21"/>
                <w:u w:val="wave"/>
              </w:rPr>
              <w:t>Q235钢材制作</w:t>
            </w:r>
          </w:p>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底网丝径</w:t>
            </w:r>
            <w:r>
              <w:rPr>
                <w:rFonts w:hint="eastAsia" w:ascii="Times New Roman" w:hAnsi="Times New Roman" w:eastAsiaTheme="majorEastAsia"/>
                <w:color w:val="FF0000"/>
                <w:sz w:val="21"/>
                <w:szCs w:val="21"/>
                <w:u w:val="wave"/>
                <w:lang w:eastAsia="zh-CN"/>
              </w:rPr>
              <w:t>：</w:t>
            </w:r>
            <w:r>
              <w:rPr>
                <w:rFonts w:hint="eastAsia" w:ascii="Times New Roman" w:hAnsi="Times New Roman" w:eastAsiaTheme="majorEastAsia"/>
                <w:color w:val="FF0000"/>
                <w:sz w:val="21"/>
                <w:szCs w:val="21"/>
                <w:u w:val="wave"/>
              </w:rPr>
              <w:t>2.2mm</w:t>
            </w:r>
          </w:p>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笼门丝径</w:t>
            </w:r>
            <w:r>
              <w:rPr>
                <w:rFonts w:hint="eastAsia" w:ascii="Times New Roman" w:hAnsi="Times New Roman" w:eastAsiaTheme="majorEastAsia"/>
                <w:color w:val="FF0000"/>
                <w:sz w:val="21"/>
                <w:szCs w:val="21"/>
                <w:u w:val="wave"/>
                <w:lang w:eastAsia="zh-CN"/>
              </w:rPr>
              <w:t>：</w:t>
            </w:r>
            <w:r>
              <w:rPr>
                <w:rFonts w:hint="eastAsia" w:ascii="Times New Roman" w:hAnsi="Times New Roman" w:eastAsiaTheme="majorEastAsia"/>
                <w:color w:val="FF0000"/>
                <w:sz w:val="21"/>
                <w:szCs w:val="21"/>
                <w:u w:val="wave"/>
              </w:rPr>
              <w:t>4.4mm</w:t>
            </w:r>
            <w:r>
              <w:rPr>
                <w:rFonts w:hint="eastAsia" w:ascii="Times New Roman" w:hAnsi="Times New Roman" w:eastAsiaTheme="majorEastAsia"/>
                <w:color w:val="FF0000"/>
                <w:sz w:val="21"/>
                <w:szCs w:val="21"/>
                <w:u w:val="wave"/>
                <w:lang w:eastAsia="zh-CN"/>
              </w:rPr>
              <w:t>（</w:t>
            </w:r>
            <w:r>
              <w:rPr>
                <w:rFonts w:hint="eastAsia" w:ascii="Times New Roman" w:hAnsi="Times New Roman" w:eastAsiaTheme="majorEastAsia"/>
                <w:color w:val="FF0000"/>
                <w:sz w:val="21"/>
                <w:szCs w:val="21"/>
                <w:u w:val="wave"/>
              </w:rPr>
              <w:t>配笼门扣</w:t>
            </w:r>
            <w:r>
              <w:rPr>
                <w:rFonts w:hint="eastAsia" w:ascii="Times New Roman" w:hAnsi="Times New Roman" w:eastAsiaTheme="majorEastAsia"/>
                <w:color w:val="FF0000"/>
                <w:sz w:val="21"/>
                <w:szCs w:val="21"/>
                <w:u w:val="wave"/>
                <w:lang w:eastAsia="zh-CN"/>
              </w:rPr>
              <w:t>）</w:t>
            </w:r>
          </w:p>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隔网丝径</w:t>
            </w:r>
            <w:r>
              <w:rPr>
                <w:rFonts w:hint="eastAsia" w:ascii="Times New Roman" w:hAnsi="Times New Roman" w:eastAsiaTheme="majorEastAsia"/>
                <w:color w:val="FF0000"/>
                <w:sz w:val="21"/>
                <w:szCs w:val="21"/>
                <w:u w:val="wave"/>
                <w:lang w:eastAsia="zh-CN"/>
              </w:rPr>
              <w:t>：</w:t>
            </w:r>
            <w:r>
              <w:rPr>
                <w:rFonts w:hint="eastAsia" w:ascii="Times New Roman" w:hAnsi="Times New Roman" w:eastAsiaTheme="majorEastAsia"/>
                <w:color w:val="FF0000"/>
                <w:sz w:val="21"/>
                <w:szCs w:val="21"/>
                <w:u w:val="wave"/>
              </w:rPr>
              <w:t>2.0mm</w:t>
            </w:r>
          </w:p>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共</w:t>
            </w:r>
            <w:r>
              <w:rPr>
                <w:rFonts w:hint="eastAsia" w:ascii="Times New Roman" w:hAnsi="Times New Roman" w:eastAsiaTheme="majorEastAsia"/>
                <w:color w:val="FF0000"/>
                <w:sz w:val="21"/>
                <w:szCs w:val="21"/>
                <w:u w:val="wave"/>
              </w:rPr>
              <w:t>2</w:t>
            </w:r>
            <w:r>
              <w:rPr>
                <w:rFonts w:hint="eastAsia" w:ascii="Times New Roman" w:hAnsi="Times New Roman" w:eastAsiaTheme="majorEastAsia"/>
                <w:color w:val="FF0000"/>
                <w:sz w:val="21"/>
                <w:szCs w:val="21"/>
                <w:u w:val="wave"/>
                <w:lang w:val="en-US" w:eastAsia="zh-CN"/>
              </w:rPr>
              <w:t>460</w:t>
            </w:r>
            <w:r>
              <w:rPr>
                <w:rFonts w:ascii="Times New Roman" w:hAnsi="Times New Roman" w:eastAsiaTheme="majorEastAsia"/>
                <w:color w:val="FF0000"/>
                <w:sz w:val="21"/>
                <w:szCs w:val="21"/>
                <w:u w:val="wave"/>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2</w:t>
            </w:r>
          </w:p>
        </w:tc>
        <w:tc>
          <w:tcPr>
            <w:tcW w:w="1658"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笼架</w:t>
            </w:r>
          </w:p>
        </w:tc>
        <w:tc>
          <w:tcPr>
            <w:tcW w:w="2844" w:type="pct"/>
            <w:tcBorders>
              <w:tl2br w:val="nil"/>
              <w:tr2bl w:val="nil"/>
            </w:tcBorders>
            <w:vAlign w:val="center"/>
          </w:tcPr>
          <w:p>
            <w:pPr>
              <w:pStyle w:val="245"/>
              <w:snapToGrid w:val="0"/>
              <w:spacing w:line="240" w:lineRule="auto"/>
              <w:jc w:val="center"/>
              <w:rPr>
                <w:rFonts w:hint="eastAsia" w:ascii="Times New Roman" w:hAnsi="Times New Roman" w:cs="Times New Roman" w:eastAsiaTheme="majorEastAsia"/>
                <w:color w:val="FF0000"/>
                <w:sz w:val="21"/>
                <w:szCs w:val="21"/>
                <w:u w:val="wave"/>
                <w:lang w:eastAsia="zh-CN"/>
              </w:rPr>
            </w:pPr>
            <w:r>
              <w:rPr>
                <w:rFonts w:hint="eastAsia" w:ascii="Times New Roman" w:hAnsi="Times New Roman" w:cs="Times New Roman" w:eastAsiaTheme="majorEastAsia"/>
                <w:color w:val="FF0000"/>
                <w:sz w:val="21"/>
                <w:szCs w:val="21"/>
                <w:u w:val="wave"/>
                <w:lang w:eastAsia="zh-CN"/>
              </w:rPr>
              <w:t>笼架长度：120cm/组</w:t>
            </w:r>
          </w:p>
          <w:p>
            <w:pPr>
              <w:pStyle w:val="245"/>
              <w:snapToGrid w:val="0"/>
              <w:spacing w:line="240" w:lineRule="auto"/>
              <w:jc w:val="center"/>
              <w:rPr>
                <w:rFonts w:hint="eastAsia" w:ascii="Times New Roman" w:hAnsi="Times New Roman" w:cs="Times New Roman" w:eastAsiaTheme="majorEastAsia"/>
                <w:color w:val="FF0000"/>
                <w:sz w:val="21"/>
                <w:szCs w:val="21"/>
                <w:u w:val="wave"/>
                <w:lang w:eastAsia="zh-CN"/>
              </w:rPr>
            </w:pPr>
            <w:r>
              <w:rPr>
                <w:rFonts w:hint="eastAsia" w:ascii="Times New Roman" w:hAnsi="Times New Roman" w:cs="Times New Roman" w:eastAsiaTheme="majorEastAsia"/>
                <w:color w:val="FF0000"/>
                <w:sz w:val="21"/>
                <w:szCs w:val="21"/>
                <w:u w:val="wave"/>
                <w:lang w:eastAsia="zh-CN"/>
              </w:rPr>
              <w:t>组数：82组/列×5列/栋×</w:t>
            </w:r>
            <w:r>
              <w:rPr>
                <w:rFonts w:hint="eastAsia" w:ascii="Times New Roman" w:hAnsi="Times New Roman" w:cs="Times New Roman" w:eastAsiaTheme="majorEastAsia"/>
                <w:color w:val="FF0000"/>
                <w:sz w:val="21"/>
                <w:szCs w:val="21"/>
                <w:u w:val="wave"/>
                <w:lang w:val="en-US" w:eastAsia="zh-CN"/>
              </w:rPr>
              <w:t>6栋</w:t>
            </w:r>
            <w:r>
              <w:rPr>
                <w:rFonts w:hint="eastAsia" w:ascii="Times New Roman" w:hAnsi="Times New Roman" w:cs="Times New Roman" w:eastAsiaTheme="majorEastAsia"/>
                <w:color w:val="FF0000"/>
                <w:sz w:val="21"/>
                <w:szCs w:val="21"/>
                <w:u w:val="wave"/>
                <w:lang w:eastAsia="zh-CN"/>
              </w:rPr>
              <w:t>=</w:t>
            </w:r>
            <w:r>
              <w:rPr>
                <w:rFonts w:hint="eastAsia" w:ascii="Times New Roman" w:hAnsi="Times New Roman" w:cs="Times New Roman" w:eastAsiaTheme="majorEastAsia"/>
                <w:color w:val="FF0000"/>
                <w:sz w:val="21"/>
                <w:szCs w:val="21"/>
                <w:u w:val="wave"/>
                <w:lang w:val="en-US" w:eastAsia="zh-CN"/>
              </w:rPr>
              <w:t>2460</w:t>
            </w:r>
            <w:r>
              <w:rPr>
                <w:rFonts w:hint="eastAsia" w:ascii="Times New Roman" w:hAnsi="Times New Roman" w:cs="Times New Roman" w:eastAsiaTheme="majorEastAsia"/>
                <w:color w:val="FF0000"/>
                <w:sz w:val="21"/>
                <w:szCs w:val="21"/>
                <w:u w:val="wave"/>
                <w:lang w:eastAsia="zh-CN"/>
              </w:rPr>
              <w:t>组</w:t>
            </w:r>
          </w:p>
          <w:p>
            <w:pPr>
              <w:pStyle w:val="245"/>
              <w:snapToGrid w:val="0"/>
              <w:spacing w:line="240" w:lineRule="auto"/>
              <w:jc w:val="center"/>
              <w:rPr>
                <w:rFonts w:hint="eastAsia" w:ascii="Times New Roman" w:hAnsi="Times New Roman" w:cs="Times New Roman" w:eastAsiaTheme="majorEastAsia"/>
                <w:color w:val="FF0000"/>
                <w:sz w:val="21"/>
                <w:szCs w:val="21"/>
                <w:u w:val="wave"/>
                <w:lang w:eastAsia="zh-CN"/>
              </w:rPr>
            </w:pPr>
            <w:r>
              <w:rPr>
                <w:rFonts w:hint="eastAsia" w:ascii="Times New Roman" w:hAnsi="Times New Roman" w:cs="Times New Roman" w:eastAsiaTheme="majorEastAsia"/>
                <w:color w:val="FF0000"/>
                <w:sz w:val="21"/>
                <w:szCs w:val="21"/>
                <w:u w:val="wave"/>
                <w:lang w:eastAsia="zh-CN"/>
              </w:rPr>
              <w:t>材质：</w:t>
            </w:r>
            <w:r>
              <w:rPr>
                <w:rFonts w:ascii="Times New Roman" w:hAnsi="Times New Roman" w:eastAsiaTheme="majorEastAsia"/>
                <w:color w:val="FF0000"/>
                <w:sz w:val="21"/>
                <w:szCs w:val="21"/>
                <w:u w:val="wave"/>
              </w:rPr>
              <w:t>275g/m</w:t>
            </w:r>
            <w:r>
              <w:rPr>
                <w:rFonts w:ascii="Times New Roman" w:hAnsi="Times New Roman" w:eastAsiaTheme="majorEastAsia"/>
                <w:color w:val="FF0000"/>
                <w:sz w:val="21"/>
                <w:szCs w:val="21"/>
                <w:u w:val="wave"/>
                <w:vertAlign w:val="superscript"/>
              </w:rPr>
              <w:t>2</w:t>
            </w:r>
            <w:r>
              <w:rPr>
                <w:rFonts w:ascii="Times New Roman" w:hAnsi="Times New Roman" w:eastAsiaTheme="majorEastAsia"/>
                <w:color w:val="FF0000"/>
                <w:sz w:val="21"/>
                <w:szCs w:val="21"/>
                <w:u w:val="wave"/>
              </w:rPr>
              <w:t>热镀锌板</w:t>
            </w:r>
          </w:p>
          <w:p>
            <w:pPr>
              <w:pStyle w:val="245"/>
              <w:snapToGrid w:val="0"/>
              <w:spacing w:line="240" w:lineRule="auto"/>
              <w:jc w:val="center"/>
              <w:rPr>
                <w:rFonts w:ascii="Times New Roman" w:hAnsi="Times New Roman" w:eastAsiaTheme="majorEastAsia"/>
                <w:color w:val="FF0000"/>
                <w:sz w:val="21"/>
                <w:szCs w:val="21"/>
                <w:u w:val="wave"/>
              </w:rPr>
            </w:pPr>
            <w:r>
              <w:rPr>
                <w:rFonts w:hint="eastAsia" w:ascii="Times New Roman" w:hAnsi="Times New Roman" w:cs="Times New Roman" w:eastAsiaTheme="majorEastAsia"/>
                <w:color w:val="FF0000"/>
                <w:sz w:val="21"/>
                <w:szCs w:val="21"/>
                <w:u w:val="wave"/>
                <w:lang w:eastAsia="zh-CN"/>
              </w:rPr>
              <w:t>厚度：2.0mm板材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eastAsia"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3</w:t>
            </w:r>
          </w:p>
        </w:tc>
        <w:tc>
          <w:tcPr>
            <w:tcW w:w="1658"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料槽</w:t>
            </w:r>
          </w:p>
        </w:tc>
        <w:tc>
          <w:tcPr>
            <w:tcW w:w="2844" w:type="pct"/>
            <w:tcBorders>
              <w:tl2br w:val="nil"/>
              <w:tr2bl w:val="nil"/>
            </w:tcBorders>
            <w:vAlign w:val="center"/>
          </w:tcPr>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食槽材质：热浸锌</w:t>
            </w:r>
          </w:p>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厚度</w:t>
            </w:r>
            <w:r>
              <w:rPr>
                <w:rFonts w:hint="eastAsia" w:ascii="Times New Roman" w:hAnsi="Times New Roman" w:eastAsiaTheme="majorEastAsia"/>
                <w:color w:val="FF0000"/>
                <w:sz w:val="21"/>
                <w:szCs w:val="21"/>
                <w:u w:val="wave"/>
                <w:lang w:eastAsia="zh-CN"/>
              </w:rPr>
              <w:t>：</w:t>
            </w:r>
            <w:r>
              <w:rPr>
                <w:rFonts w:hint="eastAsia" w:ascii="Times New Roman" w:hAnsi="Times New Roman" w:eastAsiaTheme="majorEastAsia"/>
                <w:color w:val="FF0000"/>
                <w:sz w:val="21"/>
                <w:szCs w:val="21"/>
                <w:u w:val="wave"/>
              </w:rPr>
              <w:t>1.0mm</w:t>
            </w:r>
          </w:p>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长度</w:t>
            </w:r>
            <w:r>
              <w:rPr>
                <w:rFonts w:hint="eastAsia" w:ascii="Times New Roman" w:hAnsi="Times New Roman" w:eastAsiaTheme="majorEastAsia"/>
                <w:color w:val="FF0000"/>
                <w:sz w:val="21"/>
                <w:szCs w:val="21"/>
                <w:u w:val="wave"/>
                <w:lang w:eastAsia="zh-CN"/>
              </w:rPr>
              <w:t>：</w:t>
            </w:r>
            <w:r>
              <w:rPr>
                <w:rFonts w:hint="eastAsia" w:ascii="Times New Roman" w:hAnsi="Times New Roman" w:eastAsiaTheme="majorEastAsia"/>
                <w:color w:val="FF0000"/>
                <w:sz w:val="21"/>
                <w:szCs w:val="21"/>
                <w:u w:val="wave"/>
              </w:rPr>
              <w:t>1.2m/根</w:t>
            </w:r>
          </w:p>
          <w:p>
            <w:pPr>
              <w:pStyle w:val="245"/>
              <w:snapToGrid w:val="0"/>
              <w:spacing w:line="240" w:lineRule="auto"/>
              <w:jc w:val="center"/>
              <w:rPr>
                <w:rFonts w:hint="default"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共8200m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b/>
                <w:color w:val="FF0000"/>
                <w:sz w:val="21"/>
                <w:szCs w:val="21"/>
                <w:u w:val="wave"/>
              </w:rPr>
            </w:pPr>
            <w:r>
              <w:rPr>
                <w:rFonts w:ascii="Times New Roman" w:hAnsi="Times New Roman" w:eastAsiaTheme="majorEastAsia"/>
                <w:b/>
                <w:color w:val="FF0000"/>
                <w:sz w:val="21"/>
                <w:szCs w:val="21"/>
                <w:u w:val="wave"/>
              </w:rPr>
              <w:t>（二）</w:t>
            </w:r>
          </w:p>
        </w:tc>
        <w:tc>
          <w:tcPr>
            <w:tcW w:w="4502" w:type="pct"/>
            <w:gridSpan w:val="2"/>
            <w:tcBorders>
              <w:tl2br w:val="nil"/>
              <w:tr2bl w:val="nil"/>
            </w:tcBorders>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喂料系统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1</w:t>
            </w:r>
          </w:p>
        </w:tc>
        <w:tc>
          <w:tcPr>
            <w:tcW w:w="1658"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头尾架及喂料行车</w:t>
            </w:r>
          </w:p>
        </w:tc>
        <w:tc>
          <w:tcPr>
            <w:tcW w:w="2844" w:type="pct"/>
            <w:tcBorders>
              <w:tl2br w:val="nil"/>
              <w:tr2bl w:val="nil"/>
            </w:tcBorders>
            <w:vAlign w:val="center"/>
          </w:tcPr>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头尾支架：</w:t>
            </w:r>
            <w:r>
              <w:rPr>
                <w:rFonts w:ascii="Times New Roman" w:hAnsi="Times New Roman" w:eastAsiaTheme="majorEastAsia"/>
                <w:color w:val="FF0000"/>
                <w:sz w:val="21"/>
                <w:szCs w:val="21"/>
                <w:u w:val="wave"/>
              </w:rPr>
              <w:t>275g/m</w:t>
            </w:r>
            <w:r>
              <w:rPr>
                <w:rFonts w:ascii="Times New Roman" w:hAnsi="Times New Roman" w:eastAsiaTheme="majorEastAsia"/>
                <w:color w:val="FF0000"/>
                <w:sz w:val="21"/>
                <w:szCs w:val="21"/>
                <w:u w:val="wave"/>
                <w:vertAlign w:val="superscript"/>
              </w:rPr>
              <w:t>2</w:t>
            </w:r>
            <w:r>
              <w:rPr>
                <w:rFonts w:ascii="Times New Roman" w:hAnsi="Times New Roman" w:eastAsiaTheme="majorEastAsia"/>
                <w:color w:val="FF0000"/>
                <w:sz w:val="21"/>
                <w:szCs w:val="21"/>
                <w:u w:val="wave"/>
              </w:rPr>
              <w:t>热镀锌板</w:t>
            </w:r>
          </w:p>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料车框架：</w:t>
            </w:r>
            <w:r>
              <w:rPr>
                <w:rFonts w:ascii="Times New Roman" w:hAnsi="Times New Roman" w:eastAsiaTheme="majorEastAsia"/>
                <w:color w:val="FF0000"/>
                <w:sz w:val="21"/>
                <w:szCs w:val="21"/>
                <w:u w:val="wave"/>
              </w:rPr>
              <w:t>275g/m</w:t>
            </w:r>
            <w:r>
              <w:rPr>
                <w:rFonts w:ascii="Times New Roman" w:hAnsi="Times New Roman" w:eastAsiaTheme="majorEastAsia"/>
                <w:color w:val="FF0000"/>
                <w:sz w:val="21"/>
                <w:szCs w:val="21"/>
                <w:u w:val="wave"/>
                <w:vertAlign w:val="superscript"/>
              </w:rPr>
              <w:t>2</w:t>
            </w:r>
            <w:r>
              <w:rPr>
                <w:rFonts w:ascii="Times New Roman" w:hAnsi="Times New Roman" w:eastAsiaTheme="majorEastAsia"/>
                <w:color w:val="FF0000"/>
                <w:sz w:val="21"/>
                <w:szCs w:val="21"/>
                <w:u w:val="wave"/>
              </w:rPr>
              <w:t>热镀锌板</w:t>
            </w:r>
          </w:p>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减速机功率：0.75千瓦</w:t>
            </w:r>
          </w:p>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料车框架板材厚度：3.0mm</w:t>
            </w:r>
          </w:p>
          <w:p>
            <w:pPr>
              <w:pStyle w:val="245"/>
              <w:snapToGrid w:val="0"/>
              <w:spacing w:line="240" w:lineRule="auto"/>
              <w:jc w:val="center"/>
              <w:rPr>
                <w:rFonts w:hint="default"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共66台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2</w:t>
            </w:r>
          </w:p>
        </w:tc>
        <w:tc>
          <w:tcPr>
            <w:tcW w:w="1658"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料车电缆线</w:t>
            </w:r>
          </w:p>
        </w:tc>
        <w:tc>
          <w:tcPr>
            <w:tcW w:w="2844" w:type="pct"/>
            <w:tcBorders>
              <w:tl2br w:val="nil"/>
              <w:tr2bl w:val="nil"/>
            </w:tcBorders>
            <w:vAlign w:val="center"/>
          </w:tcPr>
          <w:p>
            <w:pPr>
              <w:pStyle w:val="245"/>
              <w:snapToGrid w:val="0"/>
              <w:spacing w:line="240" w:lineRule="auto"/>
              <w:jc w:val="center"/>
              <w:rPr>
                <w:rFonts w:hint="eastAsia" w:ascii="Times New Roman" w:hAnsi="Times New Roman" w:eastAsiaTheme="majorEastAsia"/>
                <w:color w:val="FF0000"/>
                <w:sz w:val="21"/>
                <w:szCs w:val="21"/>
                <w:u w:val="wave"/>
                <w:lang w:eastAsia="zh-CN"/>
              </w:rPr>
            </w:pPr>
            <w:r>
              <w:rPr>
                <w:rFonts w:hint="eastAsia" w:ascii="Times New Roman" w:hAnsi="Times New Roman" w:eastAsiaTheme="majorEastAsia"/>
                <w:color w:val="FF0000"/>
                <w:sz w:val="21"/>
                <w:szCs w:val="21"/>
                <w:u w:val="wave"/>
              </w:rPr>
              <w:t>电缆线：5芯行车线缆</w:t>
            </w:r>
            <w:r>
              <w:rPr>
                <w:rFonts w:hint="eastAsia" w:ascii="Times New Roman" w:hAnsi="Times New Roman" w:eastAsiaTheme="majorEastAsia"/>
                <w:color w:val="FF0000"/>
                <w:sz w:val="21"/>
                <w:szCs w:val="21"/>
                <w:u w:val="wave"/>
                <w:lang w:eastAsia="zh-CN"/>
              </w:rPr>
              <w:t>，</w:t>
            </w:r>
            <w:r>
              <w:rPr>
                <w:rFonts w:hint="eastAsia" w:ascii="Times New Roman" w:hAnsi="Times New Roman" w:eastAsiaTheme="majorEastAsia"/>
                <w:color w:val="FF0000"/>
                <w:sz w:val="21"/>
                <w:szCs w:val="21"/>
                <w:u w:val="wave"/>
                <w:lang w:val="en-US" w:eastAsia="zh-CN"/>
              </w:rPr>
              <w:t>共7260m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3</w:t>
            </w:r>
          </w:p>
        </w:tc>
        <w:tc>
          <w:tcPr>
            <w:tcW w:w="1658"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宋体" w:hAnsi="宋体" w:eastAsia="宋体" w:cs="宋体"/>
                <w:b w:val="0"/>
                <w:i w:val="0"/>
                <w:color w:val="FF0000"/>
                <w:sz w:val="21"/>
                <w:szCs w:val="21"/>
                <w:u w:val="wave"/>
              </w:rPr>
              <w:t>料车防尘盖板</w:t>
            </w:r>
          </w:p>
        </w:tc>
        <w:tc>
          <w:tcPr>
            <w:tcW w:w="2844" w:type="pct"/>
            <w:tcBorders>
              <w:tl2br w:val="nil"/>
              <w:tr2bl w:val="nil"/>
            </w:tcBorders>
            <w:vAlign w:val="center"/>
          </w:tcPr>
          <w:p>
            <w:pPr>
              <w:pStyle w:val="245"/>
              <w:snapToGrid w:val="0"/>
              <w:spacing w:line="240" w:lineRule="auto"/>
              <w:jc w:val="center"/>
              <w:rPr>
                <w:rFonts w:hint="default"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rPr>
              <w:t>材质：</w:t>
            </w:r>
            <w:r>
              <w:rPr>
                <w:rFonts w:ascii="Times New Roman" w:hAnsi="Times New Roman" w:eastAsiaTheme="majorEastAsia"/>
                <w:color w:val="FF0000"/>
                <w:sz w:val="21"/>
                <w:szCs w:val="21"/>
                <w:u w:val="wave"/>
              </w:rPr>
              <w:t>275g/m</w:t>
            </w:r>
            <w:r>
              <w:rPr>
                <w:rFonts w:ascii="Times New Roman" w:hAnsi="Times New Roman" w:eastAsiaTheme="majorEastAsia"/>
                <w:color w:val="FF0000"/>
                <w:sz w:val="21"/>
                <w:szCs w:val="21"/>
                <w:u w:val="wave"/>
                <w:vertAlign w:val="superscript"/>
              </w:rPr>
              <w:t>2</w:t>
            </w:r>
            <w:r>
              <w:rPr>
                <w:rFonts w:ascii="Times New Roman" w:hAnsi="Times New Roman" w:eastAsiaTheme="majorEastAsia"/>
                <w:color w:val="FF0000"/>
                <w:sz w:val="21"/>
                <w:szCs w:val="21"/>
                <w:u w:val="wave"/>
              </w:rPr>
              <w:t>热镀锌板</w:t>
            </w:r>
            <w:r>
              <w:rPr>
                <w:rFonts w:hint="eastAsia" w:ascii="Times New Roman" w:hAnsi="Times New Roman" w:eastAsiaTheme="majorEastAsia"/>
                <w:color w:val="FF0000"/>
                <w:sz w:val="21"/>
                <w:szCs w:val="21"/>
                <w:u w:val="wave"/>
                <w:lang w:eastAsia="zh-CN"/>
              </w:rPr>
              <w:t>，</w:t>
            </w:r>
            <w:r>
              <w:rPr>
                <w:rFonts w:hint="eastAsia" w:ascii="Times New Roman" w:hAnsi="Times New Roman" w:eastAsiaTheme="majorEastAsia"/>
                <w:color w:val="FF0000"/>
                <w:sz w:val="21"/>
                <w:szCs w:val="21"/>
                <w:u w:val="wave"/>
                <w:lang w:val="en-US" w:eastAsia="zh-CN"/>
              </w:rPr>
              <w:t>共528套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4</w:t>
            </w:r>
          </w:p>
        </w:tc>
        <w:tc>
          <w:tcPr>
            <w:tcW w:w="1658"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宋体" w:hAnsi="宋体" w:eastAsia="宋体" w:cs="宋体"/>
                <w:b w:val="0"/>
                <w:i w:val="0"/>
                <w:color w:val="FF0000"/>
                <w:sz w:val="21"/>
                <w:szCs w:val="21"/>
                <w:u w:val="wave"/>
              </w:rPr>
              <w:t>料槽/蛋带清洁装置</w:t>
            </w:r>
          </w:p>
        </w:tc>
        <w:tc>
          <w:tcPr>
            <w:tcW w:w="2844" w:type="pct"/>
            <w:tcBorders>
              <w:tl2br w:val="nil"/>
              <w:tr2bl w:val="nil"/>
            </w:tcBorders>
            <w:vAlign w:val="center"/>
          </w:tcPr>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功能原理：蛋带吹风清洁装置随行车上料时对蛋带进行清洁</w:t>
            </w:r>
          </w:p>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材质：</w:t>
            </w:r>
            <w:r>
              <w:rPr>
                <w:rFonts w:ascii="Times New Roman" w:hAnsi="Times New Roman" w:eastAsiaTheme="majorEastAsia"/>
                <w:color w:val="FF0000"/>
                <w:sz w:val="21"/>
                <w:szCs w:val="21"/>
                <w:u w:val="wave"/>
              </w:rPr>
              <w:t>275g/m</w:t>
            </w:r>
            <w:r>
              <w:rPr>
                <w:rFonts w:ascii="Times New Roman" w:hAnsi="Times New Roman" w:eastAsiaTheme="majorEastAsia"/>
                <w:color w:val="FF0000"/>
                <w:sz w:val="21"/>
                <w:szCs w:val="21"/>
                <w:u w:val="wave"/>
                <w:vertAlign w:val="superscript"/>
              </w:rPr>
              <w:t>2</w:t>
            </w:r>
            <w:r>
              <w:rPr>
                <w:rFonts w:ascii="Times New Roman" w:hAnsi="Times New Roman" w:eastAsiaTheme="majorEastAsia"/>
                <w:color w:val="FF0000"/>
                <w:sz w:val="21"/>
                <w:szCs w:val="21"/>
                <w:u w:val="wave"/>
              </w:rPr>
              <w:t>热镀锌板</w:t>
            </w:r>
          </w:p>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毛刷功能：对料槽外沿进行清洁</w:t>
            </w:r>
          </w:p>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lang w:val="en-US" w:eastAsia="zh-CN"/>
              </w:rPr>
              <w:t>共120套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5</w:t>
            </w:r>
          </w:p>
        </w:tc>
        <w:tc>
          <w:tcPr>
            <w:tcW w:w="1658"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宋体" w:hAnsi="宋体" w:eastAsia="宋体" w:cs="宋体"/>
                <w:b w:val="0"/>
                <w:i w:val="0"/>
                <w:color w:val="FF0000"/>
                <w:sz w:val="21"/>
                <w:szCs w:val="21"/>
                <w:u w:val="wave"/>
              </w:rPr>
              <w:t>料车保护装置</w:t>
            </w:r>
          </w:p>
        </w:tc>
        <w:tc>
          <w:tcPr>
            <w:tcW w:w="2844"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lang w:val="en-US" w:eastAsia="zh-CN"/>
              </w:rPr>
              <w:t>共66套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6</w:t>
            </w:r>
          </w:p>
        </w:tc>
        <w:tc>
          <w:tcPr>
            <w:tcW w:w="1658"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滑动式匀料器</w:t>
            </w:r>
          </w:p>
        </w:tc>
        <w:tc>
          <w:tcPr>
            <w:tcW w:w="2844"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lang w:val="en-US" w:eastAsia="zh-CN"/>
              </w:rPr>
              <w:t>共480套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eastAsia"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7</w:t>
            </w:r>
          </w:p>
        </w:tc>
        <w:tc>
          <w:tcPr>
            <w:tcW w:w="1658" w:type="pct"/>
            <w:tcBorders>
              <w:tl2br w:val="nil"/>
              <w:tr2bl w:val="nil"/>
            </w:tcBorders>
            <w:vAlign w:val="center"/>
          </w:tcPr>
          <w:p>
            <w:pPr>
              <w:pStyle w:val="245"/>
              <w:snapToGrid w:val="0"/>
              <w:spacing w:line="240" w:lineRule="auto"/>
              <w:jc w:val="center"/>
              <w:rPr>
                <w:rFonts w:hint="eastAsia" w:ascii="Times New Roman" w:hAnsi="Times New Roman" w:eastAsiaTheme="majorEastAsia"/>
                <w:color w:val="FF0000"/>
                <w:sz w:val="21"/>
                <w:szCs w:val="21"/>
                <w:u w:val="wave"/>
              </w:rPr>
            </w:pPr>
            <w:r>
              <w:rPr>
                <w:rFonts w:ascii="宋体" w:hAnsi="宋体" w:eastAsia="宋体" w:cs="宋体"/>
                <w:b w:val="0"/>
                <w:i w:val="0"/>
                <w:color w:val="FF0000"/>
                <w:sz w:val="21"/>
                <w:szCs w:val="21"/>
                <w:u w:val="wave"/>
              </w:rPr>
              <w:t>回料装置</w:t>
            </w:r>
          </w:p>
        </w:tc>
        <w:tc>
          <w:tcPr>
            <w:tcW w:w="2844" w:type="pct"/>
            <w:tcBorders>
              <w:tl2br w:val="nil"/>
              <w:tr2bl w:val="nil"/>
            </w:tcBorders>
            <w:vAlign w:val="center"/>
          </w:tcPr>
          <w:p>
            <w:pPr>
              <w:pStyle w:val="245"/>
              <w:snapToGrid w:val="0"/>
              <w:spacing w:line="240" w:lineRule="auto"/>
              <w:jc w:val="center"/>
              <w:rPr>
                <w:rFonts w:hint="eastAsia"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材质：</w:t>
            </w:r>
            <w:r>
              <w:rPr>
                <w:rFonts w:ascii="Times New Roman" w:hAnsi="Times New Roman" w:eastAsiaTheme="majorEastAsia"/>
                <w:color w:val="FF0000"/>
                <w:sz w:val="21"/>
                <w:szCs w:val="21"/>
                <w:u w:val="wave"/>
              </w:rPr>
              <w:t>275g/m</w:t>
            </w:r>
            <w:r>
              <w:rPr>
                <w:rFonts w:ascii="Times New Roman" w:hAnsi="Times New Roman" w:eastAsiaTheme="majorEastAsia"/>
                <w:color w:val="FF0000"/>
                <w:sz w:val="21"/>
                <w:szCs w:val="21"/>
                <w:u w:val="wave"/>
                <w:vertAlign w:val="superscript"/>
              </w:rPr>
              <w:t>2</w:t>
            </w:r>
            <w:r>
              <w:rPr>
                <w:rFonts w:ascii="Times New Roman" w:hAnsi="Times New Roman" w:eastAsiaTheme="majorEastAsia"/>
                <w:color w:val="FF0000"/>
                <w:sz w:val="21"/>
                <w:szCs w:val="21"/>
                <w:u w:val="wave"/>
              </w:rPr>
              <w:t>热镀锌板</w:t>
            </w:r>
          </w:p>
          <w:p>
            <w:pPr>
              <w:pStyle w:val="245"/>
              <w:snapToGrid w:val="0"/>
              <w:spacing w:line="240" w:lineRule="auto"/>
              <w:jc w:val="center"/>
              <w:rPr>
                <w:rFonts w:hint="eastAsia"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功能：使前后端料车停机位限制下料功能</w:t>
            </w:r>
          </w:p>
          <w:p>
            <w:pPr>
              <w:pStyle w:val="245"/>
              <w:snapToGrid w:val="0"/>
              <w:spacing w:line="240" w:lineRule="auto"/>
              <w:jc w:val="center"/>
              <w:rPr>
                <w:rFonts w:hint="eastAsia"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配置：每个停机位一个</w:t>
            </w:r>
          </w:p>
          <w:p>
            <w:pPr>
              <w:pStyle w:val="245"/>
              <w:snapToGrid w:val="0"/>
              <w:spacing w:line="240" w:lineRule="auto"/>
              <w:jc w:val="center"/>
              <w:rPr>
                <w:rFonts w:hint="eastAsia"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共960套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eastAsia"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8</w:t>
            </w:r>
          </w:p>
        </w:tc>
        <w:tc>
          <w:tcPr>
            <w:tcW w:w="1658" w:type="pct"/>
            <w:tcBorders>
              <w:tl2br w:val="nil"/>
              <w:tr2bl w:val="nil"/>
            </w:tcBorders>
            <w:vAlign w:val="center"/>
          </w:tcPr>
          <w:p>
            <w:pPr>
              <w:pStyle w:val="245"/>
              <w:snapToGrid w:val="0"/>
              <w:spacing w:line="240" w:lineRule="auto"/>
              <w:jc w:val="center"/>
              <w:rPr>
                <w:rFonts w:ascii="宋体" w:hAnsi="宋体" w:eastAsia="宋体" w:cs="宋体"/>
                <w:b w:val="0"/>
                <w:i w:val="0"/>
                <w:color w:val="FF0000"/>
                <w:sz w:val="21"/>
                <w:szCs w:val="21"/>
                <w:u w:val="wave"/>
              </w:rPr>
            </w:pPr>
            <w:r>
              <w:rPr>
                <w:rFonts w:hint="eastAsia" w:ascii="宋体" w:hAnsi="宋体" w:eastAsia="宋体" w:cs="宋体"/>
                <w:b w:val="0"/>
                <w:i w:val="0"/>
                <w:color w:val="FF0000"/>
                <w:sz w:val="21"/>
                <w:szCs w:val="21"/>
                <w:u w:val="wave"/>
              </w:rPr>
              <w:t>分体式料箱</w:t>
            </w:r>
          </w:p>
        </w:tc>
        <w:tc>
          <w:tcPr>
            <w:tcW w:w="2844" w:type="pct"/>
            <w:tcBorders>
              <w:tl2br w:val="nil"/>
              <w:tr2bl w:val="nil"/>
            </w:tcBorders>
            <w:vAlign w:val="center"/>
          </w:tcPr>
          <w:p>
            <w:pPr>
              <w:pStyle w:val="245"/>
              <w:snapToGrid w:val="0"/>
              <w:spacing w:line="240" w:lineRule="auto"/>
              <w:jc w:val="center"/>
              <w:rPr>
                <w:rFonts w:hint="eastAsia"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材质：</w:t>
            </w:r>
            <w:r>
              <w:rPr>
                <w:rFonts w:ascii="Times New Roman" w:hAnsi="Times New Roman" w:eastAsiaTheme="majorEastAsia"/>
                <w:color w:val="FF0000"/>
                <w:sz w:val="21"/>
                <w:szCs w:val="21"/>
                <w:u w:val="wave"/>
              </w:rPr>
              <w:t>275g/m</w:t>
            </w:r>
            <w:r>
              <w:rPr>
                <w:rFonts w:ascii="Times New Roman" w:hAnsi="Times New Roman" w:eastAsiaTheme="majorEastAsia"/>
                <w:color w:val="FF0000"/>
                <w:sz w:val="21"/>
                <w:szCs w:val="21"/>
                <w:u w:val="wave"/>
                <w:vertAlign w:val="superscript"/>
              </w:rPr>
              <w:t>2</w:t>
            </w:r>
            <w:r>
              <w:rPr>
                <w:rFonts w:ascii="Times New Roman" w:hAnsi="Times New Roman" w:eastAsiaTheme="majorEastAsia"/>
                <w:color w:val="FF0000"/>
                <w:sz w:val="21"/>
                <w:szCs w:val="21"/>
                <w:u w:val="wave"/>
              </w:rPr>
              <w:t>热镀锌板</w:t>
            </w:r>
          </w:p>
          <w:p>
            <w:pPr>
              <w:pStyle w:val="245"/>
              <w:snapToGrid w:val="0"/>
              <w:spacing w:line="240" w:lineRule="auto"/>
              <w:jc w:val="center"/>
              <w:rPr>
                <w:rFonts w:hint="eastAsia"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共480套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eastAsia" w:ascii="Times New Roman" w:hAnsi="Times New Roman" w:eastAsiaTheme="majorEastAsia"/>
                <w:color w:val="FF0000"/>
                <w:sz w:val="21"/>
                <w:szCs w:val="21"/>
                <w:u w:val="wave"/>
                <w:lang w:val="en-US" w:eastAsia="zh-CN"/>
              </w:rPr>
            </w:pPr>
            <w:r>
              <w:rPr>
                <w:rFonts w:ascii="Times New Roman" w:hAnsi="Times New Roman" w:eastAsiaTheme="majorEastAsia"/>
                <w:b/>
                <w:color w:val="FF0000"/>
                <w:sz w:val="21"/>
                <w:szCs w:val="21"/>
                <w:u w:val="wave"/>
              </w:rPr>
              <w:t>（三）</w:t>
            </w:r>
          </w:p>
        </w:tc>
        <w:tc>
          <w:tcPr>
            <w:tcW w:w="4502" w:type="pct"/>
            <w:gridSpan w:val="2"/>
            <w:tcBorders>
              <w:tl2br w:val="nil"/>
              <w:tr2bl w:val="nil"/>
            </w:tcBorders>
            <w:vAlign w:val="center"/>
          </w:tcPr>
          <w:p>
            <w:pPr>
              <w:pStyle w:val="245"/>
              <w:snapToGrid w:val="0"/>
              <w:spacing w:line="240" w:lineRule="auto"/>
              <w:jc w:val="center"/>
              <w:rPr>
                <w:rFonts w:hint="default"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供料系统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default"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1</w:t>
            </w:r>
          </w:p>
        </w:tc>
        <w:tc>
          <w:tcPr>
            <w:tcW w:w="1658" w:type="pct"/>
            <w:tcBorders>
              <w:tl2br w:val="nil"/>
              <w:tr2bl w:val="nil"/>
            </w:tcBorders>
            <w:vAlign w:val="center"/>
          </w:tcPr>
          <w:p>
            <w:pPr>
              <w:pStyle w:val="245"/>
              <w:snapToGrid w:val="0"/>
              <w:spacing w:line="240" w:lineRule="auto"/>
              <w:jc w:val="center"/>
              <w:rPr>
                <w:rFonts w:hint="eastAsia" w:ascii="宋体" w:hAnsi="宋体" w:eastAsia="宋体" w:cs="宋体"/>
                <w:b w:val="0"/>
                <w:i w:val="0"/>
                <w:color w:val="FF0000"/>
                <w:sz w:val="21"/>
                <w:szCs w:val="21"/>
                <w:u w:val="wave"/>
              </w:rPr>
            </w:pPr>
            <w:r>
              <w:rPr>
                <w:rFonts w:hint="eastAsia" w:ascii="Times New Roman" w:hAnsi="Times New Roman" w:eastAsia="宋体" w:cs="Times New Roman"/>
                <w:b w:val="0"/>
                <w:i w:val="0"/>
                <w:color w:val="FF0000"/>
                <w:sz w:val="21"/>
                <w:szCs w:val="21"/>
                <w:u w:val="wave"/>
                <w:lang w:val="en-US" w:eastAsia="zh-CN"/>
              </w:rPr>
              <w:t>20吨料塔</w:t>
            </w:r>
          </w:p>
        </w:tc>
        <w:tc>
          <w:tcPr>
            <w:tcW w:w="2844" w:type="pct"/>
            <w:tcBorders>
              <w:tl2br w:val="nil"/>
              <w:tr2bl w:val="nil"/>
            </w:tcBorders>
            <w:vAlign w:val="center"/>
          </w:tcPr>
          <w:p>
            <w:pPr>
              <w:pStyle w:val="245"/>
              <w:snapToGrid w:val="0"/>
              <w:spacing w:line="240" w:lineRule="auto"/>
              <w:jc w:val="center"/>
              <w:rPr>
                <w:rFonts w:hint="default" w:ascii="Times New Roman" w:hAnsi="Times New Roman" w:eastAsia="宋体" w:cs="Times New Roman"/>
                <w:b w:val="0"/>
                <w:i w:val="0"/>
                <w:color w:val="FF0000"/>
                <w:sz w:val="21"/>
                <w:szCs w:val="21"/>
                <w:u w:val="wave"/>
                <w:lang w:val="en-US" w:eastAsia="zh-CN"/>
              </w:rPr>
            </w:pPr>
            <w:r>
              <w:rPr>
                <w:rFonts w:hint="default" w:ascii="Times New Roman" w:hAnsi="Times New Roman" w:eastAsia="宋体" w:cs="Times New Roman"/>
                <w:b w:val="0"/>
                <w:i w:val="0"/>
                <w:color w:val="FF0000"/>
                <w:sz w:val="21"/>
                <w:szCs w:val="21"/>
                <w:u w:val="wave"/>
                <w:lang w:val="en-US" w:eastAsia="zh-CN"/>
              </w:rPr>
              <w:t>共12套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default"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2</w:t>
            </w:r>
          </w:p>
        </w:tc>
        <w:tc>
          <w:tcPr>
            <w:tcW w:w="1658" w:type="pct"/>
            <w:tcBorders>
              <w:tl2br w:val="nil"/>
              <w:tr2bl w:val="nil"/>
            </w:tcBorders>
            <w:vAlign w:val="center"/>
          </w:tcPr>
          <w:p>
            <w:pPr>
              <w:pStyle w:val="245"/>
              <w:snapToGrid w:val="0"/>
              <w:spacing w:line="240" w:lineRule="auto"/>
              <w:jc w:val="center"/>
              <w:rPr>
                <w:rFonts w:hint="eastAsia" w:ascii="宋体" w:hAnsi="宋体" w:eastAsia="宋体" w:cs="宋体"/>
                <w:b w:val="0"/>
                <w:i w:val="0"/>
                <w:color w:val="FF0000"/>
                <w:sz w:val="21"/>
                <w:szCs w:val="21"/>
                <w:u w:val="wave"/>
              </w:rPr>
            </w:pPr>
            <w:r>
              <w:rPr>
                <w:rFonts w:hint="eastAsia" w:ascii="宋体" w:hAnsi="宋体" w:eastAsia="宋体" w:cs="宋体"/>
                <w:b w:val="0"/>
                <w:i w:val="0"/>
                <w:color w:val="FF0000"/>
                <w:sz w:val="21"/>
                <w:szCs w:val="21"/>
                <w:u w:val="wave"/>
              </w:rPr>
              <w:t>塞盘上料系统</w:t>
            </w:r>
          </w:p>
        </w:tc>
        <w:tc>
          <w:tcPr>
            <w:tcW w:w="2844" w:type="pct"/>
            <w:tcBorders>
              <w:tl2br w:val="nil"/>
              <w:tr2bl w:val="nil"/>
            </w:tcBorders>
            <w:vAlign w:val="center"/>
          </w:tcPr>
          <w:p>
            <w:pPr>
              <w:pStyle w:val="245"/>
              <w:snapToGrid w:val="0"/>
              <w:spacing w:line="240" w:lineRule="auto"/>
              <w:jc w:val="center"/>
              <w:rPr>
                <w:rFonts w:hint="default" w:ascii="Times New Roman" w:hAnsi="Times New Roman" w:eastAsia="宋体" w:cs="Times New Roman"/>
                <w:b w:val="0"/>
                <w:i w:val="0"/>
                <w:color w:val="FF0000"/>
                <w:sz w:val="21"/>
                <w:szCs w:val="21"/>
                <w:u w:val="wave"/>
                <w:lang w:val="en-US" w:eastAsia="zh-CN"/>
              </w:rPr>
            </w:pPr>
            <w:r>
              <w:rPr>
                <w:rFonts w:hint="default" w:ascii="Times New Roman" w:hAnsi="Times New Roman" w:eastAsia="宋体" w:cs="Times New Roman"/>
                <w:b w:val="0"/>
                <w:i w:val="0"/>
                <w:color w:val="FF0000"/>
                <w:sz w:val="21"/>
                <w:szCs w:val="21"/>
                <w:u w:val="wave"/>
                <w:lang w:val="en-US" w:eastAsia="zh-CN"/>
              </w:rPr>
              <w:t>共12套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default"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3</w:t>
            </w:r>
          </w:p>
        </w:tc>
        <w:tc>
          <w:tcPr>
            <w:tcW w:w="1658" w:type="pct"/>
            <w:tcBorders>
              <w:tl2br w:val="nil"/>
              <w:tr2bl w:val="nil"/>
            </w:tcBorders>
            <w:vAlign w:val="center"/>
          </w:tcPr>
          <w:p>
            <w:pPr>
              <w:pStyle w:val="245"/>
              <w:snapToGrid w:val="0"/>
              <w:spacing w:line="240" w:lineRule="auto"/>
              <w:jc w:val="center"/>
              <w:rPr>
                <w:rFonts w:hint="eastAsia" w:ascii="宋体" w:hAnsi="宋体" w:eastAsia="宋体" w:cs="宋体"/>
                <w:b w:val="0"/>
                <w:i w:val="0"/>
                <w:color w:val="FF0000"/>
                <w:sz w:val="21"/>
                <w:szCs w:val="21"/>
                <w:u w:val="wave"/>
              </w:rPr>
            </w:pPr>
            <w:r>
              <w:rPr>
                <w:rFonts w:hint="eastAsia" w:ascii="宋体" w:hAnsi="宋体" w:eastAsia="宋体" w:cs="宋体"/>
                <w:b w:val="0"/>
                <w:i w:val="0"/>
                <w:color w:val="FF0000"/>
                <w:sz w:val="21"/>
                <w:szCs w:val="21"/>
                <w:u w:val="wave"/>
              </w:rPr>
              <w:t>料塔称重器</w:t>
            </w:r>
          </w:p>
        </w:tc>
        <w:tc>
          <w:tcPr>
            <w:tcW w:w="2844" w:type="pct"/>
            <w:tcBorders>
              <w:tl2br w:val="nil"/>
              <w:tr2bl w:val="nil"/>
            </w:tcBorders>
            <w:vAlign w:val="center"/>
          </w:tcPr>
          <w:p>
            <w:pPr>
              <w:pStyle w:val="245"/>
              <w:snapToGrid w:val="0"/>
              <w:spacing w:line="240" w:lineRule="auto"/>
              <w:jc w:val="center"/>
              <w:rPr>
                <w:rFonts w:hint="default" w:ascii="Times New Roman" w:hAnsi="Times New Roman" w:eastAsia="宋体" w:cs="Times New Roman"/>
                <w:b w:val="0"/>
                <w:i w:val="0"/>
                <w:color w:val="FF0000"/>
                <w:sz w:val="21"/>
                <w:szCs w:val="21"/>
                <w:u w:val="wave"/>
                <w:lang w:val="en-US" w:eastAsia="zh-CN"/>
              </w:rPr>
            </w:pPr>
            <w:r>
              <w:rPr>
                <w:rFonts w:hint="default" w:ascii="Times New Roman" w:hAnsi="Times New Roman" w:eastAsia="宋体" w:cs="Times New Roman"/>
                <w:b w:val="0"/>
                <w:i w:val="0"/>
                <w:color w:val="FF0000"/>
                <w:sz w:val="21"/>
                <w:szCs w:val="21"/>
                <w:u w:val="wave"/>
                <w:lang w:val="en-US" w:eastAsia="zh-CN"/>
              </w:rPr>
              <w:t>共12套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b/>
                <w:color w:val="FF0000"/>
                <w:sz w:val="21"/>
                <w:szCs w:val="21"/>
                <w:u w:val="wave"/>
              </w:rPr>
            </w:pPr>
            <w:r>
              <w:rPr>
                <w:rFonts w:ascii="Times New Roman" w:hAnsi="Times New Roman" w:eastAsiaTheme="majorEastAsia"/>
                <w:b/>
                <w:color w:val="FF0000"/>
                <w:sz w:val="21"/>
                <w:szCs w:val="21"/>
                <w:u w:val="wave"/>
              </w:rPr>
              <w:t>（</w:t>
            </w:r>
            <w:r>
              <w:rPr>
                <w:rFonts w:hint="eastAsia" w:ascii="Times New Roman" w:hAnsi="Times New Roman" w:eastAsiaTheme="majorEastAsia"/>
                <w:b/>
                <w:color w:val="FF0000"/>
                <w:sz w:val="21"/>
                <w:szCs w:val="21"/>
                <w:u w:val="wave"/>
                <w:lang w:val="en-US" w:eastAsia="zh-CN"/>
              </w:rPr>
              <w:t>四</w:t>
            </w:r>
            <w:r>
              <w:rPr>
                <w:rFonts w:ascii="Times New Roman" w:hAnsi="Times New Roman" w:eastAsiaTheme="majorEastAsia"/>
                <w:b/>
                <w:color w:val="FF0000"/>
                <w:sz w:val="21"/>
                <w:szCs w:val="21"/>
                <w:u w:val="wave"/>
              </w:rPr>
              <w:t>）</w:t>
            </w:r>
          </w:p>
        </w:tc>
        <w:tc>
          <w:tcPr>
            <w:tcW w:w="4502" w:type="pct"/>
            <w:gridSpan w:val="2"/>
            <w:tcBorders>
              <w:tl2br w:val="nil"/>
              <w:tr2bl w:val="nil"/>
            </w:tcBorders>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清粪系统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1</w:t>
            </w:r>
          </w:p>
        </w:tc>
        <w:tc>
          <w:tcPr>
            <w:tcW w:w="1658"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纵向清粪头尾架及动力传动装置</w:t>
            </w:r>
          </w:p>
        </w:tc>
        <w:tc>
          <w:tcPr>
            <w:tcW w:w="2844"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275g/m</w:t>
            </w:r>
            <w:r>
              <w:rPr>
                <w:rFonts w:ascii="Times New Roman" w:hAnsi="Times New Roman" w:eastAsiaTheme="majorEastAsia"/>
                <w:color w:val="FF0000"/>
                <w:sz w:val="21"/>
                <w:szCs w:val="21"/>
                <w:u w:val="wave"/>
                <w:vertAlign w:val="superscript"/>
              </w:rPr>
              <w:t>2</w:t>
            </w:r>
            <w:r>
              <w:rPr>
                <w:rFonts w:ascii="Times New Roman" w:hAnsi="Times New Roman" w:eastAsiaTheme="majorEastAsia"/>
                <w:color w:val="FF0000"/>
                <w:sz w:val="21"/>
                <w:szCs w:val="21"/>
                <w:u w:val="wave"/>
              </w:rPr>
              <w:t>热镀锌板，</w:t>
            </w:r>
            <w:r>
              <w:rPr>
                <w:rFonts w:hint="default" w:ascii="Times New Roman" w:hAnsi="Times New Roman" w:eastAsia="宋体" w:cs="Times New Roman"/>
                <w:b w:val="0"/>
                <w:i w:val="0"/>
                <w:color w:val="FF0000"/>
                <w:sz w:val="21"/>
                <w:szCs w:val="21"/>
                <w:u w:val="wave"/>
                <w:lang w:val="en-US" w:eastAsia="zh-CN"/>
              </w:rPr>
              <w:t>共</w:t>
            </w:r>
            <w:r>
              <w:rPr>
                <w:rFonts w:hint="eastAsia" w:ascii="Times New Roman" w:hAnsi="Times New Roman" w:eastAsiaTheme="majorEastAsia"/>
                <w:color w:val="FF0000"/>
                <w:sz w:val="21"/>
                <w:szCs w:val="21"/>
                <w:u w:val="wave"/>
                <w:lang w:val="en-US" w:eastAsia="zh-CN"/>
              </w:rPr>
              <w:t>30</w:t>
            </w:r>
            <w:r>
              <w:rPr>
                <w:rFonts w:ascii="Times New Roman" w:hAnsi="Times New Roman" w:eastAsiaTheme="majorEastAsia"/>
                <w:color w:val="FF0000"/>
                <w:sz w:val="21"/>
                <w:szCs w:val="21"/>
                <w:u w:val="wave"/>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2</w:t>
            </w:r>
          </w:p>
        </w:tc>
        <w:tc>
          <w:tcPr>
            <w:tcW w:w="1658"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纵向输粪托架</w:t>
            </w:r>
          </w:p>
        </w:tc>
        <w:tc>
          <w:tcPr>
            <w:tcW w:w="2844" w:type="pct"/>
            <w:tcBorders>
              <w:tl2br w:val="nil"/>
              <w:tr2bl w:val="nil"/>
            </w:tcBorders>
            <w:vAlign w:val="center"/>
          </w:tcPr>
          <w:p>
            <w:pPr>
              <w:pStyle w:val="245"/>
              <w:snapToGrid w:val="0"/>
              <w:spacing w:line="240" w:lineRule="auto"/>
              <w:jc w:val="center"/>
              <w:rPr>
                <w:rFonts w:hint="default" w:ascii="Times New Roman" w:hAnsi="Times New Roman" w:eastAsiaTheme="majorEastAsia"/>
                <w:color w:val="FF0000"/>
                <w:sz w:val="21"/>
                <w:szCs w:val="21"/>
                <w:u w:val="wave"/>
                <w:lang w:val="en-US"/>
              </w:rPr>
            </w:pPr>
            <w:r>
              <w:rPr>
                <w:rFonts w:ascii="Times New Roman" w:hAnsi="Times New Roman" w:eastAsiaTheme="majorEastAsia"/>
                <w:color w:val="FF0000"/>
                <w:sz w:val="21"/>
                <w:szCs w:val="21"/>
                <w:u w:val="wave"/>
              </w:rPr>
              <w:t>共</w:t>
            </w:r>
            <w:r>
              <w:rPr>
                <w:rFonts w:hint="eastAsia" w:ascii="Times New Roman" w:hAnsi="Times New Roman" w:eastAsiaTheme="majorEastAsia"/>
                <w:color w:val="FF0000"/>
                <w:sz w:val="21"/>
                <w:szCs w:val="21"/>
                <w:u w:val="wave"/>
              </w:rPr>
              <w:t>2</w:t>
            </w:r>
            <w:r>
              <w:rPr>
                <w:rFonts w:hint="eastAsia" w:ascii="Times New Roman" w:hAnsi="Times New Roman" w:eastAsiaTheme="majorEastAsia"/>
                <w:color w:val="FF0000"/>
                <w:sz w:val="21"/>
                <w:szCs w:val="21"/>
                <w:u w:val="wave"/>
                <w:lang w:val="en-US" w:eastAsia="zh-CN"/>
              </w:rPr>
              <w:t>460组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3</w:t>
            </w:r>
          </w:p>
        </w:tc>
        <w:tc>
          <w:tcPr>
            <w:tcW w:w="1658"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纵向输粪带</w:t>
            </w:r>
          </w:p>
        </w:tc>
        <w:tc>
          <w:tcPr>
            <w:tcW w:w="2844" w:type="pct"/>
            <w:tcBorders>
              <w:tl2br w:val="nil"/>
              <w:tr2bl w:val="nil"/>
            </w:tcBorders>
            <w:vAlign w:val="center"/>
          </w:tcPr>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厚度</w:t>
            </w:r>
            <w:r>
              <w:rPr>
                <w:rFonts w:hint="eastAsia" w:ascii="Times New Roman" w:hAnsi="Times New Roman" w:eastAsiaTheme="majorEastAsia"/>
                <w:color w:val="FF0000"/>
                <w:sz w:val="21"/>
                <w:szCs w:val="21"/>
                <w:u w:val="wave"/>
                <w:lang w:eastAsia="zh-CN"/>
              </w:rPr>
              <w:t>：</w:t>
            </w:r>
            <w:r>
              <w:rPr>
                <w:rFonts w:hint="eastAsia" w:ascii="Times New Roman" w:hAnsi="Times New Roman" w:eastAsiaTheme="majorEastAsia"/>
                <w:color w:val="FF0000"/>
                <w:sz w:val="21"/>
                <w:szCs w:val="21"/>
                <w:u w:val="wave"/>
              </w:rPr>
              <w:t>1.1mm</w:t>
            </w:r>
          </w:p>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长度</w:t>
            </w:r>
            <w:r>
              <w:rPr>
                <w:rFonts w:hint="eastAsia" w:ascii="Times New Roman" w:hAnsi="Times New Roman" w:eastAsiaTheme="majorEastAsia"/>
                <w:color w:val="FF0000"/>
                <w:sz w:val="21"/>
                <w:szCs w:val="21"/>
                <w:u w:val="wave"/>
                <w:lang w:eastAsia="zh-CN"/>
              </w:rPr>
              <w:t>：</w:t>
            </w:r>
            <w:r>
              <w:rPr>
                <w:rFonts w:hint="eastAsia" w:ascii="Times New Roman" w:hAnsi="Times New Roman" w:eastAsiaTheme="majorEastAsia"/>
                <w:color w:val="FF0000"/>
                <w:sz w:val="21"/>
                <w:szCs w:val="21"/>
                <w:u w:val="wave"/>
              </w:rPr>
              <w:t>205m</w:t>
            </w:r>
          </w:p>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宽度</w:t>
            </w:r>
            <w:r>
              <w:rPr>
                <w:rFonts w:hint="eastAsia" w:ascii="Times New Roman" w:hAnsi="Times New Roman" w:eastAsiaTheme="majorEastAsia"/>
                <w:color w:val="FF0000"/>
                <w:sz w:val="21"/>
                <w:szCs w:val="21"/>
                <w:u w:val="wave"/>
                <w:lang w:eastAsia="zh-CN"/>
              </w:rPr>
              <w:t>：</w:t>
            </w:r>
            <w:r>
              <w:rPr>
                <w:rFonts w:hint="eastAsia" w:ascii="Times New Roman" w:hAnsi="Times New Roman" w:eastAsiaTheme="majorEastAsia"/>
                <w:color w:val="FF0000"/>
                <w:sz w:val="21"/>
                <w:szCs w:val="21"/>
                <w:u w:val="wave"/>
              </w:rPr>
              <w:t>1190mm</w:t>
            </w:r>
          </w:p>
          <w:p>
            <w:pPr>
              <w:pStyle w:val="245"/>
              <w:snapToGrid w:val="0"/>
              <w:spacing w:line="240" w:lineRule="auto"/>
              <w:jc w:val="center"/>
              <w:rPr>
                <w:rFonts w:hint="eastAsia"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共58584</w:t>
            </w:r>
            <w:r>
              <w:rPr>
                <w:rFonts w:ascii="Times New Roman" w:hAnsi="Times New Roman" w:eastAsiaTheme="majorEastAsia"/>
                <w:color w:val="FF0000"/>
                <w:sz w:val="21"/>
                <w:szCs w:val="21"/>
                <w:u w:val="wave"/>
              </w:rPr>
              <w:t>m</w:t>
            </w:r>
            <w:r>
              <w:rPr>
                <w:rFonts w:hint="eastAsia" w:ascii="Times New Roman" w:hAnsi="Times New Roman" w:eastAsiaTheme="majorEastAsia"/>
                <w:color w:val="FF0000"/>
                <w:sz w:val="21"/>
                <w:szCs w:val="21"/>
                <w:u w:val="wave"/>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4</w:t>
            </w:r>
          </w:p>
        </w:tc>
        <w:tc>
          <w:tcPr>
            <w:tcW w:w="1658"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横斜向输粪装置</w:t>
            </w:r>
          </w:p>
        </w:tc>
        <w:tc>
          <w:tcPr>
            <w:tcW w:w="2844" w:type="pct"/>
            <w:tcBorders>
              <w:tl2br w:val="nil"/>
              <w:tr2bl w:val="nil"/>
            </w:tcBorders>
            <w:vAlign w:val="center"/>
          </w:tcPr>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材质：框架热镀锌板</w:t>
            </w:r>
          </w:p>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主机：热浸锌处理</w:t>
            </w:r>
          </w:p>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输送带材质</w:t>
            </w:r>
            <w:r>
              <w:rPr>
                <w:rFonts w:hint="eastAsia" w:ascii="Times New Roman" w:hAnsi="Times New Roman" w:eastAsiaTheme="majorEastAsia"/>
                <w:color w:val="FF0000"/>
                <w:sz w:val="21"/>
                <w:szCs w:val="21"/>
                <w:u w:val="wave"/>
                <w:lang w:eastAsia="zh-CN"/>
              </w:rPr>
              <w:t>：</w:t>
            </w:r>
            <w:r>
              <w:rPr>
                <w:rFonts w:hint="eastAsia" w:ascii="Times New Roman" w:hAnsi="Times New Roman" w:eastAsiaTheme="majorEastAsia"/>
                <w:color w:val="FF0000"/>
                <w:sz w:val="21"/>
                <w:szCs w:val="21"/>
                <w:u w:val="wave"/>
              </w:rPr>
              <w:t>PVC</w:t>
            </w:r>
          </w:p>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厚度</w:t>
            </w:r>
            <w:r>
              <w:rPr>
                <w:rFonts w:hint="eastAsia" w:ascii="Times New Roman" w:hAnsi="Times New Roman" w:eastAsiaTheme="majorEastAsia"/>
                <w:color w:val="FF0000"/>
                <w:sz w:val="21"/>
                <w:szCs w:val="21"/>
                <w:u w:val="wave"/>
                <w:lang w:eastAsia="zh-CN"/>
              </w:rPr>
              <w:t>：</w:t>
            </w:r>
            <w:r>
              <w:rPr>
                <w:rFonts w:hint="eastAsia" w:ascii="Times New Roman" w:hAnsi="Times New Roman" w:eastAsiaTheme="majorEastAsia"/>
                <w:color w:val="FF0000"/>
                <w:sz w:val="21"/>
                <w:szCs w:val="21"/>
                <w:u w:val="wave"/>
              </w:rPr>
              <w:t>5mm</w:t>
            </w:r>
          </w:p>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宽度</w:t>
            </w:r>
            <w:r>
              <w:rPr>
                <w:rFonts w:hint="eastAsia" w:ascii="Times New Roman" w:hAnsi="Times New Roman" w:eastAsiaTheme="majorEastAsia"/>
                <w:color w:val="FF0000"/>
                <w:sz w:val="21"/>
                <w:szCs w:val="21"/>
                <w:u w:val="wave"/>
                <w:lang w:eastAsia="zh-CN"/>
              </w:rPr>
              <w:t>：</w:t>
            </w:r>
            <w:r>
              <w:rPr>
                <w:rFonts w:hint="eastAsia" w:ascii="Times New Roman" w:hAnsi="Times New Roman" w:eastAsiaTheme="majorEastAsia"/>
                <w:color w:val="FF0000"/>
                <w:sz w:val="21"/>
                <w:szCs w:val="21"/>
                <w:u w:val="wave"/>
              </w:rPr>
              <w:t>600mm</w:t>
            </w:r>
          </w:p>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水平长度</w:t>
            </w:r>
            <w:r>
              <w:rPr>
                <w:rFonts w:hint="eastAsia" w:ascii="Times New Roman" w:hAnsi="Times New Roman" w:eastAsiaTheme="majorEastAsia"/>
                <w:color w:val="FF0000"/>
                <w:sz w:val="21"/>
                <w:szCs w:val="21"/>
                <w:u w:val="wave"/>
                <w:lang w:eastAsia="zh-CN"/>
              </w:rPr>
              <w:t>：</w:t>
            </w:r>
            <w:r>
              <w:rPr>
                <w:rFonts w:hint="eastAsia" w:ascii="Times New Roman" w:hAnsi="Times New Roman" w:eastAsiaTheme="majorEastAsia"/>
                <w:color w:val="FF0000"/>
                <w:sz w:val="21"/>
                <w:szCs w:val="21"/>
                <w:u w:val="wave"/>
              </w:rPr>
              <w:t>16m</w:t>
            </w:r>
          </w:p>
          <w:p>
            <w:pPr>
              <w:pStyle w:val="245"/>
              <w:snapToGrid w:val="0"/>
              <w:spacing w:line="240" w:lineRule="auto"/>
              <w:jc w:val="center"/>
              <w:rPr>
                <w:rFonts w:hint="eastAsia"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斜向长度：9m</w:t>
            </w:r>
          </w:p>
          <w:p>
            <w:pPr>
              <w:pStyle w:val="245"/>
              <w:snapToGrid w:val="0"/>
              <w:spacing w:line="240" w:lineRule="auto"/>
              <w:jc w:val="center"/>
              <w:rPr>
                <w:rFonts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lang w:val="en-US" w:eastAsia="zh-CN"/>
              </w:rPr>
              <w:t>共6</w:t>
            </w:r>
            <w:r>
              <w:rPr>
                <w:rFonts w:ascii="Times New Roman" w:hAnsi="Times New Roman" w:eastAsiaTheme="majorEastAsia"/>
                <w:color w:val="FF0000"/>
                <w:sz w:val="21"/>
                <w:szCs w:val="21"/>
                <w:u w:val="wave"/>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5</w:t>
            </w:r>
          </w:p>
        </w:tc>
        <w:tc>
          <w:tcPr>
            <w:tcW w:w="1658"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hint="eastAsia" w:ascii="Times New Roman" w:hAnsi="Times New Roman" w:eastAsiaTheme="majorEastAsia"/>
                <w:color w:val="FF0000"/>
                <w:sz w:val="21"/>
                <w:szCs w:val="21"/>
                <w:u w:val="wave"/>
              </w:rPr>
              <w:t>尾端清粪设备盖板</w:t>
            </w:r>
          </w:p>
        </w:tc>
        <w:tc>
          <w:tcPr>
            <w:tcW w:w="2844"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275g/m</w:t>
            </w:r>
            <w:r>
              <w:rPr>
                <w:rFonts w:ascii="Times New Roman" w:hAnsi="Times New Roman" w:eastAsiaTheme="majorEastAsia"/>
                <w:color w:val="FF0000"/>
                <w:sz w:val="21"/>
                <w:szCs w:val="21"/>
                <w:u w:val="wave"/>
                <w:vertAlign w:val="superscript"/>
              </w:rPr>
              <w:t>2</w:t>
            </w:r>
            <w:r>
              <w:rPr>
                <w:rFonts w:ascii="Times New Roman" w:hAnsi="Times New Roman" w:eastAsiaTheme="majorEastAsia"/>
                <w:color w:val="FF0000"/>
                <w:sz w:val="21"/>
                <w:szCs w:val="21"/>
                <w:u w:val="wave"/>
              </w:rPr>
              <w:t>热镀锌板，</w:t>
            </w:r>
            <w:r>
              <w:rPr>
                <w:rFonts w:hint="default" w:ascii="Times New Roman" w:hAnsi="Times New Roman" w:eastAsia="宋体" w:cs="Times New Roman"/>
                <w:b w:val="0"/>
                <w:i w:val="0"/>
                <w:color w:val="FF0000"/>
                <w:sz w:val="21"/>
                <w:szCs w:val="21"/>
                <w:u w:val="wave"/>
                <w:lang w:val="en-US" w:eastAsia="zh-CN"/>
              </w:rPr>
              <w:t>共</w:t>
            </w:r>
            <w:r>
              <w:rPr>
                <w:rFonts w:hint="eastAsia" w:ascii="Times New Roman" w:hAnsi="Times New Roman" w:eastAsiaTheme="majorEastAsia"/>
                <w:color w:val="FF0000"/>
                <w:sz w:val="21"/>
                <w:szCs w:val="21"/>
                <w:u w:val="wave"/>
                <w:lang w:val="en-US" w:eastAsia="zh-CN"/>
              </w:rPr>
              <w:t>6</w:t>
            </w:r>
            <w:r>
              <w:rPr>
                <w:rFonts w:ascii="Times New Roman" w:hAnsi="Times New Roman" w:eastAsiaTheme="majorEastAsia"/>
                <w:color w:val="FF0000"/>
                <w:sz w:val="21"/>
                <w:szCs w:val="21"/>
                <w:u w:val="wave"/>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eastAsia"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6</w:t>
            </w:r>
          </w:p>
        </w:tc>
        <w:tc>
          <w:tcPr>
            <w:tcW w:w="1658" w:type="pct"/>
            <w:tcBorders>
              <w:tl2br w:val="nil"/>
              <w:tr2bl w:val="nil"/>
            </w:tcBorders>
            <w:vAlign w:val="center"/>
          </w:tcPr>
          <w:p>
            <w:pPr>
              <w:pStyle w:val="245"/>
              <w:snapToGrid w:val="0"/>
              <w:spacing w:line="240" w:lineRule="auto"/>
              <w:jc w:val="center"/>
              <w:rPr>
                <w:rFonts w:hint="eastAsia"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粪沟盖板</w:t>
            </w:r>
          </w:p>
        </w:tc>
        <w:tc>
          <w:tcPr>
            <w:tcW w:w="2844"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材质：柳叶板热浸锌处理，</w:t>
            </w:r>
            <w:r>
              <w:rPr>
                <w:rFonts w:hint="default" w:ascii="Times New Roman" w:hAnsi="Times New Roman" w:cs="Times New Roman" w:eastAsiaTheme="majorEastAsia"/>
                <w:color w:val="FF0000"/>
                <w:sz w:val="21"/>
                <w:szCs w:val="21"/>
                <w:u w:val="wave"/>
                <w:lang w:val="en-US" w:eastAsia="zh-CN"/>
              </w:rPr>
              <w:t>共</w:t>
            </w:r>
            <w:r>
              <w:rPr>
                <w:rFonts w:hint="eastAsia" w:ascii="Times New Roman" w:hAnsi="Times New Roman" w:cs="Times New Roman" w:eastAsiaTheme="majorEastAsia"/>
                <w:color w:val="FF0000"/>
                <w:sz w:val="21"/>
                <w:szCs w:val="21"/>
                <w:u w:val="wave"/>
                <w:lang w:val="en-US" w:eastAsia="zh-CN"/>
              </w:rPr>
              <w:t>6</w:t>
            </w:r>
            <w:r>
              <w:rPr>
                <w:rFonts w:ascii="Times New Roman" w:hAnsi="Times New Roman" w:cs="Times New Roman" w:eastAsiaTheme="majorEastAsia"/>
                <w:color w:val="FF0000"/>
                <w:sz w:val="21"/>
                <w:szCs w:val="21"/>
                <w:u w:val="wave"/>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eastAsia" w:ascii="Times New Roman" w:hAnsi="Times New Roman" w:eastAsiaTheme="majorEastAsia"/>
                <w:color w:val="FF0000"/>
                <w:sz w:val="21"/>
                <w:szCs w:val="21"/>
                <w:u w:val="wave"/>
                <w:lang w:val="en-US" w:eastAsia="zh-CN"/>
              </w:rPr>
            </w:pPr>
            <w:r>
              <w:rPr>
                <w:rFonts w:ascii="Times New Roman" w:hAnsi="Times New Roman" w:eastAsiaTheme="majorEastAsia"/>
                <w:b/>
                <w:color w:val="FF0000"/>
                <w:sz w:val="21"/>
                <w:szCs w:val="21"/>
                <w:u w:val="wave"/>
              </w:rPr>
              <w:t>（</w:t>
            </w:r>
            <w:r>
              <w:rPr>
                <w:rFonts w:hint="eastAsia" w:ascii="Times New Roman" w:hAnsi="Times New Roman" w:eastAsiaTheme="majorEastAsia"/>
                <w:b/>
                <w:color w:val="FF0000"/>
                <w:sz w:val="21"/>
                <w:szCs w:val="21"/>
                <w:u w:val="wave"/>
                <w:lang w:val="en-US" w:eastAsia="zh-CN"/>
              </w:rPr>
              <w:t>五</w:t>
            </w:r>
            <w:r>
              <w:rPr>
                <w:rFonts w:ascii="Times New Roman" w:hAnsi="Times New Roman" w:eastAsiaTheme="majorEastAsia"/>
                <w:b/>
                <w:color w:val="FF0000"/>
                <w:sz w:val="21"/>
                <w:szCs w:val="21"/>
                <w:u w:val="wave"/>
              </w:rPr>
              <w:t>）</w:t>
            </w:r>
          </w:p>
        </w:tc>
        <w:tc>
          <w:tcPr>
            <w:tcW w:w="4502" w:type="pct"/>
            <w:gridSpan w:val="2"/>
            <w:tcBorders>
              <w:tl2br w:val="nil"/>
              <w:tr2bl w:val="nil"/>
            </w:tcBorders>
            <w:vAlign w:val="center"/>
          </w:tcPr>
          <w:p>
            <w:pPr>
              <w:pStyle w:val="245"/>
              <w:snapToGrid w:val="0"/>
              <w:spacing w:line="240" w:lineRule="auto"/>
              <w:jc w:val="center"/>
              <w:rPr>
                <w:rFonts w:hint="default" w:ascii="Times New Roman" w:hAnsi="Times New Roman" w:cs="Times New Roman" w:eastAsiaTheme="majorEastAsia"/>
                <w:color w:val="FF0000"/>
                <w:sz w:val="21"/>
                <w:szCs w:val="21"/>
                <w:u w:val="wave"/>
                <w:lang w:val="en-US" w:eastAsia="zh-CN"/>
              </w:rPr>
            </w:pPr>
            <w:r>
              <w:rPr>
                <w:rFonts w:hint="eastAsia" w:ascii="Times New Roman" w:hAnsi="Times New Roman" w:cs="Times New Roman" w:eastAsiaTheme="majorEastAsia"/>
                <w:color w:val="FF0000"/>
                <w:sz w:val="21"/>
                <w:szCs w:val="21"/>
                <w:u w:val="wave"/>
                <w:lang w:val="en-US" w:eastAsia="zh-CN"/>
              </w:rPr>
              <w:t>供水系统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default"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1</w:t>
            </w:r>
          </w:p>
        </w:tc>
        <w:tc>
          <w:tcPr>
            <w:tcW w:w="1658"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color w:val="FF0000"/>
                <w:sz w:val="21"/>
                <w:szCs w:val="21"/>
                <w:u w:val="wave"/>
              </w:rPr>
            </w:pPr>
            <w:r>
              <w:rPr>
                <w:rFonts w:ascii="宋体" w:hAnsi="宋体" w:eastAsia="宋体" w:cs="宋体"/>
                <w:b w:val="0"/>
                <w:i w:val="0"/>
                <w:color w:val="FF0000"/>
                <w:sz w:val="22"/>
                <w:szCs w:val="28"/>
                <w:u w:val="wave"/>
              </w:rPr>
              <w:t>专业供水管线</w:t>
            </w:r>
          </w:p>
        </w:tc>
        <w:tc>
          <w:tcPr>
            <w:tcW w:w="2844" w:type="pct"/>
            <w:tcBorders>
              <w:tl2br w:val="nil"/>
              <w:tr2bl w:val="nil"/>
            </w:tcBorders>
            <w:vAlign w:val="center"/>
          </w:tcPr>
          <w:p>
            <w:pPr>
              <w:pStyle w:val="245"/>
              <w:snapToGrid w:val="0"/>
              <w:spacing w:line="240" w:lineRule="auto"/>
              <w:jc w:val="center"/>
              <w:rPr>
                <w:rFonts w:hint="default" w:ascii="Times New Roman" w:hAnsi="Times New Roman" w:cs="Times New Roman" w:eastAsiaTheme="majorEastAsia"/>
                <w:color w:val="FF0000"/>
                <w:sz w:val="21"/>
                <w:szCs w:val="21"/>
                <w:u w:val="wave"/>
                <w:lang w:val="en-US" w:eastAsia="zh-CN"/>
              </w:rPr>
            </w:pPr>
            <w:r>
              <w:rPr>
                <w:rFonts w:hint="eastAsia" w:ascii="Times New Roman" w:hAnsi="Times New Roman" w:cs="Times New Roman" w:eastAsiaTheme="majorEastAsia"/>
                <w:color w:val="FF0000"/>
                <w:sz w:val="21"/>
                <w:szCs w:val="21"/>
                <w:u w:val="wave"/>
              </w:rPr>
              <w:t>规格</w:t>
            </w:r>
            <w:r>
              <w:rPr>
                <w:rFonts w:hint="eastAsia" w:ascii="Times New Roman" w:hAnsi="Times New Roman" w:cs="Times New Roman" w:eastAsiaTheme="majorEastAsia"/>
                <w:color w:val="FF0000"/>
                <w:sz w:val="21"/>
                <w:szCs w:val="21"/>
                <w:u w:val="wave"/>
                <w:lang w:eastAsia="zh-CN"/>
              </w:rPr>
              <w:t>：</w:t>
            </w:r>
            <w:r>
              <w:rPr>
                <w:rFonts w:hint="eastAsia" w:ascii="Times New Roman" w:hAnsi="Times New Roman" w:cs="Times New Roman" w:eastAsiaTheme="majorEastAsia"/>
                <w:color w:val="FF0000"/>
                <w:sz w:val="21"/>
                <w:szCs w:val="21"/>
                <w:u w:val="wave"/>
              </w:rPr>
              <w:t>22mm﹡22mm﹡2.4m水管</w:t>
            </w:r>
            <w:r>
              <w:rPr>
                <w:rFonts w:hint="eastAsia" w:ascii="Times New Roman" w:hAnsi="Times New Roman" w:cs="Times New Roman" w:eastAsiaTheme="majorEastAsia"/>
                <w:color w:val="FF0000"/>
                <w:sz w:val="21"/>
                <w:szCs w:val="21"/>
                <w:u w:val="wave"/>
                <w:lang w:eastAsia="zh-CN"/>
              </w:rPr>
              <w:t>，</w:t>
            </w:r>
            <w:r>
              <w:rPr>
                <w:rFonts w:hint="eastAsia" w:ascii="Times New Roman" w:hAnsi="Times New Roman" w:cs="Times New Roman" w:eastAsiaTheme="majorEastAsia"/>
                <w:color w:val="FF0000"/>
                <w:sz w:val="21"/>
                <w:szCs w:val="21"/>
                <w:u w:val="wave"/>
                <w:lang w:val="en-US" w:eastAsia="zh-CN"/>
              </w:rPr>
              <w:t>共</w:t>
            </w:r>
            <w:r>
              <w:rPr>
                <w:rFonts w:hint="eastAsia" w:ascii="Times New Roman" w:hAnsi="Times New Roman" w:cs="Times New Roman" w:eastAsiaTheme="majorEastAsia"/>
                <w:color w:val="FF0000"/>
                <w:sz w:val="21"/>
                <w:szCs w:val="21"/>
                <w:u w:val="wave"/>
                <w:lang w:eastAsia="zh-CN"/>
              </w:rPr>
              <w:t>25920</w:t>
            </w:r>
            <w:r>
              <w:rPr>
                <w:rFonts w:hint="eastAsia" w:ascii="Times New Roman" w:hAnsi="Times New Roman" w:cs="Times New Roman" w:eastAsiaTheme="majorEastAsia"/>
                <w:color w:val="FF0000"/>
                <w:sz w:val="21"/>
                <w:szCs w:val="21"/>
                <w:u w:val="wave"/>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default"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2</w:t>
            </w:r>
          </w:p>
        </w:tc>
        <w:tc>
          <w:tcPr>
            <w:tcW w:w="1658"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color w:val="FF0000"/>
                <w:sz w:val="21"/>
                <w:szCs w:val="21"/>
                <w:u w:val="wave"/>
              </w:rPr>
            </w:pPr>
            <w:r>
              <w:rPr>
                <w:rFonts w:ascii="宋体" w:hAnsi="宋体" w:eastAsia="宋体" w:cs="宋体"/>
                <w:b w:val="0"/>
                <w:i w:val="0"/>
                <w:color w:val="FF0000"/>
                <w:sz w:val="22"/>
                <w:szCs w:val="28"/>
                <w:u w:val="wave"/>
              </w:rPr>
              <w:t>饮水器</w:t>
            </w:r>
          </w:p>
        </w:tc>
        <w:tc>
          <w:tcPr>
            <w:tcW w:w="2844" w:type="pct"/>
            <w:tcBorders>
              <w:tl2br w:val="nil"/>
              <w:tr2bl w:val="nil"/>
            </w:tcBorders>
            <w:vAlign w:val="center"/>
          </w:tcPr>
          <w:p>
            <w:pPr>
              <w:pStyle w:val="245"/>
              <w:snapToGrid w:val="0"/>
              <w:spacing w:line="240" w:lineRule="auto"/>
              <w:jc w:val="center"/>
              <w:rPr>
                <w:rFonts w:hint="eastAsia" w:ascii="Times New Roman" w:hAnsi="Times New Roman" w:cs="Times New Roman" w:eastAsiaTheme="majorEastAsia"/>
                <w:color w:val="FF0000"/>
                <w:sz w:val="21"/>
                <w:szCs w:val="21"/>
                <w:u w:val="wave"/>
                <w:lang w:val="en-US" w:eastAsia="zh-CN"/>
              </w:rPr>
            </w:pPr>
            <w:r>
              <w:rPr>
                <w:rFonts w:hint="eastAsia" w:ascii="Times New Roman" w:hAnsi="Times New Roman" w:cs="Times New Roman" w:eastAsiaTheme="majorEastAsia"/>
                <w:color w:val="FF0000"/>
                <w:sz w:val="21"/>
                <w:szCs w:val="21"/>
                <w:u w:val="wave"/>
                <w:lang w:val="en-US" w:eastAsia="zh-CN"/>
              </w:rPr>
              <w:t>不锈钢钢珠乳头，共</w:t>
            </w:r>
            <w:r>
              <w:rPr>
                <w:rFonts w:hint="eastAsia" w:ascii="Times New Roman" w:hAnsi="Times New Roman" w:cs="Times New Roman" w:eastAsiaTheme="majorEastAsia"/>
                <w:color w:val="FF0000"/>
                <w:sz w:val="21"/>
                <w:szCs w:val="21"/>
                <w:u w:val="wave"/>
              </w:rPr>
              <w:t>79680</w:t>
            </w:r>
            <w:r>
              <w:rPr>
                <w:rFonts w:hint="eastAsia" w:ascii="Times New Roman" w:hAnsi="Times New Roman" w:cs="Times New Roman" w:eastAsiaTheme="majorEastAsia"/>
                <w:color w:val="FF0000"/>
                <w:sz w:val="21"/>
                <w:szCs w:val="21"/>
                <w:u w:val="wave"/>
                <w:lang w:val="en-US" w:eastAsia="zh-CN"/>
              </w:rPr>
              <w:t>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default"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3</w:t>
            </w:r>
          </w:p>
        </w:tc>
        <w:tc>
          <w:tcPr>
            <w:tcW w:w="1658" w:type="pct"/>
            <w:tcBorders>
              <w:tl2br w:val="nil"/>
              <w:tr2bl w:val="nil"/>
            </w:tcBorders>
            <w:vAlign w:val="center"/>
          </w:tcPr>
          <w:p>
            <w:pPr>
              <w:pStyle w:val="245"/>
              <w:snapToGrid w:val="0"/>
              <w:spacing w:line="240" w:lineRule="auto"/>
              <w:jc w:val="center"/>
              <w:rPr>
                <w:rFonts w:ascii="宋体" w:hAnsi="宋体" w:eastAsia="宋体" w:cs="宋体"/>
                <w:b w:val="0"/>
                <w:i w:val="0"/>
                <w:color w:val="FF0000"/>
                <w:sz w:val="22"/>
                <w:szCs w:val="28"/>
                <w:u w:val="wave"/>
                <w:lang w:val="en-US" w:eastAsia="zh-CN"/>
              </w:rPr>
            </w:pPr>
            <w:r>
              <w:rPr>
                <w:rFonts w:ascii="宋体" w:hAnsi="宋体" w:eastAsia="宋体" w:cs="宋体"/>
                <w:b w:val="0"/>
                <w:i w:val="0"/>
                <w:color w:val="FF0000"/>
                <w:sz w:val="22"/>
                <w:szCs w:val="28"/>
                <w:u w:val="wave"/>
              </w:rPr>
              <w:t>接水槽</w:t>
            </w:r>
          </w:p>
        </w:tc>
        <w:tc>
          <w:tcPr>
            <w:tcW w:w="2844" w:type="pct"/>
            <w:tcBorders>
              <w:tl2br w:val="nil"/>
              <w:tr2bl w:val="nil"/>
            </w:tcBorders>
            <w:vAlign w:val="center"/>
          </w:tcPr>
          <w:p>
            <w:pPr>
              <w:pStyle w:val="245"/>
              <w:snapToGrid w:val="0"/>
              <w:spacing w:line="240" w:lineRule="auto"/>
              <w:jc w:val="center"/>
              <w:rPr>
                <w:rFonts w:hint="default" w:ascii="Times New Roman" w:hAnsi="Times New Roman" w:cs="Times New Roman" w:eastAsiaTheme="majorEastAsia"/>
                <w:color w:val="FF0000"/>
                <w:sz w:val="21"/>
                <w:szCs w:val="21"/>
                <w:u w:val="wave"/>
                <w:lang w:val="en-US" w:eastAsia="zh-CN"/>
              </w:rPr>
            </w:pPr>
            <w:r>
              <w:rPr>
                <w:rFonts w:hint="eastAsia" w:ascii="Times New Roman" w:hAnsi="Times New Roman" w:cs="Times New Roman" w:eastAsiaTheme="majorEastAsia"/>
                <w:color w:val="FF0000"/>
                <w:sz w:val="21"/>
                <w:szCs w:val="21"/>
                <w:u w:val="wave"/>
              </w:rPr>
              <w:t>v型接水槽</w:t>
            </w:r>
            <w:r>
              <w:rPr>
                <w:rFonts w:hint="eastAsia" w:ascii="Times New Roman" w:hAnsi="Times New Roman" w:cs="Times New Roman" w:eastAsiaTheme="majorEastAsia"/>
                <w:color w:val="FF0000"/>
                <w:sz w:val="21"/>
                <w:szCs w:val="21"/>
                <w:u w:val="wave"/>
                <w:lang w:eastAsia="zh-CN"/>
              </w:rPr>
              <w:t>，</w:t>
            </w:r>
            <w:r>
              <w:rPr>
                <w:rFonts w:hint="eastAsia" w:ascii="Times New Roman" w:hAnsi="Times New Roman" w:cs="Times New Roman" w:eastAsiaTheme="majorEastAsia"/>
                <w:color w:val="FF0000"/>
                <w:sz w:val="21"/>
                <w:szCs w:val="21"/>
                <w:u w:val="wave"/>
                <w:lang w:val="en-US" w:eastAsia="zh-CN"/>
              </w:rPr>
              <w:t>共</w:t>
            </w:r>
            <w:r>
              <w:rPr>
                <w:rFonts w:hint="eastAsia" w:ascii="Times New Roman" w:hAnsi="Times New Roman" w:cs="Times New Roman" w:eastAsiaTheme="majorEastAsia"/>
                <w:color w:val="FF0000"/>
                <w:sz w:val="21"/>
                <w:szCs w:val="21"/>
                <w:u w:val="wave"/>
                <w:lang w:eastAsia="zh-CN"/>
              </w:rPr>
              <w:t>25920</w:t>
            </w:r>
            <w:r>
              <w:rPr>
                <w:rFonts w:hint="eastAsia" w:ascii="Times New Roman" w:hAnsi="Times New Roman" w:cs="Times New Roman" w:eastAsiaTheme="majorEastAsia"/>
                <w:color w:val="FF0000"/>
                <w:sz w:val="21"/>
                <w:szCs w:val="21"/>
                <w:u w:val="wave"/>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default"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4</w:t>
            </w:r>
          </w:p>
        </w:tc>
        <w:tc>
          <w:tcPr>
            <w:tcW w:w="1658" w:type="pct"/>
            <w:tcBorders>
              <w:tl2br w:val="nil"/>
              <w:tr2bl w:val="nil"/>
            </w:tcBorders>
            <w:vAlign w:val="center"/>
          </w:tcPr>
          <w:p>
            <w:pPr>
              <w:pStyle w:val="245"/>
              <w:snapToGrid w:val="0"/>
              <w:spacing w:line="240" w:lineRule="auto"/>
              <w:jc w:val="center"/>
              <w:rPr>
                <w:rFonts w:ascii="宋体" w:hAnsi="宋体" w:eastAsia="宋体" w:cs="宋体"/>
                <w:b w:val="0"/>
                <w:i w:val="0"/>
                <w:color w:val="FF0000"/>
                <w:sz w:val="22"/>
                <w:szCs w:val="28"/>
                <w:u w:val="wave"/>
                <w:lang w:val="en-US" w:eastAsia="zh-CN"/>
              </w:rPr>
            </w:pPr>
            <w:r>
              <w:rPr>
                <w:rFonts w:ascii="宋体" w:hAnsi="宋体" w:eastAsia="宋体" w:cs="宋体"/>
                <w:b w:val="0"/>
                <w:i w:val="0"/>
                <w:color w:val="FF0000"/>
                <w:sz w:val="22"/>
                <w:szCs w:val="28"/>
                <w:u w:val="wave"/>
              </w:rPr>
              <w:t>加药器、过滤器</w:t>
            </w:r>
          </w:p>
        </w:tc>
        <w:tc>
          <w:tcPr>
            <w:tcW w:w="2844" w:type="pct"/>
            <w:tcBorders>
              <w:tl2br w:val="nil"/>
              <w:tr2bl w:val="nil"/>
            </w:tcBorders>
            <w:vAlign w:val="center"/>
          </w:tcPr>
          <w:p>
            <w:pPr>
              <w:pStyle w:val="245"/>
              <w:snapToGrid w:val="0"/>
              <w:spacing w:line="240" w:lineRule="auto"/>
              <w:jc w:val="center"/>
              <w:rPr>
                <w:rFonts w:hint="default" w:ascii="Times New Roman" w:hAnsi="Times New Roman" w:cs="Times New Roman" w:eastAsiaTheme="majorEastAsia"/>
                <w:color w:val="FF0000"/>
                <w:sz w:val="21"/>
                <w:szCs w:val="21"/>
                <w:u w:val="wave"/>
                <w:lang w:val="en-US" w:eastAsia="zh-CN"/>
              </w:rPr>
            </w:pPr>
            <w:r>
              <w:rPr>
                <w:rFonts w:hint="eastAsia" w:ascii="Times New Roman" w:hAnsi="Times New Roman" w:cs="Times New Roman" w:eastAsiaTheme="majorEastAsia"/>
                <w:color w:val="FF0000"/>
                <w:sz w:val="21"/>
                <w:szCs w:val="21"/>
                <w:u w:val="wave"/>
              </w:rPr>
              <w:t>型号</w:t>
            </w:r>
            <w:r>
              <w:rPr>
                <w:rFonts w:hint="eastAsia" w:ascii="Times New Roman" w:hAnsi="Times New Roman" w:cs="Times New Roman" w:eastAsiaTheme="majorEastAsia"/>
                <w:color w:val="FF0000"/>
                <w:sz w:val="21"/>
                <w:szCs w:val="21"/>
                <w:u w:val="wave"/>
                <w:lang w:eastAsia="zh-CN"/>
              </w:rPr>
              <w:t>：</w:t>
            </w:r>
            <w:r>
              <w:rPr>
                <w:rFonts w:hint="eastAsia" w:ascii="Times New Roman" w:hAnsi="Times New Roman" w:cs="Times New Roman" w:eastAsiaTheme="majorEastAsia"/>
                <w:color w:val="FF0000"/>
                <w:sz w:val="21"/>
                <w:szCs w:val="21"/>
                <w:u w:val="wave"/>
              </w:rPr>
              <w:t>2.5m</w:t>
            </w:r>
            <w:r>
              <w:rPr>
                <w:rFonts w:hint="eastAsia" w:ascii="Times New Roman" w:hAnsi="Times New Roman" w:cs="Times New Roman" w:eastAsiaTheme="majorEastAsia"/>
                <w:color w:val="FF0000"/>
                <w:sz w:val="21"/>
                <w:szCs w:val="21"/>
                <w:u w:val="wave"/>
                <w:vertAlign w:val="superscript"/>
                <w:lang w:val="en-US" w:eastAsia="zh-CN"/>
              </w:rPr>
              <w:t>3</w:t>
            </w:r>
            <w:r>
              <w:rPr>
                <w:rFonts w:hint="eastAsia" w:ascii="Times New Roman" w:hAnsi="Times New Roman" w:cs="Times New Roman" w:eastAsiaTheme="majorEastAsia"/>
                <w:color w:val="FF0000"/>
                <w:sz w:val="21"/>
                <w:szCs w:val="21"/>
                <w:u w:val="wave"/>
              </w:rPr>
              <w:t>/H</w:t>
            </w:r>
            <w:r>
              <w:rPr>
                <w:rFonts w:hint="eastAsia" w:ascii="Times New Roman" w:hAnsi="Times New Roman" w:cs="Times New Roman" w:eastAsiaTheme="majorEastAsia"/>
                <w:color w:val="FF0000"/>
                <w:sz w:val="21"/>
                <w:szCs w:val="21"/>
                <w:u w:val="wave"/>
                <w:lang w:eastAsia="zh-CN"/>
              </w:rPr>
              <w:t>，</w:t>
            </w:r>
            <w:r>
              <w:rPr>
                <w:rFonts w:hint="eastAsia" w:ascii="Times New Roman" w:hAnsi="Times New Roman" w:cs="Times New Roman" w:eastAsiaTheme="majorEastAsia"/>
                <w:color w:val="FF0000"/>
                <w:sz w:val="21"/>
                <w:szCs w:val="21"/>
                <w:u w:val="wave"/>
                <w:lang w:val="en-US" w:eastAsia="zh-CN"/>
              </w:rPr>
              <w:t>共</w:t>
            </w:r>
            <w:r>
              <w:rPr>
                <w:rFonts w:hint="eastAsia" w:ascii="Times New Roman" w:hAnsi="Times New Roman" w:cs="Times New Roman" w:eastAsiaTheme="majorEastAsia"/>
                <w:color w:val="FF0000"/>
                <w:sz w:val="21"/>
                <w:szCs w:val="21"/>
                <w:u w:val="wave"/>
                <w:lang w:eastAsia="zh-CN"/>
              </w:rPr>
              <w:t>24</w:t>
            </w:r>
            <w:r>
              <w:rPr>
                <w:rFonts w:hint="eastAsia" w:ascii="Times New Roman" w:hAnsi="Times New Roman" w:cs="Times New Roman" w:eastAsiaTheme="majorEastAsia"/>
                <w:color w:val="FF0000"/>
                <w:sz w:val="21"/>
                <w:szCs w:val="21"/>
                <w:u w:val="wave"/>
                <w:lang w:val="en-US" w:eastAsia="zh-CN"/>
              </w:rPr>
              <w:t>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default"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5</w:t>
            </w:r>
          </w:p>
        </w:tc>
        <w:tc>
          <w:tcPr>
            <w:tcW w:w="1658" w:type="pct"/>
            <w:tcBorders>
              <w:tl2br w:val="nil"/>
              <w:tr2bl w:val="nil"/>
            </w:tcBorders>
            <w:vAlign w:val="center"/>
          </w:tcPr>
          <w:p>
            <w:pPr>
              <w:pStyle w:val="245"/>
              <w:snapToGrid w:val="0"/>
              <w:spacing w:line="240" w:lineRule="auto"/>
              <w:jc w:val="center"/>
              <w:rPr>
                <w:rFonts w:ascii="宋体" w:hAnsi="宋体" w:eastAsia="宋体" w:cs="宋体"/>
                <w:b w:val="0"/>
                <w:i w:val="0"/>
                <w:color w:val="FF0000"/>
                <w:sz w:val="22"/>
                <w:szCs w:val="28"/>
                <w:u w:val="wave"/>
                <w:lang w:val="en-US" w:eastAsia="zh-CN"/>
              </w:rPr>
            </w:pPr>
            <w:r>
              <w:rPr>
                <w:rFonts w:ascii="宋体" w:hAnsi="宋体" w:eastAsia="宋体" w:cs="宋体"/>
                <w:b w:val="0"/>
                <w:i w:val="0"/>
                <w:color w:val="FF0000"/>
                <w:sz w:val="22"/>
                <w:szCs w:val="28"/>
                <w:u w:val="wave"/>
              </w:rPr>
              <w:t>调压器(庆安)</w:t>
            </w:r>
          </w:p>
        </w:tc>
        <w:tc>
          <w:tcPr>
            <w:tcW w:w="2844" w:type="pct"/>
            <w:tcBorders>
              <w:tl2br w:val="nil"/>
              <w:tr2bl w:val="nil"/>
            </w:tcBorders>
            <w:vAlign w:val="center"/>
          </w:tcPr>
          <w:p>
            <w:pPr>
              <w:pStyle w:val="245"/>
              <w:snapToGrid w:val="0"/>
              <w:spacing w:line="240" w:lineRule="auto"/>
              <w:jc w:val="center"/>
              <w:rPr>
                <w:rFonts w:hint="default" w:ascii="Times New Roman" w:hAnsi="Times New Roman" w:cs="Times New Roman" w:eastAsiaTheme="majorEastAsia"/>
                <w:color w:val="FF0000"/>
                <w:sz w:val="21"/>
                <w:szCs w:val="21"/>
                <w:u w:val="wave"/>
                <w:lang w:val="en-US" w:eastAsia="zh-CN"/>
              </w:rPr>
            </w:pPr>
            <w:r>
              <w:rPr>
                <w:rFonts w:hint="eastAsia" w:ascii="Times New Roman" w:hAnsi="Times New Roman" w:cs="Times New Roman" w:eastAsiaTheme="majorEastAsia"/>
                <w:color w:val="FF0000"/>
                <w:sz w:val="21"/>
                <w:szCs w:val="21"/>
                <w:u w:val="wave"/>
                <w:lang w:val="en-US" w:eastAsia="zh-CN"/>
              </w:rPr>
              <w:t>共240个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default"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6</w:t>
            </w:r>
          </w:p>
        </w:tc>
        <w:tc>
          <w:tcPr>
            <w:tcW w:w="1658" w:type="pct"/>
            <w:tcBorders>
              <w:tl2br w:val="nil"/>
              <w:tr2bl w:val="nil"/>
            </w:tcBorders>
            <w:vAlign w:val="center"/>
          </w:tcPr>
          <w:p>
            <w:pPr>
              <w:pStyle w:val="245"/>
              <w:snapToGrid w:val="0"/>
              <w:spacing w:line="240" w:lineRule="auto"/>
              <w:jc w:val="center"/>
              <w:rPr>
                <w:rFonts w:ascii="宋体" w:hAnsi="宋体" w:eastAsia="宋体" w:cs="宋体"/>
                <w:b w:val="0"/>
                <w:i w:val="0"/>
                <w:color w:val="FF0000"/>
                <w:sz w:val="22"/>
                <w:szCs w:val="28"/>
                <w:u w:val="wave"/>
                <w:lang w:val="en-US" w:eastAsia="zh-CN"/>
              </w:rPr>
            </w:pPr>
            <w:r>
              <w:rPr>
                <w:rFonts w:ascii="宋体" w:hAnsi="宋体" w:eastAsia="宋体" w:cs="宋体"/>
                <w:b w:val="0"/>
                <w:i w:val="0"/>
                <w:color w:val="FF0000"/>
                <w:sz w:val="22"/>
                <w:szCs w:val="28"/>
                <w:u w:val="wave"/>
              </w:rPr>
              <w:t>终端</w:t>
            </w:r>
          </w:p>
        </w:tc>
        <w:tc>
          <w:tcPr>
            <w:tcW w:w="2844"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color w:val="FF0000"/>
                <w:sz w:val="21"/>
                <w:szCs w:val="21"/>
                <w:u w:val="wave"/>
              </w:rPr>
            </w:pPr>
            <w:r>
              <w:rPr>
                <w:rFonts w:hint="eastAsia" w:ascii="Times New Roman" w:hAnsi="Times New Roman" w:cs="Times New Roman" w:eastAsiaTheme="majorEastAsia"/>
                <w:color w:val="FF0000"/>
                <w:sz w:val="21"/>
                <w:szCs w:val="21"/>
                <w:u w:val="wave"/>
                <w:lang w:val="en-US" w:eastAsia="zh-CN"/>
              </w:rPr>
              <w:t>共240个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default"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7</w:t>
            </w:r>
          </w:p>
        </w:tc>
        <w:tc>
          <w:tcPr>
            <w:tcW w:w="1658" w:type="pct"/>
            <w:tcBorders>
              <w:tl2br w:val="nil"/>
              <w:tr2bl w:val="nil"/>
            </w:tcBorders>
            <w:vAlign w:val="center"/>
          </w:tcPr>
          <w:p>
            <w:pPr>
              <w:pStyle w:val="245"/>
              <w:snapToGrid w:val="0"/>
              <w:spacing w:line="240" w:lineRule="auto"/>
              <w:jc w:val="center"/>
              <w:rPr>
                <w:rFonts w:ascii="宋体" w:hAnsi="宋体" w:eastAsia="宋体" w:cs="宋体"/>
                <w:b w:val="0"/>
                <w:i w:val="0"/>
                <w:color w:val="FF0000"/>
                <w:sz w:val="22"/>
                <w:szCs w:val="28"/>
                <w:u w:val="wave"/>
                <w:lang w:val="en-US" w:eastAsia="zh-CN"/>
              </w:rPr>
            </w:pPr>
            <w:r>
              <w:rPr>
                <w:rFonts w:ascii="宋体" w:hAnsi="宋体" w:eastAsia="宋体" w:cs="宋体"/>
                <w:b w:val="0"/>
                <w:i w:val="0"/>
                <w:color w:val="FF0000"/>
                <w:sz w:val="22"/>
                <w:szCs w:val="28"/>
                <w:u w:val="wave"/>
              </w:rPr>
              <w:t>二分流</w:t>
            </w:r>
          </w:p>
        </w:tc>
        <w:tc>
          <w:tcPr>
            <w:tcW w:w="2844"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color w:val="FF0000"/>
                <w:sz w:val="21"/>
                <w:szCs w:val="21"/>
                <w:u w:val="wave"/>
              </w:rPr>
            </w:pPr>
            <w:r>
              <w:rPr>
                <w:rFonts w:hint="eastAsia" w:ascii="Times New Roman" w:hAnsi="Times New Roman" w:cs="Times New Roman" w:eastAsiaTheme="majorEastAsia"/>
                <w:color w:val="FF0000"/>
                <w:sz w:val="21"/>
                <w:szCs w:val="21"/>
                <w:u w:val="wave"/>
                <w:lang w:val="en-US" w:eastAsia="zh-CN"/>
              </w:rPr>
              <w:t>共240个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default"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8</w:t>
            </w:r>
          </w:p>
        </w:tc>
        <w:tc>
          <w:tcPr>
            <w:tcW w:w="1658" w:type="pct"/>
            <w:tcBorders>
              <w:tl2br w:val="nil"/>
              <w:tr2bl w:val="nil"/>
            </w:tcBorders>
            <w:vAlign w:val="center"/>
          </w:tcPr>
          <w:p>
            <w:pPr>
              <w:pStyle w:val="245"/>
              <w:snapToGrid w:val="0"/>
              <w:spacing w:line="240" w:lineRule="auto"/>
              <w:jc w:val="center"/>
              <w:rPr>
                <w:rFonts w:ascii="宋体" w:hAnsi="宋体" w:eastAsia="宋体" w:cs="宋体"/>
                <w:b w:val="0"/>
                <w:i w:val="0"/>
                <w:color w:val="FF0000"/>
                <w:sz w:val="22"/>
                <w:szCs w:val="28"/>
                <w:u w:val="wave"/>
                <w:lang w:val="en-US" w:eastAsia="zh-CN"/>
              </w:rPr>
            </w:pPr>
            <w:r>
              <w:rPr>
                <w:rFonts w:ascii="宋体" w:hAnsi="宋体" w:eastAsia="宋体" w:cs="宋体"/>
                <w:b w:val="0"/>
                <w:i w:val="0"/>
                <w:color w:val="FF0000"/>
                <w:sz w:val="22"/>
                <w:szCs w:val="28"/>
                <w:u w:val="wave"/>
              </w:rPr>
              <w:t>供水配件</w:t>
            </w:r>
          </w:p>
        </w:tc>
        <w:tc>
          <w:tcPr>
            <w:tcW w:w="2844" w:type="pct"/>
            <w:tcBorders>
              <w:tl2br w:val="nil"/>
              <w:tr2bl w:val="nil"/>
            </w:tcBorders>
            <w:vAlign w:val="center"/>
          </w:tcPr>
          <w:p>
            <w:pPr>
              <w:pStyle w:val="245"/>
              <w:snapToGrid w:val="0"/>
              <w:spacing w:line="240" w:lineRule="auto"/>
              <w:jc w:val="center"/>
              <w:rPr>
                <w:rFonts w:hint="default" w:ascii="Times New Roman" w:hAnsi="Times New Roman" w:cs="Times New Roman" w:eastAsiaTheme="majorEastAsia"/>
                <w:color w:val="FF0000"/>
                <w:sz w:val="21"/>
                <w:szCs w:val="21"/>
                <w:u w:val="wave"/>
                <w:lang w:val="en-US"/>
              </w:rPr>
            </w:pPr>
            <w:r>
              <w:rPr>
                <w:rFonts w:hint="eastAsia" w:ascii="Times New Roman" w:hAnsi="Times New Roman" w:cs="Times New Roman" w:eastAsiaTheme="majorEastAsia"/>
                <w:color w:val="FF0000"/>
                <w:sz w:val="21"/>
                <w:szCs w:val="21"/>
                <w:u w:val="wave"/>
                <w:lang w:val="en-US" w:eastAsia="zh-CN"/>
              </w:rPr>
              <w:t>共30套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default"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9</w:t>
            </w:r>
          </w:p>
        </w:tc>
        <w:tc>
          <w:tcPr>
            <w:tcW w:w="1658" w:type="pct"/>
            <w:tcBorders>
              <w:tl2br w:val="nil"/>
              <w:tr2bl w:val="nil"/>
            </w:tcBorders>
            <w:vAlign w:val="center"/>
          </w:tcPr>
          <w:p>
            <w:pPr>
              <w:pStyle w:val="245"/>
              <w:snapToGrid w:val="0"/>
              <w:spacing w:line="240" w:lineRule="auto"/>
              <w:jc w:val="center"/>
              <w:rPr>
                <w:rFonts w:ascii="宋体" w:hAnsi="宋体" w:eastAsia="宋体" w:cs="宋体"/>
                <w:b w:val="0"/>
                <w:i w:val="0"/>
                <w:color w:val="FF0000"/>
                <w:sz w:val="22"/>
                <w:szCs w:val="28"/>
                <w:u w:val="wave"/>
                <w:lang w:val="en-US" w:eastAsia="zh-CN"/>
              </w:rPr>
            </w:pPr>
            <w:r>
              <w:rPr>
                <w:rFonts w:ascii="宋体" w:hAnsi="宋体" w:eastAsia="宋体" w:cs="宋体"/>
                <w:b w:val="0"/>
                <w:i w:val="0"/>
                <w:color w:val="FF0000"/>
                <w:sz w:val="22"/>
                <w:szCs w:val="28"/>
                <w:u w:val="wave"/>
              </w:rPr>
              <w:t>水量计数器</w:t>
            </w:r>
          </w:p>
        </w:tc>
        <w:tc>
          <w:tcPr>
            <w:tcW w:w="2844"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color w:val="FF0000"/>
                <w:sz w:val="21"/>
                <w:szCs w:val="21"/>
                <w:u w:val="wave"/>
              </w:rPr>
            </w:pPr>
            <w:r>
              <w:rPr>
                <w:rFonts w:hint="eastAsia" w:ascii="Times New Roman" w:hAnsi="Times New Roman" w:cs="Times New Roman" w:eastAsiaTheme="majorEastAsia"/>
                <w:color w:val="FF0000"/>
                <w:sz w:val="21"/>
                <w:szCs w:val="21"/>
                <w:u w:val="wave"/>
                <w:lang w:val="en-US" w:eastAsia="zh-CN"/>
              </w:rPr>
              <w:t>共6套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default"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10</w:t>
            </w:r>
          </w:p>
        </w:tc>
        <w:tc>
          <w:tcPr>
            <w:tcW w:w="1658" w:type="pct"/>
            <w:tcBorders>
              <w:tl2br w:val="nil"/>
              <w:tr2bl w:val="nil"/>
            </w:tcBorders>
            <w:vAlign w:val="center"/>
          </w:tcPr>
          <w:p>
            <w:pPr>
              <w:pStyle w:val="245"/>
              <w:snapToGrid w:val="0"/>
              <w:spacing w:line="240" w:lineRule="auto"/>
              <w:jc w:val="center"/>
              <w:rPr>
                <w:rFonts w:ascii="宋体" w:hAnsi="宋体" w:eastAsia="宋体" w:cs="宋体"/>
                <w:b w:val="0"/>
                <w:i w:val="0"/>
                <w:color w:val="FF0000"/>
                <w:sz w:val="22"/>
                <w:szCs w:val="28"/>
                <w:u w:val="wave"/>
                <w:lang w:val="en-US" w:eastAsia="zh-CN"/>
              </w:rPr>
            </w:pPr>
            <w:r>
              <w:rPr>
                <w:rFonts w:ascii="宋体" w:hAnsi="宋体" w:eastAsia="宋体" w:cs="宋体"/>
                <w:b w:val="0"/>
                <w:i w:val="0"/>
                <w:color w:val="FF0000"/>
                <w:sz w:val="22"/>
                <w:szCs w:val="28"/>
                <w:u w:val="wave"/>
              </w:rPr>
              <w:t>水循环装置</w:t>
            </w:r>
          </w:p>
        </w:tc>
        <w:tc>
          <w:tcPr>
            <w:tcW w:w="2844"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color w:val="FF0000"/>
                <w:sz w:val="21"/>
                <w:szCs w:val="21"/>
                <w:u w:val="wave"/>
              </w:rPr>
            </w:pPr>
            <w:r>
              <w:rPr>
                <w:rFonts w:hint="eastAsia" w:ascii="Times New Roman" w:hAnsi="Times New Roman" w:cs="Times New Roman" w:eastAsiaTheme="majorEastAsia"/>
                <w:color w:val="FF0000"/>
                <w:sz w:val="21"/>
                <w:szCs w:val="21"/>
                <w:u w:val="wave"/>
                <w:lang w:val="en-US" w:eastAsia="zh-CN"/>
              </w:rPr>
              <w:t>PVC水管链接，共36套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default"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11</w:t>
            </w:r>
          </w:p>
        </w:tc>
        <w:tc>
          <w:tcPr>
            <w:tcW w:w="1658" w:type="pct"/>
            <w:tcBorders>
              <w:tl2br w:val="nil"/>
              <w:tr2bl w:val="nil"/>
            </w:tcBorders>
            <w:vAlign w:val="center"/>
          </w:tcPr>
          <w:p>
            <w:pPr>
              <w:pStyle w:val="245"/>
              <w:snapToGrid w:val="0"/>
              <w:spacing w:line="240" w:lineRule="auto"/>
              <w:jc w:val="center"/>
              <w:rPr>
                <w:rFonts w:ascii="宋体" w:hAnsi="宋体" w:eastAsia="宋体" w:cs="宋体"/>
                <w:b w:val="0"/>
                <w:i w:val="0"/>
                <w:color w:val="FF0000"/>
                <w:sz w:val="22"/>
                <w:szCs w:val="28"/>
                <w:u w:val="wave"/>
                <w:lang w:val="en-US" w:eastAsia="zh-CN"/>
              </w:rPr>
            </w:pPr>
            <w:r>
              <w:rPr>
                <w:rFonts w:ascii="宋体" w:hAnsi="宋体" w:eastAsia="宋体" w:cs="宋体"/>
                <w:b w:val="0"/>
                <w:i w:val="0"/>
                <w:color w:val="FF0000"/>
                <w:sz w:val="22"/>
                <w:szCs w:val="28"/>
                <w:u w:val="wave"/>
              </w:rPr>
              <w:t>湿帘水过滤器</w:t>
            </w:r>
          </w:p>
        </w:tc>
        <w:tc>
          <w:tcPr>
            <w:tcW w:w="2844"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color w:val="FF0000"/>
                <w:sz w:val="21"/>
                <w:szCs w:val="21"/>
                <w:u w:val="wave"/>
              </w:rPr>
            </w:pPr>
            <w:r>
              <w:rPr>
                <w:rFonts w:hint="eastAsia" w:ascii="Times New Roman" w:hAnsi="Times New Roman" w:cs="Times New Roman" w:eastAsiaTheme="majorEastAsia"/>
                <w:color w:val="FF0000"/>
                <w:sz w:val="21"/>
                <w:szCs w:val="21"/>
                <w:u w:val="wave"/>
                <w:lang w:val="en-US" w:eastAsia="zh-CN"/>
              </w:rPr>
              <w:t>共18套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default"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12</w:t>
            </w:r>
          </w:p>
        </w:tc>
        <w:tc>
          <w:tcPr>
            <w:tcW w:w="1658" w:type="pct"/>
            <w:tcBorders>
              <w:tl2br w:val="nil"/>
              <w:tr2bl w:val="nil"/>
            </w:tcBorders>
            <w:vAlign w:val="center"/>
          </w:tcPr>
          <w:p>
            <w:pPr>
              <w:pStyle w:val="245"/>
              <w:snapToGrid w:val="0"/>
              <w:spacing w:line="240" w:lineRule="auto"/>
              <w:jc w:val="center"/>
              <w:rPr>
                <w:rFonts w:ascii="宋体" w:hAnsi="宋体" w:eastAsia="宋体" w:cs="宋体"/>
                <w:b w:val="0"/>
                <w:i w:val="0"/>
                <w:color w:val="FF0000"/>
                <w:sz w:val="22"/>
                <w:szCs w:val="28"/>
                <w:u w:val="wave"/>
                <w:lang w:val="en-US" w:eastAsia="zh-CN"/>
              </w:rPr>
            </w:pPr>
            <w:r>
              <w:rPr>
                <w:rFonts w:ascii="宋体" w:hAnsi="宋体" w:eastAsia="宋体" w:cs="宋体"/>
                <w:b w:val="0"/>
                <w:i w:val="0"/>
                <w:color w:val="FF0000"/>
                <w:sz w:val="22"/>
                <w:szCs w:val="28"/>
                <w:u w:val="wave"/>
              </w:rPr>
              <w:t>风机</w:t>
            </w:r>
          </w:p>
        </w:tc>
        <w:tc>
          <w:tcPr>
            <w:tcW w:w="2844" w:type="pct"/>
            <w:tcBorders>
              <w:tl2br w:val="nil"/>
              <w:tr2bl w:val="nil"/>
            </w:tcBorders>
            <w:vAlign w:val="center"/>
          </w:tcPr>
          <w:p>
            <w:pPr>
              <w:pStyle w:val="245"/>
              <w:snapToGrid w:val="0"/>
              <w:spacing w:line="240" w:lineRule="auto"/>
              <w:jc w:val="center"/>
              <w:rPr>
                <w:rFonts w:hint="default" w:ascii="Times New Roman" w:hAnsi="Times New Roman" w:cs="Times New Roman" w:eastAsiaTheme="majorEastAsia"/>
                <w:color w:val="FF0000"/>
                <w:sz w:val="21"/>
                <w:szCs w:val="21"/>
                <w:u w:val="wave"/>
                <w:lang w:val="en-US"/>
              </w:rPr>
            </w:pPr>
            <w:r>
              <w:rPr>
                <w:rFonts w:hint="eastAsia" w:ascii="Times New Roman" w:hAnsi="Times New Roman" w:cs="Times New Roman" w:eastAsiaTheme="majorEastAsia"/>
                <w:color w:val="FF0000"/>
                <w:sz w:val="21"/>
                <w:szCs w:val="21"/>
                <w:u w:val="wave"/>
                <w:lang w:val="en-US" w:eastAsia="zh-CN"/>
              </w:rPr>
              <w:t>尺寸：1380×1380mm，共270台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default"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13</w:t>
            </w:r>
          </w:p>
        </w:tc>
        <w:tc>
          <w:tcPr>
            <w:tcW w:w="1658" w:type="pct"/>
            <w:tcBorders>
              <w:tl2br w:val="nil"/>
              <w:tr2bl w:val="nil"/>
            </w:tcBorders>
            <w:vAlign w:val="center"/>
          </w:tcPr>
          <w:p>
            <w:pPr>
              <w:pStyle w:val="245"/>
              <w:snapToGrid w:val="0"/>
              <w:spacing w:line="240" w:lineRule="auto"/>
              <w:jc w:val="center"/>
              <w:rPr>
                <w:rFonts w:ascii="宋体" w:hAnsi="宋体" w:eastAsia="宋体" w:cs="宋体"/>
                <w:b w:val="0"/>
                <w:i w:val="0"/>
                <w:color w:val="FF0000"/>
                <w:sz w:val="22"/>
                <w:szCs w:val="28"/>
                <w:u w:val="wave"/>
                <w:lang w:val="en-US" w:eastAsia="zh-CN"/>
              </w:rPr>
            </w:pPr>
            <w:r>
              <w:rPr>
                <w:rFonts w:ascii="宋体" w:hAnsi="宋体" w:eastAsia="宋体" w:cs="宋体"/>
                <w:b w:val="0"/>
                <w:i w:val="0"/>
                <w:color w:val="FF0000"/>
                <w:sz w:val="22"/>
                <w:szCs w:val="28"/>
                <w:u w:val="wave"/>
              </w:rPr>
              <w:t>侧墙通风窗</w:t>
            </w:r>
          </w:p>
        </w:tc>
        <w:tc>
          <w:tcPr>
            <w:tcW w:w="2844"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color w:val="FF0000"/>
                <w:sz w:val="21"/>
                <w:szCs w:val="21"/>
                <w:u w:val="wave"/>
              </w:rPr>
            </w:pPr>
            <w:r>
              <w:rPr>
                <w:rFonts w:hint="eastAsia" w:ascii="Times New Roman" w:hAnsi="Times New Roman" w:cs="Times New Roman" w:eastAsiaTheme="majorEastAsia"/>
                <w:color w:val="FF0000"/>
                <w:sz w:val="21"/>
                <w:szCs w:val="21"/>
                <w:u w:val="wave"/>
                <w:lang w:val="en-US" w:eastAsia="zh-CN"/>
              </w:rPr>
              <w:t>尺寸：1200﹡340mm，共384套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default"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14</w:t>
            </w:r>
          </w:p>
        </w:tc>
        <w:tc>
          <w:tcPr>
            <w:tcW w:w="1658" w:type="pct"/>
            <w:tcBorders>
              <w:tl2br w:val="nil"/>
              <w:tr2bl w:val="nil"/>
            </w:tcBorders>
            <w:vAlign w:val="center"/>
          </w:tcPr>
          <w:p>
            <w:pPr>
              <w:pStyle w:val="245"/>
              <w:snapToGrid w:val="0"/>
              <w:spacing w:line="240" w:lineRule="auto"/>
              <w:jc w:val="center"/>
              <w:rPr>
                <w:rFonts w:ascii="宋体" w:hAnsi="宋体" w:eastAsia="宋体" w:cs="宋体"/>
                <w:b w:val="0"/>
                <w:i w:val="0"/>
                <w:color w:val="FF0000"/>
                <w:sz w:val="22"/>
                <w:szCs w:val="28"/>
                <w:u w:val="wave"/>
                <w:lang w:val="en-US" w:eastAsia="zh-CN"/>
              </w:rPr>
            </w:pPr>
            <w:r>
              <w:rPr>
                <w:rFonts w:ascii="宋体" w:hAnsi="宋体" w:eastAsia="宋体" w:cs="宋体"/>
                <w:b w:val="0"/>
                <w:i w:val="0"/>
                <w:color w:val="FF0000"/>
                <w:sz w:val="22"/>
                <w:szCs w:val="28"/>
                <w:u w:val="wave"/>
              </w:rPr>
              <w:t>湿帘风向调节装置</w:t>
            </w:r>
          </w:p>
        </w:tc>
        <w:tc>
          <w:tcPr>
            <w:tcW w:w="2844"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color w:val="FF0000"/>
                <w:sz w:val="21"/>
                <w:szCs w:val="21"/>
                <w:u w:val="wave"/>
              </w:rPr>
            </w:pPr>
            <w:r>
              <w:rPr>
                <w:rFonts w:hint="eastAsia" w:ascii="Times New Roman" w:hAnsi="Times New Roman" w:eastAsiaTheme="majorEastAsia"/>
                <w:color w:val="FF0000"/>
                <w:sz w:val="21"/>
                <w:szCs w:val="21"/>
                <w:u w:val="wave"/>
                <w:lang w:val="en-US" w:eastAsia="zh-CN"/>
              </w:rPr>
              <w:t>共1512</w:t>
            </w:r>
            <w:r>
              <w:rPr>
                <w:rFonts w:ascii="Times New Roman" w:hAnsi="Times New Roman" w:eastAsiaTheme="majorEastAsia"/>
                <w:color w:val="FF0000"/>
                <w:sz w:val="21"/>
                <w:szCs w:val="21"/>
                <w:u w:val="wave"/>
              </w:rPr>
              <w:t>m</w:t>
            </w:r>
            <w:r>
              <w:rPr>
                <w:rFonts w:hint="eastAsia" w:ascii="Times New Roman" w:hAnsi="Times New Roman" w:eastAsiaTheme="majorEastAsia"/>
                <w:color w:val="FF0000"/>
                <w:sz w:val="21"/>
                <w:szCs w:val="21"/>
                <w:u w:val="wave"/>
                <w:vertAlign w:val="superscript"/>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default"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15</w:t>
            </w:r>
          </w:p>
        </w:tc>
        <w:tc>
          <w:tcPr>
            <w:tcW w:w="1658" w:type="pct"/>
            <w:tcBorders>
              <w:tl2br w:val="nil"/>
              <w:tr2bl w:val="nil"/>
            </w:tcBorders>
            <w:vAlign w:val="top"/>
          </w:tcPr>
          <w:p>
            <w:pPr>
              <w:pStyle w:val="245"/>
              <w:snapToGrid w:val="0"/>
              <w:spacing w:line="240" w:lineRule="auto"/>
              <w:jc w:val="center"/>
              <w:rPr>
                <w:rFonts w:ascii="宋体" w:hAnsi="宋体" w:eastAsia="宋体" w:cs="宋体"/>
                <w:b w:val="0"/>
                <w:i w:val="0"/>
                <w:color w:val="FF0000"/>
                <w:sz w:val="22"/>
                <w:szCs w:val="28"/>
                <w:u w:val="wave"/>
                <w:lang w:val="en-US" w:eastAsia="zh-CN"/>
              </w:rPr>
            </w:pPr>
            <w:r>
              <w:rPr>
                <w:rFonts w:ascii="宋体" w:hAnsi="宋体" w:eastAsia="宋体" w:cs="宋体"/>
                <w:b w:val="0"/>
                <w:i w:val="0"/>
                <w:color w:val="FF0000"/>
                <w:sz w:val="22"/>
                <w:szCs w:val="28"/>
                <w:u w:val="wave"/>
              </w:rPr>
              <w:t>进风窗联动装置(分控)</w:t>
            </w:r>
          </w:p>
        </w:tc>
        <w:tc>
          <w:tcPr>
            <w:tcW w:w="2844"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color w:val="FF0000"/>
                <w:sz w:val="21"/>
                <w:szCs w:val="21"/>
                <w:u w:val="wave"/>
              </w:rPr>
            </w:pPr>
            <w:r>
              <w:rPr>
                <w:rFonts w:hint="eastAsia" w:ascii="Times New Roman" w:hAnsi="Times New Roman" w:cs="Times New Roman" w:eastAsiaTheme="majorEastAsia"/>
                <w:color w:val="FF0000"/>
                <w:sz w:val="21"/>
                <w:szCs w:val="21"/>
                <w:u w:val="wave"/>
                <w:lang w:val="en-US" w:eastAsia="zh-CN"/>
              </w:rPr>
              <w:t>共12套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b/>
                <w:color w:val="FF0000"/>
                <w:sz w:val="21"/>
                <w:szCs w:val="21"/>
                <w:u w:val="wave"/>
              </w:rPr>
            </w:pPr>
            <w:r>
              <w:rPr>
                <w:rFonts w:ascii="Times New Roman" w:hAnsi="Times New Roman" w:eastAsiaTheme="majorEastAsia"/>
                <w:b/>
                <w:color w:val="FF0000"/>
                <w:sz w:val="21"/>
                <w:szCs w:val="21"/>
                <w:u w:val="wave"/>
              </w:rPr>
              <w:t>（</w:t>
            </w:r>
            <w:r>
              <w:rPr>
                <w:rFonts w:hint="eastAsia" w:ascii="Times New Roman" w:hAnsi="Times New Roman" w:eastAsiaTheme="majorEastAsia"/>
                <w:b/>
                <w:color w:val="FF0000"/>
                <w:sz w:val="21"/>
                <w:szCs w:val="21"/>
                <w:u w:val="wave"/>
                <w:lang w:val="en-US" w:eastAsia="zh-CN"/>
              </w:rPr>
              <w:t>六</w:t>
            </w:r>
            <w:r>
              <w:rPr>
                <w:rFonts w:ascii="Times New Roman" w:hAnsi="Times New Roman" w:eastAsiaTheme="majorEastAsia"/>
                <w:b/>
                <w:color w:val="FF0000"/>
                <w:sz w:val="21"/>
                <w:szCs w:val="21"/>
                <w:u w:val="wave"/>
              </w:rPr>
              <w:t>）</w:t>
            </w:r>
          </w:p>
        </w:tc>
        <w:tc>
          <w:tcPr>
            <w:tcW w:w="4502" w:type="pct"/>
            <w:gridSpan w:val="2"/>
            <w:tcBorders>
              <w:tl2br w:val="nil"/>
              <w:tr2bl w:val="nil"/>
            </w:tcBorders>
            <w:vAlign w:val="center"/>
          </w:tcPr>
          <w:p>
            <w:pPr>
              <w:pStyle w:val="90"/>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集蛋系统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1</w:t>
            </w:r>
          </w:p>
        </w:tc>
        <w:tc>
          <w:tcPr>
            <w:tcW w:w="1658"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宋体" w:hAnsi="宋体" w:eastAsia="宋体" w:cs="宋体"/>
                <w:b w:val="0"/>
                <w:i w:val="0"/>
                <w:color w:val="FF0000"/>
                <w:sz w:val="22"/>
                <w:szCs w:val="28"/>
                <w:u w:val="wave"/>
              </w:rPr>
              <w:t>集蛋设备主机</w:t>
            </w:r>
          </w:p>
        </w:tc>
        <w:tc>
          <w:tcPr>
            <w:tcW w:w="2844"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hint="eastAsia" w:ascii="Times New Roman" w:hAnsi="Times New Roman" w:cs="Times New Roman" w:eastAsiaTheme="majorEastAsia"/>
                <w:color w:val="FF0000"/>
                <w:sz w:val="21"/>
                <w:szCs w:val="21"/>
                <w:u w:val="wave"/>
                <w:lang w:val="en-US" w:eastAsia="zh-CN"/>
              </w:rPr>
              <w:t>共60套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2</w:t>
            </w:r>
          </w:p>
        </w:tc>
        <w:tc>
          <w:tcPr>
            <w:tcW w:w="1658"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集蛋带</w:t>
            </w:r>
          </w:p>
        </w:tc>
        <w:tc>
          <w:tcPr>
            <w:tcW w:w="2844" w:type="pct"/>
            <w:tcBorders>
              <w:tl2br w:val="nil"/>
              <w:tr2bl w:val="nil"/>
            </w:tcBorders>
            <w:vAlign w:val="center"/>
          </w:tcPr>
          <w:p>
            <w:pPr>
              <w:pStyle w:val="245"/>
              <w:snapToGrid w:val="0"/>
              <w:spacing w:line="240" w:lineRule="auto"/>
              <w:jc w:val="center"/>
              <w:rPr>
                <w:rFonts w:hint="default"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共100800m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3</w:t>
            </w:r>
          </w:p>
        </w:tc>
        <w:tc>
          <w:tcPr>
            <w:tcW w:w="1658" w:type="pct"/>
            <w:tcBorders>
              <w:tl2br w:val="nil"/>
              <w:tr2bl w:val="nil"/>
            </w:tcBorders>
            <w:vAlign w:val="center"/>
          </w:tcPr>
          <w:p>
            <w:pPr>
              <w:pStyle w:val="245"/>
              <w:snapToGrid w:val="0"/>
              <w:spacing w:line="240" w:lineRule="auto"/>
              <w:jc w:val="center"/>
              <w:rPr>
                <w:rFonts w:hint="eastAsia" w:ascii="Times New Roman" w:hAnsi="Times New Roman" w:eastAsiaTheme="majorEastAsia"/>
                <w:color w:val="FF0000"/>
                <w:sz w:val="21"/>
                <w:szCs w:val="21"/>
                <w:u w:val="wave"/>
                <w:lang w:val="en-US" w:eastAsia="zh-CN"/>
              </w:rPr>
            </w:pPr>
            <w:r>
              <w:rPr>
                <w:rFonts w:ascii="Times New Roman" w:hAnsi="Times New Roman" w:eastAsiaTheme="majorEastAsia"/>
                <w:color w:val="FF0000"/>
                <w:sz w:val="21"/>
                <w:szCs w:val="21"/>
                <w:u w:val="wave"/>
              </w:rPr>
              <w:t>蛋带</w:t>
            </w:r>
            <w:r>
              <w:rPr>
                <w:rFonts w:hint="eastAsia" w:ascii="Times New Roman" w:hAnsi="Times New Roman" w:eastAsiaTheme="majorEastAsia"/>
                <w:color w:val="FF0000"/>
                <w:sz w:val="21"/>
                <w:szCs w:val="21"/>
                <w:u w:val="wave"/>
                <w:lang w:val="en-US" w:eastAsia="zh-CN"/>
              </w:rPr>
              <w:t>卡</w:t>
            </w:r>
          </w:p>
        </w:tc>
        <w:tc>
          <w:tcPr>
            <w:tcW w:w="2844" w:type="pct"/>
            <w:tcBorders>
              <w:tl2br w:val="nil"/>
              <w:tr2bl w:val="nil"/>
            </w:tcBorders>
            <w:vAlign w:val="center"/>
          </w:tcPr>
          <w:p>
            <w:pPr>
              <w:pStyle w:val="245"/>
              <w:snapToGrid w:val="0"/>
              <w:spacing w:line="240" w:lineRule="auto"/>
              <w:jc w:val="center"/>
              <w:rPr>
                <w:rFonts w:hint="default"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共39840个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hint="eastAsia"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4</w:t>
            </w:r>
          </w:p>
        </w:tc>
        <w:tc>
          <w:tcPr>
            <w:tcW w:w="1658"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cs="Times New Roman" w:eastAsiaTheme="majorEastAsia"/>
                <w:color w:val="FF0000"/>
                <w:sz w:val="21"/>
                <w:szCs w:val="21"/>
                <w:u w:val="wave"/>
              </w:rPr>
              <w:t>中央集蛋线</w:t>
            </w:r>
            <w:r>
              <w:rPr>
                <w:rFonts w:hint="eastAsia" w:ascii="Times New Roman" w:hAnsi="Times New Roman" w:cs="Times New Roman" w:eastAsiaTheme="majorEastAsia"/>
                <w:color w:val="FF0000"/>
                <w:sz w:val="21"/>
                <w:szCs w:val="21"/>
                <w:u w:val="wave"/>
                <w:lang w:eastAsia="zh-CN"/>
              </w:rPr>
              <w:t>（</w:t>
            </w:r>
            <w:r>
              <w:rPr>
                <w:rFonts w:ascii="Times New Roman" w:hAnsi="Times New Roman" w:cs="Times New Roman" w:eastAsiaTheme="majorEastAsia"/>
                <w:color w:val="FF0000"/>
                <w:sz w:val="21"/>
                <w:szCs w:val="21"/>
                <w:u w:val="wave"/>
              </w:rPr>
              <w:t>鲁宾</w:t>
            </w:r>
            <w:r>
              <w:rPr>
                <w:rFonts w:hint="eastAsia" w:ascii="Times New Roman" w:hAnsi="Times New Roman" w:cs="Times New Roman" w:eastAsiaTheme="majorEastAsia"/>
                <w:color w:val="FF0000"/>
                <w:sz w:val="21"/>
                <w:szCs w:val="21"/>
                <w:u w:val="wave"/>
                <w:lang w:eastAsia="zh-CN"/>
              </w:rPr>
              <w:t>）</w:t>
            </w:r>
          </w:p>
        </w:tc>
        <w:tc>
          <w:tcPr>
            <w:tcW w:w="2844" w:type="pct"/>
            <w:tcBorders>
              <w:tl2br w:val="nil"/>
              <w:tr2bl w:val="nil"/>
            </w:tcBorders>
            <w:vAlign w:val="center"/>
          </w:tcPr>
          <w:p>
            <w:pPr>
              <w:pStyle w:val="245"/>
              <w:snapToGrid w:val="0"/>
              <w:spacing w:line="240" w:lineRule="auto"/>
              <w:jc w:val="center"/>
              <w:rPr>
                <w:rFonts w:hint="eastAsia" w:ascii="Times New Roman" w:hAnsi="Times New Roman" w:eastAsiaTheme="majorEastAsia"/>
                <w:color w:val="FF0000"/>
                <w:sz w:val="21"/>
                <w:szCs w:val="21"/>
                <w:u w:val="wave"/>
                <w:lang w:val="en-US" w:eastAsia="zh-CN"/>
              </w:rPr>
            </w:pPr>
            <w:r>
              <w:rPr>
                <w:rFonts w:hint="eastAsia" w:ascii="Times New Roman" w:hAnsi="Times New Roman" w:eastAsiaTheme="majorEastAsia"/>
                <w:color w:val="FF0000"/>
                <w:sz w:val="21"/>
                <w:szCs w:val="21"/>
                <w:u w:val="wave"/>
                <w:lang w:val="en-US" w:eastAsia="zh-CN"/>
              </w:rPr>
              <w:t>根据现场情况设计长度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b/>
                <w:color w:val="FF0000"/>
                <w:sz w:val="21"/>
                <w:szCs w:val="21"/>
                <w:u w:val="wave"/>
              </w:rPr>
            </w:pPr>
            <w:r>
              <w:rPr>
                <w:rFonts w:ascii="Times New Roman" w:hAnsi="Times New Roman" w:eastAsiaTheme="majorEastAsia"/>
                <w:b/>
                <w:color w:val="FF0000"/>
                <w:sz w:val="21"/>
                <w:szCs w:val="21"/>
                <w:u w:val="wave"/>
              </w:rPr>
              <w:t>（</w:t>
            </w:r>
            <w:r>
              <w:rPr>
                <w:rFonts w:hint="eastAsia" w:ascii="Times New Roman" w:hAnsi="Times New Roman" w:eastAsiaTheme="majorEastAsia"/>
                <w:b/>
                <w:color w:val="FF0000"/>
                <w:sz w:val="21"/>
                <w:szCs w:val="21"/>
                <w:u w:val="wave"/>
                <w:lang w:val="en-US" w:eastAsia="zh-CN"/>
              </w:rPr>
              <w:t>七</w:t>
            </w:r>
            <w:r>
              <w:rPr>
                <w:rFonts w:ascii="Times New Roman" w:hAnsi="Times New Roman" w:eastAsiaTheme="majorEastAsia"/>
                <w:b/>
                <w:color w:val="FF0000"/>
                <w:sz w:val="21"/>
                <w:szCs w:val="21"/>
                <w:u w:val="wave"/>
              </w:rPr>
              <w:t>）</w:t>
            </w:r>
          </w:p>
        </w:tc>
        <w:tc>
          <w:tcPr>
            <w:tcW w:w="4502" w:type="pct"/>
            <w:gridSpan w:val="2"/>
            <w:tcBorders>
              <w:tl2br w:val="nil"/>
              <w:tr2bl w:val="nil"/>
            </w:tcBorders>
            <w:vAlign w:val="center"/>
          </w:tcPr>
          <w:p>
            <w:pPr>
              <w:pStyle w:val="90"/>
              <w:rPr>
                <w:rFonts w:ascii="Times New Roman" w:hAnsi="Times New Roman" w:cs="Times New Roman" w:eastAsiaTheme="majorEastAsia"/>
                <w:color w:val="FF0000"/>
                <w:sz w:val="21"/>
                <w:szCs w:val="21"/>
                <w:u w:val="wave"/>
              </w:rPr>
            </w:pPr>
            <w:r>
              <w:rPr>
                <w:rFonts w:hint="eastAsia" w:ascii="Times New Roman" w:hAnsi="Times New Roman" w:cs="Times New Roman" w:eastAsiaTheme="majorEastAsia"/>
                <w:color w:val="FF0000"/>
                <w:sz w:val="21"/>
                <w:szCs w:val="21"/>
                <w:u w:val="wave"/>
              </w:rPr>
              <w:t>自动控制系统</w:t>
            </w:r>
            <w:r>
              <w:rPr>
                <w:rFonts w:hint="eastAsia" w:ascii="Times New Roman" w:hAnsi="Times New Roman" w:cs="Times New Roman" w:eastAsiaTheme="majorEastAsia"/>
                <w:color w:val="FF0000"/>
                <w:sz w:val="21"/>
                <w:szCs w:val="21"/>
                <w:u w:val="wave"/>
                <w:lang w:eastAsia="zh-CN"/>
              </w:rPr>
              <w:t>（</w:t>
            </w:r>
            <w:r>
              <w:rPr>
                <w:rFonts w:hint="eastAsia" w:ascii="Times New Roman" w:hAnsi="Times New Roman" w:cs="Times New Roman" w:eastAsiaTheme="majorEastAsia"/>
                <w:color w:val="FF0000"/>
                <w:sz w:val="21"/>
                <w:szCs w:val="21"/>
                <w:u w:val="wave"/>
              </w:rPr>
              <w:t>荷特华科</w:t>
            </w:r>
            <w:r>
              <w:rPr>
                <w:rFonts w:hint="eastAsia" w:ascii="Times New Roman" w:hAnsi="Times New Roman" w:cs="Times New Roman" w:eastAsiaTheme="majorEastAsia"/>
                <w:color w:val="FF0000"/>
                <w:sz w:val="21"/>
                <w:szCs w:val="21"/>
                <w:u w:val="wav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1</w:t>
            </w:r>
          </w:p>
        </w:tc>
        <w:tc>
          <w:tcPr>
            <w:tcW w:w="1658"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A、喂料系统控制</w:t>
            </w:r>
          </w:p>
        </w:tc>
        <w:tc>
          <w:tcPr>
            <w:tcW w:w="2844"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hint="eastAsia" w:ascii="Times New Roman" w:hAnsi="Times New Roman" w:cs="Times New Roman" w:eastAsiaTheme="majorEastAsia"/>
                <w:color w:val="FF0000"/>
                <w:sz w:val="21"/>
                <w:szCs w:val="21"/>
                <w:u w:val="wave"/>
                <w:lang w:val="en-US" w:eastAsia="zh-CN"/>
              </w:rPr>
              <w:t>共6套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2</w:t>
            </w:r>
          </w:p>
        </w:tc>
        <w:tc>
          <w:tcPr>
            <w:tcW w:w="1658"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B、清粪系统控制</w:t>
            </w:r>
          </w:p>
        </w:tc>
        <w:tc>
          <w:tcPr>
            <w:tcW w:w="2844"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hint="eastAsia" w:ascii="Times New Roman" w:hAnsi="Times New Roman" w:cs="Times New Roman" w:eastAsiaTheme="majorEastAsia"/>
                <w:color w:val="FF0000"/>
                <w:sz w:val="21"/>
                <w:szCs w:val="21"/>
                <w:u w:val="wave"/>
                <w:lang w:val="en-US" w:eastAsia="zh-CN"/>
              </w:rPr>
              <w:t>共6套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3</w:t>
            </w:r>
          </w:p>
        </w:tc>
        <w:tc>
          <w:tcPr>
            <w:tcW w:w="1658"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C、集蛋系统控制</w:t>
            </w:r>
          </w:p>
        </w:tc>
        <w:tc>
          <w:tcPr>
            <w:tcW w:w="2844"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hint="eastAsia" w:ascii="Times New Roman" w:hAnsi="Times New Roman" w:cs="Times New Roman" w:eastAsiaTheme="majorEastAsia"/>
                <w:color w:val="FF0000"/>
                <w:sz w:val="21"/>
                <w:szCs w:val="21"/>
                <w:u w:val="wave"/>
                <w:lang w:val="en-US" w:eastAsia="zh-CN"/>
              </w:rPr>
              <w:t>共6套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4</w:t>
            </w:r>
          </w:p>
        </w:tc>
        <w:tc>
          <w:tcPr>
            <w:tcW w:w="1658"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D、配套温、湿度检测系统</w:t>
            </w:r>
          </w:p>
        </w:tc>
        <w:tc>
          <w:tcPr>
            <w:tcW w:w="2844"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hint="eastAsia" w:ascii="Times New Roman" w:hAnsi="Times New Roman" w:cs="Times New Roman" w:eastAsiaTheme="majorEastAsia"/>
                <w:color w:val="FF0000"/>
                <w:sz w:val="21"/>
                <w:szCs w:val="21"/>
                <w:u w:val="wave"/>
                <w:lang w:val="en-US" w:eastAsia="zh-CN"/>
              </w:rPr>
              <w:t>共6套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5</w:t>
            </w:r>
          </w:p>
        </w:tc>
        <w:tc>
          <w:tcPr>
            <w:tcW w:w="1658"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color w:val="FF0000"/>
                <w:sz w:val="21"/>
                <w:szCs w:val="21"/>
                <w:u w:val="wave"/>
              </w:rPr>
            </w:pPr>
            <w:r>
              <w:rPr>
                <w:rFonts w:ascii="Times New Roman" w:hAnsi="Times New Roman" w:cs="Times New Roman" w:eastAsiaTheme="majorEastAsia"/>
                <w:color w:val="FF0000"/>
                <w:sz w:val="21"/>
                <w:szCs w:val="21"/>
                <w:u w:val="wave"/>
              </w:rPr>
              <w:t>E、负压检测系统</w:t>
            </w:r>
          </w:p>
        </w:tc>
        <w:tc>
          <w:tcPr>
            <w:tcW w:w="2844"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hint="eastAsia" w:ascii="Times New Roman" w:hAnsi="Times New Roman" w:cs="Times New Roman" w:eastAsiaTheme="majorEastAsia"/>
                <w:color w:val="FF0000"/>
                <w:sz w:val="21"/>
                <w:szCs w:val="21"/>
                <w:u w:val="wave"/>
                <w:lang w:val="en-US" w:eastAsia="zh-CN"/>
              </w:rPr>
              <w:t>共6套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6</w:t>
            </w:r>
          </w:p>
        </w:tc>
        <w:tc>
          <w:tcPr>
            <w:tcW w:w="1658"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color w:val="FF0000"/>
                <w:sz w:val="21"/>
                <w:szCs w:val="21"/>
                <w:u w:val="wave"/>
              </w:rPr>
            </w:pPr>
            <w:r>
              <w:rPr>
                <w:rFonts w:hint="eastAsia" w:ascii="Times New Roman" w:hAnsi="Times New Roman" w:cs="Times New Roman" w:eastAsiaTheme="majorEastAsia"/>
                <w:color w:val="FF0000"/>
                <w:sz w:val="21"/>
                <w:szCs w:val="21"/>
                <w:u w:val="wave"/>
              </w:rPr>
              <w:t>G、声光报警系统</w:t>
            </w:r>
          </w:p>
        </w:tc>
        <w:tc>
          <w:tcPr>
            <w:tcW w:w="2844"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hint="eastAsia" w:ascii="Times New Roman" w:hAnsi="Times New Roman" w:cs="Times New Roman" w:eastAsiaTheme="majorEastAsia"/>
                <w:color w:val="FF0000"/>
                <w:sz w:val="21"/>
                <w:szCs w:val="21"/>
                <w:u w:val="wave"/>
                <w:lang w:val="en-US" w:eastAsia="zh-CN"/>
              </w:rPr>
              <w:t>共6套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7</w:t>
            </w:r>
          </w:p>
        </w:tc>
        <w:tc>
          <w:tcPr>
            <w:tcW w:w="1658"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color w:val="FF0000"/>
                <w:sz w:val="21"/>
                <w:szCs w:val="21"/>
                <w:u w:val="wave"/>
              </w:rPr>
            </w:pPr>
            <w:r>
              <w:rPr>
                <w:rFonts w:hint="eastAsia" w:ascii="Times New Roman" w:hAnsi="Times New Roman" w:cs="Times New Roman" w:eastAsiaTheme="majorEastAsia"/>
                <w:color w:val="FF0000"/>
                <w:sz w:val="21"/>
                <w:szCs w:val="21"/>
                <w:u w:val="wave"/>
              </w:rPr>
              <w:t>应急电箱</w:t>
            </w:r>
          </w:p>
        </w:tc>
        <w:tc>
          <w:tcPr>
            <w:tcW w:w="2844"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b/>
                <w:color w:val="FF0000"/>
                <w:sz w:val="21"/>
                <w:szCs w:val="21"/>
                <w:u w:val="wave"/>
              </w:rPr>
            </w:pPr>
            <w:r>
              <w:rPr>
                <w:rFonts w:ascii="Times New Roman" w:hAnsi="Times New Roman" w:eastAsiaTheme="majorEastAsia"/>
                <w:b/>
                <w:color w:val="FF0000"/>
                <w:sz w:val="21"/>
                <w:szCs w:val="21"/>
                <w:u w:val="wave"/>
              </w:rPr>
              <w:t>（</w:t>
            </w:r>
            <w:r>
              <w:rPr>
                <w:rFonts w:hint="eastAsia" w:ascii="Times New Roman" w:hAnsi="Times New Roman" w:eastAsiaTheme="majorEastAsia"/>
                <w:b/>
                <w:color w:val="FF0000"/>
                <w:sz w:val="21"/>
                <w:szCs w:val="21"/>
                <w:u w:val="wave"/>
                <w:lang w:val="en-US" w:eastAsia="zh-CN"/>
              </w:rPr>
              <w:t>八</w:t>
            </w:r>
            <w:r>
              <w:rPr>
                <w:rFonts w:ascii="Times New Roman" w:hAnsi="Times New Roman" w:eastAsiaTheme="majorEastAsia"/>
                <w:b/>
                <w:color w:val="FF0000"/>
                <w:sz w:val="21"/>
                <w:szCs w:val="21"/>
                <w:u w:val="wave"/>
              </w:rPr>
              <w:t>）</w:t>
            </w:r>
          </w:p>
        </w:tc>
        <w:tc>
          <w:tcPr>
            <w:tcW w:w="4502" w:type="pct"/>
            <w:gridSpan w:val="2"/>
            <w:tcBorders>
              <w:tl2br w:val="nil"/>
              <w:tr2bl w:val="nil"/>
            </w:tcBorders>
            <w:vAlign w:val="center"/>
          </w:tcPr>
          <w:p>
            <w:pPr>
              <w:pStyle w:val="245"/>
              <w:snapToGrid w:val="0"/>
              <w:spacing w:line="240" w:lineRule="auto"/>
              <w:jc w:val="center"/>
              <w:rPr>
                <w:rFonts w:ascii="Times New Roman" w:hAnsi="Times New Roman" w:eastAsiaTheme="majorEastAsia"/>
                <w:b/>
                <w:color w:val="FF0000"/>
                <w:sz w:val="21"/>
                <w:szCs w:val="21"/>
                <w:u w:val="wave"/>
              </w:rPr>
            </w:pPr>
            <w:r>
              <w:rPr>
                <w:rFonts w:ascii="Times New Roman" w:hAnsi="Times New Roman" w:eastAsiaTheme="majorEastAsia"/>
                <w:b/>
                <w:color w:val="FF0000"/>
                <w:sz w:val="21"/>
                <w:szCs w:val="21"/>
                <w:u w:val="wave"/>
              </w:rPr>
              <w:t>照明系统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1</w:t>
            </w:r>
          </w:p>
        </w:tc>
        <w:tc>
          <w:tcPr>
            <w:tcW w:w="1658"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bCs/>
                <w:color w:val="FF0000"/>
                <w:kern w:val="0"/>
                <w:sz w:val="21"/>
                <w:szCs w:val="21"/>
                <w:u w:val="wave"/>
                <w:lang w:val="en-US" w:eastAsia="zh-CN" w:bidi="ar-SA"/>
              </w:rPr>
            </w:pPr>
            <w:r>
              <w:rPr>
                <w:rFonts w:ascii="Times New Roman" w:hAnsi="Times New Roman" w:eastAsiaTheme="majorEastAsia"/>
                <w:color w:val="FF0000"/>
                <w:sz w:val="21"/>
                <w:szCs w:val="21"/>
                <w:u w:val="wave"/>
              </w:rPr>
              <w:t>养殖专用灯</w:t>
            </w:r>
          </w:p>
        </w:tc>
        <w:tc>
          <w:tcPr>
            <w:tcW w:w="2844"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bCs/>
                <w:color w:val="FF0000"/>
                <w:kern w:val="0"/>
                <w:sz w:val="21"/>
                <w:szCs w:val="21"/>
                <w:u w:val="wave"/>
                <w:lang w:val="en-US" w:eastAsia="zh-CN" w:bidi="ar-SA"/>
              </w:rPr>
            </w:pPr>
            <w:r>
              <w:rPr>
                <w:rFonts w:ascii="Times New Roman" w:hAnsi="Times New Roman" w:eastAsiaTheme="majorEastAsia"/>
                <w:color w:val="FF0000"/>
                <w:sz w:val="21"/>
                <w:szCs w:val="21"/>
                <w:u w:val="wave"/>
              </w:rPr>
              <w:t>每栋1套，可调光防水养殖照明灯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2</w:t>
            </w:r>
          </w:p>
        </w:tc>
        <w:tc>
          <w:tcPr>
            <w:tcW w:w="1658"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bCs/>
                <w:color w:val="FF0000"/>
                <w:kern w:val="0"/>
                <w:sz w:val="21"/>
                <w:szCs w:val="21"/>
                <w:u w:val="wave"/>
                <w:lang w:val="en-US" w:eastAsia="zh-CN" w:bidi="ar-SA"/>
              </w:rPr>
            </w:pPr>
            <w:r>
              <w:rPr>
                <w:rFonts w:ascii="Times New Roman" w:hAnsi="Times New Roman" w:eastAsiaTheme="majorEastAsia"/>
                <w:color w:val="FF0000"/>
                <w:sz w:val="21"/>
                <w:szCs w:val="21"/>
                <w:u w:val="wave"/>
              </w:rPr>
              <w:t>调光器</w:t>
            </w:r>
          </w:p>
        </w:tc>
        <w:tc>
          <w:tcPr>
            <w:tcW w:w="2844"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bCs/>
                <w:color w:val="FF0000"/>
                <w:kern w:val="0"/>
                <w:sz w:val="21"/>
                <w:szCs w:val="21"/>
                <w:u w:val="wave"/>
                <w:lang w:val="en-US" w:eastAsia="zh-CN" w:bidi="ar-SA"/>
              </w:rPr>
            </w:pPr>
            <w:r>
              <w:rPr>
                <w:rFonts w:ascii="Times New Roman" w:hAnsi="Times New Roman" w:eastAsiaTheme="majorEastAsia"/>
                <w:color w:val="FF0000"/>
                <w:sz w:val="21"/>
                <w:szCs w:val="21"/>
                <w:u w:val="wave"/>
              </w:rPr>
              <w:t>每栋1套，光强度可调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b/>
                <w:color w:val="FF0000"/>
                <w:sz w:val="21"/>
                <w:szCs w:val="21"/>
                <w:u w:val="wave"/>
              </w:rPr>
            </w:pPr>
            <w:r>
              <w:rPr>
                <w:rFonts w:ascii="Times New Roman" w:hAnsi="Times New Roman" w:eastAsiaTheme="majorEastAsia"/>
                <w:b/>
                <w:color w:val="FF0000"/>
                <w:sz w:val="21"/>
                <w:szCs w:val="21"/>
                <w:u w:val="wave"/>
              </w:rPr>
              <w:t>（</w:t>
            </w:r>
            <w:r>
              <w:rPr>
                <w:rFonts w:hint="eastAsia" w:ascii="Times New Roman" w:hAnsi="Times New Roman" w:eastAsiaTheme="majorEastAsia"/>
                <w:b/>
                <w:color w:val="FF0000"/>
                <w:sz w:val="21"/>
                <w:szCs w:val="21"/>
                <w:u w:val="wave"/>
                <w:lang w:val="en-US" w:eastAsia="zh-CN"/>
              </w:rPr>
              <w:t>九</w:t>
            </w:r>
            <w:r>
              <w:rPr>
                <w:rFonts w:ascii="Times New Roman" w:hAnsi="Times New Roman" w:eastAsiaTheme="majorEastAsia"/>
                <w:b/>
                <w:color w:val="FF0000"/>
                <w:sz w:val="21"/>
                <w:szCs w:val="21"/>
                <w:u w:val="wave"/>
              </w:rPr>
              <w:t>）</w:t>
            </w:r>
          </w:p>
        </w:tc>
        <w:tc>
          <w:tcPr>
            <w:tcW w:w="4502" w:type="pct"/>
            <w:gridSpan w:val="2"/>
            <w:tcBorders>
              <w:tl2br w:val="nil"/>
              <w:tr2bl w:val="nil"/>
            </w:tcBorders>
            <w:vAlign w:val="center"/>
          </w:tcPr>
          <w:p>
            <w:pPr>
              <w:pStyle w:val="245"/>
              <w:snapToGrid w:val="0"/>
              <w:spacing w:line="240" w:lineRule="auto"/>
              <w:jc w:val="center"/>
              <w:rPr>
                <w:rFonts w:ascii="Times New Roman" w:hAnsi="Times New Roman" w:eastAsiaTheme="majorEastAsia"/>
                <w:b/>
                <w:color w:val="FF0000"/>
                <w:sz w:val="21"/>
                <w:szCs w:val="21"/>
                <w:u w:val="wave"/>
              </w:rPr>
            </w:pPr>
            <w:r>
              <w:rPr>
                <w:rFonts w:ascii="Times New Roman" w:hAnsi="Times New Roman" w:eastAsiaTheme="majorEastAsia"/>
                <w:b/>
                <w:color w:val="FF0000"/>
                <w:sz w:val="21"/>
                <w:szCs w:val="21"/>
                <w:u w:val="wave"/>
              </w:rPr>
              <w:t>环保设备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1</w:t>
            </w:r>
          </w:p>
        </w:tc>
        <w:tc>
          <w:tcPr>
            <w:tcW w:w="1658"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bCs/>
                <w:color w:val="FF0000"/>
                <w:kern w:val="0"/>
                <w:sz w:val="21"/>
                <w:szCs w:val="21"/>
                <w:u w:val="wave"/>
                <w:lang w:val="en-US" w:eastAsia="zh-CN" w:bidi="ar-SA"/>
              </w:rPr>
            </w:pPr>
            <w:r>
              <w:rPr>
                <w:rFonts w:ascii="Times New Roman" w:hAnsi="Times New Roman" w:eastAsiaTheme="majorEastAsia"/>
                <w:color w:val="FF0000"/>
                <w:sz w:val="21"/>
                <w:szCs w:val="21"/>
                <w:u w:val="wave"/>
              </w:rPr>
              <w:t>病死鸡暂存间</w:t>
            </w:r>
          </w:p>
        </w:tc>
        <w:tc>
          <w:tcPr>
            <w:tcW w:w="2844"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bCs/>
                <w:color w:val="FF0000"/>
                <w:kern w:val="0"/>
                <w:sz w:val="21"/>
                <w:szCs w:val="21"/>
                <w:u w:val="wave"/>
                <w:vertAlign w:val="superscript"/>
                <w:lang w:val="en-US" w:eastAsia="zh-CN" w:bidi="ar-SA"/>
              </w:rPr>
            </w:pPr>
            <w:r>
              <w:rPr>
                <w:rFonts w:ascii="Times New Roman" w:hAnsi="Times New Roman" w:eastAsiaTheme="majorEastAsia"/>
                <w:color w:val="FF0000"/>
                <w:sz w:val="21"/>
                <w:szCs w:val="21"/>
                <w:u w:val="wave"/>
              </w:rPr>
              <w:t>占地</w:t>
            </w:r>
            <w:r>
              <w:rPr>
                <w:rFonts w:hint="eastAsia" w:ascii="Times New Roman" w:hAnsi="Times New Roman" w:eastAsiaTheme="majorEastAsia"/>
                <w:color w:val="FF0000"/>
                <w:sz w:val="21"/>
                <w:szCs w:val="21"/>
                <w:u w:val="wave"/>
                <w:lang w:val="en-US" w:eastAsia="zh-CN"/>
              </w:rPr>
              <w:t>10</w:t>
            </w:r>
            <w:r>
              <w:rPr>
                <w:rFonts w:ascii="Times New Roman" w:hAnsi="Times New Roman" w:eastAsiaTheme="majorEastAsia"/>
                <w:color w:val="FF0000"/>
                <w:sz w:val="21"/>
                <w:szCs w:val="21"/>
                <w:u w:val="wave"/>
              </w:rPr>
              <w:t>m</w:t>
            </w:r>
            <w:r>
              <w:rPr>
                <w:rFonts w:ascii="Times New Roman" w:hAnsi="Times New Roman" w:eastAsiaTheme="majorEastAsia"/>
                <w:color w:val="FF0000"/>
                <w:sz w:val="21"/>
                <w:szCs w:val="21"/>
                <w:u w:val="wave"/>
                <w:vertAlign w:val="superscript"/>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7" w:type="pct"/>
            <w:tcBorders>
              <w:tl2br w:val="nil"/>
              <w:tr2bl w:val="nil"/>
            </w:tcBorders>
            <w:vAlign w:val="center"/>
          </w:tcPr>
          <w:p>
            <w:pPr>
              <w:pStyle w:val="245"/>
              <w:snapToGrid w:val="0"/>
              <w:spacing w:line="240" w:lineRule="auto"/>
              <w:jc w:val="center"/>
              <w:rPr>
                <w:rFonts w:ascii="Times New Roman" w:hAnsi="Times New Roman" w:eastAsiaTheme="majorEastAsia"/>
                <w:color w:val="FF0000"/>
                <w:sz w:val="21"/>
                <w:szCs w:val="21"/>
                <w:u w:val="wave"/>
              </w:rPr>
            </w:pPr>
            <w:r>
              <w:rPr>
                <w:rFonts w:ascii="Times New Roman" w:hAnsi="Times New Roman" w:eastAsiaTheme="majorEastAsia"/>
                <w:color w:val="FF0000"/>
                <w:sz w:val="21"/>
                <w:szCs w:val="21"/>
                <w:u w:val="wave"/>
              </w:rPr>
              <w:t>2</w:t>
            </w:r>
          </w:p>
        </w:tc>
        <w:tc>
          <w:tcPr>
            <w:tcW w:w="1658"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bCs/>
                <w:color w:val="FF0000"/>
                <w:kern w:val="0"/>
                <w:sz w:val="21"/>
                <w:szCs w:val="21"/>
                <w:u w:val="wave"/>
                <w:lang w:val="en-US" w:eastAsia="zh-CN" w:bidi="ar-SA"/>
              </w:rPr>
            </w:pPr>
            <w:r>
              <w:rPr>
                <w:rFonts w:ascii="Times New Roman" w:hAnsi="Times New Roman" w:eastAsiaTheme="majorEastAsia"/>
                <w:color w:val="FF0000"/>
                <w:sz w:val="21"/>
                <w:szCs w:val="21"/>
                <w:u w:val="wave"/>
              </w:rPr>
              <w:t>危废暂存间</w:t>
            </w:r>
          </w:p>
        </w:tc>
        <w:tc>
          <w:tcPr>
            <w:tcW w:w="2844" w:type="pct"/>
            <w:tcBorders>
              <w:tl2br w:val="nil"/>
              <w:tr2bl w:val="nil"/>
            </w:tcBorders>
            <w:vAlign w:val="center"/>
          </w:tcPr>
          <w:p>
            <w:pPr>
              <w:pStyle w:val="245"/>
              <w:snapToGrid w:val="0"/>
              <w:spacing w:line="240" w:lineRule="auto"/>
              <w:jc w:val="center"/>
              <w:rPr>
                <w:rFonts w:ascii="Times New Roman" w:hAnsi="Times New Roman" w:cs="Times New Roman" w:eastAsiaTheme="majorEastAsia"/>
                <w:bCs/>
                <w:color w:val="FF0000"/>
                <w:kern w:val="0"/>
                <w:sz w:val="21"/>
                <w:szCs w:val="21"/>
                <w:u w:val="wave"/>
                <w:lang w:val="en-US" w:eastAsia="zh-CN" w:bidi="ar-SA"/>
              </w:rPr>
            </w:pPr>
            <w:r>
              <w:rPr>
                <w:rFonts w:ascii="Times New Roman" w:hAnsi="Times New Roman" w:eastAsiaTheme="majorEastAsia"/>
                <w:color w:val="FF0000"/>
                <w:sz w:val="21"/>
                <w:szCs w:val="21"/>
                <w:u w:val="wave"/>
              </w:rPr>
              <w:t>占地</w:t>
            </w:r>
            <w:r>
              <w:rPr>
                <w:rFonts w:hint="eastAsia" w:ascii="Times New Roman" w:hAnsi="Times New Roman" w:eastAsiaTheme="majorEastAsia"/>
                <w:color w:val="FF0000"/>
                <w:sz w:val="21"/>
                <w:szCs w:val="21"/>
                <w:u w:val="wave"/>
                <w:lang w:val="en-US" w:eastAsia="zh-CN"/>
              </w:rPr>
              <w:t>10</w:t>
            </w:r>
            <w:r>
              <w:rPr>
                <w:rFonts w:ascii="Times New Roman" w:hAnsi="Times New Roman" w:eastAsiaTheme="majorEastAsia"/>
                <w:color w:val="FF0000"/>
                <w:sz w:val="21"/>
                <w:szCs w:val="21"/>
                <w:u w:val="wave"/>
              </w:rPr>
              <w:t>m</w:t>
            </w:r>
            <w:r>
              <w:rPr>
                <w:rFonts w:hint="eastAsia" w:ascii="Times New Roman" w:hAnsi="Times New Roman" w:eastAsiaTheme="majorEastAsia"/>
                <w:color w:val="FF0000"/>
                <w:sz w:val="21"/>
                <w:szCs w:val="21"/>
                <w:u w:val="wave"/>
                <w:vertAlign w:val="superscript"/>
              </w:rPr>
              <w:t>2</w:t>
            </w:r>
          </w:p>
        </w:tc>
      </w:tr>
    </w:tbl>
    <w:p>
      <w:pPr>
        <w:spacing w:beforeLines="50"/>
        <w:jc w:val="center"/>
        <w:rPr>
          <w:b/>
        </w:rPr>
      </w:pPr>
    </w:p>
    <w:p>
      <w:pPr>
        <w:pStyle w:val="7"/>
        <w:adjustRightInd w:val="0"/>
        <w:snapToGrid w:val="0"/>
        <w:spacing w:before="0" w:after="0" w:line="360" w:lineRule="auto"/>
        <w:jc w:val="left"/>
        <w:rPr>
          <w:sz w:val="24"/>
          <w:szCs w:val="24"/>
        </w:rPr>
      </w:pPr>
      <w:r>
        <w:rPr>
          <w:sz w:val="24"/>
          <w:szCs w:val="24"/>
        </w:rPr>
        <w:t>3.</w:t>
      </w:r>
      <w:r>
        <w:rPr>
          <w:rFonts w:hint="eastAsia"/>
          <w:sz w:val="24"/>
          <w:szCs w:val="24"/>
        </w:rPr>
        <w:t>1.5 公用工程</w:t>
      </w:r>
    </w:p>
    <w:p>
      <w:pPr>
        <w:pStyle w:val="5"/>
        <w:adjustRightInd w:val="0"/>
        <w:snapToGrid w:val="0"/>
        <w:spacing w:after="0" w:line="360" w:lineRule="auto"/>
        <w:ind w:firstLine="482" w:firstLineChars="200"/>
        <w:rPr>
          <w:rFonts w:ascii="Times New Roman" w:hAnsi="Times New Roman" w:cs="Times New Roman"/>
          <w:b/>
          <w:sz w:val="24"/>
        </w:rPr>
      </w:pPr>
      <w:r>
        <w:rPr>
          <w:rFonts w:hint="eastAsia" w:ascii="Times New Roman" w:hAnsi="Times New Roman" w:cs="Times New Roman"/>
          <w:b/>
          <w:sz w:val="24"/>
        </w:rPr>
        <w:t>1、给水工程</w:t>
      </w:r>
    </w:p>
    <w:p>
      <w:pPr>
        <w:pStyle w:val="5"/>
        <w:adjustRightInd w:val="0"/>
        <w:snapToGrid w:val="0"/>
        <w:spacing w:after="0" w:line="360" w:lineRule="auto"/>
        <w:ind w:firstLine="480" w:firstLineChars="200"/>
        <w:rPr>
          <w:rFonts w:ascii="Times New Roman" w:cs="Times New Roman" w:hAnsiTheme="majorEastAsia" w:eastAsiaTheme="majorEastAsia"/>
          <w:sz w:val="24"/>
        </w:rPr>
      </w:pPr>
      <w:r>
        <w:rPr>
          <w:rFonts w:hint="eastAsia" w:ascii="Times New Roman" w:hAnsi="Times New Roman" w:cs="Times New Roman" w:eastAsiaTheme="majorEastAsia"/>
          <w:sz w:val="24"/>
        </w:rPr>
        <w:t>本项目生产生活用水均来自自建地下水井，水量充足，由地下水现状监测结果可知，项目所在区域的地下水水质能满足《地下水环境质量标准》（GB/T14848-2017）中的Ⅲ类水质标准及《畜禽养殖产地环境评价规范》表2</w:t>
      </w:r>
      <w:r>
        <w:rPr>
          <w:rFonts w:hint="eastAsia" w:ascii="Times New Roman" w:cs="Times New Roman" w:hAnsiTheme="majorEastAsia" w:eastAsiaTheme="majorEastAsia"/>
          <w:sz w:val="24"/>
        </w:rPr>
        <w:t>的要求，因此项目采用地下水作为生产生活用水水源可行。</w:t>
      </w:r>
    </w:p>
    <w:p>
      <w:pPr>
        <w:pStyle w:val="5"/>
        <w:adjustRightInd w:val="0"/>
        <w:snapToGrid w:val="0"/>
        <w:spacing w:after="0" w:line="360" w:lineRule="auto"/>
        <w:ind w:firstLine="480" w:firstLineChars="200"/>
        <w:rPr>
          <w:rFonts w:ascii="Times New Roman" w:cs="Times New Roman" w:hAnsiTheme="majorEastAsia" w:eastAsiaTheme="majorEastAsia"/>
          <w:sz w:val="24"/>
        </w:rPr>
      </w:pPr>
      <w:r>
        <w:rPr>
          <w:rFonts w:hint="eastAsia" w:ascii="Times New Roman" w:cs="Times New Roman" w:hAnsiTheme="majorEastAsia" w:eastAsiaTheme="majorEastAsia"/>
          <w:sz w:val="24"/>
        </w:rPr>
        <w:t>为满足生产、生活和消防要求，场地设给水泵房一座；供水管道环状布置，埋地敷设，主要车间设置两条引入管在室内形成贯通枝状布置；各猪舍进水口安装阀门和水表，以便统一管理和成本核算。</w:t>
      </w:r>
    </w:p>
    <w:p>
      <w:pPr>
        <w:pStyle w:val="5"/>
        <w:adjustRightInd w:val="0"/>
        <w:snapToGrid w:val="0"/>
        <w:spacing w:after="0" w:line="360" w:lineRule="auto"/>
        <w:ind w:firstLine="482" w:firstLineChars="200"/>
        <w:rPr>
          <w:rFonts w:ascii="Times New Roman" w:hAnsi="Times New Roman" w:cs="Times New Roman"/>
          <w:b/>
          <w:sz w:val="24"/>
        </w:rPr>
      </w:pPr>
      <w:r>
        <w:rPr>
          <w:rFonts w:hint="eastAsia" w:ascii="Times New Roman" w:hAnsi="Times New Roman" w:cs="Times New Roman"/>
          <w:b/>
          <w:sz w:val="24"/>
        </w:rPr>
        <w:t>2、排水工程</w:t>
      </w:r>
    </w:p>
    <w:p>
      <w:pPr>
        <w:pStyle w:val="5"/>
        <w:adjustRightInd w:val="0"/>
        <w:snapToGrid w:val="0"/>
        <w:spacing w:after="0" w:line="360" w:lineRule="auto"/>
        <w:ind w:firstLine="480" w:firstLineChars="200"/>
        <w:rPr>
          <w:sz w:val="24"/>
        </w:rPr>
      </w:pPr>
      <w:r>
        <w:rPr>
          <w:rFonts w:hint="eastAsia"/>
          <w:sz w:val="24"/>
        </w:rPr>
        <w:t>本项目排水采用清污分流、雨污分流制。</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（1）雨水</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雨污分流对养殖场水量的减少具有极其重要的意义。建立独立的雨水收集系统和污水收集管网系统，独立设立雨水渠，雨水通过独立的雨水收集系统收集待用或排出场外，雨污分离可以减少养殖场污水10~15%左右。</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本项目采用了室外收集雨水工艺。雨水沿屋檐落至鸡舍外雨水沟，雨水通过雨水沟直接排出场外</w:t>
      </w:r>
    </w:p>
    <w:p>
      <w:pPr>
        <w:pStyle w:val="2"/>
        <w:snapToGrid w:val="0"/>
        <w:spacing w:after="0" w:line="360" w:lineRule="auto"/>
        <w:ind w:firstLine="480"/>
        <w:rPr>
          <w:rFonts w:eastAsiaTheme="minorEastAsia"/>
          <w:sz w:val="24"/>
        </w:rPr>
      </w:pPr>
      <w:r>
        <w:rPr>
          <w:rFonts w:hint="eastAsia" w:eastAsiaTheme="minorEastAsia"/>
          <w:sz w:val="24"/>
        </w:rPr>
        <w:t>（2）废水</w:t>
      </w:r>
    </w:p>
    <w:p>
      <w:pPr>
        <w:pStyle w:val="2"/>
        <w:snapToGrid w:val="0"/>
        <w:spacing w:after="0" w:line="360" w:lineRule="auto"/>
        <w:ind w:firstLine="480"/>
        <w:rPr>
          <w:kern w:val="0"/>
          <w:sz w:val="24"/>
        </w:rPr>
      </w:pPr>
      <w:r>
        <w:rPr>
          <w:kern w:val="0"/>
          <w:sz w:val="24"/>
        </w:rPr>
        <w:t>本项目废水主要为员工生活污水</w:t>
      </w:r>
      <w:r>
        <w:rPr>
          <w:rFonts w:hint="eastAsia"/>
          <w:kern w:val="0"/>
          <w:sz w:val="24"/>
          <w:lang w:val="en-US" w:eastAsia="zh-CN"/>
        </w:rPr>
        <w:t>、</w:t>
      </w:r>
      <w:r>
        <w:rPr>
          <w:kern w:val="0"/>
          <w:sz w:val="24"/>
        </w:rPr>
        <w:t>鸡舍清洗废水</w:t>
      </w:r>
      <w:r>
        <w:rPr>
          <w:rFonts w:hint="eastAsia"/>
          <w:kern w:val="0"/>
          <w:sz w:val="24"/>
          <w:lang w:val="en-US" w:eastAsia="zh-CN"/>
        </w:rPr>
        <w:t>和水雾喷淋废水</w:t>
      </w:r>
      <w:r>
        <w:rPr>
          <w:kern w:val="0"/>
          <w:sz w:val="24"/>
        </w:rPr>
        <w:t>。</w:t>
      </w:r>
    </w:p>
    <w:p>
      <w:pPr>
        <w:pStyle w:val="5"/>
        <w:adjustRightInd w:val="0"/>
        <w:snapToGrid w:val="0"/>
        <w:spacing w:after="0" w:line="360" w:lineRule="auto"/>
        <w:ind w:firstLine="480" w:firstLineChars="200"/>
        <w:rPr>
          <w:rFonts w:ascii="Times New Roman" w:hAnsi="Times New Roman" w:cs="Times New Roman"/>
          <w:sz w:val="24"/>
        </w:rPr>
      </w:pPr>
      <w:r>
        <w:rPr>
          <w:rFonts w:hint="default" w:ascii="Times New Roman" w:hAnsi="Times New Roman" w:cs="Times New Roman"/>
          <w:kern w:val="0"/>
          <w:sz w:val="24"/>
        </w:rPr>
        <w:t>本</w:t>
      </w:r>
      <w:r>
        <w:rPr>
          <w:rFonts w:hint="default" w:ascii="Times New Roman" w:hAnsi="Times New Roman" w:cs="Times New Roman" w:eastAsiaTheme="minorEastAsia"/>
          <w:kern w:val="0"/>
          <w:sz w:val="24"/>
          <w:lang w:val="en-US" w:eastAsia="zh-CN"/>
        </w:rPr>
        <w:t>项目共设2座污水处理站，</w:t>
      </w:r>
      <w:r>
        <w:rPr>
          <w:rFonts w:hint="eastAsia" w:ascii="Times New Roman" w:hAnsi="Times New Roman" w:cs="Times New Roman"/>
          <w:kern w:val="0"/>
          <w:sz w:val="24"/>
          <w:lang w:eastAsia="zh-CN"/>
        </w:rPr>
        <w:t>南场</w:t>
      </w:r>
      <w:r>
        <w:rPr>
          <w:rFonts w:hint="eastAsia" w:hAnsiTheme="minorEastAsia" w:eastAsiaTheme="minorEastAsia"/>
          <w:kern w:val="0"/>
          <w:sz w:val="24"/>
          <w:lang w:val="en-US" w:eastAsia="zh-CN"/>
        </w:rPr>
        <w:t>污水处理站</w:t>
      </w:r>
      <w:r>
        <w:rPr>
          <w:rFonts w:hint="default" w:hAnsiTheme="minorEastAsia" w:eastAsiaTheme="minorEastAsia"/>
          <w:kern w:val="0"/>
          <w:sz w:val="24"/>
        </w:rPr>
        <w:t>收集</w:t>
      </w:r>
      <w:r>
        <w:rPr>
          <w:rFonts w:hint="eastAsia" w:hAnsiTheme="minorEastAsia"/>
          <w:kern w:val="0"/>
          <w:sz w:val="24"/>
          <w:lang w:eastAsia="zh-CN"/>
        </w:rPr>
        <w:t>南部养殖区</w:t>
      </w:r>
      <w:r>
        <w:rPr>
          <w:rFonts w:hint="default" w:hAnsiTheme="minorEastAsia" w:eastAsiaTheme="minorEastAsia"/>
          <w:kern w:val="0"/>
          <w:sz w:val="24"/>
        </w:rPr>
        <w:t>鸡舍冲洗废水、防尘间喷淋废水和中部生活污水（隔油预处理）</w:t>
      </w:r>
      <w:r>
        <w:rPr>
          <w:rFonts w:hint="eastAsia" w:hAnsiTheme="minorEastAsia" w:eastAsiaTheme="minorEastAsia"/>
          <w:kern w:val="0"/>
          <w:sz w:val="24"/>
          <w:lang w:eastAsia="zh-CN"/>
        </w:rPr>
        <w:t>，</w:t>
      </w:r>
      <w:r>
        <w:rPr>
          <w:rFonts w:hint="eastAsia" w:hAnsiTheme="minorEastAsia"/>
          <w:kern w:val="0"/>
          <w:sz w:val="24"/>
          <w:lang w:eastAsia="zh-CN"/>
        </w:rPr>
        <w:t>东场</w:t>
      </w:r>
      <w:r>
        <w:rPr>
          <w:rFonts w:hint="eastAsia" w:hAnsiTheme="minorEastAsia" w:eastAsiaTheme="minorEastAsia"/>
          <w:kern w:val="0"/>
          <w:sz w:val="24"/>
          <w:lang w:val="en-US" w:eastAsia="zh-CN"/>
        </w:rPr>
        <w:t>污水处理站</w:t>
      </w:r>
      <w:r>
        <w:rPr>
          <w:rFonts w:hint="default" w:hAnsiTheme="minorEastAsia" w:eastAsiaTheme="minorEastAsia"/>
          <w:kern w:val="0"/>
          <w:sz w:val="24"/>
        </w:rPr>
        <w:t>收集东部养殖区鸡舍冲洗废水、防尘间喷淋废水和东部生活污水，废水经污水处理站</w:t>
      </w:r>
      <w:r>
        <w:rPr>
          <w:rFonts w:hint="eastAsia" w:hAnsiTheme="minorEastAsia" w:eastAsiaTheme="minorEastAsia"/>
          <w:kern w:val="0"/>
          <w:sz w:val="24"/>
          <w:lang w:eastAsia="zh-CN"/>
        </w:rPr>
        <w:t>（</w:t>
      </w:r>
      <w:r>
        <w:rPr>
          <w:rFonts w:hint="eastAsia" w:hAnsiTheme="minorEastAsia" w:eastAsiaTheme="minorEastAsia"/>
          <w:kern w:val="0"/>
          <w:sz w:val="24"/>
          <w:lang w:val="en-US" w:eastAsia="zh-CN"/>
        </w:rPr>
        <w:t>采用“厌氧发酵”工艺</w:t>
      </w:r>
      <w:r>
        <w:rPr>
          <w:rFonts w:hint="eastAsia" w:hAnsiTheme="minorEastAsia" w:eastAsiaTheme="minorEastAsia"/>
          <w:kern w:val="0"/>
          <w:sz w:val="24"/>
          <w:lang w:eastAsia="zh-CN"/>
        </w:rPr>
        <w:t>）</w:t>
      </w:r>
      <w:r>
        <w:rPr>
          <w:rFonts w:hint="default" w:hAnsiTheme="minorEastAsia" w:eastAsiaTheme="minorEastAsia"/>
          <w:kern w:val="0"/>
          <w:sz w:val="24"/>
        </w:rPr>
        <w:t>处理后</w:t>
      </w:r>
      <w:r>
        <w:rPr>
          <w:rFonts w:hint="eastAsia" w:hAnsiTheme="minorEastAsia" w:eastAsiaTheme="minorEastAsia"/>
          <w:kern w:val="0"/>
          <w:sz w:val="24"/>
          <w:lang w:val="en-US" w:eastAsia="zh-CN"/>
        </w:rPr>
        <w:t>用于</w:t>
      </w:r>
      <w:r>
        <w:rPr>
          <w:rFonts w:hint="default" w:hAnsiTheme="minorEastAsia" w:eastAsiaTheme="minorEastAsia"/>
          <w:kern w:val="0"/>
          <w:sz w:val="24"/>
        </w:rPr>
        <w:t>周边种植基地灌溉，不外排</w:t>
      </w:r>
      <w:r>
        <w:rPr>
          <w:rFonts w:ascii="Times New Roman" w:hAnsi="Times New Roman" w:cs="Times New Roman"/>
          <w:sz w:val="24"/>
        </w:rPr>
        <w:t>。</w:t>
      </w:r>
    </w:p>
    <w:p>
      <w:pPr>
        <w:pStyle w:val="5"/>
        <w:adjustRightInd w:val="0"/>
        <w:snapToGrid w:val="0"/>
        <w:spacing w:after="0" w:line="360" w:lineRule="auto"/>
        <w:ind w:firstLine="482" w:firstLineChars="200"/>
        <w:rPr>
          <w:rFonts w:ascii="Times New Roman" w:hAnsi="Times New Roman" w:cs="Times New Roman"/>
          <w:b/>
          <w:sz w:val="24"/>
        </w:rPr>
      </w:pPr>
      <w:r>
        <w:rPr>
          <w:rFonts w:hint="eastAsia" w:ascii="Times New Roman" w:hAnsi="Times New Roman" w:cs="Times New Roman"/>
          <w:b/>
          <w:sz w:val="24"/>
        </w:rPr>
        <w:t>3、供电工程</w:t>
      </w:r>
    </w:p>
    <w:p>
      <w:pPr>
        <w:pStyle w:val="5"/>
        <w:adjustRightInd w:val="0"/>
        <w:snapToGrid w:val="0"/>
        <w:spacing w:after="0" w:line="360" w:lineRule="auto"/>
        <w:ind w:firstLine="480" w:firstLineChars="200"/>
        <w:rPr>
          <w:rFonts w:ascii="Times New Roman" w:hAnsi="Times New Roman" w:cs="Times New Roman"/>
          <w:sz w:val="24"/>
        </w:rPr>
      </w:pPr>
      <w:r>
        <w:rPr>
          <w:rFonts w:hint="eastAsia" w:ascii="Times New Roman" w:hAnsi="Times New Roman" w:cs="Times New Roman"/>
          <w:sz w:val="24"/>
        </w:rPr>
        <w:t>全部用电引自附近变电所，场区内设变压器及配电柜向各用电单元供电。同时场区内配备柴油发电机2台，在停电的情况下使用。</w:t>
      </w:r>
    </w:p>
    <w:p>
      <w:pPr>
        <w:pStyle w:val="5"/>
        <w:adjustRightInd w:val="0"/>
        <w:snapToGrid w:val="0"/>
        <w:spacing w:after="0" w:line="360" w:lineRule="auto"/>
        <w:ind w:firstLine="482" w:firstLineChars="200"/>
        <w:rPr>
          <w:rFonts w:ascii="Times New Roman" w:hAnsi="Times New Roman" w:cs="Times New Roman"/>
          <w:b/>
          <w:sz w:val="24"/>
        </w:rPr>
      </w:pPr>
      <w:r>
        <w:rPr>
          <w:rFonts w:hint="eastAsia" w:ascii="Times New Roman" w:hAnsi="Times New Roman" w:cs="Times New Roman"/>
          <w:b/>
          <w:sz w:val="24"/>
        </w:rPr>
        <w:t>4、暖通</w:t>
      </w:r>
    </w:p>
    <w:p>
      <w:pPr>
        <w:pStyle w:val="5"/>
        <w:adjustRightInd w:val="0"/>
        <w:snapToGrid w:val="0"/>
        <w:spacing w:after="0" w:line="360" w:lineRule="auto"/>
        <w:ind w:firstLine="480" w:firstLineChars="200"/>
        <w:rPr>
          <w:rFonts w:ascii="Times New Roman" w:hAnsi="Times New Roman" w:cs="Times New Roman"/>
          <w:sz w:val="24"/>
        </w:rPr>
      </w:pPr>
      <w:r>
        <w:rPr>
          <w:rFonts w:hint="eastAsia" w:ascii="Times New Roman" w:hAnsi="Times New Roman" w:cs="Times New Roman"/>
          <w:sz w:val="24"/>
        </w:rPr>
        <w:t>高温季节对养鸡生产是一种威胁，炎热的夏季雨水多，湿度大，加之气温又高，风少，气压低，这对鸡群大的鸡舍，必然引来温度上升得快，闷热加剧的后果，使多数鸡食欲降低，为了降低鸡舍的温度，项目安装水帘空调降温设备，主要用于夏季降低鸡舍内的温度，其它季节产蛋舍主要通过风机控制鸡舍温度。</w:t>
      </w:r>
    </w:p>
    <w:p>
      <w:pPr>
        <w:pStyle w:val="5"/>
        <w:adjustRightInd w:val="0"/>
        <w:snapToGrid w:val="0"/>
        <w:spacing w:after="0" w:line="360" w:lineRule="auto"/>
        <w:ind w:firstLine="480" w:firstLineChars="200"/>
        <w:rPr>
          <w:rFonts w:hint="eastAsia" w:ascii="Times New Roman" w:hAnsi="Times New Roman" w:cs="Times New Roman" w:eastAsiaTheme="minorEastAsia"/>
          <w:sz w:val="24"/>
          <w:lang w:eastAsia="zh-CN"/>
        </w:rPr>
      </w:pPr>
      <w:r>
        <w:rPr>
          <w:rFonts w:hint="eastAsia" w:ascii="Times New Roman" w:hAnsi="Times New Roman" w:cs="Times New Roman"/>
          <w:sz w:val="24"/>
        </w:rPr>
        <w:t>鸡舍需保持一定的空气流通和湿度，项目采用风机+水帘的方式对鸡舍进行通风、加湿。在鸡舍墙壁预留通风孔，每栋鸡舍均安装有百叶风机、节能风机等，加速舍内气流的速度，带走鸡体表热量。当气温高于29℃，湿度在50%以上时，从早晨5点到夜间1点都需要降温，夜间鸡体温和气温的差异相对较大，可以缩短送风时间</w:t>
      </w:r>
      <w:r>
        <w:rPr>
          <w:rFonts w:hint="eastAsia" w:ascii="Times New Roman" w:hAnsi="Times New Roman" w:cs="Times New Roman"/>
          <w:sz w:val="24"/>
          <w:lang w:eastAsia="zh-CN"/>
        </w:rPr>
        <w:t>。</w:t>
      </w:r>
    </w:p>
    <w:p>
      <w:pPr>
        <w:pStyle w:val="5"/>
        <w:adjustRightInd w:val="0"/>
        <w:snapToGrid w:val="0"/>
        <w:spacing w:after="0" w:line="360" w:lineRule="auto"/>
        <w:ind w:firstLine="480" w:firstLineChars="200"/>
        <w:rPr>
          <w:rFonts w:ascii="Times New Roman" w:hAnsi="Times New Roman" w:cs="Times New Roman"/>
          <w:sz w:val="24"/>
        </w:rPr>
      </w:pPr>
      <w:r>
        <w:rPr>
          <w:rFonts w:hint="eastAsia" w:ascii="Times New Roman" w:hAnsi="Times New Roman" w:cs="Times New Roman"/>
          <w:sz w:val="24"/>
        </w:rPr>
        <w:t>水帘通风系统由低压大流量轴流风机、水循环系统及控制装置组成，风机抽风时，造成室内负压，迫使室外未饱和的空气流经湿帘多孔湿润表面，进而对鸡舍进行通风、加湿。夏季温度较高时，水分蒸发可吸收大量的潜热，可对鸡舍进行降温，保持鸡舍恒温恒湿的状态，达到通风、保湿、降温的效果。</w:t>
      </w:r>
    </w:p>
    <w:p>
      <w:pPr>
        <w:pStyle w:val="5"/>
        <w:ind w:firstLine="0" w:firstLineChars="0"/>
        <w:jc w:val="center"/>
        <w:rPr>
          <w:rFonts w:ascii="Times New Roman" w:hAnsi="Times New Roman" w:cs="Times New Roman"/>
        </w:rPr>
      </w:pPr>
      <w:r>
        <w:rPr>
          <w:rFonts w:ascii="Times New Roman" w:hAnsi="Times New Roman" w:cs="Times New Roman"/>
        </w:rPr>
        <w:drawing>
          <wp:inline distT="0" distB="0" distL="0" distR="0">
            <wp:extent cx="4889500" cy="1333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889500" cy="1333500"/>
                    </a:xfrm>
                    <a:prstGeom prst="rect">
                      <a:avLst/>
                    </a:prstGeom>
                    <a:noFill/>
                    <a:ln>
                      <a:noFill/>
                    </a:ln>
                  </pic:spPr>
                </pic:pic>
              </a:graphicData>
            </a:graphic>
          </wp:inline>
        </w:drawing>
      </w:r>
    </w:p>
    <w:p>
      <w:pPr>
        <w:pStyle w:val="17"/>
        <w:widowControl/>
        <w:spacing w:beforeLines="50"/>
        <w:rPr>
          <w:rFonts w:ascii="Times New Roman" w:hAnsi="Times New Roman" w:cs="Times New Roman"/>
          <w:b/>
          <w:bCs/>
          <w:color w:val="auto"/>
          <w:sz w:val="21"/>
          <w:szCs w:val="16"/>
        </w:rPr>
      </w:pPr>
      <w:r>
        <w:rPr>
          <w:rStyle w:val="91"/>
          <w:rFonts w:ascii="Times New Roman" w:hAnsi="Times New Roman" w:cs="Times New Roman"/>
          <w:b/>
          <w:bCs/>
          <w:color w:val="auto"/>
          <w:sz w:val="21"/>
          <w:szCs w:val="16"/>
        </w:rPr>
        <w:t xml:space="preserve">图3.1-1  </w:t>
      </w:r>
      <w:r>
        <w:rPr>
          <w:rFonts w:ascii="Times New Roman" w:hAnsi="Times New Roman" w:cs="Times New Roman"/>
          <w:b/>
          <w:bCs/>
          <w:color w:val="auto"/>
          <w:sz w:val="21"/>
          <w:szCs w:val="16"/>
        </w:rPr>
        <w:t>水帘通风系统示意图</w:t>
      </w:r>
    </w:p>
    <w:p>
      <w:pPr>
        <w:pStyle w:val="5"/>
        <w:adjustRightInd w:val="0"/>
        <w:snapToGrid w:val="0"/>
        <w:spacing w:after="0" w:line="360" w:lineRule="auto"/>
        <w:ind w:firstLine="482" w:firstLineChars="200"/>
        <w:rPr>
          <w:rFonts w:hint="eastAsia" w:ascii="Times New Roman" w:hAnsi="Times New Roman" w:cs="Times New Roman"/>
          <w:b/>
          <w:bCs/>
          <w:sz w:val="24"/>
        </w:rPr>
      </w:pPr>
      <w:r>
        <w:rPr>
          <w:rFonts w:hint="eastAsia" w:ascii="Times New Roman" w:hAnsi="Times New Roman" w:cs="Times New Roman"/>
          <w:b/>
          <w:bCs/>
          <w:sz w:val="24"/>
          <w:lang w:val="en-US" w:eastAsia="zh-CN"/>
        </w:rPr>
        <w:t>5</w:t>
      </w:r>
      <w:r>
        <w:rPr>
          <w:rFonts w:hint="eastAsia" w:ascii="Times New Roman" w:hAnsi="Times New Roman" w:cs="Times New Roman"/>
          <w:b/>
          <w:bCs/>
          <w:sz w:val="24"/>
        </w:rPr>
        <w:t>、消毒防疫系统</w:t>
      </w:r>
    </w:p>
    <w:p>
      <w:pPr>
        <w:pStyle w:val="5"/>
        <w:adjustRightInd w:val="0"/>
        <w:snapToGrid w:val="0"/>
        <w:spacing w:after="0"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日常消毒：项目厂区大门处设有消毒室、更衣室，进入养殖区设有消毒室和轮胎消毒池，场区严禁非生产人员出入，出入人员和车辆必须经消毒室或消毒池进行消毒，场区内每天早晚喷雾消毒一次。人员消毒溶液主要为过硫酸氢钾复合盐，消毒池使用聚维酮碘溶液和复方戌二醛溶液，为保证药液的有效，应15d更换一次药液，消毒池内仅进行消毒药液的更换和水量的补充，无废水外排。</w:t>
      </w:r>
    </w:p>
    <w:p>
      <w:pPr>
        <w:pStyle w:val="5"/>
        <w:adjustRightInd w:val="0"/>
        <w:snapToGrid w:val="0"/>
        <w:spacing w:after="0"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清舍消毒：一个饲养周期（约57周</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399天</w:t>
      </w:r>
      <w:r>
        <w:rPr>
          <w:rFonts w:hint="eastAsia" w:ascii="Times New Roman" w:hAnsi="Times New Roman" w:cs="Times New Roman"/>
          <w:sz w:val="24"/>
        </w:rPr>
        <w:t>）结束后，蛋鸡产蛋率降低，需全部淘汰，在购置新的蛋鸡前需要对鸡舍进行彻底消毒并停养</w:t>
      </w:r>
      <w:r>
        <w:rPr>
          <w:rFonts w:hint="eastAsia" w:ascii="Times New Roman" w:hAnsi="Times New Roman" w:cs="Times New Roman"/>
          <w:sz w:val="24"/>
          <w:lang w:val="en-US" w:eastAsia="zh-CN"/>
        </w:rPr>
        <w:t>1</w:t>
      </w:r>
      <w:r>
        <w:rPr>
          <w:rFonts w:hint="eastAsia" w:ascii="Times New Roman" w:hAnsi="Times New Roman" w:cs="Times New Roman"/>
          <w:sz w:val="24"/>
        </w:rPr>
        <w:t>个月，以保证购进的下一批鸡健康成长。清舍消毒过程为：首先对鸡舍进行彻底的清扫，并采用高压水枪对鸡舍地面及鸡笼、水槽、食槽等饲养设备进行彻底冲洗，冲洗废水经管道直接进入</w:t>
      </w:r>
      <w:r>
        <w:rPr>
          <w:rFonts w:hint="eastAsia" w:ascii="Times New Roman" w:hAnsi="Times New Roman" w:cs="Times New Roman"/>
          <w:sz w:val="24"/>
          <w:lang w:val="en-US" w:eastAsia="zh-CN"/>
        </w:rPr>
        <w:t>污水处理站</w:t>
      </w:r>
      <w:r>
        <w:rPr>
          <w:rFonts w:hint="eastAsia" w:ascii="Times New Roman" w:hAnsi="Times New Roman" w:cs="Times New Roman"/>
          <w:sz w:val="24"/>
        </w:rPr>
        <w:t>处理，冲洗后鸡舍喷洒消毒剂消毒，消毒后进行第二次地面冲洗，最后再用福尔马林溶液密闭熏蒸整个鸡舍48~72小时，然后打开门窗通风。</w:t>
      </w:r>
    </w:p>
    <w:p>
      <w:pPr>
        <w:pStyle w:val="5"/>
        <w:adjustRightInd w:val="0"/>
        <w:snapToGrid w:val="0"/>
        <w:spacing w:after="0"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鸡舍周围10m处设置挡鼠墙，挡鼠墙到鸡舍间以及鸡舍与鸡舍间的地面硬化处理，厂区所有对外开放的门口都要求安装挡鼠板，挡鼠板与墙体之间对接密闭无缝隙；水帘处安装纱网或初效过滤网，防止蚊蝇等进入鸡舍；切实做好鸡舍内外清洁卫生和消毒隔离工作，消除厂内卫生死角，病死鸡冷柜暂存后定期交由病死畜禽无害化单位处</w:t>
      </w:r>
      <w:r>
        <w:rPr>
          <w:rFonts w:hint="eastAsia" w:ascii="Times New Roman" w:hAnsi="Times New Roman" w:cs="Times New Roman"/>
          <w:sz w:val="24"/>
          <w:lang w:val="en-US" w:eastAsia="zh-CN"/>
        </w:rPr>
        <w:t>理</w:t>
      </w:r>
      <w:r>
        <w:rPr>
          <w:rFonts w:hint="eastAsia" w:ascii="Times New Roman" w:hAnsi="Times New Roman" w:cs="Times New Roman"/>
          <w:sz w:val="24"/>
        </w:rPr>
        <w:t>；药物防治选用合适的药物、合适的剂量，采取正确的投药方式进行治疗，不随意加大或减小用量以及滥用药物。</w:t>
      </w:r>
    </w:p>
    <w:p>
      <w:pPr>
        <w:pStyle w:val="5"/>
        <w:adjustRightInd w:val="0"/>
        <w:snapToGrid w:val="0"/>
        <w:spacing w:after="0" w:line="360" w:lineRule="auto"/>
        <w:ind w:firstLine="480" w:firstLineChars="200"/>
        <w:rPr>
          <w:rFonts w:hint="eastAsia" w:ascii="Times New Roman" w:hAnsi="Times New Roman" w:cs="Times New Roman"/>
          <w:sz w:val="24"/>
          <w:lang w:eastAsia="zh-CN"/>
        </w:rPr>
      </w:pPr>
      <w:r>
        <w:rPr>
          <w:rFonts w:hint="eastAsia" w:ascii="Times New Roman" w:hAnsi="Times New Roman" w:cs="Times New Roman"/>
          <w:sz w:val="24"/>
        </w:rPr>
        <w:t>一旦发生可疑病情，立即采取隔离措施，并及时采取药物治疗或紧急接种。确诊发生高致病性禽流感时，积极配合当地畜牧兽医行政管理部门，对集群采取实施严格的隔离、扑杀措施</w:t>
      </w:r>
      <w:r>
        <w:rPr>
          <w:rFonts w:hint="eastAsia" w:ascii="Times New Roman" w:hAnsi="Times New Roman" w:cs="Times New Roman"/>
          <w:sz w:val="24"/>
          <w:lang w:eastAsia="zh-CN"/>
        </w:rPr>
        <w:t>。</w:t>
      </w:r>
      <w:r>
        <w:rPr>
          <w:rFonts w:eastAsiaTheme="minorEastAsia"/>
          <w:sz w:val="24"/>
        </w:rPr>
        <w:t>项目</w:t>
      </w:r>
      <w:r>
        <w:rPr>
          <w:rFonts w:hint="eastAsia"/>
          <w:sz w:val="24"/>
          <w:lang w:val="en-US" w:eastAsia="zh-CN"/>
        </w:rPr>
        <w:t>场</w:t>
      </w:r>
      <w:r>
        <w:rPr>
          <w:rFonts w:eastAsiaTheme="minorEastAsia"/>
          <w:sz w:val="24"/>
        </w:rPr>
        <w:t>内不进行病死鸡的屠宰。</w:t>
      </w:r>
    </w:p>
    <w:p>
      <w:pPr>
        <w:pStyle w:val="5"/>
        <w:adjustRightInd w:val="0"/>
        <w:snapToGrid w:val="0"/>
        <w:spacing w:after="0" w:line="360" w:lineRule="auto"/>
        <w:ind w:firstLine="482" w:firstLineChars="200"/>
        <w:rPr>
          <w:rFonts w:hint="eastAsia" w:ascii="Times New Roman" w:hAnsi="Times New Roman" w:cs="Times New Roman"/>
          <w:b/>
          <w:bCs/>
          <w:sz w:val="24"/>
        </w:rPr>
      </w:pPr>
      <w:r>
        <w:rPr>
          <w:rFonts w:hint="eastAsia" w:ascii="Times New Roman" w:hAnsi="Times New Roman" w:cs="Times New Roman"/>
          <w:b/>
          <w:bCs/>
          <w:sz w:val="24"/>
          <w:lang w:val="en-US" w:eastAsia="zh-CN"/>
        </w:rPr>
        <w:t>6</w:t>
      </w:r>
      <w:r>
        <w:rPr>
          <w:rFonts w:hint="eastAsia" w:ascii="Times New Roman" w:hAnsi="Times New Roman" w:cs="Times New Roman"/>
          <w:b/>
          <w:bCs/>
          <w:sz w:val="24"/>
        </w:rPr>
        <w:t>、</w:t>
      </w:r>
      <w:r>
        <w:rPr>
          <w:rFonts w:hint="eastAsia" w:ascii="Times New Roman" w:hAnsi="Times New Roman" w:cs="Times New Roman"/>
          <w:b/>
          <w:bCs/>
          <w:sz w:val="24"/>
          <w:lang w:val="en-US" w:eastAsia="zh-CN"/>
        </w:rPr>
        <w:t>运输</w:t>
      </w:r>
      <w:r>
        <w:rPr>
          <w:rFonts w:hint="eastAsia" w:ascii="Times New Roman" w:hAnsi="Times New Roman" w:cs="Times New Roman"/>
          <w:b/>
          <w:bCs/>
          <w:sz w:val="24"/>
        </w:rPr>
        <w:t>系统</w:t>
      </w:r>
    </w:p>
    <w:p>
      <w:pPr>
        <w:pStyle w:val="5"/>
        <w:adjustRightInd w:val="0"/>
        <w:snapToGrid w:val="0"/>
        <w:spacing w:after="0"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fldChar w:fldCharType="begin"/>
      </w:r>
      <w:r>
        <w:rPr>
          <w:rFonts w:hint="eastAsia" w:ascii="Times New Roman" w:hAnsi="Times New Roman" w:cs="Times New Roman"/>
          <w:sz w:val="24"/>
        </w:rPr>
        <w:instrText xml:space="preserve"> = 1 \* GB3 </w:instrText>
      </w:r>
      <w:r>
        <w:rPr>
          <w:rFonts w:hint="eastAsia" w:ascii="Times New Roman" w:hAnsi="Times New Roman" w:cs="Times New Roman"/>
          <w:sz w:val="24"/>
        </w:rPr>
        <w:fldChar w:fldCharType="separate"/>
      </w:r>
      <w:r>
        <w:rPr>
          <w:rFonts w:hint="eastAsia" w:ascii="Times New Roman" w:hAnsi="Times New Roman" w:cs="Times New Roman"/>
          <w:sz w:val="24"/>
        </w:rPr>
        <w:t>①</w:t>
      </w:r>
      <w:r>
        <w:rPr>
          <w:rFonts w:hint="eastAsia" w:ascii="Times New Roman" w:hAnsi="Times New Roman" w:cs="Times New Roman"/>
          <w:sz w:val="24"/>
        </w:rPr>
        <w:fldChar w:fldCharType="end"/>
      </w:r>
      <w:r>
        <w:rPr>
          <w:rFonts w:hint="eastAsia" w:ascii="Times New Roman" w:hAnsi="Times New Roman" w:cs="Times New Roman"/>
          <w:sz w:val="24"/>
        </w:rPr>
        <w:t>饲料运输系统：</w:t>
      </w:r>
    </w:p>
    <w:p>
      <w:pPr>
        <w:pStyle w:val="5"/>
        <w:adjustRightInd w:val="0"/>
        <w:snapToGrid w:val="0"/>
        <w:spacing w:after="0"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饲料由料罐车配送，料罐车负责从饲料厂向养鸡场料塔之间的饲料运输。该料罐车进行消毒程序后方可进入养殖区。饲料通过料罐车的输料臂直接输入养殖区料塔内，不再另行加工。</w:t>
      </w:r>
    </w:p>
    <w:p>
      <w:pPr>
        <w:pStyle w:val="5"/>
        <w:adjustRightInd w:val="0"/>
        <w:snapToGrid w:val="0"/>
        <w:spacing w:after="0"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fldChar w:fldCharType="begin"/>
      </w:r>
      <w:r>
        <w:rPr>
          <w:rFonts w:hint="eastAsia" w:ascii="Times New Roman" w:hAnsi="Times New Roman" w:cs="Times New Roman"/>
          <w:sz w:val="24"/>
        </w:rPr>
        <w:instrText xml:space="preserve"> = 2 \* GB3 </w:instrText>
      </w:r>
      <w:r>
        <w:rPr>
          <w:rFonts w:hint="eastAsia" w:ascii="Times New Roman" w:hAnsi="Times New Roman" w:cs="Times New Roman"/>
          <w:sz w:val="24"/>
        </w:rPr>
        <w:fldChar w:fldCharType="separate"/>
      </w:r>
      <w:r>
        <w:rPr>
          <w:rFonts w:hint="eastAsia" w:ascii="Times New Roman" w:hAnsi="Times New Roman" w:cs="Times New Roman"/>
          <w:sz w:val="24"/>
        </w:rPr>
        <w:t>②</w:t>
      </w:r>
      <w:r>
        <w:rPr>
          <w:rFonts w:hint="eastAsia" w:ascii="Times New Roman" w:hAnsi="Times New Roman" w:cs="Times New Roman"/>
          <w:sz w:val="24"/>
        </w:rPr>
        <w:fldChar w:fldCharType="end"/>
      </w:r>
      <w:r>
        <w:rPr>
          <w:rFonts w:hint="eastAsia" w:ascii="Times New Roman" w:hAnsi="Times New Roman" w:cs="Times New Roman"/>
          <w:sz w:val="24"/>
        </w:rPr>
        <w:t>产品运输系统：</w:t>
      </w:r>
    </w:p>
    <w:p>
      <w:pPr>
        <w:pStyle w:val="5"/>
        <w:adjustRightInd w:val="0"/>
        <w:snapToGrid w:val="0"/>
        <w:spacing w:after="0"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t>项目鸡蛋、鸡粪的运输均采用公路运输方式，其中蛋库鸡蛋运输每日1至2次。鸡粪日产日清。</w:t>
      </w:r>
    </w:p>
    <w:p>
      <w:pPr>
        <w:pStyle w:val="5"/>
        <w:adjustRightInd w:val="0"/>
        <w:snapToGrid w:val="0"/>
        <w:spacing w:after="0" w:line="360" w:lineRule="auto"/>
        <w:ind w:firstLine="480" w:firstLineChars="200"/>
        <w:rPr>
          <w:rFonts w:hint="eastAsia" w:ascii="Times New Roman" w:hAnsi="Times New Roman" w:cs="Times New Roman"/>
          <w:sz w:val="24"/>
        </w:rPr>
      </w:pPr>
      <w:r>
        <w:rPr>
          <w:rFonts w:hint="eastAsia" w:ascii="Times New Roman" w:hAnsi="Times New Roman" w:cs="Times New Roman"/>
          <w:sz w:val="24"/>
        </w:rPr>
        <w:fldChar w:fldCharType="begin"/>
      </w:r>
      <w:r>
        <w:rPr>
          <w:rFonts w:hint="eastAsia" w:ascii="Times New Roman" w:hAnsi="Times New Roman" w:cs="Times New Roman"/>
          <w:sz w:val="24"/>
        </w:rPr>
        <w:instrText xml:space="preserve"> = 3 \* GB3 </w:instrText>
      </w:r>
      <w:r>
        <w:rPr>
          <w:rFonts w:hint="eastAsia" w:ascii="Times New Roman" w:hAnsi="Times New Roman" w:cs="Times New Roman"/>
          <w:sz w:val="24"/>
        </w:rPr>
        <w:fldChar w:fldCharType="separate"/>
      </w:r>
      <w:r>
        <w:rPr>
          <w:rFonts w:hint="eastAsia" w:ascii="Times New Roman" w:hAnsi="Times New Roman" w:cs="Times New Roman"/>
          <w:sz w:val="24"/>
        </w:rPr>
        <w:t>③</w:t>
      </w:r>
      <w:r>
        <w:rPr>
          <w:rFonts w:hint="eastAsia" w:ascii="Times New Roman" w:hAnsi="Times New Roman" w:cs="Times New Roman"/>
          <w:sz w:val="24"/>
        </w:rPr>
        <w:fldChar w:fldCharType="end"/>
      </w:r>
      <w:r>
        <w:rPr>
          <w:rFonts w:hint="eastAsia" w:ascii="Times New Roman" w:hAnsi="Times New Roman" w:cs="Times New Roman"/>
          <w:sz w:val="24"/>
        </w:rPr>
        <w:t>病死鸡运输系统</w:t>
      </w:r>
    </w:p>
    <w:p>
      <w:pPr>
        <w:pStyle w:val="5"/>
        <w:adjustRightInd w:val="0"/>
        <w:snapToGrid w:val="0"/>
        <w:spacing w:after="0" w:line="360" w:lineRule="auto"/>
        <w:ind w:firstLine="480" w:firstLineChars="200"/>
        <w:rPr>
          <w:rFonts w:hint="eastAsia" w:ascii="Times New Roman" w:hAnsi="Times New Roman" w:cs="Times New Roman"/>
          <w:sz w:val="24"/>
          <w:lang w:eastAsia="zh-CN"/>
        </w:rPr>
      </w:pPr>
      <w:r>
        <w:rPr>
          <w:rFonts w:hint="eastAsia"/>
          <w:sz w:val="24"/>
        </w:rPr>
        <w:t>环评要求严禁随意丢弃病死鸡，严禁出售或作为饲料再利用，严禁食用病死鸡</w:t>
      </w:r>
      <w:r>
        <w:rPr>
          <w:rFonts w:hint="eastAsia"/>
          <w:sz w:val="24"/>
          <w:lang w:eastAsia="zh-CN"/>
        </w:rPr>
        <w:t>。</w:t>
      </w:r>
      <w:r>
        <w:rPr>
          <w:rFonts w:hint="eastAsia" w:ascii="Times New Roman" w:hAnsi="Times New Roman" w:cs="Times New Roman"/>
          <w:sz w:val="24"/>
          <w:lang w:eastAsia="zh-CN"/>
        </w:rPr>
        <w:t>病死鸡冷柜暂存后定期交由病死畜禽无害化单位处理。</w:t>
      </w:r>
    </w:p>
    <w:p>
      <w:pPr>
        <w:pStyle w:val="7"/>
        <w:adjustRightInd w:val="0"/>
        <w:snapToGrid w:val="0"/>
        <w:spacing w:before="0" w:after="0" w:line="360" w:lineRule="auto"/>
        <w:jc w:val="left"/>
        <w:rPr>
          <w:sz w:val="24"/>
          <w:szCs w:val="24"/>
        </w:rPr>
      </w:pPr>
      <w:r>
        <w:rPr>
          <w:sz w:val="24"/>
          <w:szCs w:val="24"/>
        </w:rPr>
        <w:t>3.</w:t>
      </w:r>
      <w:r>
        <w:rPr>
          <w:rFonts w:hint="eastAsia"/>
          <w:sz w:val="24"/>
          <w:szCs w:val="24"/>
        </w:rPr>
        <w:t>1.6 厂区总平面布置合理性</w:t>
      </w:r>
    </w:p>
    <w:p>
      <w:pPr>
        <w:pStyle w:val="215"/>
        <w:rPr>
          <w:rFonts w:hint="eastAsia"/>
          <w:b/>
          <w:bCs/>
          <w:color w:val="FF0000"/>
          <w:u w:val="wave"/>
          <w:lang w:val="en-US" w:eastAsia="zh-CN"/>
        </w:rPr>
      </w:pPr>
      <w:r>
        <w:rPr>
          <w:rFonts w:hint="eastAsia"/>
          <w:b/>
          <w:bCs/>
          <w:color w:val="FF0000"/>
          <w:u w:val="wave"/>
          <w:lang w:val="en-US" w:eastAsia="zh-CN"/>
        </w:rPr>
        <w:t>1、总平面布置的原则</w:t>
      </w:r>
    </w:p>
    <w:p>
      <w:pPr>
        <w:pStyle w:val="215"/>
        <w:rPr>
          <w:rFonts w:hint="eastAsia"/>
          <w:color w:val="FF0000"/>
          <w:u w:val="wave"/>
        </w:rPr>
      </w:pPr>
      <w:r>
        <w:rPr>
          <w:rFonts w:hint="eastAsia"/>
          <w:color w:val="FF0000"/>
          <w:u w:val="wave"/>
        </w:rPr>
        <w:t>畜禽养殖场的建设</w:t>
      </w:r>
      <w:r>
        <w:rPr>
          <w:rFonts w:hint="eastAsia"/>
          <w:color w:val="FF0000"/>
          <w:u w:val="wave"/>
          <w:lang w:val="en-US" w:eastAsia="zh-CN"/>
        </w:rPr>
        <w:t>应</w:t>
      </w:r>
      <w:r>
        <w:rPr>
          <w:rFonts w:hint="eastAsia"/>
          <w:color w:val="FF0000"/>
          <w:u w:val="wave"/>
        </w:rPr>
        <w:t>做到功能分区明确合理，保证项目内物料运输距离短捷顺畅，干净道和污染道尽量不交叉，搞好绿化工作，使养殖场内部环境优美，空气清新，有利于人畜生活</w:t>
      </w:r>
      <w:r>
        <w:rPr>
          <w:rFonts w:hint="eastAsia"/>
          <w:color w:val="FF0000"/>
          <w:u w:val="wave"/>
          <w:lang w:eastAsia="zh-CN"/>
        </w:rPr>
        <w:t>。</w:t>
      </w:r>
      <w:r>
        <w:rPr>
          <w:rFonts w:hint="eastAsia"/>
          <w:color w:val="FF0000"/>
          <w:u w:val="wave"/>
        </w:rPr>
        <w:t>项目平面布置能满足《畜禽养殖业污染防治技术规范》（HJ/T81-2001）的要求。</w:t>
      </w:r>
    </w:p>
    <w:p>
      <w:pPr>
        <w:pStyle w:val="215"/>
        <w:rPr>
          <w:rFonts w:hint="default"/>
          <w:b/>
          <w:bCs/>
          <w:color w:val="FF0000"/>
          <w:u w:val="wave"/>
          <w:lang w:val="en-US" w:eastAsia="zh-CN"/>
        </w:rPr>
      </w:pPr>
      <w:r>
        <w:rPr>
          <w:rFonts w:hint="eastAsia"/>
          <w:b/>
          <w:bCs/>
          <w:color w:val="FF0000"/>
          <w:u w:val="wave"/>
          <w:lang w:val="en-US" w:eastAsia="zh-CN"/>
        </w:rPr>
        <w:t>2、平面布置</w:t>
      </w:r>
    </w:p>
    <w:p>
      <w:pPr>
        <w:pStyle w:val="215"/>
        <w:rPr>
          <w:color w:val="FF0000"/>
          <w:u w:val="wave"/>
        </w:rPr>
      </w:pPr>
      <w:r>
        <w:rPr>
          <w:rFonts w:hint="eastAsia"/>
          <w:color w:val="FF0000"/>
          <w:u w:val="wave"/>
        </w:rPr>
        <w:t>《畜禽养殖业污染防治技术规范》（HJ/T81-2001）第四条规定：新建、改建、扩建的畜禽养殖场应实现生产区、生活管理区的隔离，粪便污水处理设施和禽畜尸体焚烧炉，应设在养殖场的生产区、生活管理区的常年主导风向的下风向或侧风向处。</w:t>
      </w:r>
    </w:p>
    <w:p>
      <w:pPr>
        <w:pStyle w:val="215"/>
        <w:rPr>
          <w:rFonts w:hint="eastAsia" w:eastAsia="宋体"/>
          <w:color w:val="FF0000"/>
          <w:u w:val="wave"/>
          <w:lang w:eastAsia="zh-CN"/>
        </w:rPr>
      </w:pPr>
      <w:r>
        <w:rPr>
          <w:rFonts w:hint="eastAsia"/>
          <w:color w:val="FF0000"/>
          <w:u w:val="wave"/>
        </w:rPr>
        <w:t>本项目总体布局按照功能分区布置的原则，出入口位于厂区东侧，</w:t>
      </w:r>
      <w:r>
        <w:rPr>
          <w:color w:val="FF0000"/>
          <w:u w:val="wave"/>
        </w:rPr>
        <w:t>厂区大门处设有消毒室、更衣室，出入人员必须经超声波雾化人员通道消毒仪进行消毒，消毒液使用过硫酸氢钾复合盐溶液</w:t>
      </w:r>
      <w:r>
        <w:rPr>
          <w:rFonts w:hint="eastAsia"/>
          <w:color w:val="FF0000"/>
          <w:u w:val="wave"/>
          <w:lang w:eastAsia="zh-CN"/>
        </w:rPr>
        <w:t>。</w:t>
      </w:r>
      <w:r>
        <w:rPr>
          <w:rFonts w:hint="eastAsia"/>
          <w:color w:val="FF0000"/>
          <w:u w:val="wave"/>
        </w:rPr>
        <w:t>中央集蛋库、员工宿舍楼、</w:t>
      </w:r>
      <w:r>
        <w:rPr>
          <w:rFonts w:hint="eastAsia"/>
          <w:color w:val="FF0000"/>
          <w:u w:val="wave"/>
          <w:lang w:val="en-US" w:eastAsia="zh-CN"/>
        </w:rPr>
        <w:t>食堂、</w:t>
      </w:r>
      <w:r>
        <w:rPr>
          <w:rFonts w:hint="eastAsia"/>
          <w:color w:val="FF0000"/>
          <w:u w:val="wave"/>
        </w:rPr>
        <w:t>蓄水池位于厂区中央，</w:t>
      </w:r>
      <w:r>
        <w:rPr>
          <w:rFonts w:hint="eastAsia"/>
          <w:color w:val="FF0000"/>
          <w:u w:val="wave"/>
          <w:lang w:val="en-US" w:eastAsia="zh-CN"/>
        </w:rPr>
        <w:t>东、南场各设置3</w:t>
      </w:r>
      <w:r>
        <w:rPr>
          <w:rFonts w:hint="eastAsia"/>
          <w:color w:val="FF0000"/>
          <w:u w:val="wave"/>
        </w:rPr>
        <w:t>栋鸡舍</w:t>
      </w:r>
      <w:r>
        <w:rPr>
          <w:rFonts w:hint="eastAsia"/>
          <w:color w:val="FF0000"/>
          <w:u w:val="wave"/>
          <w:lang w:val="en-US" w:eastAsia="zh-CN"/>
        </w:rPr>
        <w:t>和1栋鸡粪收集室</w:t>
      </w:r>
      <w:r>
        <w:rPr>
          <w:rFonts w:hint="eastAsia"/>
          <w:color w:val="FF0000"/>
          <w:u w:val="wave"/>
        </w:rPr>
        <w:t>，鸡舍与宿舍间隔有道路和绿化带，减少鸡舍恶臭和噪声对员工的影响。</w:t>
      </w:r>
      <w:r>
        <w:rPr>
          <w:color w:val="FF0000"/>
          <w:u w:val="wave"/>
        </w:rPr>
        <w:t>各功能区界限分明，联系方便</w:t>
      </w:r>
      <w:r>
        <w:rPr>
          <w:rFonts w:hint="eastAsia"/>
          <w:color w:val="FF0000"/>
          <w:u w:val="wave"/>
          <w:lang w:eastAsia="zh-CN"/>
        </w:rPr>
        <w:t>。</w:t>
      </w:r>
    </w:p>
    <w:p>
      <w:pPr>
        <w:pStyle w:val="215"/>
        <w:rPr>
          <w:rFonts w:hint="default" w:eastAsia="宋体"/>
          <w:color w:val="FF0000"/>
          <w:u w:val="wave"/>
          <w:lang w:val="en-US" w:eastAsia="zh-CN"/>
        </w:rPr>
      </w:pPr>
      <w:r>
        <w:rPr>
          <w:rFonts w:hint="eastAsia"/>
          <w:color w:val="FF0000"/>
          <w:u w:val="wave"/>
          <w:lang w:eastAsia="zh-CN"/>
        </w:rPr>
        <w:t>（</w:t>
      </w:r>
      <w:r>
        <w:rPr>
          <w:rFonts w:hint="eastAsia"/>
          <w:color w:val="FF0000"/>
          <w:u w:val="wave"/>
          <w:lang w:val="en-US" w:eastAsia="zh-CN"/>
        </w:rPr>
        <w:t>1</w:t>
      </w:r>
      <w:r>
        <w:rPr>
          <w:rFonts w:hint="eastAsia"/>
          <w:color w:val="FF0000"/>
          <w:u w:val="wave"/>
          <w:lang w:eastAsia="zh-CN"/>
        </w:rPr>
        <w:t>）</w:t>
      </w:r>
      <w:r>
        <w:rPr>
          <w:rFonts w:hint="eastAsia"/>
          <w:color w:val="FF0000"/>
          <w:u w:val="wave"/>
          <w:lang w:val="en-US" w:eastAsia="zh-CN"/>
        </w:rPr>
        <w:t>生活管理区</w:t>
      </w:r>
    </w:p>
    <w:p>
      <w:pPr>
        <w:pStyle w:val="215"/>
        <w:rPr>
          <w:rFonts w:hint="eastAsia" w:eastAsia="宋体"/>
          <w:color w:val="FF0000"/>
          <w:u w:val="wave"/>
          <w:lang w:eastAsia="zh-CN"/>
        </w:rPr>
      </w:pPr>
      <w:r>
        <w:rPr>
          <w:color w:val="FF0000"/>
          <w:u w:val="wave"/>
        </w:rPr>
        <w:t>项目生活区位于养殖场</w:t>
      </w:r>
      <w:r>
        <w:rPr>
          <w:rFonts w:hint="eastAsia"/>
          <w:color w:val="FF0000"/>
          <w:u w:val="wave"/>
          <w:lang w:val="en-US" w:eastAsia="zh-CN"/>
        </w:rPr>
        <w:t>中部和东南角</w:t>
      </w:r>
      <w:r>
        <w:rPr>
          <w:color w:val="FF0000"/>
          <w:u w:val="wave"/>
        </w:rPr>
        <w:t>，主要为</w:t>
      </w:r>
      <w:r>
        <w:rPr>
          <w:rFonts w:hint="eastAsia"/>
          <w:color w:val="FF0000"/>
          <w:u w:val="wave"/>
          <w:lang w:val="en-US" w:eastAsia="zh-CN"/>
        </w:rPr>
        <w:t>2</w:t>
      </w:r>
      <w:r>
        <w:rPr>
          <w:color w:val="FF0000"/>
          <w:u w:val="wave"/>
        </w:rPr>
        <w:t>栋</w:t>
      </w:r>
      <w:r>
        <w:rPr>
          <w:rFonts w:hint="eastAsia"/>
          <w:color w:val="FF0000"/>
          <w:u w:val="wave"/>
        </w:rPr>
        <w:t>员工宿舍楼</w:t>
      </w:r>
      <w:r>
        <w:rPr>
          <w:rFonts w:hint="eastAsia"/>
          <w:color w:val="FF0000"/>
          <w:u w:val="wave"/>
          <w:lang w:eastAsia="zh-CN"/>
        </w:rPr>
        <w:t>、</w:t>
      </w:r>
      <w:r>
        <w:rPr>
          <w:rFonts w:hint="eastAsia"/>
          <w:color w:val="FF0000"/>
          <w:u w:val="wave"/>
          <w:lang w:val="en-US" w:eastAsia="zh-CN"/>
        </w:rPr>
        <w:t>1栋食堂</w:t>
      </w:r>
      <w:r>
        <w:rPr>
          <w:color w:val="FF0000"/>
          <w:u w:val="wave"/>
        </w:rPr>
        <w:t>。</w:t>
      </w:r>
      <w:r>
        <w:rPr>
          <w:rFonts w:hint="eastAsia"/>
          <w:color w:val="FF0000"/>
          <w:u w:val="wave"/>
        </w:rPr>
        <w:t>鸡舍与宿舍间隔有道路和绿化带，减少鸡舍恶臭和噪声对员工的影响</w:t>
      </w:r>
      <w:r>
        <w:rPr>
          <w:rFonts w:hint="eastAsia"/>
          <w:color w:val="FF0000"/>
          <w:u w:val="wave"/>
          <w:lang w:eastAsia="zh-CN"/>
        </w:rPr>
        <w:t>。</w:t>
      </w:r>
    </w:p>
    <w:p>
      <w:pPr>
        <w:pStyle w:val="215"/>
        <w:rPr>
          <w:rFonts w:hint="eastAsia" w:ascii="Times New Roman" w:hAnsi="Times New Roman" w:eastAsia="宋体" w:cs="Times New Roman"/>
          <w:color w:val="FF0000"/>
          <w:u w:val="wave"/>
          <w:lang w:eastAsia="zh-CN"/>
        </w:rPr>
      </w:pPr>
      <w:r>
        <w:rPr>
          <w:rFonts w:hint="eastAsia" w:ascii="Times New Roman" w:hAnsi="Times New Roman" w:eastAsia="宋体" w:cs="Times New Roman"/>
          <w:color w:val="FF0000"/>
          <w:u w:val="wave"/>
          <w:lang w:eastAsia="zh-CN"/>
        </w:rPr>
        <w:t>（</w:t>
      </w:r>
      <w:r>
        <w:rPr>
          <w:rFonts w:hint="eastAsia" w:ascii="Times New Roman" w:hAnsi="Times New Roman" w:eastAsia="宋体" w:cs="Times New Roman"/>
          <w:color w:val="FF0000"/>
          <w:u w:val="wave"/>
          <w:lang w:val="en-US" w:eastAsia="zh-CN"/>
        </w:rPr>
        <w:t>2</w:t>
      </w:r>
      <w:r>
        <w:rPr>
          <w:rFonts w:hint="eastAsia" w:ascii="Times New Roman" w:hAnsi="Times New Roman" w:eastAsia="宋体" w:cs="Times New Roman"/>
          <w:color w:val="FF0000"/>
          <w:u w:val="wave"/>
          <w:lang w:eastAsia="zh-CN"/>
        </w:rPr>
        <w:t>）蛋库</w:t>
      </w:r>
    </w:p>
    <w:p>
      <w:pPr>
        <w:pStyle w:val="215"/>
        <w:rPr>
          <w:rFonts w:hint="eastAsia"/>
          <w:color w:val="FF0000"/>
          <w:u w:val="wave"/>
          <w:lang w:eastAsia="zh-CN"/>
        </w:rPr>
      </w:pPr>
      <w:r>
        <w:rPr>
          <w:bCs/>
          <w:color w:val="FF0000"/>
          <w:u w:val="wave"/>
        </w:rPr>
        <w:t>位于场区中部，</w:t>
      </w:r>
      <w:r>
        <w:rPr>
          <w:rFonts w:hint="eastAsia"/>
          <w:color w:val="FF0000"/>
          <w:u w:val="wave"/>
        </w:rPr>
        <w:t>设置</w:t>
      </w:r>
      <w:r>
        <w:rPr>
          <w:rFonts w:hint="eastAsia"/>
          <w:color w:val="FF0000"/>
          <w:u w:val="wave"/>
          <w:lang w:val="en-US" w:eastAsia="zh-CN"/>
        </w:rPr>
        <w:t>1</w:t>
      </w:r>
      <w:r>
        <w:rPr>
          <w:rFonts w:hint="eastAsia"/>
          <w:color w:val="FF0000"/>
          <w:u w:val="wave"/>
        </w:rPr>
        <w:t>座蛋库</w:t>
      </w:r>
      <w:r>
        <w:rPr>
          <w:color w:val="FF0000"/>
          <w:u w:val="wave"/>
        </w:rPr>
        <w:t>，用于鸡蛋的包装和储存，与鸡舍之间通过运输带连接，避免人员出入对养殖区产生影响且便于鸡蛋的运输。</w:t>
      </w:r>
    </w:p>
    <w:p>
      <w:pPr>
        <w:pStyle w:val="215"/>
        <w:rPr>
          <w:rFonts w:hint="eastAsia"/>
          <w:color w:val="FF0000"/>
          <w:u w:val="wave"/>
          <w:lang w:val="en-US" w:eastAsia="zh-CN"/>
        </w:rPr>
      </w:pPr>
      <w:r>
        <w:rPr>
          <w:rFonts w:hint="eastAsia"/>
          <w:color w:val="FF0000"/>
          <w:u w:val="wave"/>
          <w:lang w:eastAsia="zh-CN"/>
        </w:rPr>
        <w:t>（</w:t>
      </w:r>
      <w:r>
        <w:rPr>
          <w:rFonts w:hint="eastAsia"/>
          <w:color w:val="FF0000"/>
          <w:u w:val="wave"/>
          <w:lang w:val="en-US" w:eastAsia="zh-CN"/>
        </w:rPr>
        <w:t>3</w:t>
      </w:r>
      <w:r>
        <w:rPr>
          <w:rFonts w:hint="eastAsia"/>
          <w:color w:val="FF0000"/>
          <w:u w:val="wave"/>
          <w:lang w:eastAsia="zh-CN"/>
        </w:rPr>
        <w:t>）</w:t>
      </w:r>
      <w:r>
        <w:rPr>
          <w:rFonts w:hint="eastAsia"/>
          <w:color w:val="FF0000"/>
          <w:u w:val="wave"/>
          <w:lang w:val="en-US" w:eastAsia="zh-CN"/>
        </w:rPr>
        <w:t>鸡舍</w:t>
      </w:r>
    </w:p>
    <w:p>
      <w:pPr>
        <w:pStyle w:val="215"/>
        <w:rPr>
          <w:rFonts w:hint="eastAsia"/>
          <w:color w:val="FF0000"/>
          <w:u w:val="wave"/>
          <w:lang w:val="en-US" w:eastAsia="zh-CN"/>
        </w:rPr>
      </w:pPr>
      <w:r>
        <w:rPr>
          <w:rFonts w:hint="eastAsia"/>
          <w:color w:val="FF0000"/>
          <w:u w:val="wave"/>
          <w:lang w:val="en-US" w:eastAsia="zh-CN"/>
        </w:rPr>
        <w:t>东、南场各设置3</w:t>
      </w:r>
      <w:r>
        <w:rPr>
          <w:rFonts w:hint="eastAsia"/>
          <w:color w:val="FF0000"/>
          <w:u w:val="wave"/>
        </w:rPr>
        <w:t>栋鸡舍</w:t>
      </w:r>
      <w:r>
        <w:rPr>
          <w:color w:val="FF0000"/>
          <w:u w:val="wave"/>
        </w:rPr>
        <w:t>，每两座鸡舍之间保持适当的距离（</w:t>
      </w:r>
      <w:r>
        <w:rPr>
          <w:rFonts w:hint="eastAsia"/>
          <w:color w:val="FF0000"/>
          <w:u w:val="wave"/>
        </w:rPr>
        <w:t>1</w:t>
      </w:r>
      <w:r>
        <w:rPr>
          <w:rFonts w:hint="eastAsia"/>
          <w:color w:val="FF0000"/>
          <w:u w:val="wave"/>
          <w:lang w:val="en-US" w:eastAsia="zh-CN"/>
        </w:rPr>
        <w:t>2</w:t>
      </w:r>
      <w:r>
        <w:rPr>
          <w:color w:val="FF0000"/>
          <w:u w:val="wave"/>
        </w:rPr>
        <w:t>米），布局整齐，便于通风、防疫。鸡舍安装有行车喂料层叠式一体化自动饲养设备，鸡床鸡圈设有适宜的坡度，一般为1~2%。</w:t>
      </w:r>
      <w:r>
        <w:rPr>
          <w:rFonts w:hint="eastAsia"/>
          <w:color w:val="FF0000"/>
          <w:u w:val="wave"/>
        </w:rPr>
        <w:t>项目</w:t>
      </w:r>
      <w:r>
        <w:rPr>
          <w:color w:val="FF0000"/>
          <w:u w:val="wave"/>
        </w:rPr>
        <w:t>设有</w:t>
      </w:r>
      <w:r>
        <w:rPr>
          <w:rFonts w:hint="eastAsia"/>
          <w:color w:val="FF0000"/>
          <w:u w:val="wave"/>
          <w:lang w:val="en-US" w:eastAsia="zh-CN"/>
        </w:rPr>
        <w:t>6</w:t>
      </w:r>
      <w:r>
        <w:rPr>
          <w:color w:val="FF0000"/>
          <w:u w:val="wave"/>
        </w:rPr>
        <w:t>座料塔，建设单位直接外购饲料，不再另行加工，饲料由汽车运输至厂内，泵入料塔，饲料道与粪便运输道相互独立，避免交叉</w:t>
      </w:r>
      <w:r>
        <w:rPr>
          <w:rFonts w:hint="eastAsia"/>
          <w:color w:val="FF0000"/>
          <w:u w:val="wave"/>
          <w:lang w:val="en-US" w:eastAsia="zh-CN"/>
        </w:rPr>
        <w:t>。</w:t>
      </w:r>
    </w:p>
    <w:p>
      <w:pPr>
        <w:pStyle w:val="215"/>
        <w:rPr>
          <w:rFonts w:hint="eastAsia" w:eastAsia="宋体"/>
          <w:color w:val="FF0000"/>
          <w:u w:val="wave"/>
          <w:lang w:eastAsia="zh-CN"/>
        </w:rPr>
      </w:pPr>
      <w:r>
        <w:rPr>
          <w:rFonts w:hint="eastAsia"/>
          <w:color w:val="FF0000"/>
          <w:u w:val="wave"/>
          <w:lang w:eastAsia="zh-CN"/>
        </w:rPr>
        <w:t>（</w:t>
      </w:r>
      <w:r>
        <w:rPr>
          <w:rFonts w:hint="eastAsia"/>
          <w:color w:val="FF0000"/>
          <w:u w:val="wave"/>
          <w:lang w:val="en-US" w:eastAsia="zh-CN"/>
        </w:rPr>
        <w:t>4</w:t>
      </w:r>
      <w:r>
        <w:rPr>
          <w:rFonts w:hint="eastAsia"/>
          <w:color w:val="FF0000"/>
          <w:u w:val="wave"/>
          <w:lang w:eastAsia="zh-CN"/>
        </w:rPr>
        <w:t>）鸡粪收集室</w:t>
      </w:r>
    </w:p>
    <w:p>
      <w:pPr>
        <w:pStyle w:val="215"/>
        <w:rPr>
          <w:rFonts w:hint="eastAsia"/>
          <w:color w:val="FF0000"/>
          <w:sz w:val="24"/>
          <w:u w:val="wave"/>
          <w:lang w:eastAsia="zh-CN"/>
        </w:rPr>
      </w:pPr>
      <w:r>
        <w:rPr>
          <w:rFonts w:hint="eastAsia"/>
          <w:color w:val="FF0000"/>
          <w:u w:val="wave"/>
          <w:lang w:val="en-US" w:eastAsia="zh-CN"/>
        </w:rPr>
        <w:t>东、南场各设置1</w:t>
      </w:r>
      <w:r>
        <w:rPr>
          <w:rFonts w:hint="eastAsia"/>
          <w:color w:val="FF0000"/>
          <w:u w:val="wave"/>
        </w:rPr>
        <w:t>栋</w:t>
      </w:r>
      <w:r>
        <w:rPr>
          <w:rFonts w:hint="eastAsia"/>
          <w:color w:val="FF0000"/>
          <w:u w:val="wave"/>
          <w:lang w:eastAsia="zh-CN"/>
        </w:rPr>
        <w:t>鸡粪收集室</w:t>
      </w:r>
      <w:r>
        <w:rPr>
          <w:color w:val="FF0000"/>
          <w:u w:val="wave"/>
        </w:rPr>
        <w:t>，</w:t>
      </w:r>
      <w:r>
        <w:rPr>
          <w:rFonts w:hint="eastAsia"/>
          <w:color w:val="FF0000"/>
          <w:u w:val="wave"/>
          <w:lang w:val="en-US" w:eastAsia="zh-CN"/>
        </w:rPr>
        <w:t>均位于鸡舍西北侧。</w:t>
      </w:r>
      <w:r>
        <w:rPr>
          <w:rFonts w:hint="eastAsia"/>
          <w:color w:val="FF0000"/>
          <w:sz w:val="24"/>
          <w:u w:val="wave"/>
        </w:rPr>
        <w:t>本项目鸡舍中设置自动清粪系统，鸡粪日产日清。项目每栋鸡舍自动化清粪，鸡粪不落地，并配套建设鸡粪收集室作为鸡粪临时贮存场所，正常情况下，鸡粪采用自动干清粪清掏排出鸡舍后，部分直接拉走依托台源蛋鸡养殖一场好氧发酵罐制有机肥；剩余部分则直接拉走外售衡阳县沛科生态科技有限责任公司制有机肥，在衡阳县沛科生态科技有限责任公司进行发酵预处理，不在本厂区进行预处理，在鸡粪收集室内堆存时间很短</w:t>
      </w:r>
      <w:r>
        <w:rPr>
          <w:rFonts w:hint="eastAsia"/>
          <w:color w:val="FF0000"/>
          <w:sz w:val="24"/>
          <w:u w:val="wave"/>
          <w:lang w:eastAsia="zh-CN"/>
        </w:rPr>
        <w:t>。</w:t>
      </w:r>
    </w:p>
    <w:p>
      <w:pPr>
        <w:pStyle w:val="215"/>
        <w:rPr>
          <w:rFonts w:hint="eastAsia"/>
          <w:b/>
          <w:bCs/>
          <w:color w:val="FF0000"/>
          <w:sz w:val="24"/>
          <w:u w:val="wave"/>
          <w:lang w:eastAsia="zh-CN"/>
        </w:rPr>
      </w:pPr>
      <w:r>
        <w:rPr>
          <w:rFonts w:hint="eastAsia"/>
          <w:b/>
          <w:bCs/>
          <w:color w:val="FF0000"/>
          <w:sz w:val="24"/>
          <w:u w:val="wave"/>
          <w:lang w:eastAsia="zh-CN"/>
        </w:rPr>
        <w:t>各个环保设施的布设情况：</w:t>
      </w:r>
    </w:p>
    <w:p>
      <w:pPr>
        <w:pStyle w:val="215"/>
        <w:rPr>
          <w:rFonts w:hint="eastAsia"/>
          <w:b w:val="0"/>
          <w:bCs w:val="0"/>
          <w:color w:val="FF0000"/>
          <w:sz w:val="24"/>
          <w:u w:val="wave"/>
          <w:lang w:val="en-US" w:eastAsia="zh-CN"/>
        </w:rPr>
      </w:pPr>
      <w:r>
        <w:rPr>
          <w:rFonts w:hint="eastAsia"/>
          <w:b w:val="0"/>
          <w:bCs w:val="0"/>
          <w:color w:val="FF0000"/>
          <w:sz w:val="24"/>
          <w:u w:val="wave"/>
          <w:lang w:eastAsia="zh-CN"/>
        </w:rPr>
        <w:t>（</w:t>
      </w:r>
      <w:r>
        <w:rPr>
          <w:rFonts w:hint="eastAsia"/>
          <w:b w:val="0"/>
          <w:bCs w:val="0"/>
          <w:color w:val="FF0000"/>
          <w:sz w:val="24"/>
          <w:u w:val="wave"/>
          <w:lang w:val="en-US" w:eastAsia="zh-CN"/>
        </w:rPr>
        <w:t>1</w:t>
      </w:r>
      <w:r>
        <w:rPr>
          <w:rFonts w:hint="eastAsia"/>
          <w:b w:val="0"/>
          <w:bCs w:val="0"/>
          <w:color w:val="FF0000"/>
          <w:sz w:val="24"/>
          <w:u w:val="wave"/>
          <w:lang w:eastAsia="zh-CN"/>
        </w:rPr>
        <w:t>）</w:t>
      </w:r>
      <w:r>
        <w:rPr>
          <w:rFonts w:hint="eastAsia"/>
          <w:b w:val="0"/>
          <w:bCs w:val="0"/>
          <w:color w:val="FF0000"/>
          <w:sz w:val="24"/>
          <w:u w:val="wave"/>
          <w:lang w:val="en-US" w:eastAsia="zh-CN"/>
        </w:rPr>
        <w:t>废水处理设施</w:t>
      </w:r>
    </w:p>
    <w:p>
      <w:pPr>
        <w:pStyle w:val="215"/>
        <w:rPr>
          <w:rFonts w:hint="eastAsia" w:hAnsiTheme="minorEastAsia" w:eastAsiaTheme="minorEastAsia"/>
          <w:color w:val="FF0000"/>
          <w:kern w:val="0"/>
          <w:sz w:val="24"/>
          <w:u w:val="wave"/>
          <w:lang w:eastAsia="zh-CN"/>
        </w:rPr>
      </w:pPr>
      <w:r>
        <w:rPr>
          <w:rFonts w:hint="eastAsia" w:hAnsiTheme="minorEastAsia" w:eastAsiaTheme="minorEastAsia"/>
          <w:color w:val="FF0000"/>
          <w:kern w:val="0"/>
          <w:sz w:val="24"/>
          <w:u w:val="wave"/>
          <w:lang w:val="en-US" w:eastAsia="zh-CN"/>
        </w:rPr>
        <w:t>项目共设2座污水处理站，</w:t>
      </w:r>
      <w:r>
        <w:rPr>
          <w:rFonts w:hint="eastAsia" w:hAnsiTheme="minorEastAsia" w:eastAsiaTheme="minorEastAsia"/>
          <w:color w:val="FF0000"/>
          <w:kern w:val="0"/>
          <w:sz w:val="24"/>
          <w:u w:val="wave"/>
          <w:lang w:eastAsia="zh-CN"/>
        </w:rPr>
        <w:t>南场</w:t>
      </w:r>
      <w:r>
        <w:rPr>
          <w:rFonts w:hint="eastAsia" w:hAnsiTheme="minorEastAsia" w:eastAsiaTheme="minorEastAsia"/>
          <w:color w:val="FF0000"/>
          <w:kern w:val="0"/>
          <w:sz w:val="24"/>
          <w:u w:val="wave"/>
          <w:lang w:val="en-US" w:eastAsia="zh-CN"/>
        </w:rPr>
        <w:t>污水处理站</w:t>
      </w:r>
      <w:r>
        <w:rPr>
          <w:rFonts w:hint="default" w:hAnsiTheme="minorEastAsia" w:eastAsiaTheme="minorEastAsia"/>
          <w:color w:val="FF0000"/>
          <w:kern w:val="0"/>
          <w:sz w:val="24"/>
          <w:u w:val="wave"/>
        </w:rPr>
        <w:t>收集</w:t>
      </w:r>
      <w:r>
        <w:rPr>
          <w:rFonts w:hint="eastAsia" w:hAnsiTheme="minorEastAsia" w:eastAsiaTheme="minorEastAsia"/>
          <w:color w:val="FF0000"/>
          <w:kern w:val="0"/>
          <w:sz w:val="24"/>
          <w:u w:val="wave"/>
          <w:lang w:eastAsia="zh-CN"/>
        </w:rPr>
        <w:t>南部养殖区</w:t>
      </w:r>
      <w:r>
        <w:rPr>
          <w:rFonts w:hint="default" w:hAnsiTheme="minorEastAsia" w:eastAsiaTheme="minorEastAsia"/>
          <w:color w:val="FF0000"/>
          <w:kern w:val="0"/>
          <w:sz w:val="24"/>
          <w:u w:val="wave"/>
        </w:rPr>
        <w:t>鸡舍冲洗废水、防尘间喷淋废水和中部生活污水（隔油预处理）</w:t>
      </w:r>
      <w:r>
        <w:rPr>
          <w:rFonts w:hint="eastAsia" w:hAnsiTheme="minorEastAsia" w:eastAsiaTheme="minorEastAsia"/>
          <w:color w:val="FF0000"/>
          <w:kern w:val="0"/>
          <w:sz w:val="24"/>
          <w:u w:val="wave"/>
          <w:lang w:eastAsia="zh-CN"/>
        </w:rPr>
        <w:t>，东场</w:t>
      </w:r>
      <w:r>
        <w:rPr>
          <w:rFonts w:hint="eastAsia" w:hAnsiTheme="minorEastAsia" w:eastAsiaTheme="minorEastAsia"/>
          <w:color w:val="FF0000"/>
          <w:kern w:val="0"/>
          <w:sz w:val="24"/>
          <w:u w:val="wave"/>
          <w:lang w:val="en-US" w:eastAsia="zh-CN"/>
        </w:rPr>
        <w:t>污水处理站</w:t>
      </w:r>
      <w:r>
        <w:rPr>
          <w:rFonts w:hint="default" w:hAnsiTheme="minorEastAsia" w:eastAsiaTheme="minorEastAsia"/>
          <w:color w:val="FF0000"/>
          <w:kern w:val="0"/>
          <w:sz w:val="24"/>
          <w:u w:val="wave"/>
        </w:rPr>
        <w:t>收集东部养殖区鸡舍冲洗废水、防尘间喷淋废水和东部生活污水，废水经污水处理站处理后</w:t>
      </w:r>
      <w:r>
        <w:rPr>
          <w:rFonts w:hint="eastAsia" w:hAnsiTheme="minorEastAsia" w:eastAsiaTheme="minorEastAsia"/>
          <w:color w:val="FF0000"/>
          <w:kern w:val="0"/>
          <w:sz w:val="24"/>
          <w:u w:val="wave"/>
          <w:lang w:val="en-US" w:eastAsia="zh-CN"/>
        </w:rPr>
        <w:t>用于</w:t>
      </w:r>
      <w:r>
        <w:rPr>
          <w:rFonts w:hint="default" w:hAnsiTheme="minorEastAsia" w:eastAsiaTheme="minorEastAsia"/>
          <w:color w:val="FF0000"/>
          <w:kern w:val="0"/>
          <w:sz w:val="24"/>
          <w:u w:val="wave"/>
        </w:rPr>
        <w:t>周边种植基地灌溉，不外排</w:t>
      </w:r>
      <w:r>
        <w:rPr>
          <w:rFonts w:hint="eastAsia" w:hAnsiTheme="minorEastAsia" w:eastAsiaTheme="minorEastAsia"/>
          <w:color w:val="FF0000"/>
          <w:kern w:val="0"/>
          <w:sz w:val="24"/>
          <w:u w:val="wave"/>
          <w:lang w:eastAsia="zh-CN"/>
        </w:rPr>
        <w:t>。</w:t>
      </w:r>
    </w:p>
    <w:p>
      <w:pPr>
        <w:pStyle w:val="215"/>
        <w:rPr>
          <w:rFonts w:hint="eastAsia" w:hAnsiTheme="minorEastAsia" w:eastAsiaTheme="minorEastAsia"/>
          <w:color w:val="FF0000"/>
          <w:kern w:val="0"/>
          <w:sz w:val="24"/>
          <w:u w:val="wave"/>
          <w:lang w:val="en-US" w:eastAsia="zh-CN"/>
        </w:rPr>
      </w:pPr>
      <w:r>
        <w:rPr>
          <w:rFonts w:hint="eastAsia" w:hAnsiTheme="minorEastAsia" w:eastAsiaTheme="minorEastAsia"/>
          <w:color w:val="FF0000"/>
          <w:kern w:val="0"/>
          <w:sz w:val="24"/>
          <w:u w:val="wave"/>
          <w:lang w:eastAsia="zh-CN"/>
        </w:rPr>
        <w:t>（</w:t>
      </w:r>
      <w:r>
        <w:rPr>
          <w:rFonts w:hint="eastAsia" w:hAnsiTheme="minorEastAsia" w:eastAsiaTheme="minorEastAsia"/>
          <w:color w:val="FF0000"/>
          <w:kern w:val="0"/>
          <w:sz w:val="24"/>
          <w:u w:val="wave"/>
          <w:lang w:val="en-US" w:eastAsia="zh-CN"/>
        </w:rPr>
        <w:t>2</w:t>
      </w:r>
      <w:r>
        <w:rPr>
          <w:rFonts w:hint="eastAsia" w:hAnsiTheme="minorEastAsia" w:eastAsiaTheme="minorEastAsia"/>
          <w:color w:val="FF0000"/>
          <w:kern w:val="0"/>
          <w:sz w:val="24"/>
          <w:u w:val="wave"/>
          <w:lang w:eastAsia="zh-CN"/>
        </w:rPr>
        <w:t>）</w:t>
      </w:r>
      <w:r>
        <w:rPr>
          <w:rFonts w:hint="eastAsia" w:hAnsiTheme="minorEastAsia" w:eastAsiaTheme="minorEastAsia"/>
          <w:color w:val="FF0000"/>
          <w:kern w:val="0"/>
          <w:sz w:val="24"/>
          <w:u w:val="wave"/>
          <w:lang w:val="en-US" w:eastAsia="zh-CN"/>
        </w:rPr>
        <w:t>废气处理设施</w:t>
      </w:r>
    </w:p>
    <w:p>
      <w:pPr>
        <w:pStyle w:val="215"/>
        <w:rPr>
          <w:rFonts w:hint="eastAsia"/>
          <w:color w:val="FF0000"/>
          <w:szCs w:val="24"/>
          <w:u w:val="wave"/>
          <w:lang w:eastAsia="zh-CN"/>
        </w:rPr>
      </w:pPr>
      <w:r>
        <w:rPr>
          <w:rFonts w:hint="eastAsia"/>
          <w:color w:val="FF0000"/>
          <w:szCs w:val="24"/>
          <w:u w:val="wave"/>
        </w:rPr>
        <w:t>鸡舍喷洒微生物制剂、酶制剂和植物提取液等活性物质，采用自动干清粪工艺，</w:t>
      </w:r>
      <w:r>
        <w:rPr>
          <w:color w:val="FF0000"/>
          <w:szCs w:val="24"/>
          <w:u w:val="wave"/>
        </w:rPr>
        <w:t>及时清理粪污</w:t>
      </w:r>
      <w:r>
        <w:rPr>
          <w:rFonts w:hint="eastAsia"/>
          <w:color w:val="FF0000"/>
          <w:szCs w:val="24"/>
          <w:u w:val="wave"/>
        </w:rPr>
        <w:t>，加强车间通风；</w:t>
      </w:r>
      <w:r>
        <w:rPr>
          <w:bCs/>
          <w:color w:val="FF0000"/>
          <w:szCs w:val="24"/>
          <w:u w:val="wave"/>
        </w:rPr>
        <w:t>并在</w:t>
      </w:r>
      <w:r>
        <w:rPr>
          <w:rFonts w:hint="eastAsia"/>
          <w:bCs/>
          <w:color w:val="FF0000"/>
          <w:szCs w:val="24"/>
          <w:u w:val="wave"/>
        </w:rPr>
        <w:t>防尘间</w:t>
      </w:r>
      <w:r>
        <w:rPr>
          <w:bCs/>
          <w:color w:val="FF0000"/>
          <w:szCs w:val="24"/>
          <w:u w:val="wave"/>
        </w:rPr>
        <w:t>上部布置防尘网，安装</w:t>
      </w:r>
      <w:r>
        <w:rPr>
          <w:color w:val="FF0000"/>
          <w:szCs w:val="24"/>
          <w:u w:val="wave"/>
        </w:rPr>
        <w:t>细水雾喷淋系统进行降尘</w:t>
      </w:r>
      <w:r>
        <w:rPr>
          <w:rFonts w:hint="eastAsia"/>
          <w:color w:val="FF0000"/>
          <w:szCs w:val="24"/>
          <w:u w:val="wave"/>
          <w:lang w:eastAsia="zh-CN"/>
        </w:rPr>
        <w:t>。</w:t>
      </w:r>
    </w:p>
    <w:p>
      <w:pPr>
        <w:pStyle w:val="215"/>
        <w:rPr>
          <w:rFonts w:hint="eastAsia"/>
          <w:color w:val="FF0000"/>
          <w:szCs w:val="24"/>
          <w:u w:val="wave"/>
          <w:lang w:val="en-US" w:eastAsia="zh-CN"/>
        </w:rPr>
      </w:pPr>
      <w:r>
        <w:rPr>
          <w:rFonts w:hint="eastAsia"/>
          <w:color w:val="FF0000"/>
          <w:szCs w:val="24"/>
          <w:u w:val="wave"/>
          <w:lang w:val="en-US" w:eastAsia="zh-CN"/>
        </w:rPr>
        <w:t>鸡舍北侧为鸡粪收集室，喷洒微生物制剂、酶制剂和植物提取液等活性物质；及时清理粪污。</w:t>
      </w:r>
    </w:p>
    <w:p>
      <w:pPr>
        <w:pStyle w:val="215"/>
        <w:rPr>
          <w:rFonts w:hint="eastAsia"/>
          <w:color w:val="FF0000"/>
          <w:szCs w:val="24"/>
          <w:u w:val="wave"/>
          <w:lang w:val="en-US" w:eastAsia="zh-CN"/>
        </w:rPr>
      </w:pPr>
      <w:r>
        <w:rPr>
          <w:rFonts w:hint="eastAsia"/>
          <w:color w:val="FF0000"/>
          <w:szCs w:val="24"/>
          <w:u w:val="wave"/>
          <w:lang w:val="en-US" w:eastAsia="zh-CN"/>
        </w:rPr>
        <w:t>（3）固体废物处理设施</w:t>
      </w:r>
    </w:p>
    <w:p>
      <w:pPr>
        <w:pStyle w:val="286"/>
        <w:spacing w:after="0"/>
        <w:ind w:firstLine="480"/>
        <w:rPr>
          <w:rFonts w:hint="eastAsia" w:ascii="Times New Roman" w:hAnsi="Times New Roman" w:eastAsia="宋体" w:cs="Times New Roman"/>
          <w:color w:val="FF0000"/>
          <w:kern w:val="0"/>
          <w:sz w:val="24"/>
          <w:szCs w:val="24"/>
          <w:u w:val="wave"/>
          <w:lang w:val="en-US" w:eastAsia="zh-CN" w:bidi="ar-SA"/>
        </w:rPr>
      </w:pPr>
      <w:r>
        <w:rPr>
          <w:rFonts w:hint="eastAsia" w:ascii="Times New Roman" w:hAnsi="Times New Roman" w:eastAsia="宋体" w:cs="Times New Roman"/>
          <w:color w:val="FF0000"/>
          <w:kern w:val="0"/>
          <w:sz w:val="24"/>
          <w:szCs w:val="24"/>
          <w:u w:val="wave"/>
          <w:lang w:val="en-US" w:eastAsia="zh-CN" w:bidi="ar-SA"/>
        </w:rPr>
        <w:t>防疫固废：危险废物暂存间位于项目中部宿舍楼1楼，防疫固废等危险废物集中收集后由有资质单位进行处理。</w:t>
      </w:r>
    </w:p>
    <w:p>
      <w:pPr>
        <w:pStyle w:val="215"/>
        <w:rPr>
          <w:rFonts w:hint="default" w:ascii="Times New Roman" w:hAnsi="Times New Roman" w:eastAsia="宋体" w:cs="Times New Roman"/>
          <w:color w:val="FF0000"/>
          <w:kern w:val="0"/>
          <w:sz w:val="24"/>
          <w:szCs w:val="24"/>
          <w:u w:val="wave"/>
          <w:lang w:val="en-US" w:eastAsia="zh-CN" w:bidi="ar-SA"/>
        </w:rPr>
      </w:pPr>
      <w:r>
        <w:rPr>
          <w:rFonts w:hint="eastAsia" w:ascii="Times New Roman" w:hAnsi="Times New Roman" w:eastAsia="宋体" w:cs="Times New Roman"/>
          <w:color w:val="FF0000"/>
          <w:kern w:val="0"/>
          <w:sz w:val="24"/>
          <w:szCs w:val="24"/>
          <w:u w:val="wave"/>
          <w:lang w:val="en-US" w:eastAsia="zh-CN" w:bidi="ar-SA"/>
        </w:rPr>
        <w:t>病死鸡尸：本评价要求建设单位建设病死鸡冷冻区（冷冻区由大型冷冻柜组成），用于暂时存放病死鸡</w:t>
      </w:r>
      <w:r>
        <w:rPr>
          <w:rFonts w:hint="eastAsia" w:ascii="Times New Roman" w:hAnsi="Times New Roman" w:eastAsia="宋体" w:cs="Times New Roman"/>
          <w:color w:val="FF0000"/>
          <w:kern w:val="0"/>
          <w:sz w:val="24"/>
          <w:szCs w:val="24"/>
          <w:u w:val="wave"/>
          <w:lang w:val="zh-CN" w:eastAsia="zh-CN" w:bidi="ar-SA"/>
        </w:rPr>
        <w:t>。</w:t>
      </w:r>
      <w:r>
        <w:rPr>
          <w:rFonts w:hint="eastAsia" w:ascii="Times New Roman" w:hAnsi="Times New Roman" w:eastAsia="宋体" w:cs="Times New Roman"/>
          <w:color w:val="FF0000"/>
          <w:kern w:val="0"/>
          <w:sz w:val="24"/>
          <w:szCs w:val="24"/>
          <w:u w:val="wave"/>
          <w:lang w:val="en-US" w:eastAsia="zh-CN" w:bidi="ar-SA"/>
        </w:rPr>
        <w:t>病死鸡冷冻区建议设于项目备用仓库，采取“四防”措施，并配备消毒液消毒，定期由畜禽无害化资质单位清运处置。</w:t>
      </w:r>
    </w:p>
    <w:p>
      <w:pPr>
        <w:pStyle w:val="6"/>
        <w:numPr>
          <w:ilvl w:val="0"/>
          <w:numId w:val="0"/>
        </w:numPr>
        <w:rPr>
          <w:rFonts w:ascii="Times New Roman" w:hAnsi="Times New Roman" w:eastAsia="宋体"/>
          <w:szCs w:val="30"/>
        </w:rPr>
      </w:pPr>
      <w:bookmarkStart w:id="172" w:name="_Toc123886404"/>
      <w:r>
        <w:rPr>
          <w:rFonts w:ascii="Times New Roman" w:hAnsi="Times New Roman" w:eastAsia="宋体"/>
          <w:szCs w:val="30"/>
        </w:rPr>
        <w:t>3.</w:t>
      </w:r>
      <w:r>
        <w:rPr>
          <w:rFonts w:hint="eastAsia" w:ascii="Times New Roman" w:hAnsi="Times New Roman" w:eastAsia="宋体"/>
          <w:szCs w:val="30"/>
        </w:rPr>
        <w:t>2 工程分析</w:t>
      </w:r>
      <w:bookmarkEnd w:id="172"/>
    </w:p>
    <w:p>
      <w:pPr>
        <w:pStyle w:val="7"/>
        <w:adjustRightInd w:val="0"/>
        <w:snapToGrid w:val="0"/>
        <w:spacing w:before="0" w:after="0" w:line="360" w:lineRule="auto"/>
        <w:jc w:val="left"/>
        <w:rPr>
          <w:sz w:val="24"/>
          <w:szCs w:val="24"/>
        </w:rPr>
      </w:pPr>
      <w:r>
        <w:rPr>
          <w:sz w:val="24"/>
          <w:szCs w:val="24"/>
        </w:rPr>
        <w:t>3.</w:t>
      </w:r>
      <w:r>
        <w:rPr>
          <w:rFonts w:hint="eastAsia"/>
          <w:sz w:val="24"/>
          <w:szCs w:val="24"/>
        </w:rPr>
        <w:t>2.1 施工期生产工艺及产污环节</w:t>
      </w:r>
    </w:p>
    <w:p>
      <w:pPr>
        <w:pStyle w:val="5"/>
        <w:ind w:firstLine="210"/>
        <w:jc w:val="center"/>
      </w:pPr>
      <w:r>
        <w:object>
          <v:shape id="_x0000_i1025" o:spt="75" type="#_x0000_t75" style="height:156.75pt;width:345.75pt;" o:ole="t" filled="f" coordsize="21600,21600">
            <v:path/>
            <v:fill on="f" focussize="0,0"/>
            <v:stroke/>
            <v:imagedata r:id="rId23" o:title=""/>
            <o:lock v:ext="edit" aspectratio="t"/>
            <w10:wrap type="none"/>
            <w10:anchorlock/>
          </v:shape>
          <o:OLEObject Type="Embed" ProgID="Visio.Drawing.11" ShapeID="_x0000_i1025" DrawAspect="Content" ObjectID="_1468075725" r:id="rId22">
            <o:LockedField>false</o:LockedField>
          </o:OLEObject>
        </w:object>
      </w:r>
    </w:p>
    <w:p>
      <w:pPr>
        <w:pStyle w:val="5"/>
        <w:ind w:firstLine="211"/>
        <w:jc w:val="center"/>
        <w:rPr>
          <w:rFonts w:ascii="Times New Roman" w:hAnsi="Times New Roman" w:cs="Times New Roman"/>
          <w:b/>
          <w:bCs/>
        </w:rPr>
      </w:pPr>
      <w:r>
        <w:rPr>
          <w:rFonts w:ascii="Times New Roman" w:hAnsi="Times New Roman" w:cs="Times New Roman"/>
          <w:b/>
          <w:bCs/>
        </w:rPr>
        <w:t>图</w:t>
      </w:r>
      <w:r>
        <w:rPr>
          <w:rFonts w:hint="eastAsia" w:ascii="Times New Roman" w:hAnsi="Times New Roman" w:cs="Times New Roman"/>
          <w:b/>
          <w:bCs/>
        </w:rPr>
        <w:t>3</w:t>
      </w:r>
      <w:r>
        <w:rPr>
          <w:rFonts w:ascii="Times New Roman" w:hAnsi="Times New Roman" w:cs="Times New Roman"/>
          <w:b/>
          <w:bCs/>
        </w:rPr>
        <w:t>.</w:t>
      </w:r>
      <w:r>
        <w:rPr>
          <w:rFonts w:hint="eastAsia" w:ascii="Times New Roman" w:hAnsi="Times New Roman" w:cs="Times New Roman"/>
          <w:b/>
          <w:bCs/>
        </w:rPr>
        <w:t>2</w:t>
      </w:r>
      <w:r>
        <w:rPr>
          <w:rFonts w:ascii="Times New Roman" w:hAnsi="Times New Roman" w:cs="Times New Roman"/>
          <w:b/>
          <w:bCs/>
        </w:rPr>
        <w:t xml:space="preserve">-1 </w:t>
      </w:r>
      <w:r>
        <w:rPr>
          <w:rFonts w:hint="eastAsia" w:ascii="Times New Roman" w:hAnsi="Times New Roman" w:cs="Times New Roman"/>
          <w:b/>
          <w:bCs/>
        </w:rPr>
        <w:t xml:space="preserve"> </w:t>
      </w:r>
      <w:r>
        <w:rPr>
          <w:rFonts w:ascii="Times New Roman" w:hAnsi="Times New Roman" w:cs="Times New Roman"/>
          <w:b/>
          <w:bCs/>
        </w:rPr>
        <w:t>项目施工工艺及产污节点图</w:t>
      </w:r>
    </w:p>
    <w:p>
      <w:pPr>
        <w:pStyle w:val="5"/>
        <w:spacing w:after="0" w:line="360" w:lineRule="auto"/>
        <w:ind w:firstLine="480" w:firstLineChars="200"/>
        <w:rPr>
          <w:rFonts w:ascii="Times New Roman" w:hAnsi="Times New Roman" w:cs="Times New Roman"/>
          <w:sz w:val="24"/>
        </w:rPr>
      </w:pPr>
      <w:r>
        <w:rPr>
          <w:rFonts w:hint="eastAsia" w:ascii="Times New Roman" w:hAnsi="Times New Roman" w:cs="Times New Roman"/>
          <w:sz w:val="24"/>
        </w:rPr>
        <w:t>W：废（污）水（W1：施工生活污水，W2施工期生产废水）</w:t>
      </w:r>
    </w:p>
    <w:p>
      <w:pPr>
        <w:pStyle w:val="5"/>
        <w:spacing w:after="0" w:line="360" w:lineRule="auto"/>
        <w:ind w:firstLine="480" w:firstLineChars="200"/>
        <w:rPr>
          <w:rFonts w:ascii="Times New Roman" w:hAnsi="Times New Roman" w:cs="Times New Roman"/>
          <w:sz w:val="24"/>
        </w:rPr>
      </w:pPr>
      <w:r>
        <w:rPr>
          <w:rFonts w:hint="eastAsia" w:ascii="Times New Roman" w:hAnsi="Times New Roman" w:cs="Times New Roman"/>
          <w:sz w:val="24"/>
        </w:rPr>
        <w:t>G：废气（G1施工期机械废气、G2施工期装修废气）</w:t>
      </w:r>
    </w:p>
    <w:p>
      <w:pPr>
        <w:pStyle w:val="5"/>
        <w:spacing w:after="0" w:line="360" w:lineRule="auto"/>
        <w:ind w:firstLine="480" w:firstLineChars="200"/>
        <w:rPr>
          <w:rFonts w:ascii="Times New Roman" w:hAnsi="Times New Roman" w:cs="Times New Roman"/>
          <w:sz w:val="24"/>
        </w:rPr>
      </w:pPr>
      <w:r>
        <w:rPr>
          <w:rFonts w:hint="eastAsia" w:ascii="Times New Roman" w:hAnsi="Times New Roman" w:cs="Times New Roman"/>
          <w:sz w:val="24"/>
        </w:rPr>
        <w:t>D：施工期粉尘</w:t>
      </w:r>
    </w:p>
    <w:p>
      <w:pPr>
        <w:pStyle w:val="5"/>
        <w:spacing w:after="0" w:line="360" w:lineRule="auto"/>
        <w:ind w:firstLine="480" w:firstLineChars="200"/>
        <w:rPr>
          <w:rFonts w:ascii="Times New Roman" w:hAnsi="Times New Roman" w:cs="Times New Roman"/>
          <w:sz w:val="24"/>
        </w:rPr>
      </w:pPr>
      <w:r>
        <w:rPr>
          <w:rFonts w:hint="eastAsia" w:ascii="Times New Roman" w:hAnsi="Times New Roman" w:cs="Times New Roman"/>
          <w:sz w:val="24"/>
        </w:rPr>
        <w:t>N：施工期噪声</w:t>
      </w:r>
    </w:p>
    <w:p>
      <w:pPr>
        <w:pStyle w:val="5"/>
        <w:spacing w:after="0" w:line="360" w:lineRule="auto"/>
        <w:ind w:firstLine="480" w:firstLineChars="200"/>
        <w:rPr>
          <w:rFonts w:ascii="Times New Roman" w:hAnsi="Times New Roman" w:cs="Times New Roman"/>
          <w:sz w:val="24"/>
        </w:rPr>
      </w:pPr>
      <w:r>
        <w:rPr>
          <w:rFonts w:hint="eastAsia" w:ascii="Times New Roman" w:hAnsi="Times New Roman" w:cs="Times New Roman"/>
          <w:sz w:val="24"/>
        </w:rPr>
        <w:t>S：固废（S1弃土、S2弃渣、S3装修废物、S4设备废包装）</w:t>
      </w:r>
    </w:p>
    <w:p>
      <w:pPr>
        <w:pStyle w:val="5"/>
        <w:spacing w:after="0" w:line="360" w:lineRule="auto"/>
        <w:ind w:firstLine="480" w:firstLineChars="200"/>
        <w:rPr>
          <w:rFonts w:ascii="Times New Roman" w:hAnsi="Times New Roman" w:cs="Times New Roman"/>
          <w:sz w:val="24"/>
        </w:rPr>
      </w:pPr>
      <w:r>
        <w:rPr>
          <w:rFonts w:hint="eastAsia" w:ascii="Times New Roman" w:hAnsi="Times New Roman" w:cs="Times New Roman"/>
          <w:sz w:val="24"/>
        </w:rPr>
        <w:t>E：水土流失</w:t>
      </w:r>
    </w:p>
    <w:p>
      <w:pPr>
        <w:pStyle w:val="5"/>
        <w:spacing w:after="0" w:line="360" w:lineRule="auto"/>
        <w:ind w:firstLine="480" w:firstLineChars="200"/>
        <w:rPr>
          <w:rFonts w:ascii="Times New Roman" w:hAnsi="Times New Roman" w:cs="Times New Roman"/>
          <w:sz w:val="24"/>
        </w:rPr>
      </w:pPr>
      <w:r>
        <w:rPr>
          <w:rFonts w:hint="eastAsia" w:ascii="Times New Roman" w:hAnsi="Times New Roman" w:cs="Times New Roman"/>
          <w:sz w:val="24"/>
        </w:rPr>
        <w:t>施工期工艺流程简介：</w:t>
      </w:r>
    </w:p>
    <w:p>
      <w:pPr>
        <w:pStyle w:val="5"/>
        <w:spacing w:after="0" w:line="360" w:lineRule="auto"/>
        <w:ind w:firstLine="480" w:firstLineChars="200"/>
        <w:rPr>
          <w:rFonts w:ascii="Times New Roman" w:hAnsi="Times New Roman" w:cs="Times New Roman"/>
          <w:sz w:val="24"/>
        </w:rPr>
      </w:pPr>
      <w:r>
        <w:rPr>
          <w:rFonts w:hint="eastAsia" w:ascii="Times New Roman" w:hAnsi="Times New Roman" w:cs="Times New Roman"/>
          <w:sz w:val="24"/>
        </w:rPr>
        <w:t>本项目施工过程以机械施工为主，大致分为基础施工、主体施工、装修、设备安装、验收运营五大阶段，不同阶段所采用的设备有所不同，项目施工人员均为周边村民，高峰现场施工人数约50人，不设施工营地，采用商品混凝土，不在场区设置混凝土拌合站，项目建设地内不建设大型的原料场，只设置小面积的临时原料堆场。项目不涉及征地拆迁，无环保拆迁。</w:t>
      </w:r>
    </w:p>
    <w:p>
      <w:pPr>
        <w:pStyle w:val="7"/>
        <w:adjustRightInd w:val="0"/>
        <w:snapToGrid w:val="0"/>
        <w:spacing w:before="0" w:after="0" w:line="360" w:lineRule="auto"/>
        <w:jc w:val="left"/>
        <w:rPr>
          <w:sz w:val="24"/>
          <w:szCs w:val="24"/>
        </w:rPr>
      </w:pPr>
      <w:r>
        <w:rPr>
          <w:sz w:val="24"/>
          <w:szCs w:val="24"/>
        </w:rPr>
        <w:t>3.</w:t>
      </w:r>
      <w:r>
        <w:rPr>
          <w:rFonts w:hint="eastAsia"/>
          <w:sz w:val="24"/>
          <w:szCs w:val="24"/>
        </w:rPr>
        <w:t>2.2 运营期生产工艺及产污环节</w:t>
      </w:r>
    </w:p>
    <w:p>
      <w:pPr>
        <w:autoSpaceDE w:val="0"/>
        <w:autoSpaceDN w:val="0"/>
        <w:adjustRightInd w:val="0"/>
        <w:spacing w:line="360" w:lineRule="auto"/>
        <w:ind w:firstLine="482" w:firstLineChars="200"/>
        <w:outlineLvl w:val="3"/>
        <w:rPr>
          <w:rFonts w:hAnsiTheme="minorEastAsia" w:eastAsiaTheme="minorEastAsia"/>
          <w:b/>
          <w:kern w:val="0"/>
          <w:sz w:val="24"/>
        </w:rPr>
      </w:pPr>
      <w:r>
        <w:rPr>
          <w:rFonts w:hint="eastAsia" w:hAnsiTheme="minorEastAsia" w:eastAsiaTheme="minorEastAsia"/>
          <w:b/>
          <w:kern w:val="0"/>
          <w:sz w:val="24"/>
        </w:rPr>
        <w:t>3.2.2.1 蛋鸡养殖工艺及产排污环节</w:t>
      </w:r>
    </w:p>
    <w:p>
      <w:pPr>
        <w:autoSpaceDE w:val="0"/>
        <w:autoSpaceDN w:val="0"/>
        <w:adjustRightInd w:val="0"/>
        <w:spacing w:line="360" w:lineRule="auto"/>
        <w:ind w:firstLine="482" w:firstLineChars="200"/>
        <w:rPr>
          <w:rFonts w:eastAsiaTheme="minorEastAsia"/>
          <w:b/>
          <w:sz w:val="24"/>
        </w:rPr>
      </w:pPr>
      <w:r>
        <w:rPr>
          <w:rFonts w:hint="eastAsia" w:eastAsiaTheme="minorEastAsia"/>
          <w:b/>
          <w:sz w:val="24"/>
        </w:rPr>
        <w:t>1、养殖工艺特点及指标技术</w:t>
      </w:r>
    </w:p>
    <w:p>
      <w:pPr>
        <w:autoSpaceDE w:val="0"/>
        <w:autoSpaceDN w:val="0"/>
        <w:adjustRightInd w:val="0"/>
        <w:spacing w:line="360" w:lineRule="auto"/>
        <w:ind w:firstLine="480" w:firstLineChars="200"/>
        <w:rPr>
          <w:color w:val="000000"/>
          <w:sz w:val="24"/>
        </w:rPr>
      </w:pPr>
      <w:r>
        <w:rPr>
          <w:rFonts w:hAnsi="宋体"/>
          <w:color w:val="000000"/>
          <w:sz w:val="24"/>
        </w:rPr>
        <w:t>本项目实施规模化、集群化、密闭</w:t>
      </w:r>
      <w:r>
        <w:rPr>
          <w:rFonts w:asciiTheme="minorEastAsia" w:hAnsiTheme="minorEastAsia" w:eastAsiaTheme="minorEastAsia"/>
          <w:color w:val="000000"/>
          <w:sz w:val="24"/>
        </w:rPr>
        <w:t>式“全进全出”式</w:t>
      </w:r>
      <w:r>
        <w:rPr>
          <w:rFonts w:hAnsi="宋体"/>
          <w:color w:val="000000"/>
          <w:sz w:val="24"/>
        </w:rPr>
        <w:t>饲养模式。鸡舍全部采用立体分层笼养，蛋鸡舍鸡笼按</w:t>
      </w:r>
      <w:r>
        <w:rPr>
          <w:rFonts w:eastAsia="TimesNewRomanPSMT"/>
          <w:color w:val="000000"/>
          <w:sz w:val="24"/>
        </w:rPr>
        <w:t>5</w:t>
      </w:r>
      <w:r>
        <w:rPr>
          <w:rFonts w:hAnsi="宋体"/>
          <w:color w:val="000000"/>
          <w:sz w:val="24"/>
        </w:rPr>
        <w:t>列</w:t>
      </w:r>
      <w:r>
        <w:rPr>
          <w:rFonts w:eastAsia="TimesNewRomanPSMT"/>
          <w:color w:val="000000"/>
          <w:sz w:val="24"/>
        </w:rPr>
        <w:t>8</w:t>
      </w:r>
      <w:r>
        <w:rPr>
          <w:rFonts w:hAnsi="宋体"/>
          <w:color w:val="000000"/>
          <w:sz w:val="24"/>
        </w:rPr>
        <w:t>层布置，采取全自动机械化喂料、捡蛋、清粪，鸡舍内温度、通风、光照等均由电脑自动控制；鸡粪采用全机械化皮带输送、自动清粪，鸡粪等有机废弃物由皮带输送装置直接输送到</w:t>
      </w:r>
      <w:r>
        <w:rPr>
          <w:rFonts w:hint="eastAsia" w:hAnsi="宋体"/>
          <w:color w:val="000000"/>
          <w:sz w:val="24"/>
          <w:lang w:val="en-US" w:eastAsia="zh-CN"/>
        </w:rPr>
        <w:t>鸡粪收集室</w:t>
      </w:r>
      <w:r>
        <w:rPr>
          <w:rFonts w:hAnsi="宋体"/>
          <w:color w:val="000000"/>
          <w:sz w:val="24"/>
        </w:rPr>
        <w:t>；鸡蛋采取全机械化输送直达蛋库车间，进入鸡蛋分级设备，清理、分级、打码、包装。</w:t>
      </w:r>
    </w:p>
    <w:p>
      <w:pPr>
        <w:autoSpaceDE w:val="0"/>
        <w:autoSpaceDN w:val="0"/>
        <w:adjustRightInd w:val="0"/>
        <w:spacing w:line="360" w:lineRule="auto"/>
        <w:ind w:firstLine="480" w:firstLineChars="200"/>
        <w:rPr>
          <w:color w:val="000000"/>
          <w:sz w:val="24"/>
        </w:rPr>
      </w:pPr>
      <w:r>
        <w:rPr>
          <w:rFonts w:hAnsi="宋体"/>
          <w:color w:val="000000"/>
          <w:sz w:val="24"/>
        </w:rPr>
        <w:t>蛋鸡养殖周期：约</w:t>
      </w:r>
      <w:r>
        <w:rPr>
          <w:rFonts w:hint="eastAsia" w:eastAsia="TimesNewRomanPSMT"/>
          <w:color w:val="000000"/>
          <w:sz w:val="24"/>
        </w:rPr>
        <w:t>57</w:t>
      </w:r>
      <w:r>
        <w:rPr>
          <w:rFonts w:hAnsi="宋体"/>
          <w:color w:val="000000"/>
          <w:sz w:val="24"/>
        </w:rPr>
        <w:t>周（</w:t>
      </w:r>
      <w:r>
        <w:rPr>
          <w:rFonts w:hint="eastAsia" w:hAnsi="宋体"/>
          <w:color w:val="000000"/>
          <w:sz w:val="24"/>
        </w:rPr>
        <w:t>399天</w:t>
      </w:r>
      <w:r>
        <w:rPr>
          <w:rFonts w:hAnsi="宋体"/>
          <w:color w:val="000000"/>
          <w:sz w:val="24"/>
        </w:rPr>
        <w:t>）；</w:t>
      </w:r>
    </w:p>
    <w:p>
      <w:pPr>
        <w:autoSpaceDE w:val="0"/>
        <w:autoSpaceDN w:val="0"/>
        <w:adjustRightInd w:val="0"/>
        <w:spacing w:line="360" w:lineRule="auto"/>
        <w:ind w:firstLine="480" w:firstLineChars="200"/>
        <w:rPr>
          <w:color w:val="000000"/>
          <w:sz w:val="24"/>
        </w:rPr>
      </w:pPr>
      <w:r>
        <w:rPr>
          <w:rFonts w:hAnsi="宋体"/>
          <w:color w:val="000000"/>
          <w:sz w:val="24"/>
        </w:rPr>
        <w:t>鸡舍消毒空舍时间（周）：约</w:t>
      </w:r>
      <w:r>
        <w:rPr>
          <w:rFonts w:eastAsia="TimesNewRomanPSMT"/>
          <w:color w:val="000000"/>
          <w:sz w:val="24"/>
        </w:rPr>
        <w:t>4</w:t>
      </w:r>
      <w:r>
        <w:rPr>
          <w:rFonts w:hAnsi="宋体"/>
          <w:color w:val="000000"/>
          <w:sz w:val="24"/>
        </w:rPr>
        <w:t>周（</w:t>
      </w:r>
      <w:r>
        <w:rPr>
          <w:rFonts w:hint="eastAsia" w:hAnsi="宋体"/>
          <w:color w:val="000000"/>
          <w:sz w:val="24"/>
        </w:rPr>
        <w:t>28天</w:t>
      </w:r>
      <w:r>
        <w:rPr>
          <w:rFonts w:hAnsi="宋体"/>
          <w:color w:val="000000"/>
          <w:sz w:val="24"/>
        </w:rPr>
        <w:t>）</w:t>
      </w:r>
    </w:p>
    <w:p>
      <w:pPr>
        <w:autoSpaceDE w:val="0"/>
        <w:autoSpaceDN w:val="0"/>
        <w:adjustRightInd w:val="0"/>
        <w:spacing w:line="360" w:lineRule="auto"/>
        <w:ind w:firstLine="482" w:firstLineChars="200"/>
        <w:rPr>
          <w:rFonts w:eastAsiaTheme="minorEastAsia"/>
          <w:b/>
          <w:sz w:val="24"/>
        </w:rPr>
      </w:pPr>
      <w:r>
        <w:rPr>
          <w:rFonts w:eastAsiaTheme="minorEastAsia"/>
          <w:b/>
          <w:sz w:val="24"/>
        </w:rPr>
        <w:t>2、工艺流程</w:t>
      </w:r>
    </w:p>
    <w:p>
      <w:pPr>
        <w:autoSpaceDE w:val="0"/>
        <w:autoSpaceDN w:val="0"/>
        <w:adjustRightInd w:val="0"/>
        <w:spacing w:line="360" w:lineRule="auto"/>
        <w:ind w:firstLine="480" w:firstLineChars="200"/>
        <w:rPr>
          <w:color w:val="000000"/>
          <w:sz w:val="24"/>
        </w:rPr>
      </w:pPr>
      <w:r>
        <w:rPr>
          <w:rFonts w:hAnsi="宋体"/>
          <w:color w:val="000000"/>
          <w:sz w:val="24"/>
        </w:rPr>
        <w:t>根据业主介绍，项目一个完整的蛋鸡养殖更新周期为</w:t>
      </w:r>
      <w:r>
        <w:rPr>
          <w:rFonts w:hint="eastAsia" w:eastAsia="TimesNewRomanPSMT"/>
          <w:color w:val="000000"/>
          <w:sz w:val="24"/>
        </w:rPr>
        <w:t>61</w:t>
      </w:r>
      <w:r>
        <w:rPr>
          <w:rFonts w:hAnsi="宋体"/>
          <w:color w:val="000000"/>
          <w:sz w:val="24"/>
        </w:rPr>
        <w:t>周，其中产蛋舍养殖</w:t>
      </w:r>
      <w:r>
        <w:rPr>
          <w:rFonts w:eastAsia="TimesNewRomanPSMT"/>
          <w:color w:val="000000"/>
          <w:sz w:val="24"/>
        </w:rPr>
        <w:t>5</w:t>
      </w:r>
      <w:r>
        <w:rPr>
          <w:rFonts w:hint="eastAsia" w:eastAsia="TimesNewRomanPSMT"/>
          <w:color w:val="000000"/>
          <w:sz w:val="24"/>
        </w:rPr>
        <w:t>7</w:t>
      </w:r>
      <w:r>
        <w:rPr>
          <w:rFonts w:hAnsi="宋体"/>
          <w:color w:val="000000"/>
          <w:sz w:val="24"/>
        </w:rPr>
        <w:t>周，最后在蛋鸡淘汰后将鸡舍空置</w:t>
      </w:r>
      <w:r>
        <w:rPr>
          <w:rFonts w:eastAsia="TimesNewRomanPSMT"/>
          <w:color w:val="000000"/>
          <w:sz w:val="24"/>
        </w:rPr>
        <w:t>4</w:t>
      </w:r>
      <w:r>
        <w:rPr>
          <w:rFonts w:hAnsi="宋体"/>
          <w:color w:val="000000"/>
          <w:sz w:val="24"/>
        </w:rPr>
        <w:t>周。污染物主要</w:t>
      </w:r>
      <w:r>
        <w:rPr>
          <w:rFonts w:hint="eastAsia" w:hAnsi="宋体"/>
          <w:color w:val="000000"/>
          <w:sz w:val="24"/>
          <w:lang w:val="en-US" w:eastAsia="zh-CN"/>
        </w:rPr>
        <w:t>包括</w:t>
      </w:r>
      <w:r>
        <w:rPr>
          <w:rFonts w:hAnsi="宋体"/>
          <w:color w:val="000000"/>
          <w:sz w:val="24"/>
        </w:rPr>
        <w:t>蛋舍产生的恶臭、鸡粪和病死鸡等固废。</w:t>
      </w:r>
    </w:p>
    <w:p>
      <w:pPr>
        <w:autoSpaceDE w:val="0"/>
        <w:autoSpaceDN w:val="0"/>
        <w:adjustRightInd w:val="0"/>
        <w:spacing w:line="360" w:lineRule="auto"/>
        <w:ind w:firstLine="480" w:firstLineChars="200"/>
        <w:rPr>
          <w:color w:val="000000"/>
          <w:sz w:val="24"/>
        </w:rPr>
      </w:pPr>
      <w:r>
        <w:rPr>
          <w:rFonts w:hAnsi="宋体"/>
          <w:color w:val="000000"/>
          <w:sz w:val="24"/>
        </w:rPr>
        <w:t>项目蛋鸡养殖过程主要分为两个时段，分别为：蛋鸡产蛋时段（</w:t>
      </w:r>
      <w:r>
        <w:rPr>
          <w:rFonts w:eastAsia="TimesNewRomanPSMT"/>
          <w:color w:val="000000"/>
          <w:sz w:val="24"/>
        </w:rPr>
        <w:t>5</w:t>
      </w:r>
      <w:r>
        <w:rPr>
          <w:rFonts w:hint="eastAsia" w:eastAsia="TimesNewRomanPSMT"/>
          <w:color w:val="000000"/>
          <w:sz w:val="24"/>
        </w:rPr>
        <w:t>7</w:t>
      </w:r>
      <w:r>
        <w:rPr>
          <w:rFonts w:hAnsi="宋体"/>
          <w:color w:val="000000"/>
          <w:sz w:val="24"/>
        </w:rPr>
        <w:t>周）、蛋鸡空舍时段（</w:t>
      </w:r>
      <w:r>
        <w:rPr>
          <w:rFonts w:eastAsia="TimesNewRomanPSMT"/>
          <w:color w:val="000000"/>
          <w:sz w:val="24"/>
        </w:rPr>
        <w:t>4</w:t>
      </w:r>
      <w:r>
        <w:rPr>
          <w:rFonts w:hAnsi="宋体"/>
          <w:color w:val="000000"/>
          <w:sz w:val="24"/>
        </w:rPr>
        <w:t>周），一个完整养殖周期总费时</w:t>
      </w:r>
      <w:r>
        <w:rPr>
          <w:rFonts w:hint="eastAsia" w:eastAsia="TimesNewRomanPSMT"/>
          <w:color w:val="000000"/>
          <w:sz w:val="24"/>
        </w:rPr>
        <w:t>61</w:t>
      </w:r>
      <w:r>
        <w:rPr>
          <w:rFonts w:hAnsi="宋体"/>
          <w:color w:val="000000"/>
          <w:sz w:val="24"/>
        </w:rPr>
        <w:t>周（约</w:t>
      </w:r>
      <w:r>
        <w:rPr>
          <w:rFonts w:eastAsia="TimesNewRomanPSMT"/>
          <w:color w:val="000000"/>
          <w:sz w:val="24"/>
        </w:rPr>
        <w:t>4</w:t>
      </w:r>
      <w:r>
        <w:rPr>
          <w:rFonts w:hint="eastAsia" w:eastAsia="TimesNewRomanPSMT"/>
          <w:color w:val="000000"/>
          <w:sz w:val="24"/>
        </w:rPr>
        <w:t>27</w:t>
      </w:r>
      <w:r>
        <w:rPr>
          <w:rFonts w:hAnsi="宋体"/>
          <w:color w:val="000000"/>
          <w:sz w:val="24"/>
        </w:rPr>
        <w:t>天）。</w:t>
      </w:r>
    </w:p>
    <w:p>
      <w:pPr>
        <w:autoSpaceDE w:val="0"/>
        <w:autoSpaceDN w:val="0"/>
        <w:adjustRightInd w:val="0"/>
        <w:spacing w:line="360" w:lineRule="auto"/>
        <w:ind w:firstLine="480" w:firstLineChars="200"/>
        <w:rPr>
          <w:rFonts w:eastAsiaTheme="minorEastAsia"/>
          <w:sz w:val="24"/>
        </w:rPr>
      </w:pPr>
      <w:r>
        <w:rPr>
          <w:rFonts w:eastAsiaTheme="minorEastAsia"/>
          <w:sz w:val="24"/>
        </w:rPr>
        <w:t>本项目蛋鸡养殖工艺及产排污环节见图</w:t>
      </w:r>
      <w:r>
        <w:rPr>
          <w:rFonts w:hint="eastAsia" w:eastAsiaTheme="minorEastAsia"/>
          <w:sz w:val="24"/>
        </w:rPr>
        <w:t>3</w:t>
      </w:r>
      <w:r>
        <w:rPr>
          <w:rFonts w:eastAsiaTheme="minorEastAsia"/>
          <w:sz w:val="24"/>
        </w:rPr>
        <w:t>.2-2。</w:t>
      </w:r>
    </w:p>
    <w:p>
      <w:pPr>
        <w:spacing w:afterLines="50"/>
        <w:jc w:val="center"/>
      </w:pPr>
      <w:r>
        <w:object>
          <v:shape id="_x0000_i1026" o:spt="75" type="#_x0000_t75" style="height:181.5pt;width:415.5pt;" o:ole="t" filled="f" o:preferrelative="t" stroked="f" coordsize="21600,21600">
            <v:path/>
            <v:fill on="f" focussize="0,0"/>
            <v:stroke on="f"/>
            <v:imagedata r:id="rId25" o:title=""/>
            <o:lock v:ext="edit" aspectratio="t"/>
            <w10:wrap type="none"/>
            <w10:anchorlock/>
          </v:shape>
          <o:OLEObject Type="Embed" ProgID="Visio.Drawing.11" ShapeID="_x0000_i1026" DrawAspect="Content" ObjectID="_1468075726" r:id="rId24">
            <o:LockedField>false</o:LockedField>
          </o:OLEObject>
        </w:object>
      </w:r>
    </w:p>
    <w:p>
      <w:pPr>
        <w:spacing w:afterLines="50"/>
        <w:jc w:val="center"/>
        <w:rPr>
          <w:rFonts w:hAnsiTheme="minorEastAsia"/>
          <w:b/>
          <w:color w:val="FF0000"/>
          <w:szCs w:val="21"/>
          <w:u w:val="wave"/>
        </w:rPr>
      </w:pPr>
      <w:r>
        <w:rPr>
          <w:rFonts w:hint="eastAsia" w:hAnsiTheme="minorEastAsia"/>
          <w:b/>
          <w:color w:val="FF0000"/>
          <w:szCs w:val="21"/>
          <w:u w:val="wave"/>
        </w:rPr>
        <w:t>图3.2-2  蛋鸡养殖工艺流程及产排污节点图</w:t>
      </w:r>
    </w:p>
    <w:p>
      <w:pPr>
        <w:autoSpaceDE w:val="0"/>
        <w:autoSpaceDN w:val="0"/>
        <w:adjustRightInd w:val="0"/>
        <w:spacing w:line="360" w:lineRule="auto"/>
        <w:ind w:firstLine="480" w:firstLineChars="200"/>
        <w:rPr>
          <w:rFonts w:eastAsiaTheme="minorEastAsia"/>
          <w:color w:val="FF0000"/>
          <w:sz w:val="24"/>
          <w:u w:val="wave"/>
        </w:rPr>
      </w:pPr>
      <w:r>
        <w:rPr>
          <w:rFonts w:eastAsiaTheme="minorEastAsia"/>
          <w:color w:val="FF0000"/>
          <w:sz w:val="24"/>
          <w:u w:val="wave"/>
        </w:rPr>
        <w:t>工艺流程简述：</w:t>
      </w:r>
    </w:p>
    <w:p>
      <w:pPr>
        <w:autoSpaceDE w:val="0"/>
        <w:autoSpaceDN w:val="0"/>
        <w:adjustRightInd w:val="0"/>
        <w:spacing w:line="360" w:lineRule="auto"/>
        <w:ind w:firstLine="480" w:firstLineChars="200"/>
        <w:rPr>
          <w:rFonts w:eastAsiaTheme="minorEastAsia"/>
          <w:color w:val="FF0000"/>
          <w:sz w:val="24"/>
          <w:u w:val="wave"/>
        </w:rPr>
      </w:pPr>
      <w:r>
        <w:rPr>
          <w:rFonts w:hint="eastAsia" w:eastAsiaTheme="minorEastAsia"/>
          <w:color w:val="FF0000"/>
          <w:sz w:val="24"/>
          <w:u w:val="wave"/>
        </w:rPr>
        <w:t>蛋鸡的喂养和淘汰：外购</w:t>
      </w:r>
      <w:r>
        <w:rPr>
          <w:rFonts w:hint="eastAsia" w:eastAsiaTheme="minorEastAsia"/>
          <w:color w:val="FF0000"/>
          <w:sz w:val="24"/>
          <w:u w:val="wave"/>
          <w:lang w:eastAsia="zh-CN"/>
        </w:rPr>
        <w:t>105-120</w:t>
      </w:r>
      <w:r>
        <w:rPr>
          <w:rFonts w:hint="eastAsia" w:eastAsiaTheme="minorEastAsia"/>
          <w:color w:val="FF0000"/>
          <w:sz w:val="24"/>
          <w:u w:val="wave"/>
        </w:rPr>
        <w:t>天龄的蛋鸡，在本项目内饲养约399天至淘汰龄淘汰，饲养过程中蛋鸡存活率为92-94%，本项目共设6栋鸡舍，蛋鸡按栋分批次购入和淘汰，按栋进行“全进全出”式饲养，即同一栋鸡舍内购入的蛋鸡均为同一日龄，在相同条件下饲养，在同一时间淘汰，同一栋蛋鸡的淘汰在7天内完成。蛋鸡在120天龄开始产蛋，无固定产蛋周期，平均产蛋率为90%（每日产蛋数/蛋鸡数），不合格蛋率为1%到1.5%。蛋鸡在饲养过程中不用水清洗鸡舍和设备，日常采用人工干扫的方式清扫鸡舍内掉落的饲料和羽毛等，饲料槽采用人工干擦的方式清洁，输粪带采用干刮清洁。一栋鸡舍内的鸡全部淘汰后立即开始鸡舍清洗消毒工作，鸡笼和设备先用水冲洗，再用消毒剂消毒，然后用电暖风机烘干，消毒后空舍28天再重新接纳新鸡群</w:t>
      </w:r>
      <w:r>
        <w:rPr>
          <w:rFonts w:eastAsiaTheme="minorEastAsia"/>
          <w:color w:val="FF0000"/>
          <w:sz w:val="24"/>
          <w:u w:val="wave"/>
        </w:rPr>
        <w:t>。</w:t>
      </w:r>
    </w:p>
    <w:p>
      <w:pPr>
        <w:autoSpaceDE w:val="0"/>
        <w:autoSpaceDN w:val="0"/>
        <w:adjustRightInd w:val="0"/>
        <w:spacing w:line="360" w:lineRule="auto"/>
        <w:ind w:firstLine="480" w:firstLineChars="200"/>
        <w:rPr>
          <w:rFonts w:eastAsiaTheme="minorEastAsia"/>
          <w:color w:val="FF0000"/>
          <w:sz w:val="24"/>
          <w:u w:val="wave"/>
        </w:rPr>
      </w:pPr>
      <w:r>
        <w:rPr>
          <w:rFonts w:hint="eastAsia" w:eastAsiaTheme="minorEastAsia"/>
          <w:color w:val="FF0000"/>
          <w:sz w:val="24"/>
          <w:u w:val="wave"/>
        </w:rPr>
        <w:t>①自动饮水：鸡只饮水采用乳头式饮水器，既保持一直供水，又不使水受到污染和洒泼。</w:t>
      </w:r>
    </w:p>
    <w:p>
      <w:pPr>
        <w:autoSpaceDE w:val="0"/>
        <w:autoSpaceDN w:val="0"/>
        <w:adjustRightInd w:val="0"/>
        <w:spacing w:line="360" w:lineRule="auto"/>
        <w:ind w:firstLine="480" w:firstLineChars="200"/>
        <w:rPr>
          <w:rFonts w:eastAsiaTheme="minorEastAsia"/>
          <w:color w:val="FF0000"/>
          <w:sz w:val="24"/>
          <w:u w:val="wave"/>
        </w:rPr>
      </w:pPr>
      <w:r>
        <w:rPr>
          <w:rFonts w:hint="eastAsia" w:eastAsiaTheme="minorEastAsia"/>
          <w:color w:val="FF0000"/>
          <w:sz w:val="24"/>
          <w:u w:val="wave"/>
        </w:rPr>
        <w:t>②喂料：本项目不进行饲料加工，每栋鸡舍外部配料塔，外购袋装饲料，每袋为1t，储存在中央吨袋料库，饲料购入后堆放在中央吨袋料库地面设置的隔板上，防止受潮，中央吨袋料库内设提升机和上料绞龙把饲料送入料塔中，最后使用链条式自动喂料机将饲料推送到鸡舍内。鸡舍内喂料采用自动喂料行车，保证料槽内一直有饲料。</w:t>
      </w:r>
    </w:p>
    <w:p>
      <w:pPr>
        <w:autoSpaceDE w:val="0"/>
        <w:autoSpaceDN w:val="0"/>
        <w:adjustRightInd w:val="0"/>
        <w:spacing w:line="360" w:lineRule="auto"/>
        <w:ind w:firstLine="480" w:firstLineChars="200"/>
        <w:rPr>
          <w:rFonts w:hint="eastAsia" w:eastAsia="宋体"/>
          <w:color w:val="FF0000"/>
          <w:sz w:val="24"/>
          <w:u w:val="wave"/>
          <w:lang w:val="en-US" w:eastAsia="zh-CN"/>
        </w:rPr>
      </w:pPr>
      <w:r>
        <w:rPr>
          <w:rFonts w:hint="eastAsia" w:eastAsiaTheme="minorEastAsia"/>
          <w:color w:val="FF0000"/>
          <w:sz w:val="24"/>
          <w:u w:val="wave"/>
        </w:rPr>
        <w:t>③清粪：根据《畜禽养殖业污染防治技术规范》</w:t>
      </w:r>
      <w:r>
        <w:rPr>
          <w:rFonts w:hint="eastAsia" w:eastAsiaTheme="minorEastAsia"/>
          <w:color w:val="FF0000"/>
          <w:sz w:val="24"/>
          <w:u w:val="wave"/>
          <w:lang w:eastAsia="zh-CN"/>
        </w:rPr>
        <w:t>（</w:t>
      </w:r>
      <w:r>
        <w:rPr>
          <w:rFonts w:hint="eastAsia" w:eastAsiaTheme="minorEastAsia"/>
          <w:color w:val="FF0000"/>
          <w:sz w:val="24"/>
          <w:u w:val="wave"/>
        </w:rPr>
        <w:t>HJ/81-2001</w:t>
      </w:r>
      <w:r>
        <w:rPr>
          <w:rFonts w:hint="eastAsia" w:eastAsiaTheme="minorEastAsia"/>
          <w:color w:val="FF0000"/>
          <w:sz w:val="24"/>
          <w:u w:val="wave"/>
          <w:lang w:eastAsia="zh-CN"/>
        </w:rPr>
        <w:t>）</w:t>
      </w:r>
      <w:r>
        <w:rPr>
          <w:rFonts w:hint="eastAsia" w:eastAsiaTheme="minorEastAsia"/>
          <w:color w:val="FF0000"/>
          <w:sz w:val="24"/>
          <w:u w:val="wave"/>
        </w:rPr>
        <w:t>4.3“新建、改建、扩建的畜禽养殖场应采取干清粪工艺，采取有效措施将粪及时、单独清出，不可与尿、污水混合排出，并将产生粪渣及时运至贮存或处理场所，实现日产日清”的规定，项目采用干清粪工艺，平时鸡舍不进行冲洗，只在整栋鸡全部出栏时冲洗一次，大大降低了粪水产生。项目采用传送带式清粪机代替传统的人工清粪，蛋鸡产生的鸡粪落入鸡笼下方的横向清粪带上，每层鸡笼下方均设置一条输粪带，避免上层鸡笼的鸡粪落入下层鸡笼，通过刮粪机将清粪带上的鸡粪刮至鸡粪输送带中，由鸡粪输送带将鸡粪运至</w:t>
      </w:r>
      <w:r>
        <w:rPr>
          <w:rFonts w:hint="eastAsia" w:eastAsiaTheme="minorEastAsia"/>
          <w:color w:val="FF0000"/>
          <w:sz w:val="24"/>
          <w:u w:val="wave"/>
          <w:lang w:val="en-US" w:eastAsia="zh-CN"/>
        </w:rPr>
        <w:t>鸡粪收集室</w:t>
      </w:r>
      <w:r>
        <w:rPr>
          <w:rFonts w:hint="eastAsia" w:eastAsiaTheme="minorEastAsia"/>
          <w:color w:val="FF0000"/>
          <w:sz w:val="24"/>
          <w:u w:val="wave"/>
        </w:rPr>
        <w:t>，日产日清，不在鸡舍暂存。</w:t>
      </w:r>
      <w:r>
        <w:rPr>
          <w:rFonts w:hint="eastAsia" w:eastAsiaTheme="minorEastAsia"/>
          <w:color w:val="FF0000"/>
          <w:sz w:val="24"/>
          <w:u w:val="wave"/>
          <w:lang w:val="en-US" w:eastAsia="zh-CN"/>
        </w:rPr>
        <w:t>鸡粪收集室鸡粪</w:t>
      </w:r>
      <w:r>
        <w:rPr>
          <w:rFonts w:ascii="Times New Roman" w:hAnsi="Times New Roman"/>
          <w:color w:val="FF0000"/>
          <w:sz w:val="24"/>
          <w:u w:val="wave"/>
        </w:rPr>
        <w:t>每日清运外运进行综合利用。如发生自然灾害、暴雨等导致鸡粪不能及时清运时，需对堆粪暂存</w:t>
      </w:r>
      <w:r>
        <w:rPr>
          <w:rFonts w:hint="eastAsia" w:ascii="Times New Roman" w:hAnsi="Times New Roman"/>
          <w:color w:val="FF0000"/>
          <w:sz w:val="24"/>
          <w:u w:val="wave"/>
        </w:rPr>
        <w:t>罐</w:t>
      </w:r>
      <w:r>
        <w:rPr>
          <w:rFonts w:ascii="Times New Roman" w:hAnsi="Times New Roman"/>
          <w:color w:val="FF0000"/>
          <w:sz w:val="24"/>
          <w:u w:val="wave"/>
        </w:rPr>
        <w:t>喷洒消毒液抑制氨和硫化氢的产生，该</w:t>
      </w:r>
      <w:r>
        <w:rPr>
          <w:rFonts w:hint="eastAsia" w:eastAsiaTheme="minorEastAsia"/>
          <w:color w:val="FF0000"/>
          <w:sz w:val="24"/>
          <w:u w:val="wave"/>
          <w:lang w:val="en-US" w:eastAsia="zh-CN"/>
        </w:rPr>
        <w:t>鸡粪收集室</w:t>
      </w:r>
      <w:r>
        <w:rPr>
          <w:rFonts w:ascii="Times New Roman" w:hAnsi="Times New Roman"/>
          <w:color w:val="FF0000"/>
          <w:sz w:val="24"/>
          <w:u w:val="wave"/>
        </w:rPr>
        <w:t>为全封闭</w:t>
      </w:r>
      <w:r>
        <w:rPr>
          <w:rFonts w:hint="eastAsia"/>
          <w:color w:val="FF0000"/>
          <w:sz w:val="24"/>
          <w:u w:val="wave"/>
          <w:lang w:eastAsia="zh-CN"/>
        </w:rPr>
        <w:t>。</w:t>
      </w:r>
    </w:p>
    <w:p>
      <w:pPr>
        <w:autoSpaceDE w:val="0"/>
        <w:autoSpaceDN w:val="0"/>
        <w:adjustRightInd w:val="0"/>
        <w:spacing w:line="360" w:lineRule="auto"/>
        <w:ind w:firstLine="480" w:firstLineChars="200"/>
        <w:rPr>
          <w:rFonts w:eastAsiaTheme="minorEastAsia"/>
          <w:color w:val="FF0000"/>
          <w:sz w:val="24"/>
          <w:u w:val="wave"/>
        </w:rPr>
      </w:pPr>
      <w:r>
        <w:rPr>
          <w:rFonts w:hint="eastAsia" w:eastAsiaTheme="minorEastAsia"/>
          <w:color w:val="FF0000"/>
          <w:sz w:val="24"/>
          <w:u w:val="wave"/>
        </w:rPr>
        <w:t>④鸡蛋表面清洁：鸡舍笼体有倾斜角度，蛋鸡产下的鸡蛋在重力作用下自动滚落至鸡笼前端的集蛋带，鸡蛋通过集蛋带运输至中央集蛋库，集蛋带对接至鸡蛋输蛋带上，鸡蛋首先通过LED灯照射，可发现鸡蛋是否有</w:t>
      </w:r>
      <w:r>
        <w:rPr>
          <w:rFonts w:eastAsiaTheme="minorEastAsia"/>
          <w:color w:val="FF0000"/>
          <w:sz w:val="24"/>
          <w:u w:val="wave"/>
        </w:rPr>
        <w:t>裂纹、异形、黑心和霉变，由人工将不合格的鸡蛋挑出，用塑料桶收集后</w:t>
      </w:r>
      <w:r>
        <w:rPr>
          <w:rFonts w:hint="eastAsia" w:eastAsiaTheme="minorEastAsia"/>
          <w:color w:val="FF0000"/>
          <w:sz w:val="24"/>
          <w:u w:val="wave"/>
        </w:rPr>
        <w:t>用作</w:t>
      </w:r>
      <w:r>
        <w:rPr>
          <w:rFonts w:eastAsiaTheme="minorEastAsia"/>
          <w:color w:val="FF0000"/>
          <w:sz w:val="24"/>
          <w:u w:val="wave"/>
        </w:rPr>
        <w:t>企业自养甲鱼饲料，不合格的鸡蛋日产日清，不在车间贮存；合格的鸡蛋通过自动</w:t>
      </w:r>
      <w:r>
        <w:rPr>
          <w:rFonts w:hint="eastAsia" w:eastAsiaTheme="minorEastAsia"/>
          <w:color w:val="FF0000"/>
          <w:sz w:val="24"/>
          <w:u w:val="wave"/>
          <w:lang w:val="en-US" w:eastAsia="zh-CN"/>
        </w:rPr>
        <w:t>清洁</w:t>
      </w:r>
      <w:r>
        <w:rPr>
          <w:rFonts w:eastAsiaTheme="minorEastAsia"/>
          <w:color w:val="FF0000"/>
          <w:sz w:val="24"/>
          <w:u w:val="wave"/>
        </w:rPr>
        <w:t>工序，采用毛刷清洁鸡蛋表面，然后喷涂上食品级白油防止细菌污染。清洁后的鸡蛋通过包装机自动装入蛋托盒，人工装箱后打包外运。</w:t>
      </w:r>
    </w:p>
    <w:p>
      <w:pPr>
        <w:autoSpaceDE w:val="0"/>
        <w:autoSpaceDN w:val="0"/>
        <w:adjustRightInd w:val="0"/>
        <w:spacing w:line="360" w:lineRule="auto"/>
        <w:ind w:firstLine="482" w:firstLineChars="200"/>
        <w:outlineLvl w:val="3"/>
        <w:rPr>
          <w:rFonts w:hint="default" w:ascii="Times New Roman" w:cs="Times New Roman" w:hAnsiTheme="minorEastAsia" w:eastAsiaTheme="minorEastAsia"/>
          <w:b/>
          <w:kern w:val="0"/>
          <w:sz w:val="24"/>
          <w:lang w:val="en-US" w:eastAsia="zh-CN"/>
        </w:rPr>
      </w:pPr>
      <w:r>
        <w:rPr>
          <w:rFonts w:hint="eastAsia" w:ascii="Times New Roman" w:cs="Times New Roman" w:hAnsiTheme="minorEastAsia" w:eastAsiaTheme="minorEastAsia"/>
          <w:b/>
          <w:kern w:val="0"/>
          <w:sz w:val="24"/>
        </w:rPr>
        <w:t xml:space="preserve">3.2.2.2 </w:t>
      </w:r>
      <w:r>
        <w:rPr>
          <w:rFonts w:hint="eastAsia" w:ascii="Times New Roman" w:cs="Times New Roman" w:hAnsiTheme="minorEastAsia" w:eastAsiaTheme="minorEastAsia"/>
          <w:b/>
          <w:kern w:val="0"/>
          <w:sz w:val="24"/>
          <w:lang w:val="en-US" w:eastAsia="zh-CN"/>
        </w:rPr>
        <w:t>养殖场管理技术</w:t>
      </w:r>
    </w:p>
    <w:p>
      <w:pPr>
        <w:autoSpaceDE w:val="0"/>
        <w:autoSpaceDN w:val="0"/>
        <w:adjustRightInd w:val="0"/>
        <w:spacing w:line="360" w:lineRule="auto"/>
        <w:ind w:firstLine="458" w:firstLineChars="200"/>
        <w:rPr>
          <w:rFonts w:hint="eastAsia" w:ascii="Times New Roman" w:hAnsi="Times New Roman" w:eastAsia="宋体" w:cs="Times New Roman"/>
          <w:b/>
          <w:bCs/>
          <w:spacing w:val="-6"/>
          <w:sz w:val="24"/>
        </w:rPr>
      </w:pPr>
      <w:r>
        <w:rPr>
          <w:rFonts w:hint="eastAsia" w:ascii="Times New Roman" w:hAnsi="Times New Roman" w:eastAsia="宋体" w:cs="Times New Roman"/>
          <w:b/>
          <w:bCs/>
          <w:spacing w:val="-6"/>
          <w:sz w:val="24"/>
          <w:lang w:val="en-US" w:eastAsia="zh-CN"/>
        </w:rPr>
        <w:t>1、</w:t>
      </w:r>
      <w:r>
        <w:rPr>
          <w:rFonts w:hint="eastAsia" w:ascii="Times New Roman" w:hAnsi="Times New Roman" w:eastAsia="宋体" w:cs="Times New Roman"/>
          <w:b/>
          <w:bCs/>
          <w:spacing w:val="-6"/>
          <w:sz w:val="24"/>
        </w:rPr>
        <w:t>温度管理</w:t>
      </w:r>
    </w:p>
    <w:p>
      <w:pPr>
        <w:autoSpaceDE w:val="0"/>
        <w:autoSpaceDN w:val="0"/>
        <w:adjustRightInd w:val="0"/>
        <w:spacing w:line="360" w:lineRule="auto"/>
        <w:ind w:firstLine="456" w:firstLineChars="200"/>
        <w:rPr>
          <w:rFonts w:hint="eastAsia" w:ascii="Times New Roman" w:hAnsi="Times New Roman" w:eastAsia="宋体" w:cs="Times New Roman"/>
          <w:spacing w:val="-6"/>
          <w:sz w:val="24"/>
        </w:rPr>
      </w:pPr>
      <w:r>
        <w:rPr>
          <w:rFonts w:hint="eastAsia" w:ascii="Times New Roman" w:hAnsi="Times New Roman" w:eastAsia="宋体" w:cs="Times New Roman"/>
          <w:spacing w:val="-6"/>
          <w:sz w:val="24"/>
        </w:rPr>
        <w:t>温度对鸡的生产性能影响较大。温度管理是以鸡群感到舒适为最佳标准，舒适的表现是鸡群很安静无不快的叫声。由于成年鸡缺乏汗腺，因此对高温的耐受能力较差。产蛋鸡的适宜生产温度为13-23℃，当环境温度在42-45℃时，成年鸡表现为张口呼吸，呼吸频率加快，食欲废绝，饮水过多，拉稀粪，双翅外展，躁动不安。同时，高温引起蛋的品质降低，软壳蛋和破壳蛋率上升。若超过45℃，则会出现呼吸衰竭，甚至死亡。</w:t>
      </w:r>
    </w:p>
    <w:p>
      <w:pPr>
        <w:autoSpaceDE w:val="0"/>
        <w:autoSpaceDN w:val="0"/>
        <w:adjustRightInd w:val="0"/>
        <w:spacing w:line="360" w:lineRule="auto"/>
        <w:ind w:firstLine="458" w:firstLineChars="200"/>
        <w:rPr>
          <w:rFonts w:hint="eastAsia" w:ascii="Times New Roman" w:hAnsi="Times New Roman" w:eastAsia="宋体" w:cs="Times New Roman"/>
          <w:b/>
          <w:bCs/>
          <w:spacing w:val="-6"/>
          <w:sz w:val="24"/>
        </w:rPr>
      </w:pPr>
      <w:r>
        <w:rPr>
          <w:rFonts w:hint="eastAsia" w:ascii="Times New Roman" w:hAnsi="Times New Roman" w:eastAsia="宋体" w:cs="Times New Roman"/>
          <w:b/>
          <w:bCs/>
          <w:spacing w:val="-6"/>
          <w:sz w:val="24"/>
          <w:lang w:val="en-US" w:eastAsia="zh-CN"/>
        </w:rPr>
        <w:t>2、</w:t>
      </w:r>
      <w:r>
        <w:rPr>
          <w:rFonts w:hint="eastAsia" w:ascii="Times New Roman" w:hAnsi="Times New Roman" w:eastAsia="宋体" w:cs="Times New Roman"/>
          <w:b/>
          <w:bCs/>
          <w:spacing w:val="-6"/>
          <w:sz w:val="24"/>
        </w:rPr>
        <w:t>通风管理</w:t>
      </w:r>
    </w:p>
    <w:p>
      <w:pPr>
        <w:autoSpaceDE w:val="0"/>
        <w:autoSpaceDN w:val="0"/>
        <w:adjustRightInd w:val="0"/>
        <w:spacing w:line="360" w:lineRule="auto"/>
        <w:ind w:firstLine="456" w:firstLineChars="200"/>
        <w:rPr>
          <w:rFonts w:hint="eastAsia" w:ascii="Times New Roman" w:hAnsi="Times New Roman" w:eastAsia="宋体" w:cs="Times New Roman"/>
          <w:spacing w:val="-6"/>
          <w:sz w:val="24"/>
        </w:rPr>
      </w:pPr>
      <w:r>
        <w:rPr>
          <w:rFonts w:hint="eastAsia" w:ascii="Times New Roman" w:hAnsi="Times New Roman" w:eastAsia="宋体" w:cs="Times New Roman"/>
          <w:spacing w:val="-6"/>
          <w:sz w:val="24"/>
        </w:rPr>
        <w:t>通风工作是养殖过程中的重中之重，养殖是否成功与此有较大关系。通风的目的是将舍内有害气体及时排出，同时输入新的空气，调节舍内温度。鸡舍内最常见的有害气体有氨气、二氧化碳、一氧化碳、硫化氢、粪臭素等，这些有害气体浓度过高首先会破坏呼吸系统粘膜及眼结膜，给一些有害病原体的侵入创造了良好条件。通风过大会使鸡舍降低温度，蛋鸡把能量转化成热量从而增加饲养成本降低效益。</w:t>
      </w:r>
    </w:p>
    <w:p>
      <w:pPr>
        <w:autoSpaceDE w:val="0"/>
        <w:autoSpaceDN w:val="0"/>
        <w:adjustRightInd w:val="0"/>
        <w:spacing w:line="360" w:lineRule="auto"/>
        <w:ind w:firstLine="458" w:firstLineChars="200"/>
        <w:rPr>
          <w:rFonts w:hint="eastAsia" w:ascii="Times New Roman" w:hAnsi="Times New Roman" w:eastAsia="宋体" w:cs="Times New Roman"/>
          <w:b/>
          <w:bCs/>
          <w:spacing w:val="-6"/>
          <w:sz w:val="24"/>
          <w:lang w:val="en-US" w:eastAsia="zh-CN"/>
        </w:rPr>
      </w:pPr>
      <w:r>
        <w:rPr>
          <w:rFonts w:hint="eastAsia" w:ascii="Times New Roman" w:hAnsi="Times New Roman" w:eastAsia="宋体" w:cs="Times New Roman"/>
          <w:b/>
          <w:bCs/>
          <w:spacing w:val="-6"/>
          <w:sz w:val="24"/>
          <w:lang w:val="en-US" w:eastAsia="zh-CN"/>
        </w:rPr>
        <w:t>3、湿度管理</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56" w:firstLineChars="200"/>
        <w:textAlignment w:val="auto"/>
        <w:rPr>
          <w:rFonts w:hint="eastAsia" w:ascii="Times New Roman" w:hAnsi="Times New Roman" w:eastAsia="宋体" w:cs="Times New Roman"/>
          <w:spacing w:val="-6"/>
          <w:sz w:val="24"/>
        </w:rPr>
      </w:pPr>
      <w:r>
        <w:rPr>
          <w:rFonts w:hint="eastAsia" w:ascii="Times New Roman" w:hAnsi="Times New Roman" w:eastAsia="宋体" w:cs="Times New Roman"/>
          <w:spacing w:val="-6"/>
          <w:sz w:val="24"/>
        </w:rPr>
        <w:t>在鸡舍的各个区域安放相对湿度表，以便及时地掌握鸡舍内空气的相对湿度。当鸡舍内相对湿度低于40%可引起蛋鸡羽毛凌乱，皮肤干燥，还易引起尘土飞扬，诱发呼吸道病；若相对湿度高于70%禽舍易潮湿，可引起蛋鸡羽毛污秽，粘连，关节病例增多，夏季易爆发球虫等。一般情况下鸡舍湿度大致掌握在60%-65%之间。</w:t>
      </w:r>
    </w:p>
    <w:p>
      <w:pPr>
        <w:autoSpaceDE w:val="0"/>
        <w:autoSpaceDN w:val="0"/>
        <w:adjustRightInd w:val="0"/>
        <w:spacing w:line="360" w:lineRule="auto"/>
        <w:ind w:firstLine="458" w:firstLineChars="200"/>
        <w:rPr>
          <w:rFonts w:hint="eastAsia" w:ascii="Times New Roman" w:hAnsi="Times New Roman" w:eastAsia="宋体" w:cs="Times New Roman"/>
          <w:b/>
          <w:bCs/>
          <w:spacing w:val="-6"/>
          <w:sz w:val="24"/>
        </w:rPr>
      </w:pPr>
      <w:r>
        <w:rPr>
          <w:rFonts w:hint="eastAsia" w:ascii="Times New Roman" w:hAnsi="Times New Roman" w:eastAsia="宋体" w:cs="Times New Roman"/>
          <w:b/>
          <w:bCs/>
          <w:spacing w:val="-6"/>
          <w:sz w:val="24"/>
          <w:lang w:val="en-US" w:eastAsia="zh-CN"/>
        </w:rPr>
        <w:t>4、</w:t>
      </w:r>
      <w:r>
        <w:rPr>
          <w:rFonts w:hint="eastAsia" w:ascii="Times New Roman" w:hAnsi="Times New Roman" w:eastAsia="宋体" w:cs="Times New Roman"/>
          <w:b/>
          <w:bCs/>
          <w:spacing w:val="-6"/>
          <w:sz w:val="24"/>
        </w:rPr>
        <w:t>光照管理</w:t>
      </w:r>
    </w:p>
    <w:p>
      <w:pPr>
        <w:autoSpaceDE w:val="0"/>
        <w:autoSpaceDN w:val="0"/>
        <w:adjustRightInd w:val="0"/>
        <w:spacing w:line="360" w:lineRule="auto"/>
        <w:ind w:firstLine="456" w:firstLineChars="200"/>
        <w:rPr>
          <w:rFonts w:hint="eastAsia" w:ascii="Times New Roman" w:hAnsi="Times New Roman" w:eastAsia="宋体" w:cs="Times New Roman"/>
          <w:spacing w:val="-6"/>
          <w:sz w:val="24"/>
        </w:rPr>
      </w:pPr>
      <w:r>
        <w:rPr>
          <w:rFonts w:hint="eastAsia" w:ascii="Times New Roman" w:hAnsi="Times New Roman" w:eastAsia="宋体" w:cs="Times New Roman"/>
          <w:spacing w:val="-6"/>
          <w:sz w:val="24"/>
        </w:rPr>
        <w:t>蛋鸡需要光照主要为了延长采食时间，促进生长。3日龄以后23小时光照，1小时黑暗。鸡舍内每20平方米安装一个灯泡，配有灯罩，灯泡要分布均匀，以免光线过强，引起喙癖。</w:t>
      </w:r>
    </w:p>
    <w:p>
      <w:pPr>
        <w:autoSpaceDE w:val="0"/>
        <w:autoSpaceDN w:val="0"/>
        <w:adjustRightInd w:val="0"/>
        <w:spacing w:line="360" w:lineRule="auto"/>
        <w:ind w:firstLine="458" w:firstLineChars="200"/>
        <w:rPr>
          <w:rFonts w:hint="eastAsia" w:ascii="Times New Roman" w:hAnsi="Times New Roman" w:eastAsia="宋体" w:cs="Times New Roman"/>
          <w:b/>
          <w:bCs/>
          <w:spacing w:val="-6"/>
          <w:sz w:val="24"/>
        </w:rPr>
      </w:pPr>
      <w:r>
        <w:rPr>
          <w:rFonts w:hint="eastAsia" w:ascii="Times New Roman" w:hAnsi="Times New Roman" w:eastAsia="宋体" w:cs="Times New Roman"/>
          <w:b/>
          <w:bCs/>
          <w:spacing w:val="-6"/>
          <w:sz w:val="24"/>
          <w:lang w:val="en-US" w:eastAsia="zh-CN"/>
        </w:rPr>
        <w:t>5、</w:t>
      </w:r>
      <w:r>
        <w:rPr>
          <w:rFonts w:hint="eastAsia" w:ascii="Times New Roman" w:hAnsi="Times New Roman" w:eastAsia="宋体" w:cs="Times New Roman"/>
          <w:b/>
          <w:bCs/>
          <w:spacing w:val="-6"/>
          <w:sz w:val="24"/>
        </w:rPr>
        <w:t>消毒管理</w:t>
      </w:r>
    </w:p>
    <w:p>
      <w:pPr>
        <w:autoSpaceDE w:val="0"/>
        <w:autoSpaceDN w:val="0"/>
        <w:adjustRightInd w:val="0"/>
        <w:spacing w:line="360" w:lineRule="auto"/>
        <w:ind w:firstLine="456" w:firstLineChars="200"/>
        <w:rPr>
          <w:rFonts w:hint="eastAsia" w:ascii="Times New Roman" w:hAnsi="Times New Roman" w:eastAsia="宋体" w:cs="Times New Roman"/>
          <w:spacing w:val="-6"/>
          <w:sz w:val="24"/>
        </w:rPr>
      </w:pPr>
      <w:r>
        <w:rPr>
          <w:rFonts w:hint="eastAsia" w:ascii="Times New Roman" w:hAnsi="Times New Roman" w:eastAsia="宋体" w:cs="Times New Roman"/>
          <w:spacing w:val="-6"/>
          <w:sz w:val="24"/>
        </w:rPr>
        <w:t>日常消毒：项目厂区大门处设有消毒室、更衣室，进入养殖区设有消毒室和轮胎消毒池，场区严禁非生产人员出入，出入人员和车辆必须经消毒室或消毒池进行消毒，场区内每天早晚喷雾消毒一次。人员消毒溶液主要为过硫酸氢钾复合盐，消毒池使用聚维酮碘溶液和复方戌二醛溶液，为保证药液的有效，应15d更换一次药液，消毒池内仅进行消毒药液的更换和水量的补充，无废水外排。公共场所地面、用具消毒采用浓度为1~2%的次氯酸钠溶液。</w:t>
      </w:r>
    </w:p>
    <w:p>
      <w:pPr>
        <w:autoSpaceDE w:val="0"/>
        <w:autoSpaceDN w:val="0"/>
        <w:adjustRightInd w:val="0"/>
        <w:spacing w:line="360" w:lineRule="auto"/>
        <w:ind w:firstLine="456" w:firstLineChars="200"/>
        <w:rPr>
          <w:rFonts w:hint="eastAsia" w:ascii="Times New Roman" w:hAnsi="Times New Roman" w:eastAsia="宋体" w:cs="Times New Roman"/>
          <w:spacing w:val="-6"/>
          <w:sz w:val="24"/>
        </w:rPr>
      </w:pPr>
      <w:r>
        <w:rPr>
          <w:rFonts w:hint="eastAsia" w:ascii="Times New Roman" w:hAnsi="Times New Roman" w:eastAsia="宋体" w:cs="Times New Roman"/>
          <w:spacing w:val="-6"/>
          <w:sz w:val="24"/>
        </w:rPr>
        <w:t>清舍消毒：一个饲养周期（</w:t>
      </w:r>
      <w:r>
        <w:rPr>
          <w:rFonts w:hint="eastAsia" w:ascii="Times New Roman" w:hAnsi="Times New Roman" w:cs="Times New Roman"/>
          <w:sz w:val="24"/>
        </w:rPr>
        <w:t>约57周</w:t>
      </w:r>
      <w:r>
        <w:rPr>
          <w:rFonts w:hint="eastAsia" w:ascii="Times New Roman" w:hAnsi="Times New Roman" w:cs="Times New Roman"/>
          <w:sz w:val="24"/>
          <w:lang w:eastAsia="zh-CN"/>
        </w:rPr>
        <w:t>，</w:t>
      </w:r>
      <w:r>
        <w:rPr>
          <w:rFonts w:hint="eastAsia" w:ascii="Times New Roman" w:hAnsi="Times New Roman" w:cs="Times New Roman"/>
          <w:sz w:val="24"/>
          <w:lang w:val="en-US" w:eastAsia="zh-CN"/>
        </w:rPr>
        <w:t>399天</w:t>
      </w:r>
      <w:r>
        <w:rPr>
          <w:rFonts w:hint="eastAsia" w:ascii="Times New Roman" w:hAnsi="Times New Roman" w:eastAsia="宋体" w:cs="Times New Roman"/>
          <w:spacing w:val="-6"/>
          <w:sz w:val="24"/>
        </w:rPr>
        <w:t>）结束后，蛋鸡产蛋率降低，需全部淘汰，在购置新的蛋鸡前需要对鸡舍进行彻底消毒并停养</w:t>
      </w:r>
      <w:r>
        <w:rPr>
          <w:rFonts w:hint="eastAsia" w:ascii="Times New Roman" w:hAnsi="Times New Roman" w:eastAsia="宋体" w:cs="Times New Roman"/>
          <w:spacing w:val="-6"/>
          <w:sz w:val="24"/>
          <w:lang w:val="en-US" w:eastAsia="zh-CN"/>
        </w:rPr>
        <w:t>1</w:t>
      </w:r>
      <w:r>
        <w:rPr>
          <w:rFonts w:hint="eastAsia" w:ascii="Times New Roman" w:hAnsi="Times New Roman" w:eastAsia="宋体" w:cs="Times New Roman"/>
          <w:spacing w:val="-6"/>
          <w:sz w:val="24"/>
        </w:rPr>
        <w:t>个月，以保证购进的下一批鸡健康成长。清舍消毒过程为：首先对鸡舍进行彻底的清扫，并采用高压水枪对鸡舍地面及鸡笼、水槽、食槽等饲养设备进行彻底冲洗，冲洗废水经管道进入废水处理系统，冲洗后鸡舍喷洒次氯酸钠溶液消毒，消毒后进行第二次地面冲洗，最后再用福尔马林溶液密闭熏蒸整个鸡舍48~72小时，然后打开门窗通风。</w:t>
      </w:r>
    </w:p>
    <w:p>
      <w:pPr>
        <w:autoSpaceDE w:val="0"/>
        <w:autoSpaceDN w:val="0"/>
        <w:adjustRightInd w:val="0"/>
        <w:spacing w:line="360" w:lineRule="auto"/>
        <w:ind w:firstLine="458" w:firstLineChars="200"/>
        <w:rPr>
          <w:rFonts w:hint="eastAsia" w:ascii="Times New Roman" w:hAnsi="Times New Roman" w:eastAsia="宋体" w:cs="Times New Roman"/>
          <w:b/>
          <w:bCs/>
          <w:spacing w:val="-6"/>
          <w:sz w:val="24"/>
        </w:rPr>
      </w:pPr>
      <w:r>
        <w:rPr>
          <w:rFonts w:hint="eastAsia" w:ascii="Times New Roman" w:hAnsi="Times New Roman" w:eastAsia="宋体" w:cs="Times New Roman"/>
          <w:b/>
          <w:bCs/>
          <w:spacing w:val="-6"/>
          <w:sz w:val="24"/>
          <w:lang w:val="en-US" w:eastAsia="zh-CN"/>
        </w:rPr>
        <w:t>6、</w:t>
      </w:r>
      <w:r>
        <w:rPr>
          <w:rFonts w:hint="eastAsia" w:ascii="Times New Roman" w:hAnsi="Times New Roman" w:eastAsia="宋体" w:cs="Times New Roman"/>
          <w:b/>
          <w:bCs/>
          <w:spacing w:val="-6"/>
          <w:sz w:val="24"/>
        </w:rPr>
        <w:t>饲料管理</w:t>
      </w:r>
    </w:p>
    <w:p>
      <w:pPr>
        <w:autoSpaceDE w:val="0"/>
        <w:autoSpaceDN w:val="0"/>
        <w:adjustRightInd w:val="0"/>
        <w:spacing w:line="360" w:lineRule="auto"/>
        <w:ind w:firstLine="456" w:firstLineChars="200"/>
        <w:rPr>
          <w:rFonts w:hint="eastAsia" w:ascii="Times New Roman" w:hAnsi="Times New Roman" w:eastAsia="宋体" w:cs="Times New Roman"/>
          <w:spacing w:val="-6"/>
          <w:sz w:val="24"/>
        </w:rPr>
      </w:pPr>
      <w:r>
        <w:rPr>
          <w:rFonts w:hint="eastAsia" w:ascii="Times New Roman" w:hAnsi="Times New Roman" w:eastAsia="宋体" w:cs="Times New Roman"/>
          <w:spacing w:val="-6"/>
          <w:sz w:val="24"/>
        </w:rPr>
        <w:t>饲料由料罐车配送，料罐车负责从饲料厂向养鸡场料塔之间的饲料运输。饲料通过料罐车的输料臂直接输入养殖区料塔内，不再另行加工。设置全自动喂料系统，自由采食。饲料的营养水平是影响蛋鸡产蛋率的重要因素，影响因素主要有蛋白质水平、能量水平、矿物质及微生素水平等，了解蛋鸡各个生理阶段特点、营养需求及饲养管理关键点，并通过营养因素的合理调控可以有效的提高蛋鸡的产蛋率。</w:t>
      </w:r>
    </w:p>
    <w:p>
      <w:pPr>
        <w:autoSpaceDE w:val="0"/>
        <w:autoSpaceDN w:val="0"/>
        <w:adjustRightInd w:val="0"/>
        <w:spacing w:line="360" w:lineRule="auto"/>
        <w:ind w:firstLine="458" w:firstLineChars="200"/>
        <w:rPr>
          <w:rFonts w:hint="eastAsia" w:ascii="Times New Roman" w:hAnsi="Times New Roman" w:eastAsia="宋体" w:cs="Times New Roman"/>
          <w:b/>
          <w:bCs/>
          <w:spacing w:val="-6"/>
          <w:sz w:val="24"/>
        </w:rPr>
      </w:pPr>
      <w:r>
        <w:rPr>
          <w:rFonts w:hint="eastAsia" w:ascii="Times New Roman" w:hAnsi="Times New Roman" w:eastAsia="宋体" w:cs="Times New Roman"/>
          <w:b/>
          <w:bCs/>
          <w:spacing w:val="-6"/>
          <w:sz w:val="24"/>
          <w:lang w:val="en-US" w:eastAsia="zh-CN"/>
        </w:rPr>
        <w:t>7、</w:t>
      </w:r>
      <w:r>
        <w:rPr>
          <w:rFonts w:hint="eastAsia" w:ascii="Times New Roman" w:hAnsi="Times New Roman" w:eastAsia="宋体" w:cs="Times New Roman"/>
          <w:b/>
          <w:bCs/>
          <w:spacing w:val="-6"/>
          <w:sz w:val="24"/>
        </w:rPr>
        <w:t>饮水管理</w:t>
      </w:r>
    </w:p>
    <w:p>
      <w:pPr>
        <w:autoSpaceDE w:val="0"/>
        <w:autoSpaceDN w:val="0"/>
        <w:adjustRightInd w:val="0"/>
        <w:spacing w:line="360" w:lineRule="auto"/>
        <w:ind w:firstLine="456" w:firstLineChars="200"/>
        <w:rPr>
          <w:rFonts w:hint="eastAsia" w:ascii="Times New Roman" w:hAnsi="Times New Roman" w:cs="Times New Roman" w:eastAsiaTheme="minorEastAsia"/>
          <w:spacing w:val="-6"/>
          <w:sz w:val="24"/>
          <w:lang w:eastAsia="zh-CN"/>
        </w:rPr>
      </w:pPr>
      <w:r>
        <w:rPr>
          <w:rFonts w:hint="eastAsia" w:ascii="Times New Roman" w:hAnsi="Times New Roman" w:eastAsia="宋体" w:cs="Times New Roman"/>
          <w:spacing w:val="-6"/>
          <w:sz w:val="24"/>
        </w:rPr>
        <w:t>新鲜和清洁的饮水对鸡的正常生长非常必要。通常鸡每吃1公斤饲料需饮水2公斤左右，气温越高饮水量越多。</w:t>
      </w:r>
      <w:r>
        <w:rPr>
          <w:rFonts w:hint="eastAsia" w:eastAsiaTheme="minorEastAsia"/>
          <w:sz w:val="24"/>
        </w:rPr>
        <w:t>鸡只饮水采用乳头式饮水器，既保持一直供水，又不使水受到污染和洒泼</w:t>
      </w:r>
      <w:r>
        <w:rPr>
          <w:rFonts w:hint="eastAsia" w:eastAsiaTheme="minorEastAsia"/>
          <w:sz w:val="24"/>
          <w:lang w:eastAsia="zh-CN"/>
        </w:rPr>
        <w:t>。</w:t>
      </w:r>
    </w:p>
    <w:p>
      <w:pPr>
        <w:autoSpaceDE w:val="0"/>
        <w:autoSpaceDN w:val="0"/>
        <w:adjustRightInd w:val="0"/>
        <w:spacing w:line="360" w:lineRule="auto"/>
        <w:ind w:firstLine="458" w:firstLineChars="200"/>
        <w:rPr>
          <w:rFonts w:hint="eastAsia" w:ascii="Times New Roman" w:hAnsi="Times New Roman" w:eastAsia="宋体" w:cs="Times New Roman"/>
          <w:b/>
          <w:bCs/>
          <w:spacing w:val="-6"/>
          <w:sz w:val="24"/>
        </w:rPr>
      </w:pPr>
      <w:r>
        <w:rPr>
          <w:rFonts w:hint="eastAsia" w:ascii="Times New Roman" w:hAnsi="Times New Roman" w:eastAsia="宋体" w:cs="Times New Roman"/>
          <w:b/>
          <w:bCs/>
          <w:spacing w:val="-6"/>
          <w:sz w:val="24"/>
          <w:lang w:val="en-US" w:eastAsia="zh-CN"/>
        </w:rPr>
        <w:t>8、</w:t>
      </w:r>
      <w:r>
        <w:rPr>
          <w:rFonts w:hint="eastAsia" w:ascii="Times New Roman" w:hAnsi="Times New Roman" w:eastAsia="宋体" w:cs="Times New Roman"/>
          <w:b/>
          <w:bCs/>
          <w:spacing w:val="-6"/>
          <w:sz w:val="24"/>
        </w:rPr>
        <w:t>粪便处理</w:t>
      </w:r>
    </w:p>
    <w:p>
      <w:pPr>
        <w:autoSpaceDE w:val="0"/>
        <w:autoSpaceDN w:val="0"/>
        <w:adjustRightInd w:val="0"/>
        <w:spacing w:line="360" w:lineRule="auto"/>
        <w:ind w:firstLine="456" w:firstLineChars="200"/>
        <w:rPr>
          <w:rFonts w:hint="eastAsia" w:ascii="Times New Roman" w:hAnsi="Times New Roman" w:eastAsia="宋体" w:cs="Times New Roman"/>
          <w:spacing w:val="-6"/>
          <w:sz w:val="24"/>
          <w:lang w:val="en-GB"/>
        </w:rPr>
      </w:pPr>
      <w:r>
        <w:rPr>
          <w:rFonts w:hint="eastAsia" w:ascii="Times New Roman" w:hAnsi="Times New Roman" w:eastAsia="宋体" w:cs="Times New Roman"/>
          <w:spacing w:val="-6"/>
          <w:sz w:val="24"/>
          <w:lang w:val="en-GB"/>
        </w:rPr>
        <w:t>本项目采用干清粪工艺，仅在</w:t>
      </w:r>
      <w:r>
        <w:rPr>
          <w:rFonts w:hint="eastAsia" w:ascii="Times New Roman" w:hAnsi="Times New Roman" w:eastAsia="宋体" w:cs="Times New Roman"/>
          <w:spacing w:val="-6"/>
          <w:sz w:val="24"/>
        </w:rPr>
        <w:t>整栋鸡只全部出栏时冲洗一次，大大降低了粪水产生</w:t>
      </w:r>
      <w:r>
        <w:rPr>
          <w:rFonts w:hint="eastAsia" w:ascii="Times New Roman" w:hAnsi="Times New Roman" w:eastAsia="宋体" w:cs="Times New Roman"/>
          <w:spacing w:val="-6"/>
          <w:sz w:val="24"/>
          <w:lang w:val="en-GB"/>
        </w:rPr>
        <w:t>。</w:t>
      </w:r>
    </w:p>
    <w:p>
      <w:pPr>
        <w:autoSpaceDE w:val="0"/>
        <w:autoSpaceDN w:val="0"/>
        <w:adjustRightInd w:val="0"/>
        <w:spacing w:line="360" w:lineRule="auto"/>
        <w:ind w:firstLine="456" w:firstLineChars="200"/>
        <w:rPr>
          <w:rFonts w:hint="eastAsia" w:ascii="Times New Roman" w:hAnsi="Times New Roman" w:eastAsia="宋体" w:cs="Times New Roman"/>
          <w:spacing w:val="-6"/>
          <w:sz w:val="24"/>
          <w:lang w:eastAsia="zh-CN"/>
        </w:rPr>
      </w:pPr>
      <w:r>
        <w:rPr>
          <w:rFonts w:hint="eastAsia" w:ascii="Times New Roman" w:hAnsi="Times New Roman" w:eastAsia="宋体" w:cs="Times New Roman"/>
          <w:spacing w:val="-6"/>
          <w:sz w:val="24"/>
          <w:lang w:val="en-GB"/>
        </w:rPr>
        <w:t>本项目采用全自动层叠式蛋鸡养殖模式，饲养全程鸡粪不落地，均掉落在网笼下方的传送带</w:t>
      </w:r>
      <w:r>
        <w:rPr>
          <w:rFonts w:hint="eastAsia" w:ascii="Times New Roman" w:hAnsi="Times New Roman" w:eastAsia="宋体" w:cs="Times New Roman"/>
          <w:spacing w:val="-6"/>
          <w:sz w:val="24"/>
        </w:rPr>
        <w:t>式清粪机上</w:t>
      </w:r>
      <w:r>
        <w:rPr>
          <w:rFonts w:hint="eastAsia" w:ascii="Times New Roman" w:hAnsi="Times New Roman" w:eastAsia="宋体" w:cs="Times New Roman"/>
          <w:spacing w:val="-6"/>
          <w:sz w:val="24"/>
          <w:lang w:val="en-GB"/>
        </w:rPr>
        <w:t>，鸡粪在清粪带停留期间，在流动空气的作用下，鸡粪中的水分自然蒸干。</w:t>
      </w:r>
      <w:r>
        <w:rPr>
          <w:rFonts w:hint="eastAsia" w:ascii="Times New Roman" w:hAnsi="Times New Roman" w:eastAsia="宋体" w:cs="Times New Roman"/>
          <w:spacing w:val="-6"/>
          <w:sz w:val="24"/>
        </w:rPr>
        <w:t>清粪带每天开启半小时，</w:t>
      </w:r>
      <w:r>
        <w:rPr>
          <w:rFonts w:hint="eastAsia" w:ascii="Times New Roman" w:hAnsi="Times New Roman" w:eastAsia="宋体" w:cs="Times New Roman"/>
          <w:spacing w:val="-6"/>
          <w:sz w:val="24"/>
          <w:lang w:val="en-GB"/>
        </w:rPr>
        <w:t>由于清粪带平整光滑，干清粪处理工艺对鸡粪的清理效率可达到</w:t>
      </w:r>
      <w:r>
        <w:rPr>
          <w:rFonts w:hint="eastAsia" w:ascii="Times New Roman" w:hAnsi="Times New Roman" w:eastAsia="宋体" w:cs="Times New Roman"/>
          <w:spacing w:val="-6"/>
          <w:sz w:val="24"/>
        </w:rPr>
        <w:t>100%</w:t>
      </w:r>
      <w:r>
        <w:rPr>
          <w:rFonts w:hint="eastAsia" w:ascii="Times New Roman" w:hAnsi="Times New Roman" w:eastAsia="宋体" w:cs="Times New Roman"/>
          <w:spacing w:val="-6"/>
          <w:sz w:val="24"/>
          <w:lang w:eastAsia="zh-CN"/>
        </w:rPr>
        <w:t>。</w:t>
      </w:r>
      <w:r>
        <w:rPr>
          <w:rFonts w:ascii="Times New Roman" w:hAnsi="Times New Roman"/>
          <w:sz w:val="24"/>
        </w:rPr>
        <w:t>如遇到暴雨等极端天气，当日不进行清理鸡粪，待天气好转后再行清粪</w:t>
      </w:r>
      <w:r>
        <w:rPr>
          <w:rFonts w:hint="eastAsia"/>
          <w:sz w:val="24"/>
          <w:lang w:eastAsia="zh-CN"/>
        </w:rPr>
        <w:t>。</w:t>
      </w:r>
    </w:p>
    <w:p>
      <w:pPr>
        <w:pStyle w:val="7"/>
        <w:adjustRightInd w:val="0"/>
        <w:snapToGrid w:val="0"/>
        <w:spacing w:before="0" w:after="0" w:line="360" w:lineRule="auto"/>
        <w:jc w:val="left"/>
        <w:rPr>
          <w:sz w:val="24"/>
          <w:szCs w:val="24"/>
        </w:rPr>
      </w:pPr>
      <w:r>
        <w:rPr>
          <w:sz w:val="24"/>
          <w:szCs w:val="24"/>
        </w:rPr>
        <w:t>3.</w:t>
      </w:r>
      <w:r>
        <w:rPr>
          <w:rFonts w:hint="eastAsia"/>
          <w:sz w:val="24"/>
          <w:szCs w:val="24"/>
        </w:rPr>
        <w:t>2.3 项目水平衡分析</w:t>
      </w:r>
    </w:p>
    <w:p>
      <w:pPr>
        <w:spacing w:line="360" w:lineRule="auto"/>
        <w:ind w:firstLine="452" w:firstLineChars="200"/>
        <w:rPr>
          <w:sz w:val="24"/>
        </w:rPr>
      </w:pPr>
      <w:r>
        <w:rPr>
          <w:rFonts w:hint="eastAsia"/>
          <w:spacing w:val="-7"/>
          <w:sz w:val="24"/>
        </w:rPr>
        <w:t>本项目用水包括生活用水、蛋鸡饮用水、鸡舍冲洗用水、鸡舍湿帘用水、消毒用水</w:t>
      </w:r>
      <w:r>
        <w:rPr>
          <w:rFonts w:hint="eastAsia"/>
          <w:spacing w:val="-7"/>
          <w:sz w:val="24"/>
          <w:lang w:val="en-US" w:eastAsia="zh-CN"/>
        </w:rPr>
        <w:t>和</w:t>
      </w:r>
      <w:r>
        <w:rPr>
          <w:rFonts w:hint="eastAsia"/>
          <w:spacing w:val="-7"/>
          <w:sz w:val="24"/>
        </w:rPr>
        <w:t>防尘间喷淋系统用水，具体分析如下</w:t>
      </w:r>
      <w:r>
        <w:rPr>
          <w:spacing w:val="-6"/>
          <w:sz w:val="24"/>
        </w:rPr>
        <w:t>。</w:t>
      </w:r>
    </w:p>
    <w:p>
      <w:pPr>
        <w:spacing w:line="360" w:lineRule="auto"/>
        <w:ind w:firstLine="458" w:firstLineChars="200"/>
        <w:rPr>
          <w:b/>
          <w:sz w:val="24"/>
        </w:rPr>
      </w:pPr>
      <w:r>
        <w:rPr>
          <w:b/>
          <w:spacing w:val="-6"/>
          <w:sz w:val="24"/>
        </w:rPr>
        <w:t>（1）生活用水</w:t>
      </w:r>
    </w:p>
    <w:p>
      <w:pPr>
        <w:autoSpaceDE w:val="0"/>
        <w:autoSpaceDN w:val="0"/>
        <w:adjustRightInd w:val="0"/>
        <w:spacing w:line="360" w:lineRule="auto"/>
        <w:ind w:firstLine="456" w:firstLineChars="200"/>
        <w:rPr>
          <w:spacing w:val="-6"/>
          <w:sz w:val="24"/>
        </w:rPr>
      </w:pPr>
      <w:r>
        <w:rPr>
          <w:rFonts w:hint="eastAsia"/>
          <w:spacing w:val="-6"/>
          <w:sz w:val="24"/>
        </w:rPr>
        <w:t>本项目员工住宿办公生活过程中会产生一定量的废水，职工共50人，25人食宿在场内，25人未住宿；项目生活用水量根据《湖南省地方标准 用水定额》（DB43/T388-2020）进行估算，住宿按120L/人•d计，未住宿按80L/人•d计，年工作365天。则项目员工生活用水量为5m</w:t>
      </w:r>
      <w:r>
        <w:rPr>
          <w:rFonts w:hint="eastAsia"/>
          <w:spacing w:val="-6"/>
          <w:sz w:val="24"/>
          <w:vertAlign w:val="superscript"/>
        </w:rPr>
        <w:t>3</w:t>
      </w:r>
      <w:r>
        <w:rPr>
          <w:rFonts w:hint="eastAsia"/>
          <w:spacing w:val="-6"/>
          <w:sz w:val="24"/>
        </w:rPr>
        <w:t>/d（1825m</w:t>
      </w:r>
      <w:r>
        <w:rPr>
          <w:rFonts w:hint="eastAsia"/>
          <w:spacing w:val="-6"/>
          <w:sz w:val="24"/>
          <w:vertAlign w:val="superscript"/>
        </w:rPr>
        <w:t>3</w:t>
      </w:r>
      <w:r>
        <w:rPr>
          <w:rFonts w:hint="eastAsia"/>
          <w:spacing w:val="-6"/>
          <w:sz w:val="24"/>
        </w:rPr>
        <w:t>/a），80%计入废水量约为4m</w:t>
      </w:r>
      <w:r>
        <w:rPr>
          <w:rFonts w:hint="eastAsia"/>
          <w:spacing w:val="-6"/>
          <w:sz w:val="24"/>
          <w:vertAlign w:val="superscript"/>
        </w:rPr>
        <w:t>3</w:t>
      </w:r>
      <w:r>
        <w:rPr>
          <w:rFonts w:hint="eastAsia"/>
          <w:spacing w:val="-6"/>
          <w:sz w:val="24"/>
        </w:rPr>
        <w:t>/d（1460m</w:t>
      </w:r>
      <w:r>
        <w:rPr>
          <w:rFonts w:hint="eastAsia"/>
          <w:spacing w:val="-6"/>
          <w:sz w:val="24"/>
          <w:vertAlign w:val="superscript"/>
        </w:rPr>
        <w:t>3</w:t>
      </w:r>
      <w:r>
        <w:rPr>
          <w:rFonts w:hint="eastAsia"/>
          <w:spacing w:val="-6"/>
          <w:sz w:val="24"/>
        </w:rPr>
        <w:t>/a）</w:t>
      </w:r>
      <w:r>
        <w:rPr>
          <w:spacing w:val="-6"/>
          <w:sz w:val="24"/>
        </w:rPr>
        <w:t>。</w:t>
      </w:r>
    </w:p>
    <w:p>
      <w:pPr>
        <w:spacing w:line="360" w:lineRule="auto"/>
        <w:ind w:firstLine="458" w:firstLineChars="200"/>
        <w:rPr>
          <w:b/>
          <w:spacing w:val="-6"/>
          <w:sz w:val="24"/>
        </w:rPr>
      </w:pPr>
      <w:r>
        <w:rPr>
          <w:rFonts w:hint="eastAsia"/>
          <w:b/>
          <w:spacing w:val="-6"/>
          <w:sz w:val="24"/>
        </w:rPr>
        <w:t>（2）蛋鸡饮用水</w:t>
      </w:r>
    </w:p>
    <w:p>
      <w:pPr>
        <w:autoSpaceDE w:val="0"/>
        <w:autoSpaceDN w:val="0"/>
        <w:adjustRightInd w:val="0"/>
        <w:spacing w:line="360" w:lineRule="auto"/>
        <w:ind w:firstLine="456" w:firstLineChars="200"/>
        <w:rPr>
          <w:spacing w:val="-6"/>
          <w:sz w:val="24"/>
        </w:rPr>
      </w:pPr>
      <w:r>
        <w:rPr>
          <w:rFonts w:hint="eastAsia"/>
          <w:spacing w:val="-6"/>
          <w:sz w:val="24"/>
        </w:rPr>
        <w:t>本项目存栏蛋鸡60万羽，根据《湖南省地方标准 用水定额》（DB43/T388-2020）表4 牲畜用水定额：A032小牲畜：鸡集中规模化养殖用水量为0.15L/（只•d），则本项目鸡日均饮水量90t/d，年用水量为32850t/a，饮用水部分被蛋鸡吸收，部分随粪便排除。</w:t>
      </w:r>
    </w:p>
    <w:p>
      <w:pPr>
        <w:pStyle w:val="5"/>
        <w:adjustRightInd w:val="0"/>
        <w:snapToGrid w:val="0"/>
        <w:spacing w:after="0" w:line="360" w:lineRule="auto"/>
        <w:ind w:firstLine="482" w:firstLineChars="200"/>
        <w:rPr>
          <w:rFonts w:ascii="Times New Roman" w:hAnsi="Times New Roman" w:cs="Times New Roman"/>
          <w:b/>
          <w:color w:val="FF0000"/>
          <w:sz w:val="24"/>
          <w:u w:val="wave"/>
        </w:rPr>
      </w:pPr>
      <w:r>
        <w:rPr>
          <w:rFonts w:hint="eastAsia" w:ascii="Times New Roman" w:hAnsi="Times New Roman" w:cs="Times New Roman"/>
          <w:b/>
          <w:color w:val="FF0000"/>
          <w:sz w:val="24"/>
          <w:u w:val="wave"/>
        </w:rPr>
        <w:t>（3）鸡舍</w:t>
      </w:r>
      <w:r>
        <w:rPr>
          <w:rFonts w:hint="eastAsia" w:ascii="Times New Roman" w:hAnsi="Times New Roman" w:cs="Times New Roman"/>
          <w:b/>
          <w:color w:val="FF0000"/>
          <w:sz w:val="24"/>
          <w:u w:val="wave"/>
          <w:lang w:val="en-US" w:eastAsia="zh-CN"/>
        </w:rPr>
        <w:t>冲洗</w:t>
      </w:r>
      <w:r>
        <w:rPr>
          <w:rFonts w:hint="eastAsia" w:ascii="Times New Roman" w:hAnsi="Times New Roman" w:cs="Times New Roman"/>
          <w:b/>
          <w:color w:val="FF0000"/>
          <w:sz w:val="24"/>
          <w:u w:val="wave"/>
        </w:rPr>
        <w:t>用水</w:t>
      </w:r>
    </w:p>
    <w:p>
      <w:pPr>
        <w:autoSpaceDE w:val="0"/>
        <w:autoSpaceDN w:val="0"/>
        <w:adjustRightInd w:val="0"/>
        <w:spacing w:line="360" w:lineRule="auto"/>
        <w:ind w:firstLine="456" w:firstLineChars="200"/>
        <w:rPr>
          <w:color w:val="FF0000"/>
          <w:spacing w:val="-6"/>
          <w:sz w:val="24"/>
          <w:u w:val="wave"/>
        </w:rPr>
      </w:pPr>
      <w:r>
        <w:rPr>
          <w:rFonts w:hint="eastAsia"/>
          <w:color w:val="FF0000"/>
          <w:spacing w:val="-6"/>
          <w:sz w:val="24"/>
          <w:u w:val="wave"/>
        </w:rPr>
        <w:t>根据建设单位提供的资料，项目鸡舍在一个饲养周期结束后才会进行冲洗，因此项目一年内蛋鸡鸡舍只需冲洗一次。项目共设6栋鸡舍，每栋鸡舍面积约为1813.61m</w:t>
      </w:r>
      <w:r>
        <w:rPr>
          <w:rFonts w:hint="eastAsia"/>
          <w:color w:val="FF0000"/>
          <w:spacing w:val="-6"/>
          <w:sz w:val="24"/>
          <w:u w:val="wave"/>
          <w:vertAlign w:val="superscript"/>
        </w:rPr>
        <w:t>2</w:t>
      </w:r>
      <w:r>
        <w:rPr>
          <w:rFonts w:hint="eastAsia"/>
          <w:color w:val="FF0000"/>
          <w:spacing w:val="-6"/>
          <w:sz w:val="24"/>
          <w:u w:val="wave"/>
        </w:rPr>
        <w:t>，鸡舍冲洗用水量约2m</w:t>
      </w:r>
      <w:r>
        <w:rPr>
          <w:rFonts w:hint="eastAsia"/>
          <w:color w:val="FF0000"/>
          <w:spacing w:val="-6"/>
          <w:sz w:val="24"/>
          <w:u w:val="wave"/>
          <w:vertAlign w:val="superscript"/>
        </w:rPr>
        <w:t>3</w:t>
      </w:r>
      <w:r>
        <w:rPr>
          <w:rFonts w:hint="eastAsia"/>
          <w:color w:val="FF0000"/>
          <w:spacing w:val="-6"/>
          <w:sz w:val="24"/>
          <w:u w:val="wave"/>
        </w:rPr>
        <w:t>/100m</w:t>
      </w:r>
      <w:r>
        <w:rPr>
          <w:rFonts w:hint="eastAsia"/>
          <w:color w:val="FF0000"/>
          <w:spacing w:val="-6"/>
          <w:sz w:val="24"/>
          <w:u w:val="wave"/>
          <w:vertAlign w:val="superscript"/>
        </w:rPr>
        <w:t>2</w:t>
      </w:r>
      <w:r>
        <w:rPr>
          <w:rFonts w:hint="eastAsia"/>
          <w:color w:val="FF0000"/>
          <w:spacing w:val="-6"/>
          <w:sz w:val="24"/>
          <w:u w:val="wave"/>
        </w:rPr>
        <w:t>，则经计算，鸡舍冲洗水需217.63m</w:t>
      </w:r>
      <w:r>
        <w:rPr>
          <w:rFonts w:hint="eastAsia"/>
          <w:color w:val="FF0000"/>
          <w:spacing w:val="-6"/>
          <w:sz w:val="24"/>
          <w:u w:val="wave"/>
          <w:vertAlign w:val="superscript"/>
        </w:rPr>
        <w:t>3</w:t>
      </w:r>
      <w:r>
        <w:rPr>
          <w:rFonts w:hint="eastAsia"/>
          <w:color w:val="FF0000"/>
          <w:spacing w:val="-6"/>
          <w:sz w:val="24"/>
          <w:u w:val="wave"/>
        </w:rPr>
        <w:t>/a。鸡舍冲洗废水量按90%计，则本项目鸡舍冲洗废水产生量为195.87m</w:t>
      </w:r>
      <w:r>
        <w:rPr>
          <w:rFonts w:hint="eastAsia"/>
          <w:color w:val="FF0000"/>
          <w:spacing w:val="-6"/>
          <w:sz w:val="24"/>
          <w:u w:val="wave"/>
          <w:vertAlign w:val="superscript"/>
        </w:rPr>
        <w:t>3</w:t>
      </w:r>
      <w:r>
        <w:rPr>
          <w:rFonts w:hint="eastAsia"/>
          <w:color w:val="FF0000"/>
          <w:spacing w:val="-6"/>
          <w:sz w:val="24"/>
          <w:u w:val="wave"/>
        </w:rPr>
        <w:t>/a。每栋鸡舍旁设置一个废水收集池，鸡舍冲洗废水经废水收集池收集后，用泵将废水抽至</w:t>
      </w:r>
      <w:r>
        <w:rPr>
          <w:rFonts w:hint="eastAsia"/>
          <w:color w:val="FF0000"/>
          <w:spacing w:val="-6"/>
          <w:sz w:val="24"/>
          <w:u w:val="wave"/>
          <w:lang w:val="en-US" w:eastAsia="zh-CN"/>
        </w:rPr>
        <w:t>生活</w:t>
      </w:r>
      <w:r>
        <w:rPr>
          <w:rFonts w:hint="eastAsia"/>
          <w:color w:val="FF0000"/>
          <w:spacing w:val="-6"/>
          <w:sz w:val="24"/>
          <w:u w:val="wave"/>
        </w:rPr>
        <w:t>池，鸡舍冲洗废水</w:t>
      </w:r>
      <w:r>
        <w:rPr>
          <w:rFonts w:hint="eastAsia"/>
          <w:color w:val="FF0000"/>
          <w:spacing w:val="-6"/>
          <w:sz w:val="24"/>
          <w:u w:val="wave"/>
          <w:lang w:val="en-US" w:eastAsia="zh-CN"/>
        </w:rPr>
        <w:t>经</w:t>
      </w:r>
      <w:r>
        <w:rPr>
          <w:rFonts w:hint="eastAsia" w:ascii="Times New Roman" w:hAnsi="Times New Roman" w:cs="Times New Roman"/>
          <w:color w:val="FF0000"/>
          <w:sz w:val="24"/>
          <w:u w:val="wave"/>
          <w:lang w:val="en-US" w:eastAsia="zh-CN"/>
        </w:rPr>
        <w:t>污水处理站</w:t>
      </w:r>
      <w:r>
        <w:rPr>
          <w:rFonts w:hint="eastAsia"/>
          <w:color w:val="FF0000"/>
          <w:spacing w:val="-6"/>
          <w:sz w:val="24"/>
          <w:u w:val="wave"/>
        </w:rPr>
        <w:t>处理后</w:t>
      </w:r>
      <w:r>
        <w:rPr>
          <w:rFonts w:hint="eastAsia"/>
          <w:color w:val="FF0000"/>
          <w:spacing w:val="-6"/>
          <w:sz w:val="24"/>
          <w:u w:val="wave"/>
          <w:lang w:eastAsia="zh-CN"/>
        </w:rPr>
        <w:t>用于周边种植基地灌溉</w:t>
      </w:r>
      <w:r>
        <w:rPr>
          <w:rFonts w:hint="eastAsia"/>
          <w:color w:val="FF0000"/>
          <w:spacing w:val="-6"/>
          <w:sz w:val="24"/>
          <w:u w:val="wave"/>
        </w:rPr>
        <w:t>，不外排。</w:t>
      </w:r>
    </w:p>
    <w:p>
      <w:pPr>
        <w:autoSpaceDE w:val="0"/>
        <w:autoSpaceDN w:val="0"/>
        <w:adjustRightInd w:val="0"/>
        <w:spacing w:line="360" w:lineRule="auto"/>
        <w:ind w:firstLine="482" w:firstLineChars="200"/>
        <w:rPr>
          <w:rFonts w:eastAsiaTheme="minorEastAsia"/>
          <w:b/>
          <w:sz w:val="24"/>
        </w:rPr>
      </w:pPr>
      <w:r>
        <w:rPr>
          <w:rFonts w:eastAsiaTheme="minorEastAsia"/>
          <w:b/>
          <w:sz w:val="24"/>
        </w:rPr>
        <w:t>（4）鸡舍湿帘用水</w:t>
      </w:r>
    </w:p>
    <w:p>
      <w:pPr>
        <w:autoSpaceDE w:val="0"/>
        <w:autoSpaceDN w:val="0"/>
        <w:adjustRightInd w:val="0"/>
        <w:spacing w:line="360" w:lineRule="auto"/>
        <w:ind w:firstLine="456" w:firstLineChars="200"/>
        <w:rPr>
          <w:spacing w:val="-6"/>
          <w:sz w:val="24"/>
        </w:rPr>
      </w:pPr>
      <w:r>
        <w:rPr>
          <w:spacing w:val="-6"/>
          <w:sz w:val="24"/>
        </w:rPr>
        <w:t>鸡舍湿帘降温除尘用水循环利用，每栋鸡舍设置1个降温水循环水池。根据建设单位提供资料，项目每套湿帘日均耗水量约为2m</w:t>
      </w:r>
      <w:r>
        <w:rPr>
          <w:spacing w:val="-6"/>
          <w:sz w:val="24"/>
          <w:vertAlign w:val="superscript"/>
        </w:rPr>
        <w:t>3</w:t>
      </w:r>
      <w:r>
        <w:rPr>
          <w:spacing w:val="-6"/>
          <w:sz w:val="24"/>
        </w:rPr>
        <w:t>，每栋鸡舍共设</w:t>
      </w:r>
      <w:r>
        <w:rPr>
          <w:rFonts w:hint="eastAsia"/>
          <w:spacing w:val="-6"/>
          <w:sz w:val="24"/>
        </w:rPr>
        <w:t>3</w:t>
      </w:r>
      <w:r>
        <w:rPr>
          <w:spacing w:val="-6"/>
          <w:sz w:val="24"/>
        </w:rPr>
        <w:t>套湿帘降温，项目共</w:t>
      </w:r>
      <w:r>
        <w:rPr>
          <w:rFonts w:hint="eastAsia"/>
          <w:spacing w:val="-6"/>
          <w:sz w:val="24"/>
        </w:rPr>
        <w:t>6</w:t>
      </w:r>
      <w:r>
        <w:rPr>
          <w:spacing w:val="-6"/>
          <w:sz w:val="24"/>
        </w:rPr>
        <w:t>栋鸡舍，则鸡舍湿帘用水量为</w:t>
      </w:r>
      <w:r>
        <w:rPr>
          <w:rFonts w:hint="eastAsia"/>
          <w:spacing w:val="-6"/>
          <w:sz w:val="24"/>
        </w:rPr>
        <w:t>36</w:t>
      </w:r>
      <w:r>
        <w:rPr>
          <w:spacing w:val="-6"/>
          <w:sz w:val="24"/>
        </w:rPr>
        <w:t>m</w:t>
      </w:r>
      <w:r>
        <w:rPr>
          <w:spacing w:val="-6"/>
          <w:sz w:val="24"/>
          <w:vertAlign w:val="superscript"/>
        </w:rPr>
        <w:t>3</w:t>
      </w:r>
      <w:r>
        <w:rPr>
          <w:spacing w:val="-6"/>
          <w:sz w:val="24"/>
        </w:rPr>
        <w:t>/d，湿帘按照全年使用天数100天计算，则年用水量为</w:t>
      </w:r>
      <w:r>
        <w:rPr>
          <w:rFonts w:hint="eastAsia"/>
          <w:spacing w:val="-6"/>
          <w:sz w:val="24"/>
        </w:rPr>
        <w:t>3600</w:t>
      </w:r>
      <w:r>
        <w:rPr>
          <w:spacing w:val="-6"/>
          <w:sz w:val="24"/>
        </w:rPr>
        <w:t>m</w:t>
      </w:r>
      <w:r>
        <w:rPr>
          <w:spacing w:val="-6"/>
          <w:sz w:val="24"/>
          <w:vertAlign w:val="superscript"/>
        </w:rPr>
        <w:t>3</w:t>
      </w:r>
      <w:r>
        <w:rPr>
          <w:spacing w:val="-6"/>
          <w:sz w:val="24"/>
        </w:rPr>
        <w:t>。循环损失量按</w:t>
      </w:r>
      <w:r>
        <w:rPr>
          <w:rFonts w:hint="eastAsia"/>
          <w:spacing w:val="-6"/>
          <w:sz w:val="24"/>
        </w:rPr>
        <w:t>1%计算，则鸡舍湿帘需补充新鲜水36</w:t>
      </w:r>
      <w:r>
        <w:rPr>
          <w:spacing w:val="-6"/>
          <w:sz w:val="24"/>
        </w:rPr>
        <w:t>m</w:t>
      </w:r>
      <w:r>
        <w:rPr>
          <w:spacing w:val="-6"/>
          <w:sz w:val="24"/>
          <w:vertAlign w:val="superscript"/>
        </w:rPr>
        <w:t>3</w:t>
      </w:r>
      <w:r>
        <w:rPr>
          <w:spacing w:val="-6"/>
          <w:sz w:val="24"/>
        </w:rPr>
        <w:t>/a。</w:t>
      </w:r>
    </w:p>
    <w:p>
      <w:pPr>
        <w:pStyle w:val="5"/>
        <w:adjustRightInd w:val="0"/>
        <w:snapToGrid w:val="0"/>
        <w:spacing w:after="0" w:line="360" w:lineRule="auto"/>
        <w:ind w:firstLine="482" w:firstLineChars="200"/>
        <w:rPr>
          <w:rFonts w:ascii="Times New Roman" w:hAnsi="Times New Roman" w:cs="Times New Roman"/>
          <w:b/>
          <w:sz w:val="24"/>
        </w:rPr>
      </w:pPr>
      <w:r>
        <w:rPr>
          <w:rFonts w:hint="eastAsia" w:ascii="Times New Roman" w:hAnsi="Times New Roman" w:cs="Times New Roman"/>
          <w:b/>
          <w:sz w:val="24"/>
        </w:rPr>
        <w:t>（5）消毒用水</w:t>
      </w:r>
    </w:p>
    <w:p>
      <w:pPr>
        <w:pStyle w:val="5"/>
        <w:adjustRightInd w:val="0"/>
        <w:snapToGrid w:val="0"/>
        <w:spacing w:after="0" w:line="360" w:lineRule="auto"/>
        <w:ind w:firstLine="480" w:firstLineChars="200"/>
        <w:rPr>
          <w:rFonts w:hint="eastAsia"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①</w:t>
      </w:r>
      <w:r>
        <w:rPr>
          <w:rFonts w:hint="eastAsia" w:ascii="Times New Roman" w:hAnsi="Times New Roman" w:cs="Times New Roman"/>
          <w:b w:val="0"/>
          <w:bCs/>
          <w:sz w:val="24"/>
          <w:lang w:val="en-US" w:eastAsia="zh-CN"/>
        </w:rPr>
        <w:t>鸡舍</w:t>
      </w:r>
      <w:r>
        <w:rPr>
          <w:rFonts w:hint="eastAsia" w:ascii="Times New Roman" w:hAnsi="Times New Roman" w:cs="Times New Roman"/>
          <w:b w:val="0"/>
          <w:bCs/>
          <w:sz w:val="24"/>
        </w:rPr>
        <w:t>消毒用水</w:t>
      </w:r>
    </w:p>
    <w:p>
      <w:pPr>
        <w:pStyle w:val="5"/>
        <w:adjustRightInd w:val="0"/>
        <w:snapToGrid w:val="0"/>
        <w:spacing w:after="0" w:line="360" w:lineRule="auto"/>
        <w:ind w:firstLine="480" w:firstLineChars="200"/>
        <w:rPr>
          <w:rFonts w:hint="eastAsia" w:ascii="Times New Roman" w:hAnsi="Times New Roman" w:cs="Times New Roman"/>
          <w:sz w:val="24"/>
          <w:szCs w:val="24"/>
          <w:lang w:eastAsia="zh-CN"/>
        </w:rPr>
      </w:pPr>
      <w:r>
        <w:rPr>
          <w:rFonts w:hint="default" w:ascii="Times New Roman" w:hAnsi="Times New Roman" w:cs="Times New Roman"/>
          <w:sz w:val="24"/>
          <w:szCs w:val="24"/>
        </w:rPr>
        <w:t>为预防鸡群发生疫病，需定期对鸡舍及场区采取喷雾消毒，消毒剂主要为聚维酮碘溶液、复方戌二醛溶液、次氯酸钠溶液等，消毒液与水按照一定比例混合，消毒频率为鸡舍1次/天，舍外场区一周3次，平均每次消毒用水量为舍内0.1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，舍外场区0.2m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，则全年消毒用水量为67.8m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。喷洒后的消毒水挥发殆尽，不产生废水</w:t>
      </w:r>
      <w:r>
        <w:rPr>
          <w:rFonts w:hint="eastAsia" w:ascii="Times New Roman" w:hAnsi="Times New Roman" w:cs="Times New Roman"/>
          <w:sz w:val="24"/>
          <w:szCs w:val="24"/>
          <w:lang w:eastAsia="zh-CN"/>
        </w:rPr>
        <w:t>。</w:t>
      </w:r>
    </w:p>
    <w:p>
      <w:pPr>
        <w:pStyle w:val="5"/>
        <w:adjustRightInd w:val="0"/>
        <w:snapToGrid w:val="0"/>
        <w:spacing w:after="0" w:line="360" w:lineRule="auto"/>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②</w:t>
      </w:r>
      <w:r>
        <w:rPr>
          <w:rFonts w:hint="default" w:ascii="Times New Roman" w:hAnsi="Times New Roman" w:cs="Times New Roman"/>
          <w:sz w:val="24"/>
          <w:szCs w:val="24"/>
          <w:lang w:val="en-US" w:eastAsia="zh-CN"/>
        </w:rPr>
        <w:t>员工消毒用水</w:t>
      </w:r>
    </w:p>
    <w:p>
      <w:pPr>
        <w:pStyle w:val="5"/>
        <w:adjustRightInd w:val="0"/>
        <w:snapToGrid w:val="0"/>
        <w:spacing w:after="0" w:line="360" w:lineRule="auto"/>
        <w:ind w:firstLine="480" w:firstLineChars="200"/>
        <w:rPr>
          <w:rFonts w:hint="eastAsia"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en-US" w:eastAsia="zh-CN" w:bidi="ar-SA"/>
        </w:rPr>
        <w:t>员工进入养殖区设置有超声波雾化人员通道消毒仪消毒，用水量极少，约为0.05t/周，消毒液每周补充，则员工消毒用水量约为2.6t/a。消毒用水定期补充，无废水产生</w:t>
      </w:r>
      <w:r>
        <w:rPr>
          <w:rFonts w:hint="eastAsia" w:ascii="Times New Roman" w:hAnsi="Times New Roman" w:cs="Times New Roman"/>
          <w:kern w:val="2"/>
          <w:sz w:val="24"/>
          <w:szCs w:val="24"/>
          <w:lang w:val="en-US" w:eastAsia="zh-CN" w:bidi="ar-SA"/>
        </w:rPr>
        <w:t>。</w:t>
      </w:r>
    </w:p>
    <w:p>
      <w:pPr>
        <w:pStyle w:val="5"/>
        <w:adjustRightInd w:val="0"/>
        <w:snapToGrid w:val="0"/>
        <w:spacing w:after="0" w:line="360" w:lineRule="auto"/>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③</w:t>
      </w:r>
      <w:r>
        <w:rPr>
          <w:rFonts w:hint="default" w:ascii="Times New Roman" w:hAnsi="Times New Roman" w:cs="Times New Roman"/>
          <w:sz w:val="24"/>
          <w:szCs w:val="24"/>
          <w:lang w:val="en-US" w:eastAsia="zh-CN"/>
        </w:rPr>
        <w:t>车辆消毒用水</w:t>
      </w:r>
    </w:p>
    <w:p>
      <w:pPr>
        <w:pStyle w:val="5"/>
        <w:adjustRightInd w:val="0"/>
        <w:snapToGrid w:val="0"/>
        <w:spacing w:after="0" w:line="360" w:lineRule="auto"/>
        <w:ind w:firstLine="480" w:firstLineChars="200"/>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en-US" w:eastAsia="zh-CN" w:bidi="ar-SA"/>
        </w:rPr>
        <w:t>在养殖区入口处设置一个轮胎消毒池，消毒池中消毒液与水以一定的比例混合，消毒池中的水不外排，循环使用，每周补充一次，平均日损耗量为0.22m</w:t>
      </w:r>
      <w:r>
        <w:rPr>
          <w:rFonts w:hint="default" w:ascii="Times New Roman" w:hAnsi="Times New Roman" w:cs="Times New Roman" w:eastAsiaTheme="minorEastAsia"/>
          <w:kern w:val="2"/>
          <w:sz w:val="24"/>
          <w:szCs w:val="24"/>
          <w:vertAlign w:val="superscript"/>
          <w:lang w:val="en-US" w:eastAsia="zh-CN" w:bidi="ar-SA"/>
        </w:rPr>
        <w:t>3</w:t>
      </w:r>
      <w:r>
        <w:rPr>
          <w:rFonts w:hint="default" w:ascii="Times New Roman" w:hAnsi="Times New Roman" w:cs="Times New Roman" w:eastAsiaTheme="minorEastAsia"/>
          <w:kern w:val="2"/>
          <w:sz w:val="24"/>
          <w:szCs w:val="24"/>
          <w:lang w:val="en-US" w:eastAsia="zh-CN" w:bidi="ar-SA"/>
        </w:rPr>
        <w:t>/</w:t>
      </w:r>
      <w:r>
        <w:rPr>
          <w:rFonts w:hint="eastAsia" w:ascii="Times New Roman" w:hAnsi="Times New Roman" w:cs="Times New Roman" w:eastAsiaTheme="minorEastAsia"/>
          <w:kern w:val="2"/>
          <w:sz w:val="24"/>
          <w:szCs w:val="24"/>
          <w:lang w:val="en-US" w:eastAsia="zh-CN" w:bidi="ar-SA"/>
        </w:rPr>
        <w:t>d</w:t>
      </w:r>
      <w:r>
        <w:rPr>
          <w:rFonts w:hint="default" w:ascii="Times New Roman" w:hAnsi="Times New Roman" w:cs="Times New Roman" w:eastAsiaTheme="minorEastAsia"/>
          <w:kern w:val="2"/>
          <w:sz w:val="24"/>
          <w:szCs w:val="24"/>
          <w:lang w:val="en-US" w:eastAsia="zh-CN" w:bidi="ar-SA"/>
        </w:rPr>
        <w:t>，故本项目车辆消毒补充用水量约为80.3m</w:t>
      </w:r>
      <w:r>
        <w:rPr>
          <w:rFonts w:hint="default" w:ascii="Times New Roman" w:hAnsi="Times New Roman" w:cs="Times New Roman" w:eastAsiaTheme="minorEastAsia"/>
          <w:kern w:val="2"/>
          <w:sz w:val="24"/>
          <w:szCs w:val="24"/>
          <w:vertAlign w:val="superscript"/>
          <w:lang w:val="en-US" w:eastAsia="zh-CN" w:bidi="ar-SA"/>
        </w:rPr>
        <w:t>3</w:t>
      </w:r>
      <w:r>
        <w:rPr>
          <w:rFonts w:hint="default" w:ascii="Times New Roman" w:hAnsi="Times New Roman" w:cs="Times New Roman" w:eastAsiaTheme="minorEastAsia"/>
          <w:kern w:val="2"/>
          <w:sz w:val="24"/>
          <w:szCs w:val="24"/>
          <w:lang w:val="en-US" w:eastAsia="zh-CN" w:bidi="ar-SA"/>
        </w:rPr>
        <w:t>/a</w:t>
      </w:r>
      <w:r>
        <w:rPr>
          <w:rFonts w:hint="eastAsia" w:ascii="Times New Roman" w:hAnsi="Times New Roman" w:cs="Times New Roman" w:eastAsiaTheme="minorEastAsia"/>
          <w:kern w:val="2"/>
          <w:sz w:val="24"/>
          <w:szCs w:val="24"/>
          <w:lang w:val="en-US" w:eastAsia="zh-CN" w:bidi="ar-SA"/>
        </w:rPr>
        <w:t>。</w:t>
      </w:r>
    </w:p>
    <w:p>
      <w:pPr>
        <w:pStyle w:val="5"/>
        <w:adjustRightInd w:val="0"/>
        <w:snapToGrid w:val="0"/>
        <w:spacing w:after="0" w:line="360" w:lineRule="auto"/>
        <w:ind w:firstLine="482" w:firstLineChars="200"/>
        <w:rPr>
          <w:rFonts w:hint="default" w:ascii="Times New Roman" w:hAnsi="Times New Roman" w:cs="Times New Roman" w:eastAsiaTheme="minorEastAsia"/>
          <w:b/>
          <w:bCs/>
          <w:kern w:val="2"/>
          <w:sz w:val="24"/>
          <w:szCs w:val="24"/>
          <w:lang w:val="en-US" w:eastAsia="zh-CN" w:bidi="ar-SA"/>
        </w:rPr>
      </w:pPr>
      <w:r>
        <w:rPr>
          <w:rFonts w:hint="eastAsia" w:ascii="Times New Roman" w:hAnsi="Times New Roman" w:cs="Times New Roman"/>
          <w:b/>
          <w:bCs/>
          <w:kern w:val="2"/>
          <w:sz w:val="24"/>
          <w:szCs w:val="24"/>
          <w:lang w:val="en-US" w:eastAsia="zh-CN" w:bidi="ar-SA"/>
        </w:rPr>
        <w:t>（6）</w:t>
      </w:r>
      <w:r>
        <w:rPr>
          <w:rFonts w:hint="eastAsia" w:ascii="Times New Roman" w:hAnsi="Times New Roman" w:cs="Times New Roman" w:eastAsiaTheme="minorEastAsia"/>
          <w:b/>
          <w:bCs/>
          <w:kern w:val="2"/>
          <w:sz w:val="24"/>
          <w:szCs w:val="24"/>
          <w:lang w:val="en-US" w:eastAsia="zh-CN" w:bidi="ar-SA"/>
        </w:rPr>
        <w:t>防尘间</w:t>
      </w:r>
      <w:r>
        <w:rPr>
          <w:rFonts w:hint="default" w:ascii="Times New Roman" w:hAnsi="Times New Roman" w:cs="Times New Roman" w:eastAsiaTheme="minorEastAsia"/>
          <w:b/>
          <w:bCs/>
          <w:kern w:val="2"/>
          <w:sz w:val="24"/>
          <w:szCs w:val="24"/>
          <w:lang w:val="en-US" w:eastAsia="zh-CN" w:bidi="ar-SA"/>
        </w:rPr>
        <w:t>喷淋系统用水</w:t>
      </w:r>
    </w:p>
    <w:p>
      <w:pPr>
        <w:pStyle w:val="5"/>
        <w:adjustRightInd w:val="0"/>
        <w:snapToGrid w:val="0"/>
        <w:spacing w:after="0" w:line="360" w:lineRule="auto"/>
        <w:ind w:firstLine="480" w:firstLineChars="200"/>
        <w:rPr>
          <w:rFonts w:hint="default" w:ascii="Times New Roman" w:hAnsi="Times New Roman" w:cs="Times New Roman" w:eastAsiaTheme="minorEastAsia"/>
          <w:kern w:val="2"/>
          <w:sz w:val="24"/>
          <w:szCs w:val="24"/>
          <w:lang w:val="en-US" w:eastAsia="zh-CN" w:bidi="ar-SA"/>
        </w:rPr>
      </w:pPr>
      <w:r>
        <w:rPr>
          <w:rFonts w:hint="eastAsia" w:ascii="Times New Roman" w:hAnsi="Times New Roman" w:cs="Times New Roman" w:eastAsiaTheme="minorEastAsia"/>
          <w:kern w:val="2"/>
          <w:sz w:val="24"/>
          <w:szCs w:val="24"/>
          <w:lang w:val="en-US" w:eastAsia="zh-CN" w:bidi="ar-SA"/>
        </w:rPr>
        <w:t>鸡舍尾端防尘间</w:t>
      </w:r>
      <w:r>
        <w:rPr>
          <w:rFonts w:hint="default" w:ascii="Times New Roman" w:hAnsi="Times New Roman" w:cs="Times New Roman" w:eastAsiaTheme="minorEastAsia"/>
          <w:kern w:val="2"/>
          <w:sz w:val="24"/>
          <w:szCs w:val="24"/>
          <w:lang w:val="en-US" w:eastAsia="zh-CN" w:bidi="ar-SA"/>
        </w:rPr>
        <w:t>设置细水雾喷淋系统进行降尘，喷淋水雾降尘系统通过喷头与喷淋管线组成密集的降尘网络，经过微小的雾化颗粒将灰尘吸附并沉降，从而起到净化空气质量，提高空气湿度的作用。细水雾对人体无害，对环境无影响，且用水量大大降低，常应用于建筑工地，拆迁工地，市政工地，搅拌站等场所。</w:t>
      </w:r>
    </w:p>
    <w:p>
      <w:pPr>
        <w:pStyle w:val="5"/>
        <w:adjustRightInd w:val="0"/>
        <w:snapToGrid w:val="0"/>
        <w:spacing w:after="0" w:line="360" w:lineRule="auto"/>
        <w:ind w:firstLine="480" w:firstLineChars="200"/>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en-US" w:eastAsia="zh-CN" w:bidi="ar-SA"/>
        </w:rPr>
        <w:t>采用细水雾喷淋系统喷淋</w:t>
      </w:r>
      <w:r>
        <w:rPr>
          <w:rFonts w:hint="eastAsia" w:ascii="Times New Roman" w:hAnsi="Times New Roman" w:cs="Times New Roman" w:eastAsiaTheme="minorEastAsia"/>
          <w:kern w:val="2"/>
          <w:sz w:val="24"/>
          <w:szCs w:val="24"/>
          <w:lang w:val="en-US" w:eastAsia="zh-CN" w:bidi="ar-SA"/>
        </w:rPr>
        <w:t>降尘的方式</w:t>
      </w:r>
      <w:r>
        <w:rPr>
          <w:rFonts w:hint="default" w:ascii="Times New Roman" w:hAnsi="Times New Roman" w:cs="Times New Roman" w:eastAsiaTheme="minorEastAsia"/>
          <w:kern w:val="2"/>
          <w:sz w:val="24"/>
          <w:szCs w:val="24"/>
          <w:lang w:val="en-US" w:eastAsia="zh-CN" w:bidi="ar-SA"/>
        </w:rPr>
        <w:t>，地面将形成一片湿润状态</w:t>
      </w:r>
      <w:r>
        <w:rPr>
          <w:rFonts w:hint="eastAsia" w:ascii="Times New Roman" w:hAnsi="Times New Roman" w:cs="Times New Roman" w:eastAsiaTheme="minorEastAsia"/>
          <w:kern w:val="2"/>
          <w:sz w:val="24"/>
          <w:szCs w:val="24"/>
          <w:lang w:val="en-US" w:eastAsia="zh-CN" w:bidi="ar-SA"/>
        </w:rPr>
        <w:t>，废水经导流沟集中收集，进入废水处理系统处理。</w:t>
      </w:r>
      <w:r>
        <w:rPr>
          <w:rFonts w:hint="default" w:ascii="Times New Roman" w:hAnsi="Times New Roman" w:cs="Times New Roman" w:eastAsiaTheme="minorEastAsia"/>
          <w:kern w:val="2"/>
          <w:sz w:val="24"/>
          <w:szCs w:val="24"/>
          <w:lang w:val="en-US" w:eastAsia="zh-CN" w:bidi="ar-SA"/>
        </w:rPr>
        <w:t>根据其他领域运行情况可知，1000m</w:t>
      </w:r>
      <w:r>
        <w:rPr>
          <w:rFonts w:hint="default" w:ascii="Times New Roman" w:hAnsi="Times New Roman" w:cs="Times New Roman" w:eastAsiaTheme="minorEastAsia"/>
          <w:kern w:val="2"/>
          <w:sz w:val="24"/>
          <w:szCs w:val="24"/>
          <w:vertAlign w:val="superscript"/>
          <w:lang w:val="en-US" w:eastAsia="zh-CN" w:bidi="ar-SA"/>
        </w:rPr>
        <w:t>2</w:t>
      </w:r>
      <w:r>
        <w:rPr>
          <w:rFonts w:hint="default" w:ascii="Times New Roman" w:hAnsi="Times New Roman" w:cs="Times New Roman" w:eastAsiaTheme="minorEastAsia"/>
          <w:kern w:val="2"/>
          <w:sz w:val="24"/>
          <w:szCs w:val="24"/>
          <w:lang w:val="en-US" w:eastAsia="zh-CN" w:bidi="ar-SA"/>
        </w:rPr>
        <w:t>场地每天运行8小时，耗水量为2t/d，本项目</w:t>
      </w:r>
      <w:r>
        <w:rPr>
          <w:rFonts w:hint="eastAsia" w:ascii="Times New Roman" w:hAnsi="Times New Roman" w:cs="Times New Roman" w:eastAsiaTheme="minorEastAsia"/>
          <w:kern w:val="2"/>
          <w:sz w:val="24"/>
          <w:szCs w:val="24"/>
          <w:lang w:val="en-US" w:eastAsia="zh-CN" w:bidi="ar-SA"/>
        </w:rPr>
        <w:t>鸡舍尾端防尘间</w:t>
      </w:r>
      <w:r>
        <w:rPr>
          <w:rFonts w:hint="default" w:ascii="Times New Roman" w:hAnsi="Times New Roman" w:cs="Times New Roman" w:eastAsiaTheme="minorEastAsia"/>
          <w:kern w:val="2"/>
          <w:sz w:val="24"/>
          <w:szCs w:val="24"/>
          <w:lang w:val="en-US" w:eastAsia="zh-CN" w:bidi="ar-SA"/>
        </w:rPr>
        <w:t>面积为</w:t>
      </w:r>
      <w:r>
        <w:rPr>
          <w:rFonts w:hint="eastAsia" w:ascii="Times New Roman" w:hAnsi="Times New Roman" w:cs="Times New Roman"/>
          <w:kern w:val="2"/>
          <w:sz w:val="24"/>
          <w:szCs w:val="24"/>
          <w:lang w:val="en-US" w:eastAsia="zh-CN" w:bidi="ar-SA"/>
        </w:rPr>
        <w:t>36</w:t>
      </w:r>
      <w:r>
        <w:rPr>
          <w:rFonts w:hint="eastAsia" w:ascii="Times New Roman" w:hAnsi="Times New Roman" w:cs="Times New Roman" w:eastAsiaTheme="minorEastAsia"/>
          <w:kern w:val="2"/>
          <w:sz w:val="24"/>
          <w:szCs w:val="24"/>
          <w:lang w:val="en-US" w:eastAsia="zh-CN" w:bidi="ar-SA"/>
        </w:rPr>
        <w:t>0</w:t>
      </w:r>
      <w:r>
        <w:rPr>
          <w:rFonts w:hint="default" w:ascii="Times New Roman" w:hAnsi="Times New Roman" w:cs="Times New Roman" w:eastAsiaTheme="minorEastAsia"/>
          <w:kern w:val="2"/>
          <w:sz w:val="24"/>
          <w:szCs w:val="24"/>
          <w:lang w:val="en-US" w:eastAsia="zh-CN" w:bidi="ar-SA"/>
        </w:rPr>
        <w:t>m</w:t>
      </w:r>
      <w:r>
        <w:rPr>
          <w:rFonts w:hint="default" w:ascii="Times New Roman" w:hAnsi="Times New Roman" w:cs="Times New Roman" w:eastAsiaTheme="minorEastAsia"/>
          <w:kern w:val="2"/>
          <w:sz w:val="24"/>
          <w:szCs w:val="24"/>
          <w:vertAlign w:val="superscript"/>
          <w:lang w:val="en-US" w:eastAsia="zh-CN" w:bidi="ar-SA"/>
        </w:rPr>
        <w:t>2</w:t>
      </w:r>
      <w:r>
        <w:rPr>
          <w:rFonts w:hint="default" w:ascii="Times New Roman" w:hAnsi="Times New Roman" w:cs="Times New Roman" w:eastAsiaTheme="minorEastAsia"/>
          <w:kern w:val="2"/>
          <w:sz w:val="24"/>
          <w:szCs w:val="24"/>
          <w:lang w:val="en-US" w:eastAsia="zh-CN" w:bidi="ar-SA"/>
        </w:rPr>
        <w:t>，每天运行24h，则耗水量为</w:t>
      </w:r>
      <w:r>
        <w:rPr>
          <w:rFonts w:hint="eastAsia" w:ascii="Times New Roman" w:hAnsi="Times New Roman" w:cs="Times New Roman"/>
          <w:kern w:val="2"/>
          <w:sz w:val="24"/>
          <w:szCs w:val="24"/>
          <w:lang w:val="en-US" w:eastAsia="zh-CN" w:bidi="ar-SA"/>
        </w:rPr>
        <w:t>2.16</w:t>
      </w:r>
      <w:r>
        <w:rPr>
          <w:rFonts w:hint="default" w:ascii="Times New Roman" w:hAnsi="Times New Roman" w:cs="Times New Roman" w:eastAsiaTheme="minorEastAsia"/>
          <w:kern w:val="2"/>
          <w:sz w:val="24"/>
          <w:szCs w:val="24"/>
          <w:lang w:val="en-US" w:eastAsia="zh-CN" w:bidi="ar-SA"/>
        </w:rPr>
        <w:t>t/d、</w:t>
      </w:r>
      <w:r>
        <w:rPr>
          <w:rFonts w:hint="eastAsia" w:ascii="Times New Roman" w:hAnsi="Times New Roman" w:cs="Times New Roman"/>
          <w:kern w:val="2"/>
          <w:sz w:val="24"/>
          <w:szCs w:val="24"/>
          <w:lang w:val="en-US" w:eastAsia="zh-CN" w:bidi="ar-SA"/>
        </w:rPr>
        <w:t>788.4</w:t>
      </w:r>
      <w:r>
        <w:rPr>
          <w:rFonts w:hint="default" w:ascii="Times New Roman" w:hAnsi="Times New Roman" w:cs="Times New Roman" w:eastAsiaTheme="minorEastAsia"/>
          <w:kern w:val="2"/>
          <w:sz w:val="24"/>
          <w:szCs w:val="24"/>
          <w:lang w:val="en-US" w:eastAsia="zh-CN" w:bidi="ar-SA"/>
        </w:rPr>
        <w:t>t/a</w:t>
      </w:r>
      <w:r>
        <w:rPr>
          <w:rFonts w:hint="eastAsia" w:ascii="Times New Roman" w:hAnsi="Times New Roman" w:cs="Times New Roman" w:eastAsiaTheme="minorEastAsia"/>
          <w:kern w:val="2"/>
          <w:sz w:val="24"/>
          <w:szCs w:val="24"/>
          <w:lang w:val="en-US" w:eastAsia="zh-CN" w:bidi="ar-SA"/>
        </w:rPr>
        <w:t>，废水的产生量按用水量的80%计算，则废水产生量为</w:t>
      </w:r>
      <w:r>
        <w:rPr>
          <w:rFonts w:hint="eastAsia" w:ascii="Times New Roman" w:hAnsi="Times New Roman" w:cs="Times New Roman"/>
          <w:kern w:val="2"/>
          <w:sz w:val="24"/>
          <w:szCs w:val="24"/>
          <w:lang w:val="en-US" w:eastAsia="zh-CN" w:bidi="ar-SA"/>
        </w:rPr>
        <w:t>1.73</w:t>
      </w:r>
      <w:r>
        <w:rPr>
          <w:rFonts w:hint="default" w:ascii="Times New Roman" w:hAnsi="Times New Roman" w:cs="Times New Roman" w:eastAsiaTheme="minorEastAsia"/>
          <w:kern w:val="2"/>
          <w:sz w:val="24"/>
          <w:szCs w:val="24"/>
          <w:lang w:val="en-US" w:eastAsia="zh-CN" w:bidi="ar-SA"/>
        </w:rPr>
        <w:t>t/d</w:t>
      </w:r>
      <w:r>
        <w:rPr>
          <w:rFonts w:hint="eastAsia" w:ascii="Times New Roman" w:hAnsi="Times New Roman" w:cs="Times New Roman" w:eastAsiaTheme="minorEastAsia"/>
          <w:kern w:val="2"/>
          <w:sz w:val="24"/>
          <w:szCs w:val="24"/>
          <w:lang w:val="en-US" w:eastAsia="zh-CN" w:bidi="ar-SA"/>
        </w:rPr>
        <w:t>、</w:t>
      </w:r>
      <w:r>
        <w:rPr>
          <w:rFonts w:hint="eastAsia" w:ascii="Times New Roman" w:hAnsi="Times New Roman" w:cs="Times New Roman"/>
          <w:kern w:val="2"/>
          <w:sz w:val="24"/>
          <w:szCs w:val="24"/>
          <w:lang w:val="en-US" w:eastAsia="zh-CN" w:bidi="ar-SA"/>
        </w:rPr>
        <w:t>630.72</w:t>
      </w:r>
      <w:r>
        <w:rPr>
          <w:rFonts w:hint="eastAsia" w:ascii="Times New Roman" w:hAnsi="Times New Roman" w:cs="Times New Roman" w:eastAsiaTheme="minorEastAsia"/>
          <w:kern w:val="2"/>
          <w:sz w:val="24"/>
          <w:szCs w:val="24"/>
          <w:lang w:val="en-US" w:eastAsia="zh-CN" w:bidi="ar-SA"/>
        </w:rPr>
        <w:t>t</w:t>
      </w:r>
      <w:r>
        <w:rPr>
          <w:rFonts w:hint="default" w:ascii="Times New Roman" w:hAnsi="Times New Roman" w:cs="Times New Roman" w:eastAsiaTheme="minorEastAsia"/>
          <w:kern w:val="2"/>
          <w:sz w:val="24"/>
          <w:szCs w:val="24"/>
          <w:lang w:val="en-US" w:eastAsia="zh-CN" w:bidi="ar-SA"/>
        </w:rPr>
        <w:t>/d。</w:t>
      </w:r>
    </w:p>
    <w:p>
      <w:pPr>
        <w:pStyle w:val="5"/>
        <w:adjustRightInd w:val="0"/>
        <w:snapToGrid w:val="0"/>
        <w:spacing w:after="0" w:line="360" w:lineRule="auto"/>
        <w:ind w:firstLine="480" w:firstLineChars="200"/>
        <w:rPr>
          <w:rFonts w:ascii="Times New Roman" w:hAnsi="Times New Roman" w:cs="Times New Roman"/>
          <w:sz w:val="24"/>
        </w:rPr>
      </w:pPr>
      <w:r>
        <w:rPr>
          <w:rFonts w:hint="eastAsia" w:ascii="Times New Roman" w:hAnsi="Times New Roman" w:cs="Times New Roman"/>
          <w:sz w:val="24"/>
        </w:rPr>
        <w:t>由以上计算可知，本项目总用水量为</w:t>
      </w:r>
      <w:r>
        <w:rPr>
          <w:rFonts w:hint="eastAsia" w:ascii="Times New Roman" w:hAnsi="Times New Roman" w:cs="Times New Roman"/>
          <w:sz w:val="24"/>
          <w:lang w:val="en-US" w:eastAsia="zh-CN"/>
        </w:rPr>
        <w:t>35867.73</w:t>
      </w:r>
      <w:r>
        <w:rPr>
          <w:rFonts w:ascii="Times New Roman" w:hAnsi="Times New Roman" w:cs="Times New Roman"/>
          <w:sz w:val="24"/>
        </w:rPr>
        <w:t>m</w:t>
      </w:r>
      <w:r>
        <w:rPr>
          <w:rFonts w:ascii="Times New Roman" w:hAnsi="Times New Roman" w:cs="Times New Roman"/>
          <w:sz w:val="24"/>
          <w:vertAlign w:val="superscript"/>
        </w:rPr>
        <w:t>3</w:t>
      </w:r>
      <w:r>
        <w:rPr>
          <w:rFonts w:ascii="Times New Roman" w:hAnsi="Times New Roman" w:cs="Times New Roman"/>
          <w:sz w:val="24"/>
        </w:rPr>
        <w:t>/a，废水排放量为</w:t>
      </w:r>
      <w:r>
        <w:rPr>
          <w:rFonts w:hint="eastAsia" w:ascii="Times New Roman" w:hAnsi="Times New Roman" w:cs="Times New Roman"/>
          <w:sz w:val="24"/>
          <w:lang w:val="en-US" w:eastAsia="zh-CN"/>
        </w:rPr>
        <w:t>2286.59</w:t>
      </w:r>
      <w:r>
        <w:rPr>
          <w:rFonts w:ascii="Times New Roman" w:hAnsi="Times New Roman" w:cs="Times New Roman"/>
          <w:sz w:val="24"/>
        </w:rPr>
        <w:t>m</w:t>
      </w:r>
      <w:r>
        <w:rPr>
          <w:rFonts w:ascii="Times New Roman" w:hAnsi="Times New Roman" w:cs="Times New Roman"/>
          <w:sz w:val="24"/>
          <w:vertAlign w:val="superscript"/>
        </w:rPr>
        <w:t>3</w:t>
      </w:r>
      <w:r>
        <w:rPr>
          <w:rFonts w:ascii="Times New Roman" w:hAnsi="Times New Roman" w:cs="Times New Roman"/>
          <w:sz w:val="24"/>
        </w:rPr>
        <w:t>/a，存栏量为</w:t>
      </w:r>
      <w:r>
        <w:rPr>
          <w:rFonts w:hint="eastAsia" w:ascii="Times New Roman" w:hAnsi="Times New Roman" w:cs="Times New Roman"/>
          <w:sz w:val="24"/>
        </w:rPr>
        <w:t>60万羽蛋鸡，则项目排水量为0.0</w:t>
      </w:r>
      <w:r>
        <w:rPr>
          <w:rFonts w:hint="eastAsia" w:ascii="Times New Roman" w:hAnsi="Times New Roman" w:cs="Times New Roman"/>
          <w:sz w:val="24"/>
          <w:lang w:val="en-US" w:eastAsia="zh-CN"/>
        </w:rPr>
        <w:t>104</w:t>
      </w:r>
      <w:r>
        <w:rPr>
          <w:rFonts w:hint="eastAsia" w:ascii="Times New Roman" w:hAnsi="Times New Roman" w:cs="Times New Roman"/>
          <w:sz w:val="24"/>
        </w:rPr>
        <w:t>m</w:t>
      </w:r>
      <w:r>
        <w:rPr>
          <w:rFonts w:hint="eastAsia" w:ascii="Times New Roman" w:hAnsi="Times New Roman" w:cs="Times New Roman"/>
          <w:sz w:val="24"/>
          <w:vertAlign w:val="superscript"/>
        </w:rPr>
        <w:t>3</w:t>
      </w:r>
      <w:r>
        <w:rPr>
          <w:rFonts w:hint="eastAsia" w:ascii="Times New Roman" w:hAnsi="Times New Roman" w:cs="Times New Roman"/>
          <w:sz w:val="24"/>
        </w:rPr>
        <w:t>/千只·d，低于《畜禽养殖业污染物排放标准》（GB18596-2001）表4中集约化畜禽养殖业干清粪工艺最高允许排水量，见表3-1。</w:t>
      </w:r>
    </w:p>
    <w:p>
      <w:pPr>
        <w:spacing w:beforeLines="50"/>
        <w:jc w:val="center"/>
        <w:rPr>
          <w:b/>
        </w:rPr>
      </w:pPr>
      <w:r>
        <w:rPr>
          <w:b/>
        </w:rPr>
        <w:t>表3.</w:t>
      </w:r>
      <w:r>
        <w:rPr>
          <w:rFonts w:hint="eastAsia"/>
          <w:b/>
        </w:rPr>
        <w:t>2-7</w:t>
      </w:r>
      <w:r>
        <w:rPr>
          <w:b/>
        </w:rPr>
        <w:t xml:space="preserve">  </w:t>
      </w:r>
      <w:r>
        <w:rPr>
          <w:rFonts w:hint="eastAsia"/>
          <w:b/>
        </w:rPr>
        <w:t>集约化畜禽养殖业干清粪工艺最高允许排水量</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638"/>
        <w:gridCol w:w="2434"/>
        <w:gridCol w:w="24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33" w:type="pct"/>
            <w:vAlign w:val="center"/>
          </w:tcPr>
          <w:p>
            <w:pPr>
              <w:pStyle w:val="5"/>
              <w:adjustRightInd w:val="0"/>
              <w:snapToGrid w:val="0"/>
              <w:spacing w:after="0"/>
              <w:ind w:firstLine="0" w:firstLineChars="0"/>
              <w:jc w:val="center"/>
              <w:rPr>
                <w:rFonts w:ascii="Times New Roman" w:hAnsi="Times New Roman" w:cs="Times New Roman"/>
                <w:b/>
                <w:szCs w:val="21"/>
              </w:rPr>
            </w:pPr>
            <w:r>
              <w:rPr>
                <w:rFonts w:hint="eastAsia" w:ascii="Times New Roman" w:cs="Times New Roman"/>
                <w:b/>
                <w:szCs w:val="21"/>
              </w:rPr>
              <w:t>种类</w:t>
            </w:r>
          </w:p>
        </w:tc>
        <w:tc>
          <w:tcPr>
            <w:tcW w:w="2867" w:type="pct"/>
            <w:gridSpan w:val="2"/>
            <w:vAlign w:val="center"/>
          </w:tcPr>
          <w:p>
            <w:pPr>
              <w:pStyle w:val="5"/>
              <w:adjustRightInd w:val="0"/>
              <w:snapToGrid w:val="0"/>
              <w:spacing w:after="0"/>
              <w:ind w:firstLine="0" w:firstLineChars="0"/>
              <w:jc w:val="center"/>
              <w:rPr>
                <w:rFonts w:ascii="Times New Roman" w:hAnsi="Times New Roman" w:cs="Times New Roman"/>
                <w:b/>
                <w:szCs w:val="21"/>
              </w:rPr>
            </w:pPr>
            <w:r>
              <w:rPr>
                <w:rFonts w:hint="eastAsia" w:ascii="Times New Roman" w:cs="Times New Roman"/>
                <w:b/>
                <w:szCs w:val="21"/>
              </w:rPr>
              <w:t>鸡</w:t>
            </w:r>
            <w:r>
              <w:rPr>
                <w:rFonts w:ascii="Times New Roman" w:cs="Times New Roman"/>
                <w:b/>
                <w:szCs w:val="21"/>
              </w:rPr>
              <w:t>（</w:t>
            </w:r>
            <w:r>
              <w:rPr>
                <w:rFonts w:hint="eastAsia" w:ascii="Times New Roman" w:cs="Times New Roman"/>
                <w:b/>
                <w:szCs w:val="21"/>
              </w:rPr>
              <w:t>m</w:t>
            </w:r>
            <w:r>
              <w:rPr>
                <w:rFonts w:hint="eastAsia" w:ascii="Times New Roman" w:cs="Times New Roman"/>
                <w:b/>
                <w:szCs w:val="21"/>
                <w:vertAlign w:val="superscript"/>
              </w:rPr>
              <w:t>3</w:t>
            </w:r>
            <w:r>
              <w:rPr>
                <w:rFonts w:hint="eastAsia" w:ascii="Times New Roman" w:cs="Times New Roman"/>
                <w:b/>
                <w:szCs w:val="21"/>
              </w:rPr>
              <w:t>/千只•d</w:t>
            </w:r>
            <w:r>
              <w:rPr>
                <w:rFonts w:ascii="Times New Roman" w:cs="Times New Roman"/>
                <w:b/>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33" w:type="pct"/>
            <w:vAlign w:val="center"/>
          </w:tcPr>
          <w:p>
            <w:pPr>
              <w:pStyle w:val="5"/>
              <w:adjustRightInd w:val="0"/>
              <w:snapToGrid w:val="0"/>
              <w:spacing w:after="0"/>
              <w:ind w:firstLine="0" w:firstLineChars="0"/>
              <w:jc w:val="center"/>
              <w:rPr>
                <w:rFonts w:ascii="Times New Roman" w:hAnsi="Times New Roman" w:cs="Times New Roman"/>
                <w:b/>
                <w:szCs w:val="21"/>
              </w:rPr>
            </w:pPr>
            <w:r>
              <w:rPr>
                <w:rFonts w:ascii="Times New Roman" w:hAnsi="Times New Roman" w:cs="Times New Roman"/>
                <w:b/>
                <w:szCs w:val="21"/>
              </w:rPr>
              <w:t>季节</w:t>
            </w:r>
          </w:p>
        </w:tc>
        <w:tc>
          <w:tcPr>
            <w:tcW w:w="1427" w:type="pct"/>
            <w:vAlign w:val="center"/>
          </w:tcPr>
          <w:p>
            <w:pPr>
              <w:pStyle w:val="5"/>
              <w:adjustRightInd w:val="0"/>
              <w:snapToGrid w:val="0"/>
              <w:spacing w:after="0"/>
              <w:ind w:firstLine="0" w:firstLineChars="0"/>
              <w:jc w:val="center"/>
              <w:rPr>
                <w:rFonts w:ascii="Times New Roman" w:hAnsi="Times New Roman" w:cs="Times New Roman"/>
                <w:b/>
                <w:szCs w:val="21"/>
              </w:rPr>
            </w:pPr>
            <w:r>
              <w:rPr>
                <w:rFonts w:hint="eastAsia" w:ascii="Times New Roman" w:cs="Times New Roman"/>
                <w:b/>
                <w:szCs w:val="21"/>
              </w:rPr>
              <w:t>冬季</w:t>
            </w:r>
          </w:p>
        </w:tc>
        <w:tc>
          <w:tcPr>
            <w:tcW w:w="1440" w:type="pct"/>
            <w:vAlign w:val="center"/>
          </w:tcPr>
          <w:p>
            <w:pPr>
              <w:pStyle w:val="5"/>
              <w:adjustRightInd w:val="0"/>
              <w:snapToGrid w:val="0"/>
              <w:spacing w:after="0"/>
              <w:ind w:firstLine="0" w:firstLineChars="0"/>
              <w:jc w:val="center"/>
              <w:rPr>
                <w:rFonts w:ascii="Times New Roman" w:cs="Times New Roman"/>
                <w:b/>
                <w:szCs w:val="21"/>
              </w:rPr>
            </w:pPr>
            <w:r>
              <w:rPr>
                <w:rFonts w:hint="eastAsia" w:ascii="Times New Roman" w:hAnsi="Times New Roman" w:cs="Times New Roman"/>
                <w:b/>
                <w:spacing w:val="-6"/>
                <w:sz w:val="24"/>
              </w:rPr>
              <w:t>夏季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33" w:type="pct"/>
            <w:vAlign w:val="center"/>
          </w:tcPr>
          <w:p>
            <w:pPr>
              <w:jc w:val="center"/>
              <w:rPr>
                <w:szCs w:val="21"/>
              </w:rPr>
            </w:pPr>
            <w:r>
              <w:rPr>
                <w:rFonts w:hint="eastAsia"/>
                <w:szCs w:val="21"/>
              </w:rPr>
              <w:t>标准值</w:t>
            </w:r>
          </w:p>
        </w:tc>
        <w:tc>
          <w:tcPr>
            <w:tcW w:w="1427" w:type="pct"/>
            <w:vAlign w:val="center"/>
          </w:tcPr>
          <w:p>
            <w:pPr>
              <w:jc w:val="center"/>
              <w:rPr>
                <w:color w:val="000000"/>
                <w:szCs w:val="21"/>
              </w:rPr>
            </w:pPr>
            <w:r>
              <w:rPr>
                <w:rFonts w:hint="eastAsia"/>
                <w:color w:val="000000"/>
                <w:szCs w:val="21"/>
              </w:rPr>
              <w:t>0.5</w:t>
            </w:r>
          </w:p>
        </w:tc>
        <w:tc>
          <w:tcPr>
            <w:tcW w:w="1440" w:type="pct"/>
            <w:vAlign w:val="center"/>
          </w:tcPr>
          <w:p>
            <w:pPr>
              <w:jc w:val="center"/>
              <w:rPr>
                <w:color w:val="000000"/>
                <w:szCs w:val="21"/>
              </w:rPr>
            </w:pPr>
            <w:r>
              <w:rPr>
                <w:rFonts w:hint="eastAsia"/>
                <w:color w:val="000000"/>
                <w:szCs w:val="21"/>
              </w:rPr>
              <w:t>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133" w:type="pct"/>
            <w:vAlign w:val="center"/>
          </w:tcPr>
          <w:p>
            <w:pPr>
              <w:jc w:val="center"/>
              <w:rPr>
                <w:szCs w:val="21"/>
              </w:rPr>
            </w:pPr>
            <w:r>
              <w:rPr>
                <w:szCs w:val="21"/>
              </w:rPr>
              <w:t>本项目</w:t>
            </w:r>
          </w:p>
        </w:tc>
        <w:tc>
          <w:tcPr>
            <w:tcW w:w="2867" w:type="pct"/>
            <w:gridSpan w:val="2"/>
            <w:vAlign w:val="center"/>
          </w:tcPr>
          <w:p>
            <w:pPr>
              <w:jc w:val="center"/>
              <w:rPr>
                <w:rFonts w:hint="default" w:eastAsia="宋体"/>
                <w:color w:val="000000"/>
                <w:szCs w:val="21"/>
                <w:lang w:val="en-US" w:eastAsia="zh-CN"/>
              </w:rPr>
            </w:pPr>
            <w:r>
              <w:rPr>
                <w:rFonts w:hint="eastAsia"/>
                <w:color w:val="000000"/>
                <w:szCs w:val="21"/>
                <w:lang w:val="en-US" w:eastAsia="zh-CN"/>
              </w:rPr>
              <w:t>0.0104</w:t>
            </w:r>
          </w:p>
        </w:tc>
      </w:tr>
    </w:tbl>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AnsiTheme="minorEastAsia"/>
          <w:b/>
          <w:szCs w:val="21"/>
        </w:rPr>
      </w:pPr>
      <w:r>
        <w:rPr>
          <w:rFonts w:hint="eastAsia" w:ascii="Times New Roman" w:hAnsi="Times New Roman" w:cs="Times New Roman"/>
          <w:sz w:val="24"/>
        </w:rPr>
        <w:object>
          <v:shape id="_x0000_i1027" o:spt="75" type="#_x0000_t75" style="height:275.95pt;width:415.45pt;" o:ole="t" filled="f" o:preferrelative="t" stroked="f" coordsize="21600,21600">
            <v:path/>
            <v:fill on="f" focussize="0,0"/>
            <v:stroke on="f"/>
            <v:imagedata r:id="rId27" o:title=""/>
            <o:lock v:ext="edit" aspectratio="f"/>
            <w10:wrap type="none"/>
            <w10:anchorlock/>
          </v:shape>
          <o:OLEObject Type="Embed" ProgID="Visio.Drawing.11" ShapeID="_x0000_i1027" DrawAspect="Content" ObjectID="_1468075727" r:id="rId26">
            <o:LockedField>false</o:LockedField>
          </o:OLEObject>
        </w:object>
      </w:r>
      <w:r>
        <w:rPr>
          <w:rFonts w:hint="eastAsia" w:hAnsiTheme="minorEastAsia"/>
          <w:b/>
          <w:szCs w:val="21"/>
        </w:rPr>
        <w:t>图3.2-</w:t>
      </w:r>
      <w:r>
        <w:rPr>
          <w:rFonts w:hint="eastAsia" w:hAnsiTheme="minorEastAsia"/>
          <w:b/>
          <w:szCs w:val="21"/>
          <w:lang w:val="en-US" w:eastAsia="zh-CN"/>
        </w:rPr>
        <w:t>3</w:t>
      </w:r>
      <w:r>
        <w:rPr>
          <w:rFonts w:hint="eastAsia" w:hAnsiTheme="minorEastAsia"/>
          <w:b/>
          <w:szCs w:val="21"/>
        </w:rPr>
        <w:t xml:space="preserve">  </w:t>
      </w:r>
      <w:r>
        <w:rPr>
          <w:rFonts w:hint="eastAsia" w:hAnsiTheme="minorEastAsia"/>
          <w:b/>
          <w:szCs w:val="21"/>
          <w:lang w:val="en-US" w:eastAsia="zh-CN"/>
        </w:rPr>
        <w:t>水平衡</w:t>
      </w:r>
      <w:r>
        <w:rPr>
          <w:rFonts w:hint="eastAsia" w:hAnsiTheme="minorEastAsia"/>
          <w:b/>
          <w:szCs w:val="21"/>
        </w:rPr>
        <w:t>图</w:t>
      </w:r>
    </w:p>
    <w:p>
      <w:pPr>
        <w:pStyle w:val="6"/>
        <w:numPr>
          <w:ilvl w:val="0"/>
          <w:numId w:val="0"/>
        </w:numPr>
        <w:rPr>
          <w:rFonts w:ascii="Times New Roman" w:hAnsi="Times New Roman" w:eastAsia="宋体"/>
          <w:szCs w:val="30"/>
        </w:rPr>
      </w:pPr>
      <w:bookmarkStart w:id="173" w:name="_Toc123886405"/>
      <w:r>
        <w:rPr>
          <w:rFonts w:ascii="Times New Roman" w:hAnsi="Times New Roman" w:eastAsia="宋体"/>
          <w:szCs w:val="30"/>
        </w:rPr>
        <w:t>3.</w:t>
      </w:r>
      <w:r>
        <w:rPr>
          <w:rFonts w:hint="eastAsia" w:ascii="Times New Roman" w:hAnsi="Times New Roman" w:eastAsia="宋体"/>
          <w:szCs w:val="30"/>
        </w:rPr>
        <w:t>3 污染源源强核算</w:t>
      </w:r>
      <w:bookmarkEnd w:id="173"/>
    </w:p>
    <w:p>
      <w:pPr>
        <w:pStyle w:val="7"/>
        <w:adjustRightInd w:val="0"/>
        <w:snapToGrid w:val="0"/>
        <w:spacing w:before="0" w:after="0" w:line="360" w:lineRule="auto"/>
        <w:jc w:val="left"/>
        <w:rPr>
          <w:sz w:val="24"/>
          <w:szCs w:val="24"/>
        </w:rPr>
      </w:pPr>
      <w:r>
        <w:rPr>
          <w:rFonts w:hint="eastAsia"/>
          <w:sz w:val="24"/>
          <w:szCs w:val="24"/>
        </w:rPr>
        <w:t xml:space="preserve">3.3.1 </w:t>
      </w:r>
      <w:r>
        <w:rPr>
          <w:sz w:val="24"/>
          <w:szCs w:val="24"/>
        </w:rPr>
        <w:t>施工期污染源核算</w:t>
      </w:r>
    </w:p>
    <w:p>
      <w:pPr>
        <w:spacing w:line="360" w:lineRule="auto"/>
        <w:ind w:firstLine="480" w:firstLineChars="200"/>
        <w:rPr>
          <w:sz w:val="24"/>
        </w:rPr>
      </w:pPr>
      <w:r>
        <w:rPr>
          <w:sz w:val="24"/>
        </w:rPr>
        <w:t>本项目施工期约9个月（275天），拟于202</w:t>
      </w:r>
      <w:r>
        <w:rPr>
          <w:rFonts w:hint="eastAsia"/>
          <w:sz w:val="24"/>
        </w:rPr>
        <w:t>3</w:t>
      </w:r>
      <w:r>
        <w:rPr>
          <w:sz w:val="24"/>
        </w:rPr>
        <w:t>年</w:t>
      </w:r>
      <w:r>
        <w:rPr>
          <w:rFonts w:hint="eastAsia"/>
          <w:sz w:val="24"/>
          <w:lang w:val="en-US" w:eastAsia="zh-CN"/>
        </w:rPr>
        <w:t>11</w:t>
      </w:r>
      <w:r>
        <w:rPr>
          <w:sz w:val="24"/>
        </w:rPr>
        <w:t>月开工建设，202</w:t>
      </w:r>
      <w:r>
        <w:rPr>
          <w:rFonts w:hint="eastAsia"/>
          <w:sz w:val="24"/>
          <w:lang w:val="en-US" w:eastAsia="zh-CN"/>
        </w:rPr>
        <w:t>4</w:t>
      </w:r>
      <w:r>
        <w:rPr>
          <w:sz w:val="24"/>
        </w:rPr>
        <w:t>年</w:t>
      </w:r>
      <w:r>
        <w:rPr>
          <w:rFonts w:hint="eastAsia"/>
          <w:sz w:val="24"/>
          <w:lang w:val="en-US" w:eastAsia="zh-CN"/>
        </w:rPr>
        <w:t>7</w:t>
      </w:r>
      <w:r>
        <w:rPr>
          <w:sz w:val="24"/>
        </w:rPr>
        <w:t>月竣工，项目建设施工过程主要包括猪舍、办公生活区和粪污处理区的施工。施工的基本程序为：土方开挖、基础工程、回填施工、主体工程、装饰施工和竣工验收。</w:t>
      </w:r>
    </w:p>
    <w:p>
      <w:pPr>
        <w:spacing w:line="360" w:lineRule="auto"/>
        <w:ind w:firstLine="482" w:firstLineChars="200"/>
        <w:rPr>
          <w:b/>
          <w:sz w:val="24"/>
        </w:rPr>
      </w:pPr>
      <w:r>
        <w:rPr>
          <w:rFonts w:hint="eastAsia"/>
          <w:b/>
          <w:sz w:val="24"/>
        </w:rPr>
        <w:t>1、施工期废气污染源</w:t>
      </w:r>
    </w:p>
    <w:p>
      <w:pPr>
        <w:spacing w:line="360" w:lineRule="auto"/>
        <w:ind w:firstLine="480" w:firstLineChars="200"/>
        <w:rPr>
          <w:sz w:val="24"/>
        </w:rPr>
      </w:pPr>
      <w:r>
        <w:rPr>
          <w:rFonts w:hint="eastAsia"/>
          <w:sz w:val="24"/>
        </w:rPr>
        <w:t>施工期产生的空气污染主要来自于施工过程产生的扬尘及运输车辆和施工机械排放的废气</w:t>
      </w:r>
      <w:r>
        <w:rPr>
          <w:sz w:val="24"/>
        </w:rPr>
        <w:t>。</w:t>
      </w:r>
    </w:p>
    <w:p>
      <w:pPr>
        <w:spacing w:line="360" w:lineRule="auto"/>
        <w:ind w:firstLine="480" w:firstLineChars="200"/>
        <w:rPr>
          <w:sz w:val="24"/>
        </w:rPr>
      </w:pPr>
      <w:r>
        <w:rPr>
          <w:rFonts w:hint="eastAsia"/>
          <w:sz w:val="24"/>
        </w:rPr>
        <w:t>项目施工中由于挖取土、填方、推土及搬运泥土和水泥、石灰、沙石等的装卸运输、拌合过程中有大量尘埃散逸到环境空气中，同时，道路施工时运送物料的汽车运行，在自然风力的作用下土堆、料堆、暂时闲置的裸露施工作业等都会引起扬尘污染，尤其是在风速较大或装卸、汽车行驶速度较快的情况下，粉尘、TSP的污染尤为突出。</w:t>
      </w:r>
    </w:p>
    <w:p>
      <w:pPr>
        <w:spacing w:line="360" w:lineRule="auto"/>
        <w:ind w:firstLine="480" w:firstLineChars="200"/>
        <w:rPr>
          <w:sz w:val="24"/>
        </w:rPr>
      </w:pPr>
      <w:r>
        <w:rPr>
          <w:rFonts w:hint="eastAsia"/>
          <w:sz w:val="24"/>
        </w:rPr>
        <w:t>运送施工材料、设施的重型车辆，内燃机、挖掘机等施工机械主要以柴油为燃料，这些车辆和机械在行驶和运行时排放的尾气包含的有害物质主要有CO、THC、NOx等，加上重型车辆和机械尾气排放量较大，故尾气排放也会使项目所在区域的大气环境受到污染。</w:t>
      </w:r>
    </w:p>
    <w:p>
      <w:pPr>
        <w:spacing w:line="360" w:lineRule="auto"/>
        <w:ind w:firstLine="480" w:firstLineChars="200"/>
        <w:rPr>
          <w:sz w:val="24"/>
        </w:rPr>
      </w:pPr>
      <w:r>
        <w:rPr>
          <w:rFonts w:hint="eastAsia"/>
          <w:sz w:val="24"/>
        </w:rPr>
        <w:t>采用清扫和洒水方式减少地面扬尘：汽车运土石料时，压实表面、酒水、加盖蓬布等，可减少粉尘酒落、飞扬。采取以上环保措施，可有效减轻汽车运输造成的环境影响。</w:t>
      </w:r>
    </w:p>
    <w:p>
      <w:pPr>
        <w:spacing w:line="360" w:lineRule="auto"/>
        <w:ind w:firstLine="482" w:firstLineChars="200"/>
        <w:rPr>
          <w:b/>
          <w:sz w:val="24"/>
        </w:rPr>
      </w:pPr>
      <w:r>
        <w:rPr>
          <w:rFonts w:hint="eastAsia"/>
          <w:b/>
          <w:sz w:val="24"/>
        </w:rPr>
        <w:t>2、施工期水污染源</w:t>
      </w:r>
    </w:p>
    <w:p>
      <w:pPr>
        <w:spacing w:line="360" w:lineRule="auto"/>
        <w:ind w:firstLine="480" w:firstLineChars="200"/>
        <w:rPr>
          <w:sz w:val="24"/>
        </w:rPr>
      </w:pPr>
      <w:r>
        <w:rPr>
          <w:rFonts w:hint="eastAsia"/>
          <w:sz w:val="24"/>
        </w:rPr>
        <w:t>项目施工期废水污染源主要包括各种运输车辆及施工机械所产生的清洗废水以及施工人员的生活污水。</w:t>
      </w:r>
    </w:p>
    <w:p>
      <w:pPr>
        <w:spacing w:line="360" w:lineRule="auto"/>
        <w:ind w:firstLine="480" w:firstLineChars="200"/>
        <w:rPr>
          <w:sz w:val="24"/>
        </w:rPr>
      </w:pPr>
      <w:r>
        <w:rPr>
          <w:rFonts w:hint="eastAsia"/>
          <w:sz w:val="24"/>
        </w:rPr>
        <w:t>清洗废水的主要污染物是SS和石油类，建筑排水主要污染物是SS。此外，施工机械跑、冒、滴、漏的油污和露天施工机械经雨水等冲刷后也会产生一定量的含油污水，其主要污染物为石油类。</w:t>
      </w:r>
    </w:p>
    <w:p>
      <w:pPr>
        <w:spacing w:line="360" w:lineRule="auto"/>
        <w:ind w:firstLine="480" w:firstLineChars="200"/>
        <w:rPr>
          <w:sz w:val="24"/>
        </w:rPr>
      </w:pPr>
      <w:r>
        <w:rPr>
          <w:rFonts w:hint="eastAsia"/>
          <w:sz w:val="24"/>
        </w:rPr>
        <w:t>施工生活区用水量按</w:t>
      </w:r>
      <w:r>
        <w:rPr>
          <w:sz w:val="24"/>
        </w:rPr>
        <w:t>200L</w:t>
      </w:r>
      <w:r>
        <w:rPr>
          <w:rFonts w:hint="eastAsia"/>
          <w:sz w:val="24"/>
        </w:rPr>
        <w:t>人</w:t>
      </w:r>
      <w:r>
        <w:rPr>
          <w:rFonts w:hint="eastAsia" w:ascii="MS Mincho" w:hAnsi="MS Mincho" w:eastAsia="MS Mincho" w:cs="MS Mincho"/>
          <w:sz w:val="24"/>
        </w:rPr>
        <w:t>・</w:t>
      </w:r>
      <w:r>
        <w:rPr>
          <w:sz w:val="24"/>
        </w:rPr>
        <w:t>d</w:t>
      </w:r>
      <w:r>
        <w:rPr>
          <w:rFonts w:hint="eastAsia"/>
          <w:sz w:val="24"/>
        </w:rPr>
        <w:t>计，施工高峰期人数约</w:t>
      </w:r>
      <w:r>
        <w:rPr>
          <w:sz w:val="24"/>
        </w:rPr>
        <w:t>50</w:t>
      </w:r>
      <w:r>
        <w:rPr>
          <w:rFonts w:hint="eastAsia"/>
          <w:sz w:val="24"/>
        </w:rPr>
        <w:t>人，排水量按用水量的</w:t>
      </w:r>
      <w:r>
        <w:rPr>
          <w:sz w:val="24"/>
        </w:rPr>
        <w:t>80%</w:t>
      </w:r>
      <w:r>
        <w:rPr>
          <w:rFonts w:hint="eastAsia"/>
          <w:sz w:val="24"/>
        </w:rPr>
        <w:t>计，则生活污水排放量为</w:t>
      </w:r>
      <w:r>
        <w:rPr>
          <w:sz w:val="24"/>
        </w:rPr>
        <w:t>8m</w:t>
      </w:r>
      <w:r>
        <w:rPr>
          <w:sz w:val="24"/>
          <w:vertAlign w:val="superscript"/>
        </w:rPr>
        <w:t>3</w:t>
      </w:r>
      <w:r>
        <w:rPr>
          <w:sz w:val="24"/>
        </w:rPr>
        <w:t>/</w:t>
      </w:r>
      <w:r>
        <w:rPr>
          <w:rFonts w:hint="eastAsia"/>
          <w:sz w:val="24"/>
        </w:rPr>
        <w:t>d（2200</w:t>
      </w:r>
      <w:r>
        <w:rPr>
          <w:sz w:val="24"/>
        </w:rPr>
        <w:t>m</w:t>
      </w:r>
      <w:r>
        <w:rPr>
          <w:sz w:val="24"/>
          <w:vertAlign w:val="superscript"/>
        </w:rPr>
        <w:t>3</w:t>
      </w:r>
      <w:r>
        <w:rPr>
          <w:sz w:val="24"/>
        </w:rPr>
        <w:t>/施工期</w:t>
      </w:r>
      <w:r>
        <w:rPr>
          <w:rFonts w:hint="eastAsia"/>
          <w:sz w:val="24"/>
        </w:rPr>
        <w:t>）</w:t>
      </w:r>
      <w:r>
        <w:rPr>
          <w:sz w:val="24"/>
        </w:rPr>
        <w:t>；</w:t>
      </w:r>
      <w:r>
        <w:rPr>
          <w:rFonts w:hint="eastAsia"/>
          <w:sz w:val="24"/>
        </w:rPr>
        <w:t>污水中主要污染物为</w:t>
      </w:r>
      <w:r>
        <w:rPr>
          <w:sz w:val="24"/>
        </w:rPr>
        <w:t>COD</w:t>
      </w:r>
      <w:r>
        <w:rPr>
          <w:rFonts w:hint="eastAsia"/>
          <w:sz w:val="24"/>
        </w:rPr>
        <w:t>、</w:t>
      </w:r>
      <w:r>
        <w:rPr>
          <w:sz w:val="24"/>
        </w:rPr>
        <w:t>BOD、SS</w:t>
      </w:r>
      <w:r>
        <w:rPr>
          <w:rFonts w:hint="eastAsia"/>
          <w:sz w:val="24"/>
        </w:rPr>
        <w:t>、</w:t>
      </w:r>
      <w:r>
        <w:rPr>
          <w:sz w:val="24"/>
        </w:rPr>
        <w:t>NH</w:t>
      </w:r>
      <w:r>
        <w:rPr>
          <w:sz w:val="24"/>
          <w:vertAlign w:val="subscript"/>
        </w:rPr>
        <w:t>3</w:t>
      </w:r>
      <w:r>
        <w:rPr>
          <w:sz w:val="24"/>
        </w:rPr>
        <w:t>-N</w:t>
      </w:r>
      <w:r>
        <w:rPr>
          <w:rFonts w:hint="eastAsia"/>
          <w:sz w:val="24"/>
        </w:rPr>
        <w:t>等。生活污水</w:t>
      </w:r>
      <w:r>
        <w:rPr>
          <w:sz w:val="24"/>
        </w:rPr>
        <w:t>COD</w:t>
      </w:r>
      <w:r>
        <w:rPr>
          <w:rFonts w:hint="eastAsia"/>
          <w:sz w:val="24"/>
        </w:rPr>
        <w:t>浓度约</w:t>
      </w:r>
      <w:r>
        <w:rPr>
          <w:sz w:val="24"/>
        </w:rPr>
        <w:t>300mgL</w:t>
      </w:r>
      <w:r>
        <w:rPr>
          <w:rFonts w:hint="eastAsia"/>
          <w:sz w:val="24"/>
        </w:rPr>
        <w:t>，</w:t>
      </w:r>
      <w:r>
        <w:rPr>
          <w:sz w:val="24"/>
        </w:rPr>
        <w:t>BOD</w:t>
      </w:r>
      <w:r>
        <w:rPr>
          <w:rFonts w:hint="eastAsia"/>
          <w:sz w:val="24"/>
        </w:rPr>
        <w:t>浓度约</w:t>
      </w:r>
      <w:r>
        <w:rPr>
          <w:sz w:val="24"/>
        </w:rPr>
        <w:t>150mgL</w:t>
      </w:r>
      <w:r>
        <w:rPr>
          <w:rFonts w:hint="eastAsia"/>
          <w:sz w:val="24"/>
        </w:rPr>
        <w:t>，</w:t>
      </w:r>
      <w:r>
        <w:rPr>
          <w:sz w:val="24"/>
        </w:rPr>
        <w:t>SS</w:t>
      </w:r>
      <w:r>
        <w:rPr>
          <w:rFonts w:hint="eastAsia"/>
          <w:sz w:val="24"/>
        </w:rPr>
        <w:t>浓度约</w:t>
      </w:r>
      <w:r>
        <w:rPr>
          <w:sz w:val="24"/>
        </w:rPr>
        <w:t>200mgL</w:t>
      </w:r>
      <w:r>
        <w:rPr>
          <w:rFonts w:hint="eastAsia"/>
          <w:sz w:val="24"/>
        </w:rPr>
        <w:t>，</w:t>
      </w:r>
      <w:r>
        <w:rPr>
          <w:sz w:val="24"/>
        </w:rPr>
        <w:t>NH</w:t>
      </w:r>
      <w:r>
        <w:rPr>
          <w:sz w:val="24"/>
          <w:vertAlign w:val="subscript"/>
        </w:rPr>
        <w:t>3</w:t>
      </w:r>
      <w:r>
        <w:rPr>
          <w:sz w:val="24"/>
        </w:rPr>
        <w:t>-N</w:t>
      </w:r>
      <w:r>
        <w:rPr>
          <w:rFonts w:hint="eastAsia"/>
          <w:sz w:val="24"/>
        </w:rPr>
        <w:t>浓度约</w:t>
      </w:r>
      <w:r>
        <w:rPr>
          <w:sz w:val="24"/>
        </w:rPr>
        <w:t>35mgL</w:t>
      </w:r>
      <w:r>
        <w:rPr>
          <w:rFonts w:hint="eastAsia"/>
          <w:sz w:val="24"/>
        </w:rPr>
        <w:t>，则污染物产生量</w:t>
      </w:r>
      <w:r>
        <w:rPr>
          <w:sz w:val="24"/>
        </w:rPr>
        <w:t>COD</w:t>
      </w:r>
      <w:r>
        <w:rPr>
          <w:rFonts w:hint="eastAsia"/>
          <w:sz w:val="24"/>
        </w:rPr>
        <w:t>约</w:t>
      </w:r>
      <w:r>
        <w:rPr>
          <w:sz w:val="24"/>
        </w:rPr>
        <w:t>2.4kg</w:t>
      </w:r>
      <w:r>
        <w:rPr>
          <w:rFonts w:hint="eastAsia"/>
          <w:sz w:val="24"/>
        </w:rPr>
        <w:t>/</w:t>
      </w:r>
      <w:r>
        <w:rPr>
          <w:sz w:val="24"/>
        </w:rPr>
        <w:t>d</w:t>
      </w:r>
      <w:r>
        <w:rPr>
          <w:rFonts w:hint="eastAsia"/>
          <w:sz w:val="24"/>
        </w:rPr>
        <w:t>，</w:t>
      </w:r>
      <w:r>
        <w:rPr>
          <w:sz w:val="24"/>
        </w:rPr>
        <w:t>0.</w:t>
      </w:r>
      <w:r>
        <w:rPr>
          <w:rFonts w:hint="eastAsia"/>
          <w:sz w:val="24"/>
        </w:rPr>
        <w:t>66</w:t>
      </w:r>
      <w:r>
        <w:rPr>
          <w:sz w:val="24"/>
        </w:rPr>
        <w:t>t</w:t>
      </w:r>
      <w:r>
        <w:rPr>
          <w:rFonts w:hint="eastAsia"/>
          <w:sz w:val="24"/>
        </w:rPr>
        <w:t>/</w:t>
      </w:r>
      <w:r>
        <w:rPr>
          <w:sz w:val="24"/>
        </w:rPr>
        <w:t>施工期；BOD</w:t>
      </w:r>
      <w:r>
        <w:rPr>
          <w:rFonts w:hint="eastAsia"/>
          <w:sz w:val="24"/>
        </w:rPr>
        <w:t>约</w:t>
      </w:r>
      <w:r>
        <w:rPr>
          <w:sz w:val="24"/>
        </w:rPr>
        <w:t>1.2kgd</w:t>
      </w:r>
      <w:r>
        <w:rPr>
          <w:rFonts w:hint="eastAsia"/>
          <w:sz w:val="24"/>
        </w:rPr>
        <w:t>，</w:t>
      </w:r>
      <w:r>
        <w:rPr>
          <w:sz w:val="24"/>
        </w:rPr>
        <w:t>0.</w:t>
      </w:r>
      <w:r>
        <w:rPr>
          <w:rFonts w:hint="eastAsia"/>
          <w:sz w:val="24"/>
        </w:rPr>
        <w:t>33</w:t>
      </w:r>
      <w:r>
        <w:rPr>
          <w:sz w:val="24"/>
        </w:rPr>
        <w:t>t</w:t>
      </w:r>
      <w:r>
        <w:rPr>
          <w:rFonts w:hint="eastAsia"/>
          <w:sz w:val="24"/>
        </w:rPr>
        <w:t>/</w:t>
      </w:r>
      <w:r>
        <w:rPr>
          <w:sz w:val="24"/>
        </w:rPr>
        <w:t>施工期；SS</w:t>
      </w:r>
      <w:r>
        <w:rPr>
          <w:rFonts w:hint="eastAsia"/>
          <w:sz w:val="24"/>
        </w:rPr>
        <w:t>约</w:t>
      </w:r>
      <w:r>
        <w:rPr>
          <w:sz w:val="24"/>
        </w:rPr>
        <w:t>1.6kgd</w:t>
      </w:r>
      <w:r>
        <w:rPr>
          <w:rFonts w:hint="eastAsia"/>
          <w:sz w:val="24"/>
        </w:rPr>
        <w:t>，</w:t>
      </w:r>
      <w:r>
        <w:rPr>
          <w:sz w:val="24"/>
        </w:rPr>
        <w:t>0.</w:t>
      </w:r>
      <w:r>
        <w:rPr>
          <w:rFonts w:hint="eastAsia"/>
          <w:sz w:val="24"/>
        </w:rPr>
        <w:t>44</w:t>
      </w:r>
      <w:r>
        <w:rPr>
          <w:sz w:val="24"/>
        </w:rPr>
        <w:t>t</w:t>
      </w:r>
      <w:r>
        <w:rPr>
          <w:rFonts w:hint="eastAsia"/>
          <w:sz w:val="24"/>
        </w:rPr>
        <w:t>/施工期；</w:t>
      </w:r>
      <w:r>
        <w:rPr>
          <w:sz w:val="24"/>
        </w:rPr>
        <w:t>NH</w:t>
      </w:r>
      <w:r>
        <w:rPr>
          <w:sz w:val="24"/>
          <w:vertAlign w:val="subscript"/>
        </w:rPr>
        <w:t>3</w:t>
      </w:r>
      <w:r>
        <w:rPr>
          <w:sz w:val="24"/>
        </w:rPr>
        <w:t>-N</w:t>
      </w:r>
      <w:r>
        <w:rPr>
          <w:rFonts w:hint="eastAsia"/>
          <w:sz w:val="24"/>
        </w:rPr>
        <w:t>约</w:t>
      </w:r>
      <w:r>
        <w:rPr>
          <w:sz w:val="24"/>
        </w:rPr>
        <w:t>0.28kgd</w:t>
      </w:r>
      <w:r>
        <w:rPr>
          <w:rFonts w:hint="eastAsia"/>
          <w:sz w:val="24"/>
        </w:rPr>
        <w:t>，</w:t>
      </w:r>
      <w:r>
        <w:rPr>
          <w:sz w:val="24"/>
        </w:rPr>
        <w:t>0.0</w:t>
      </w:r>
      <w:r>
        <w:rPr>
          <w:rFonts w:hint="eastAsia"/>
          <w:sz w:val="24"/>
        </w:rPr>
        <w:t>77</w:t>
      </w:r>
      <w:r>
        <w:rPr>
          <w:sz w:val="24"/>
        </w:rPr>
        <w:t>t</w:t>
      </w:r>
      <w:r>
        <w:rPr>
          <w:rFonts w:hint="eastAsia"/>
          <w:sz w:val="24"/>
        </w:rPr>
        <w:t>/施工期。</w:t>
      </w:r>
    </w:p>
    <w:p>
      <w:pPr>
        <w:spacing w:line="360" w:lineRule="auto"/>
        <w:ind w:firstLine="480" w:firstLineChars="200"/>
        <w:rPr>
          <w:sz w:val="24"/>
        </w:rPr>
      </w:pPr>
      <w:r>
        <w:rPr>
          <w:rFonts w:hint="eastAsia"/>
          <w:sz w:val="24"/>
        </w:rPr>
        <w:t>施工废水经沉淀池处理后循环使用不外排，生活污水经过化粪池处理后用于周边林地浇灌。</w:t>
      </w:r>
    </w:p>
    <w:p>
      <w:pPr>
        <w:spacing w:line="360" w:lineRule="auto"/>
        <w:ind w:firstLine="482" w:firstLineChars="200"/>
        <w:rPr>
          <w:b/>
          <w:sz w:val="24"/>
        </w:rPr>
      </w:pPr>
      <w:r>
        <w:rPr>
          <w:rFonts w:hint="eastAsia"/>
          <w:b/>
          <w:sz w:val="24"/>
        </w:rPr>
        <w:t>3、施工期噪声污染源</w:t>
      </w:r>
    </w:p>
    <w:p>
      <w:pPr>
        <w:spacing w:line="360" w:lineRule="auto"/>
        <w:ind w:firstLine="480" w:firstLineChars="200"/>
        <w:rPr>
          <w:sz w:val="24"/>
        </w:rPr>
      </w:pPr>
      <w:r>
        <w:rPr>
          <w:rFonts w:hint="eastAsia"/>
          <w:sz w:val="24"/>
        </w:rPr>
        <w:t>施工期噪声主要来自基础工程施工和结构作业阶段挖掘机、推土机、打桩机、振捣器、电锯、吊车等建筑施工机械噪声和物料运输车辆噪声，设备安装期间电锯、手工钻等设备也会产生噪声造成影响。机械设备振动产生的噪声声压级介于50~84dB（A）之间且随距离的衰减较快，其影响范围较小，因此对于机械振动对周围环境的影响不作具体分析，仅考虑机械噪声的影响。</w:t>
      </w:r>
    </w:p>
    <w:p>
      <w:pPr>
        <w:spacing w:line="360" w:lineRule="auto"/>
        <w:ind w:firstLine="480" w:firstLineChars="200"/>
        <w:rPr>
          <w:sz w:val="24"/>
        </w:rPr>
      </w:pPr>
      <w:r>
        <w:rPr>
          <w:rFonts w:hint="eastAsia"/>
          <w:sz w:val="24"/>
        </w:rPr>
        <w:t>根据《环境噪声与振动控制工程技术导则》（HJ2034-2013），项目施工期各阶段各类施工机械噪声源强见表3.3-1，物料运输车辆类型及其声源噪声强度见下表3.3-2</w:t>
      </w:r>
      <w:r>
        <w:rPr>
          <w:sz w:val="24"/>
        </w:rPr>
        <w:t>。</w:t>
      </w:r>
    </w:p>
    <w:p>
      <w:pPr>
        <w:pStyle w:val="17"/>
        <w:rPr>
          <w:rFonts w:ascii="Times New Roman" w:hAnsi="Times New Roman" w:cs="Times New Roman"/>
          <w:color w:val="auto"/>
          <w:sz w:val="21"/>
        </w:rPr>
      </w:pPr>
      <w:r>
        <w:rPr>
          <w:rFonts w:ascii="Times New Roman" w:hAnsi="Times New Roman" w:cs="Times New Roman"/>
          <w:color w:val="auto"/>
          <w:sz w:val="21"/>
        </w:rPr>
        <w:t>表</w:t>
      </w:r>
      <w:r>
        <w:rPr>
          <w:rFonts w:hint="eastAsia" w:ascii="Times New Roman" w:hAnsi="Times New Roman" w:cs="Times New Roman"/>
          <w:color w:val="auto"/>
          <w:sz w:val="21"/>
        </w:rPr>
        <w:t xml:space="preserve">3.3-1  </w:t>
      </w:r>
      <w:r>
        <w:rPr>
          <w:rFonts w:ascii="Times New Roman" w:hAnsi="Times New Roman" w:cs="Times New Roman"/>
          <w:color w:val="auto"/>
          <w:sz w:val="21"/>
        </w:rPr>
        <w:t>主要机械噪声源强</w:t>
      </w:r>
      <w:r>
        <w:rPr>
          <w:rFonts w:hint="eastAsia" w:ascii="Times New Roman" w:hAnsi="Times New Roman" w:cs="Times New Roman"/>
          <w:color w:val="auto"/>
          <w:sz w:val="21"/>
        </w:rPr>
        <w:t xml:space="preserve">  </w:t>
      </w:r>
      <w:r>
        <w:rPr>
          <w:rFonts w:ascii="Times New Roman" w:hAnsi="Times New Roman" w:cs="Times New Roman"/>
          <w:color w:val="auto"/>
          <w:sz w:val="21"/>
        </w:rPr>
        <w:t>单位：dB（A）</w:t>
      </w:r>
    </w:p>
    <w:tbl>
      <w:tblPr>
        <w:tblStyle w:val="47"/>
        <w:tblW w:w="8528"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784"/>
        <w:gridCol w:w="3051"/>
        <w:gridCol w:w="269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2784" w:type="dxa"/>
            <w:vAlign w:val="center"/>
          </w:tcPr>
          <w:p>
            <w:pPr>
              <w:jc w:val="center"/>
              <w:rPr>
                <w:rFonts w:eastAsiaTheme="minorEastAsia"/>
                <w:b/>
                <w:szCs w:val="21"/>
              </w:rPr>
            </w:pPr>
            <w:r>
              <w:rPr>
                <w:rFonts w:hAnsiTheme="minorEastAsia" w:eastAsiaTheme="minorEastAsia"/>
                <w:b/>
                <w:szCs w:val="21"/>
              </w:rPr>
              <w:t>施工阶段</w:t>
            </w:r>
          </w:p>
        </w:tc>
        <w:tc>
          <w:tcPr>
            <w:tcW w:w="3051" w:type="dxa"/>
            <w:vAlign w:val="center"/>
          </w:tcPr>
          <w:p>
            <w:pPr>
              <w:jc w:val="center"/>
              <w:rPr>
                <w:rFonts w:eastAsiaTheme="minorEastAsia"/>
                <w:b/>
                <w:szCs w:val="21"/>
              </w:rPr>
            </w:pPr>
            <w:r>
              <w:rPr>
                <w:rFonts w:hAnsiTheme="minorEastAsia" w:eastAsiaTheme="minorEastAsia"/>
                <w:b/>
                <w:szCs w:val="21"/>
              </w:rPr>
              <w:t>声源</w:t>
            </w:r>
          </w:p>
        </w:tc>
        <w:tc>
          <w:tcPr>
            <w:tcW w:w="2693" w:type="dxa"/>
            <w:vAlign w:val="center"/>
          </w:tcPr>
          <w:p>
            <w:pPr>
              <w:jc w:val="center"/>
              <w:rPr>
                <w:rFonts w:eastAsiaTheme="minorEastAsia"/>
                <w:b/>
                <w:szCs w:val="21"/>
              </w:rPr>
            </w:pPr>
            <w:r>
              <w:rPr>
                <w:rFonts w:hAnsiTheme="minorEastAsia" w:eastAsiaTheme="minorEastAsia"/>
                <w:b/>
                <w:szCs w:val="21"/>
              </w:rPr>
              <w:t>5</w:t>
            </w:r>
            <w:r>
              <w:rPr>
                <w:rFonts w:hint="eastAsia" w:hAnsiTheme="minorEastAsia" w:eastAsiaTheme="minorEastAsia"/>
                <w:b/>
                <w:szCs w:val="21"/>
              </w:rPr>
              <w:t>m</w:t>
            </w:r>
            <w:r>
              <w:rPr>
                <w:rFonts w:hAnsiTheme="minorEastAsia" w:eastAsiaTheme="minorEastAsia"/>
                <w:b/>
                <w:szCs w:val="21"/>
              </w:rPr>
              <w:t>声源强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2784" w:type="dxa"/>
            <w:vMerge w:val="restart"/>
            <w:vAlign w:val="center"/>
          </w:tcPr>
          <w:p>
            <w:pPr>
              <w:jc w:val="center"/>
              <w:rPr>
                <w:rFonts w:eastAsiaTheme="minorEastAsia"/>
                <w:szCs w:val="21"/>
              </w:rPr>
            </w:pPr>
            <w:r>
              <w:rPr>
                <w:rFonts w:hAnsiTheme="minorEastAsia" w:eastAsiaTheme="minorEastAsia"/>
                <w:szCs w:val="21"/>
              </w:rPr>
              <w:t>土石方阶段</w:t>
            </w:r>
          </w:p>
        </w:tc>
        <w:tc>
          <w:tcPr>
            <w:tcW w:w="3051" w:type="dxa"/>
            <w:vAlign w:val="center"/>
          </w:tcPr>
          <w:p>
            <w:pPr>
              <w:jc w:val="center"/>
              <w:rPr>
                <w:szCs w:val="21"/>
              </w:rPr>
            </w:pPr>
            <w:r>
              <w:rPr>
                <w:szCs w:val="21"/>
              </w:rPr>
              <w:t>推土机</w:t>
            </w:r>
          </w:p>
        </w:tc>
        <w:tc>
          <w:tcPr>
            <w:tcW w:w="2693" w:type="dxa"/>
            <w:vAlign w:val="center"/>
          </w:tcPr>
          <w:p>
            <w:pPr>
              <w:jc w:val="center"/>
              <w:rPr>
                <w:szCs w:val="21"/>
              </w:rPr>
            </w:pPr>
            <w:r>
              <w:rPr>
                <w:szCs w:val="21"/>
              </w:rPr>
              <w:t>90~100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2784" w:type="dxa"/>
            <w:vMerge w:val="continue"/>
            <w:vAlign w:val="center"/>
          </w:tcPr>
          <w:p>
            <w:pPr>
              <w:jc w:val="center"/>
              <w:rPr>
                <w:rFonts w:eastAsiaTheme="minorEastAsia"/>
                <w:szCs w:val="21"/>
              </w:rPr>
            </w:pPr>
          </w:p>
        </w:tc>
        <w:tc>
          <w:tcPr>
            <w:tcW w:w="3051" w:type="dxa"/>
            <w:vAlign w:val="center"/>
          </w:tcPr>
          <w:p>
            <w:pPr>
              <w:jc w:val="center"/>
              <w:rPr>
                <w:szCs w:val="21"/>
              </w:rPr>
            </w:pPr>
            <w:r>
              <w:rPr>
                <w:rFonts w:hint="eastAsia"/>
                <w:szCs w:val="21"/>
              </w:rPr>
              <w:t>装载机</w:t>
            </w:r>
          </w:p>
        </w:tc>
        <w:tc>
          <w:tcPr>
            <w:tcW w:w="2693" w:type="dxa"/>
            <w:vAlign w:val="center"/>
          </w:tcPr>
          <w:p>
            <w:pPr>
              <w:jc w:val="center"/>
              <w:rPr>
                <w:szCs w:val="21"/>
              </w:rPr>
            </w:pPr>
            <w:r>
              <w:rPr>
                <w:szCs w:val="21"/>
              </w:rPr>
              <w:t>90~100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2784" w:type="dxa"/>
            <w:vMerge w:val="continue"/>
            <w:vAlign w:val="center"/>
          </w:tcPr>
          <w:p>
            <w:pPr>
              <w:jc w:val="center"/>
              <w:rPr>
                <w:rFonts w:eastAsiaTheme="minorEastAsia"/>
                <w:szCs w:val="21"/>
              </w:rPr>
            </w:pPr>
          </w:p>
        </w:tc>
        <w:tc>
          <w:tcPr>
            <w:tcW w:w="3051" w:type="dxa"/>
            <w:vAlign w:val="center"/>
          </w:tcPr>
          <w:p>
            <w:pPr>
              <w:jc w:val="center"/>
              <w:rPr>
                <w:szCs w:val="21"/>
              </w:rPr>
            </w:pPr>
            <w:r>
              <w:rPr>
                <w:szCs w:val="21"/>
              </w:rPr>
              <w:t>挖掘机</w:t>
            </w:r>
          </w:p>
        </w:tc>
        <w:tc>
          <w:tcPr>
            <w:tcW w:w="2693" w:type="dxa"/>
            <w:vAlign w:val="center"/>
          </w:tcPr>
          <w:p>
            <w:pPr>
              <w:jc w:val="center"/>
              <w:rPr>
                <w:szCs w:val="21"/>
              </w:rPr>
            </w:pPr>
            <w:r>
              <w:rPr>
                <w:szCs w:val="21"/>
              </w:rPr>
              <w:t>90~95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2784" w:type="dxa"/>
            <w:vMerge w:val="restart"/>
            <w:vAlign w:val="center"/>
          </w:tcPr>
          <w:p>
            <w:pPr>
              <w:jc w:val="center"/>
              <w:rPr>
                <w:rFonts w:eastAsiaTheme="minorEastAsia"/>
                <w:szCs w:val="21"/>
              </w:rPr>
            </w:pPr>
            <w:r>
              <w:rPr>
                <w:rFonts w:hAnsiTheme="minorEastAsia" w:eastAsiaTheme="minorEastAsia"/>
                <w:szCs w:val="21"/>
              </w:rPr>
              <w:t>基础</w:t>
            </w:r>
            <w:r>
              <w:rPr>
                <w:rFonts w:hint="eastAsia" w:hAnsiTheme="minorEastAsia" w:eastAsiaTheme="minorEastAsia"/>
                <w:szCs w:val="21"/>
              </w:rPr>
              <w:t>施工</w:t>
            </w:r>
            <w:r>
              <w:rPr>
                <w:rFonts w:hAnsiTheme="minorEastAsia" w:eastAsiaTheme="minorEastAsia"/>
                <w:szCs w:val="21"/>
              </w:rPr>
              <w:t>阶段</w:t>
            </w:r>
          </w:p>
        </w:tc>
        <w:tc>
          <w:tcPr>
            <w:tcW w:w="3051" w:type="dxa"/>
            <w:vAlign w:val="center"/>
          </w:tcPr>
          <w:p>
            <w:pPr>
              <w:jc w:val="center"/>
              <w:rPr>
                <w:szCs w:val="21"/>
              </w:rPr>
            </w:pPr>
            <w:r>
              <w:rPr>
                <w:rFonts w:hint="eastAsia"/>
                <w:szCs w:val="21"/>
              </w:rPr>
              <w:t>静压式打桩机</w:t>
            </w:r>
          </w:p>
        </w:tc>
        <w:tc>
          <w:tcPr>
            <w:tcW w:w="2693" w:type="dxa"/>
            <w:vAlign w:val="center"/>
          </w:tcPr>
          <w:p>
            <w:pPr>
              <w:jc w:val="center"/>
              <w:rPr>
                <w:szCs w:val="21"/>
              </w:rPr>
            </w:pPr>
            <w:r>
              <w:rPr>
                <w:szCs w:val="21"/>
              </w:rPr>
              <w:t>90~100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2784" w:type="dxa"/>
            <w:vMerge w:val="continue"/>
            <w:vAlign w:val="center"/>
          </w:tcPr>
          <w:p>
            <w:pPr>
              <w:jc w:val="center"/>
              <w:rPr>
                <w:rFonts w:hAnsiTheme="minorEastAsia" w:eastAsiaTheme="minorEastAsia"/>
                <w:szCs w:val="21"/>
              </w:rPr>
            </w:pPr>
          </w:p>
        </w:tc>
        <w:tc>
          <w:tcPr>
            <w:tcW w:w="3051" w:type="dxa"/>
            <w:vAlign w:val="center"/>
          </w:tcPr>
          <w:p>
            <w:pPr>
              <w:jc w:val="center"/>
              <w:rPr>
                <w:szCs w:val="21"/>
              </w:rPr>
            </w:pPr>
            <w:r>
              <w:rPr>
                <w:szCs w:val="21"/>
              </w:rPr>
              <w:t>钻孔式灌注桩机</w:t>
            </w:r>
          </w:p>
        </w:tc>
        <w:tc>
          <w:tcPr>
            <w:tcW w:w="2693" w:type="dxa"/>
            <w:vAlign w:val="center"/>
          </w:tcPr>
          <w:p>
            <w:pPr>
              <w:jc w:val="center"/>
              <w:rPr>
                <w:szCs w:val="21"/>
              </w:rPr>
            </w:pPr>
            <w:r>
              <w:rPr>
                <w:szCs w:val="21"/>
              </w:rPr>
              <w:t>90~100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2784" w:type="dxa"/>
            <w:vMerge w:val="continue"/>
            <w:vAlign w:val="center"/>
          </w:tcPr>
          <w:p>
            <w:pPr>
              <w:jc w:val="center"/>
              <w:rPr>
                <w:rFonts w:eastAsiaTheme="minorEastAsia"/>
                <w:szCs w:val="21"/>
              </w:rPr>
            </w:pPr>
          </w:p>
        </w:tc>
        <w:tc>
          <w:tcPr>
            <w:tcW w:w="3051" w:type="dxa"/>
            <w:vAlign w:val="center"/>
          </w:tcPr>
          <w:p>
            <w:pPr>
              <w:jc w:val="center"/>
              <w:rPr>
                <w:szCs w:val="21"/>
              </w:rPr>
            </w:pPr>
            <w:r>
              <w:rPr>
                <w:szCs w:val="21"/>
              </w:rPr>
              <w:t>空压机</w:t>
            </w:r>
          </w:p>
        </w:tc>
        <w:tc>
          <w:tcPr>
            <w:tcW w:w="2693" w:type="dxa"/>
            <w:vAlign w:val="center"/>
          </w:tcPr>
          <w:p>
            <w:pPr>
              <w:jc w:val="center"/>
              <w:rPr>
                <w:szCs w:val="21"/>
              </w:rPr>
            </w:pPr>
            <w:r>
              <w:rPr>
                <w:rFonts w:hint="eastAsia"/>
                <w:szCs w:val="21"/>
              </w:rPr>
              <w:t>88~92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2784" w:type="dxa"/>
            <w:vMerge w:val="restart"/>
            <w:vAlign w:val="center"/>
          </w:tcPr>
          <w:p>
            <w:pPr>
              <w:jc w:val="center"/>
              <w:rPr>
                <w:rFonts w:eastAsiaTheme="minorEastAsia"/>
                <w:szCs w:val="21"/>
              </w:rPr>
            </w:pPr>
            <w:r>
              <w:rPr>
                <w:rFonts w:hAnsiTheme="minorEastAsia" w:eastAsiaTheme="minorEastAsia"/>
                <w:szCs w:val="21"/>
              </w:rPr>
              <w:t>结构阶段</w:t>
            </w:r>
          </w:p>
        </w:tc>
        <w:tc>
          <w:tcPr>
            <w:tcW w:w="3051" w:type="dxa"/>
            <w:vAlign w:val="center"/>
          </w:tcPr>
          <w:p>
            <w:pPr>
              <w:jc w:val="center"/>
              <w:rPr>
                <w:szCs w:val="21"/>
              </w:rPr>
            </w:pPr>
            <w:r>
              <w:rPr>
                <w:szCs w:val="21"/>
              </w:rPr>
              <w:t>吊车</w:t>
            </w:r>
          </w:p>
        </w:tc>
        <w:tc>
          <w:tcPr>
            <w:tcW w:w="2693" w:type="dxa"/>
            <w:vAlign w:val="center"/>
          </w:tcPr>
          <w:p>
            <w:pPr>
              <w:jc w:val="center"/>
              <w:rPr>
                <w:szCs w:val="21"/>
              </w:rPr>
            </w:pPr>
            <w:r>
              <w:rPr>
                <w:szCs w:val="21"/>
              </w:rPr>
              <w:t>90~10</w:t>
            </w:r>
            <w:r>
              <w:rPr>
                <w:rFonts w:hint="eastAsia"/>
                <w:szCs w:val="21"/>
              </w:rPr>
              <w:t>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2784" w:type="dxa"/>
            <w:vMerge w:val="continue"/>
            <w:vAlign w:val="center"/>
          </w:tcPr>
          <w:p>
            <w:pPr>
              <w:jc w:val="center"/>
              <w:rPr>
                <w:rFonts w:eastAsiaTheme="minorEastAsia"/>
                <w:szCs w:val="21"/>
              </w:rPr>
            </w:pPr>
          </w:p>
        </w:tc>
        <w:tc>
          <w:tcPr>
            <w:tcW w:w="3051" w:type="dxa"/>
            <w:vAlign w:val="center"/>
          </w:tcPr>
          <w:p>
            <w:pPr>
              <w:jc w:val="center"/>
              <w:rPr>
                <w:szCs w:val="21"/>
              </w:rPr>
            </w:pPr>
            <w:r>
              <w:rPr>
                <w:szCs w:val="21"/>
              </w:rPr>
              <w:t>振捣棒</w:t>
            </w:r>
          </w:p>
        </w:tc>
        <w:tc>
          <w:tcPr>
            <w:tcW w:w="2693" w:type="dxa"/>
            <w:vAlign w:val="center"/>
          </w:tcPr>
          <w:p>
            <w:pPr>
              <w:jc w:val="center"/>
              <w:rPr>
                <w:szCs w:val="21"/>
              </w:rPr>
            </w:pPr>
            <w:r>
              <w:rPr>
                <w:rFonts w:hint="eastAsia"/>
                <w:szCs w:val="21"/>
              </w:rPr>
              <w:t>55~84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2784" w:type="dxa"/>
            <w:vMerge w:val="restart"/>
            <w:vAlign w:val="center"/>
          </w:tcPr>
          <w:p>
            <w:pPr>
              <w:jc w:val="center"/>
              <w:rPr>
                <w:rFonts w:eastAsiaTheme="minorEastAsia"/>
                <w:szCs w:val="21"/>
              </w:rPr>
            </w:pPr>
            <w:r>
              <w:rPr>
                <w:rFonts w:eastAsiaTheme="minorEastAsia"/>
                <w:szCs w:val="21"/>
              </w:rPr>
              <w:t>装修阶段</w:t>
            </w:r>
          </w:p>
        </w:tc>
        <w:tc>
          <w:tcPr>
            <w:tcW w:w="3051" w:type="dxa"/>
            <w:vAlign w:val="center"/>
          </w:tcPr>
          <w:p>
            <w:pPr>
              <w:jc w:val="center"/>
              <w:rPr>
                <w:szCs w:val="21"/>
              </w:rPr>
            </w:pPr>
            <w:r>
              <w:rPr>
                <w:szCs w:val="21"/>
              </w:rPr>
              <w:t>电锯</w:t>
            </w:r>
          </w:p>
        </w:tc>
        <w:tc>
          <w:tcPr>
            <w:tcW w:w="2693" w:type="dxa"/>
            <w:vAlign w:val="center"/>
          </w:tcPr>
          <w:p>
            <w:pPr>
              <w:jc w:val="center"/>
              <w:rPr>
                <w:szCs w:val="21"/>
              </w:rPr>
            </w:pPr>
            <w:r>
              <w:rPr>
                <w:rFonts w:hint="eastAsia"/>
                <w:szCs w:val="21"/>
              </w:rPr>
              <w:t>100~105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2784" w:type="dxa"/>
            <w:vMerge w:val="continue"/>
            <w:vAlign w:val="center"/>
          </w:tcPr>
          <w:p>
            <w:pPr>
              <w:jc w:val="center"/>
              <w:rPr>
                <w:rFonts w:eastAsiaTheme="minorEastAsia"/>
                <w:szCs w:val="21"/>
              </w:rPr>
            </w:pPr>
          </w:p>
        </w:tc>
        <w:tc>
          <w:tcPr>
            <w:tcW w:w="3051" w:type="dxa"/>
            <w:vAlign w:val="center"/>
          </w:tcPr>
          <w:p>
            <w:pPr>
              <w:jc w:val="center"/>
              <w:rPr>
                <w:bCs/>
                <w:szCs w:val="21"/>
              </w:rPr>
            </w:pPr>
            <w:r>
              <w:rPr>
                <w:bCs/>
                <w:szCs w:val="21"/>
              </w:rPr>
              <w:t>无齿锯</w:t>
            </w:r>
          </w:p>
        </w:tc>
        <w:tc>
          <w:tcPr>
            <w:tcW w:w="2693" w:type="dxa"/>
            <w:vAlign w:val="center"/>
          </w:tcPr>
          <w:p>
            <w:pPr>
              <w:jc w:val="center"/>
              <w:rPr>
                <w:szCs w:val="21"/>
              </w:rPr>
            </w:pPr>
            <w:r>
              <w:rPr>
                <w:rFonts w:hint="eastAsia"/>
                <w:szCs w:val="21"/>
              </w:rPr>
              <w:t>95~105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2784" w:type="dxa"/>
            <w:vMerge w:val="continue"/>
            <w:vAlign w:val="center"/>
          </w:tcPr>
          <w:p>
            <w:pPr>
              <w:jc w:val="center"/>
              <w:rPr>
                <w:rFonts w:eastAsiaTheme="minorEastAsia"/>
                <w:szCs w:val="21"/>
              </w:rPr>
            </w:pPr>
          </w:p>
        </w:tc>
        <w:tc>
          <w:tcPr>
            <w:tcW w:w="3051" w:type="dxa"/>
            <w:vAlign w:val="center"/>
          </w:tcPr>
          <w:p>
            <w:pPr>
              <w:jc w:val="center"/>
              <w:rPr>
                <w:bCs/>
                <w:szCs w:val="21"/>
              </w:rPr>
            </w:pPr>
            <w:r>
              <w:rPr>
                <w:bCs/>
                <w:szCs w:val="21"/>
              </w:rPr>
              <w:t>手工钻</w:t>
            </w:r>
          </w:p>
        </w:tc>
        <w:tc>
          <w:tcPr>
            <w:tcW w:w="2693" w:type="dxa"/>
            <w:vAlign w:val="center"/>
          </w:tcPr>
          <w:p>
            <w:pPr>
              <w:jc w:val="center"/>
              <w:rPr>
                <w:szCs w:val="21"/>
              </w:rPr>
            </w:pPr>
            <w:r>
              <w:rPr>
                <w:rFonts w:hint="eastAsia"/>
                <w:szCs w:val="21"/>
              </w:rPr>
              <w:t>100~105</w:t>
            </w:r>
          </w:p>
        </w:tc>
      </w:tr>
    </w:tbl>
    <w:p>
      <w:pPr>
        <w:pStyle w:val="17"/>
        <w:spacing w:beforeLines="50"/>
        <w:rPr>
          <w:rFonts w:ascii="Times New Roman" w:hAnsi="Times New Roman" w:cs="Times New Roman"/>
          <w:color w:val="auto"/>
          <w:sz w:val="21"/>
        </w:rPr>
      </w:pPr>
      <w:bookmarkStart w:id="174" w:name="_Toc16459"/>
      <w:bookmarkStart w:id="175" w:name="_Toc428345949"/>
      <w:bookmarkStart w:id="176" w:name="_Toc397604498"/>
      <w:bookmarkStart w:id="177" w:name="_Toc425169927"/>
      <w:bookmarkStart w:id="178" w:name="_Toc413664720"/>
      <w:r>
        <w:rPr>
          <w:rFonts w:ascii="Times New Roman" w:hAnsi="Times New Roman" w:cs="Times New Roman"/>
          <w:color w:val="auto"/>
          <w:sz w:val="21"/>
        </w:rPr>
        <w:t>表</w:t>
      </w:r>
      <w:r>
        <w:rPr>
          <w:rFonts w:hint="eastAsia" w:ascii="Times New Roman" w:hAnsi="Times New Roman" w:cs="Times New Roman"/>
          <w:color w:val="auto"/>
          <w:sz w:val="21"/>
        </w:rPr>
        <w:t>3.3-2  交通运输车辆</w:t>
      </w:r>
      <w:r>
        <w:rPr>
          <w:rFonts w:ascii="Times New Roman" w:hAnsi="Times New Roman" w:cs="Times New Roman"/>
          <w:color w:val="auto"/>
          <w:sz w:val="21"/>
        </w:rPr>
        <w:t>噪声</w:t>
      </w:r>
      <w:r>
        <w:rPr>
          <w:rFonts w:hint="eastAsia" w:ascii="Times New Roman" w:hAnsi="Times New Roman" w:cs="Times New Roman"/>
          <w:color w:val="auto"/>
          <w:sz w:val="21"/>
        </w:rPr>
        <w:t xml:space="preserve">  </w:t>
      </w:r>
      <w:r>
        <w:rPr>
          <w:rFonts w:ascii="Times New Roman" w:hAnsi="Times New Roman" w:cs="Times New Roman"/>
          <w:color w:val="auto"/>
          <w:sz w:val="21"/>
        </w:rPr>
        <w:t>单位：dB（A）</w:t>
      </w:r>
    </w:p>
    <w:tbl>
      <w:tblPr>
        <w:tblStyle w:val="47"/>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2116"/>
        <w:gridCol w:w="2528"/>
        <w:gridCol w:w="2127"/>
        <w:gridCol w:w="175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241" w:type="pct"/>
            <w:vAlign w:val="center"/>
          </w:tcPr>
          <w:p>
            <w:pPr>
              <w:jc w:val="center"/>
              <w:rPr>
                <w:rFonts w:eastAsiaTheme="minorEastAsia"/>
                <w:b/>
                <w:szCs w:val="21"/>
              </w:rPr>
            </w:pPr>
            <w:r>
              <w:rPr>
                <w:rFonts w:hAnsiTheme="minorEastAsia" w:eastAsiaTheme="minorEastAsia"/>
                <w:b/>
                <w:szCs w:val="21"/>
              </w:rPr>
              <w:t>施工阶段</w:t>
            </w:r>
          </w:p>
        </w:tc>
        <w:tc>
          <w:tcPr>
            <w:tcW w:w="1482" w:type="pct"/>
            <w:vAlign w:val="center"/>
          </w:tcPr>
          <w:p>
            <w:pPr>
              <w:jc w:val="center"/>
              <w:rPr>
                <w:rFonts w:eastAsiaTheme="minorEastAsia"/>
                <w:b/>
                <w:szCs w:val="21"/>
              </w:rPr>
            </w:pPr>
            <w:r>
              <w:rPr>
                <w:rFonts w:eastAsiaTheme="minorEastAsia"/>
                <w:b/>
                <w:szCs w:val="21"/>
              </w:rPr>
              <w:t>运输内容</w:t>
            </w:r>
          </w:p>
        </w:tc>
        <w:tc>
          <w:tcPr>
            <w:tcW w:w="1247" w:type="pct"/>
            <w:vAlign w:val="center"/>
          </w:tcPr>
          <w:p>
            <w:pPr>
              <w:jc w:val="center"/>
              <w:rPr>
                <w:rFonts w:hAnsiTheme="minorEastAsia" w:eastAsiaTheme="minorEastAsia"/>
                <w:b/>
                <w:szCs w:val="21"/>
              </w:rPr>
            </w:pPr>
            <w:r>
              <w:rPr>
                <w:rFonts w:hAnsiTheme="minorEastAsia" w:eastAsiaTheme="minorEastAsia"/>
                <w:b/>
                <w:szCs w:val="21"/>
              </w:rPr>
              <w:t>车辆类型</w:t>
            </w:r>
          </w:p>
        </w:tc>
        <w:tc>
          <w:tcPr>
            <w:tcW w:w="1030" w:type="pct"/>
            <w:vAlign w:val="center"/>
          </w:tcPr>
          <w:p>
            <w:pPr>
              <w:jc w:val="center"/>
              <w:rPr>
                <w:rFonts w:eastAsiaTheme="minorEastAsia"/>
                <w:b/>
                <w:szCs w:val="21"/>
              </w:rPr>
            </w:pPr>
            <w:r>
              <w:rPr>
                <w:rFonts w:hAnsiTheme="minorEastAsia" w:eastAsiaTheme="minorEastAsia"/>
                <w:b/>
                <w:szCs w:val="21"/>
              </w:rPr>
              <w:t>声源强度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241" w:type="pct"/>
            <w:vAlign w:val="center"/>
          </w:tcPr>
          <w:p>
            <w:pPr>
              <w:jc w:val="center"/>
              <w:rPr>
                <w:rFonts w:eastAsiaTheme="minorEastAsia"/>
                <w:szCs w:val="21"/>
              </w:rPr>
            </w:pPr>
            <w:r>
              <w:rPr>
                <w:rFonts w:hAnsiTheme="minorEastAsia" w:eastAsiaTheme="minorEastAsia"/>
                <w:szCs w:val="21"/>
              </w:rPr>
              <w:t>土石方阶段</w:t>
            </w:r>
          </w:p>
        </w:tc>
        <w:tc>
          <w:tcPr>
            <w:tcW w:w="1482" w:type="pct"/>
            <w:vAlign w:val="center"/>
          </w:tcPr>
          <w:p>
            <w:pPr>
              <w:jc w:val="center"/>
              <w:rPr>
                <w:szCs w:val="21"/>
              </w:rPr>
            </w:pPr>
            <w:r>
              <w:rPr>
                <w:szCs w:val="21"/>
              </w:rPr>
              <w:t>土方外运</w:t>
            </w:r>
          </w:p>
        </w:tc>
        <w:tc>
          <w:tcPr>
            <w:tcW w:w="1247" w:type="pct"/>
            <w:vAlign w:val="center"/>
          </w:tcPr>
          <w:p>
            <w:pPr>
              <w:jc w:val="center"/>
              <w:rPr>
                <w:szCs w:val="21"/>
              </w:rPr>
            </w:pPr>
            <w:r>
              <w:rPr>
                <w:szCs w:val="21"/>
              </w:rPr>
              <w:t>大型载重车</w:t>
            </w:r>
          </w:p>
        </w:tc>
        <w:tc>
          <w:tcPr>
            <w:tcW w:w="1030" w:type="pct"/>
            <w:vAlign w:val="center"/>
          </w:tcPr>
          <w:p>
            <w:pPr>
              <w:jc w:val="center"/>
              <w:rPr>
                <w:szCs w:val="21"/>
              </w:rPr>
            </w:pPr>
            <w:r>
              <w:rPr>
                <w:rFonts w:hint="eastAsia"/>
                <w:szCs w:val="21"/>
              </w:rPr>
              <w:t>84~90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241" w:type="pct"/>
            <w:vAlign w:val="center"/>
          </w:tcPr>
          <w:p>
            <w:pPr>
              <w:jc w:val="center"/>
              <w:rPr>
                <w:rFonts w:eastAsiaTheme="minorEastAsia"/>
                <w:szCs w:val="21"/>
              </w:rPr>
            </w:pPr>
            <w:r>
              <w:rPr>
                <w:rFonts w:eastAsiaTheme="minorEastAsia"/>
                <w:szCs w:val="21"/>
              </w:rPr>
              <w:t>结构阶段</w:t>
            </w:r>
          </w:p>
        </w:tc>
        <w:tc>
          <w:tcPr>
            <w:tcW w:w="1482" w:type="pct"/>
            <w:vAlign w:val="center"/>
          </w:tcPr>
          <w:p>
            <w:pPr>
              <w:jc w:val="center"/>
              <w:rPr>
                <w:szCs w:val="21"/>
              </w:rPr>
            </w:pPr>
            <w:r>
              <w:rPr>
                <w:szCs w:val="21"/>
              </w:rPr>
              <w:t>钢筋、商品混凝土</w:t>
            </w:r>
          </w:p>
        </w:tc>
        <w:tc>
          <w:tcPr>
            <w:tcW w:w="1247" w:type="pct"/>
            <w:vAlign w:val="center"/>
          </w:tcPr>
          <w:p>
            <w:pPr>
              <w:jc w:val="center"/>
              <w:rPr>
                <w:szCs w:val="21"/>
              </w:rPr>
            </w:pPr>
            <w:r>
              <w:rPr>
                <w:szCs w:val="21"/>
              </w:rPr>
              <w:t>混凝土罐车、载重车</w:t>
            </w:r>
          </w:p>
        </w:tc>
        <w:tc>
          <w:tcPr>
            <w:tcW w:w="1030" w:type="pct"/>
            <w:vAlign w:val="center"/>
          </w:tcPr>
          <w:p>
            <w:pPr>
              <w:jc w:val="center"/>
              <w:rPr>
                <w:szCs w:val="21"/>
              </w:rPr>
            </w:pPr>
            <w:r>
              <w:rPr>
                <w:rFonts w:hint="eastAsia"/>
                <w:szCs w:val="21"/>
              </w:rPr>
              <w:t>85~90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241" w:type="pct"/>
            <w:vAlign w:val="center"/>
          </w:tcPr>
          <w:p>
            <w:pPr>
              <w:jc w:val="center"/>
              <w:rPr>
                <w:rFonts w:eastAsiaTheme="minorEastAsia"/>
                <w:szCs w:val="21"/>
              </w:rPr>
            </w:pPr>
            <w:r>
              <w:rPr>
                <w:rFonts w:eastAsiaTheme="minorEastAsia"/>
                <w:szCs w:val="21"/>
              </w:rPr>
              <w:t>设备安装阶段</w:t>
            </w:r>
          </w:p>
        </w:tc>
        <w:tc>
          <w:tcPr>
            <w:tcW w:w="1482" w:type="pct"/>
            <w:vAlign w:val="center"/>
          </w:tcPr>
          <w:p>
            <w:pPr>
              <w:jc w:val="center"/>
              <w:rPr>
                <w:szCs w:val="21"/>
              </w:rPr>
            </w:pPr>
            <w:r>
              <w:rPr>
                <w:szCs w:val="21"/>
              </w:rPr>
              <w:t>各类设备材料及必备设备</w:t>
            </w:r>
          </w:p>
        </w:tc>
        <w:tc>
          <w:tcPr>
            <w:tcW w:w="1247" w:type="pct"/>
            <w:vAlign w:val="center"/>
          </w:tcPr>
          <w:p>
            <w:pPr>
              <w:jc w:val="center"/>
              <w:rPr>
                <w:szCs w:val="21"/>
              </w:rPr>
            </w:pPr>
            <w:r>
              <w:rPr>
                <w:szCs w:val="21"/>
              </w:rPr>
              <w:t>轻型载重卡车</w:t>
            </w:r>
          </w:p>
        </w:tc>
        <w:tc>
          <w:tcPr>
            <w:tcW w:w="1030" w:type="pct"/>
            <w:vAlign w:val="center"/>
          </w:tcPr>
          <w:p>
            <w:pPr>
              <w:jc w:val="center"/>
              <w:rPr>
                <w:szCs w:val="21"/>
              </w:rPr>
            </w:pPr>
            <w:r>
              <w:rPr>
                <w:rFonts w:hint="eastAsia"/>
                <w:szCs w:val="21"/>
              </w:rPr>
              <w:t>75~80</w:t>
            </w:r>
          </w:p>
        </w:tc>
      </w:tr>
    </w:tbl>
    <w:p>
      <w:pPr>
        <w:spacing w:line="360" w:lineRule="auto"/>
        <w:ind w:firstLine="482" w:firstLineChars="200"/>
        <w:rPr>
          <w:b/>
          <w:sz w:val="24"/>
        </w:rPr>
      </w:pPr>
      <w:r>
        <w:rPr>
          <w:rFonts w:hint="eastAsia"/>
          <w:b/>
          <w:sz w:val="24"/>
        </w:rPr>
        <w:t>4、</w:t>
      </w:r>
      <w:r>
        <w:rPr>
          <w:b/>
          <w:sz w:val="24"/>
        </w:rPr>
        <w:t>施工期固体废弃物</w:t>
      </w:r>
      <w:bookmarkEnd w:id="174"/>
      <w:bookmarkEnd w:id="175"/>
      <w:bookmarkEnd w:id="176"/>
      <w:bookmarkEnd w:id="177"/>
      <w:bookmarkEnd w:id="178"/>
    </w:p>
    <w:p>
      <w:pPr>
        <w:spacing w:line="360" w:lineRule="auto"/>
        <w:ind w:firstLine="480" w:firstLineChars="200"/>
        <w:rPr>
          <w:sz w:val="24"/>
        </w:rPr>
      </w:pPr>
      <w:r>
        <w:rPr>
          <w:sz w:val="24"/>
        </w:rPr>
        <w:t>施工期间产生的固体废物主要包括</w:t>
      </w:r>
      <w:r>
        <w:rPr>
          <w:rFonts w:hint="eastAsia"/>
          <w:sz w:val="24"/>
        </w:rPr>
        <w:t>施工渣土</w:t>
      </w:r>
      <w:r>
        <w:rPr>
          <w:sz w:val="24"/>
        </w:rPr>
        <w:t>、建筑垃圾和施工人员生活垃圾等。</w:t>
      </w:r>
    </w:p>
    <w:p>
      <w:pPr>
        <w:spacing w:line="360" w:lineRule="auto"/>
        <w:ind w:firstLine="480" w:firstLineChars="200"/>
        <w:rPr>
          <w:sz w:val="24"/>
        </w:rPr>
      </w:pPr>
      <w:r>
        <w:rPr>
          <w:rFonts w:hint="eastAsia"/>
          <w:sz w:val="24"/>
        </w:rPr>
        <w:t>（1）施工渣土</w:t>
      </w:r>
    </w:p>
    <w:p>
      <w:pPr>
        <w:spacing w:line="360" w:lineRule="auto"/>
        <w:ind w:firstLine="480" w:firstLineChars="200"/>
        <w:jc w:val="left"/>
        <w:rPr>
          <w:bCs/>
          <w:snapToGrid w:val="0"/>
          <w:color w:val="000000" w:themeColor="text1"/>
          <w:kern w:val="0"/>
          <w:sz w:val="24"/>
        </w:rPr>
      </w:pPr>
      <w:r>
        <w:rPr>
          <w:bCs/>
          <w:snapToGrid w:val="0"/>
          <w:color w:val="000000" w:themeColor="text1"/>
          <w:kern w:val="0"/>
          <w:sz w:val="24"/>
        </w:rPr>
        <w:t>根据建设单位方提供的设计资料，本项目土石方情况见表</w:t>
      </w:r>
      <w:r>
        <w:rPr>
          <w:rFonts w:hint="eastAsia"/>
          <w:bCs/>
          <w:snapToGrid w:val="0"/>
          <w:color w:val="000000" w:themeColor="text1"/>
          <w:kern w:val="0"/>
          <w:sz w:val="24"/>
        </w:rPr>
        <w:t>3.3-3。</w:t>
      </w:r>
    </w:p>
    <w:p>
      <w:pPr>
        <w:spacing w:beforeLines="50"/>
        <w:jc w:val="center"/>
        <w:rPr>
          <w:b/>
          <w:color w:val="000000" w:themeColor="text1"/>
          <w:szCs w:val="21"/>
          <w:vertAlign w:val="superscript"/>
        </w:rPr>
      </w:pPr>
      <w:r>
        <w:rPr>
          <w:b/>
          <w:color w:val="000000" w:themeColor="text1"/>
          <w:szCs w:val="21"/>
        </w:rPr>
        <w:t>表</w:t>
      </w:r>
      <w:r>
        <w:rPr>
          <w:rFonts w:hint="eastAsia"/>
          <w:b/>
          <w:color w:val="000000" w:themeColor="text1"/>
          <w:szCs w:val="21"/>
        </w:rPr>
        <w:t>3.3-3</w:t>
      </w:r>
      <w:r>
        <w:rPr>
          <w:b/>
          <w:color w:val="000000" w:themeColor="text1"/>
          <w:szCs w:val="21"/>
        </w:rPr>
        <w:t xml:space="preserve"> </w:t>
      </w:r>
      <w:r>
        <w:rPr>
          <w:rFonts w:hint="eastAsia"/>
          <w:b/>
          <w:color w:val="000000" w:themeColor="text1"/>
          <w:szCs w:val="21"/>
        </w:rPr>
        <w:t xml:space="preserve"> 项目土石方平衡估算表  单位：万m</w:t>
      </w:r>
      <w:r>
        <w:rPr>
          <w:rFonts w:hint="eastAsia"/>
          <w:b/>
          <w:color w:val="000000" w:themeColor="text1"/>
          <w:szCs w:val="21"/>
          <w:vertAlign w:val="superscript"/>
        </w:rPr>
        <w:t>3</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35"/>
        <w:gridCol w:w="2132"/>
        <w:gridCol w:w="2132"/>
        <w:gridCol w:w="21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2" w:type="pct"/>
            <w:vAlign w:val="center"/>
          </w:tcPr>
          <w:p>
            <w:pPr>
              <w:jc w:val="center"/>
              <w:rPr>
                <w:b/>
                <w:szCs w:val="21"/>
              </w:rPr>
            </w:pPr>
            <w:r>
              <w:rPr>
                <w:rFonts w:hint="eastAsia"/>
                <w:b/>
                <w:szCs w:val="21"/>
              </w:rPr>
              <w:t>挖方</w:t>
            </w:r>
          </w:p>
        </w:tc>
        <w:tc>
          <w:tcPr>
            <w:tcW w:w="1250" w:type="pct"/>
            <w:vAlign w:val="center"/>
          </w:tcPr>
          <w:p>
            <w:pPr>
              <w:jc w:val="center"/>
              <w:rPr>
                <w:b/>
                <w:szCs w:val="21"/>
              </w:rPr>
            </w:pPr>
            <w:r>
              <w:rPr>
                <w:rFonts w:hint="eastAsia"/>
                <w:b/>
                <w:szCs w:val="21"/>
              </w:rPr>
              <w:t>填方</w:t>
            </w:r>
          </w:p>
        </w:tc>
        <w:tc>
          <w:tcPr>
            <w:tcW w:w="1250" w:type="pct"/>
            <w:vAlign w:val="center"/>
          </w:tcPr>
          <w:p>
            <w:pPr>
              <w:jc w:val="center"/>
              <w:rPr>
                <w:b/>
                <w:szCs w:val="21"/>
              </w:rPr>
            </w:pPr>
            <w:r>
              <w:rPr>
                <w:rFonts w:hint="eastAsia"/>
                <w:b/>
                <w:szCs w:val="21"/>
              </w:rPr>
              <w:t>调入</w:t>
            </w:r>
          </w:p>
        </w:tc>
        <w:tc>
          <w:tcPr>
            <w:tcW w:w="1248" w:type="pct"/>
            <w:vAlign w:val="center"/>
          </w:tcPr>
          <w:p>
            <w:pPr>
              <w:jc w:val="center"/>
              <w:rPr>
                <w:b/>
                <w:szCs w:val="21"/>
              </w:rPr>
            </w:pPr>
            <w:r>
              <w:rPr>
                <w:rFonts w:hint="eastAsia"/>
                <w:b/>
                <w:szCs w:val="21"/>
              </w:rPr>
              <w:t>调出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1252" w:type="pct"/>
            <w:vAlign w:val="center"/>
          </w:tcPr>
          <w:p>
            <w:pPr>
              <w:jc w:val="center"/>
              <w:rPr>
                <w:szCs w:val="21"/>
              </w:rPr>
            </w:pPr>
            <w:r>
              <w:rPr>
                <w:rFonts w:hint="eastAsia"/>
                <w:szCs w:val="21"/>
              </w:rPr>
              <w:t>40</w:t>
            </w:r>
          </w:p>
        </w:tc>
        <w:tc>
          <w:tcPr>
            <w:tcW w:w="1250" w:type="pct"/>
            <w:vAlign w:val="center"/>
          </w:tcPr>
          <w:p>
            <w:pPr>
              <w:jc w:val="center"/>
              <w:rPr>
                <w:szCs w:val="21"/>
              </w:rPr>
            </w:pPr>
            <w:r>
              <w:rPr>
                <w:rFonts w:hint="eastAsia"/>
                <w:szCs w:val="21"/>
              </w:rPr>
              <w:t>40</w:t>
            </w:r>
          </w:p>
        </w:tc>
        <w:tc>
          <w:tcPr>
            <w:tcW w:w="1250" w:type="pct"/>
            <w:vAlign w:val="center"/>
          </w:tcPr>
          <w:p>
            <w:pPr>
              <w:jc w:val="center"/>
              <w:rPr>
                <w:szCs w:val="21"/>
              </w:rPr>
            </w:pPr>
            <w:r>
              <w:rPr>
                <w:rFonts w:hint="eastAsia"/>
                <w:szCs w:val="21"/>
              </w:rPr>
              <w:t>0</w:t>
            </w:r>
          </w:p>
        </w:tc>
        <w:tc>
          <w:tcPr>
            <w:tcW w:w="1248" w:type="pct"/>
            <w:vAlign w:val="center"/>
          </w:tcPr>
          <w:p>
            <w:pPr>
              <w:jc w:val="center"/>
              <w:rPr>
                <w:szCs w:val="21"/>
              </w:rPr>
            </w:pPr>
            <w:r>
              <w:rPr>
                <w:rFonts w:hint="eastAsia"/>
                <w:szCs w:val="21"/>
              </w:rPr>
              <w:t>0</w:t>
            </w:r>
          </w:p>
        </w:tc>
      </w:tr>
    </w:tbl>
    <w:p>
      <w:pPr>
        <w:spacing w:line="360" w:lineRule="auto"/>
        <w:ind w:firstLine="480" w:firstLineChars="200"/>
        <w:jc w:val="left"/>
        <w:rPr>
          <w:bCs/>
          <w:snapToGrid w:val="0"/>
          <w:color w:val="000000" w:themeColor="text1"/>
          <w:kern w:val="0"/>
          <w:sz w:val="24"/>
        </w:rPr>
      </w:pPr>
      <w:r>
        <w:rPr>
          <w:bCs/>
          <w:snapToGrid w:val="0"/>
          <w:color w:val="000000" w:themeColor="text1"/>
          <w:kern w:val="0"/>
          <w:sz w:val="24"/>
        </w:rPr>
        <w:t>本项目内部能实现土石方平衡，无废土石方外运</w:t>
      </w:r>
      <w:r>
        <w:rPr>
          <w:rFonts w:hint="eastAsia"/>
          <w:bCs/>
          <w:snapToGrid w:val="0"/>
          <w:color w:val="000000" w:themeColor="text1"/>
          <w:kern w:val="0"/>
          <w:sz w:val="24"/>
        </w:rPr>
        <w:t>。</w:t>
      </w:r>
    </w:p>
    <w:p>
      <w:pPr>
        <w:spacing w:line="360" w:lineRule="auto"/>
        <w:ind w:firstLine="480" w:firstLineChars="200"/>
        <w:rPr>
          <w:sz w:val="24"/>
        </w:rPr>
      </w:pPr>
      <w:r>
        <w:rPr>
          <w:bCs/>
          <w:sz w:val="24"/>
        </w:rPr>
        <w:t>（</w:t>
      </w:r>
      <w:r>
        <w:rPr>
          <w:rFonts w:hint="eastAsia"/>
          <w:bCs/>
          <w:sz w:val="24"/>
        </w:rPr>
        <w:t>2</w:t>
      </w:r>
      <w:r>
        <w:rPr>
          <w:bCs/>
          <w:sz w:val="24"/>
        </w:rPr>
        <w:t>）建筑垃圾</w:t>
      </w:r>
    </w:p>
    <w:p>
      <w:pPr>
        <w:spacing w:line="360" w:lineRule="auto"/>
        <w:ind w:firstLine="480" w:firstLineChars="200"/>
        <w:rPr>
          <w:sz w:val="24"/>
        </w:rPr>
      </w:pPr>
      <w:r>
        <w:rPr>
          <w:sz w:val="24"/>
        </w:rPr>
        <w:t>本项目主要建筑为猪舍和办公楼、宿舍楼，装修以简装为主，在建筑施工和装修阶段将产生一定量的建筑垃圾。根据同类型工程类比及统计资料，建筑垃圾产生量按20kg/m</w:t>
      </w:r>
      <w:r>
        <w:rPr>
          <w:sz w:val="24"/>
          <w:vertAlign w:val="superscript"/>
        </w:rPr>
        <w:t>2</w:t>
      </w:r>
      <w:r>
        <w:rPr>
          <w:sz w:val="24"/>
        </w:rPr>
        <w:t>计算，本项目总建筑面积约为</w:t>
      </w:r>
      <w:r>
        <w:rPr>
          <w:rFonts w:hint="eastAsia"/>
          <w:sz w:val="24"/>
        </w:rPr>
        <w:t>16997.33</w:t>
      </w:r>
      <w:r>
        <w:rPr>
          <w:sz w:val="24"/>
        </w:rPr>
        <w:t>m</w:t>
      </w:r>
      <w:r>
        <w:rPr>
          <w:sz w:val="24"/>
          <w:vertAlign w:val="superscript"/>
        </w:rPr>
        <w:t>2</w:t>
      </w:r>
      <w:r>
        <w:rPr>
          <w:sz w:val="24"/>
        </w:rPr>
        <w:t>，则工程施工将产生的施工垃圾约为</w:t>
      </w:r>
      <w:r>
        <w:rPr>
          <w:rFonts w:hint="eastAsia"/>
          <w:sz w:val="24"/>
        </w:rPr>
        <w:t>339.95</w:t>
      </w:r>
      <w:r>
        <w:rPr>
          <w:sz w:val="24"/>
        </w:rPr>
        <w:t>t。</w:t>
      </w:r>
      <w:r>
        <w:rPr>
          <w:rFonts w:hint="eastAsia"/>
          <w:sz w:val="24"/>
        </w:rPr>
        <w:t>建筑垃圾中的废金属、玻璃、木块等集中收集后回收利用，废塑料、废包装袋等运往当地生活垃圾填埋场处置，其余的废混凝土、砂石砖瓦等全部用于场地平整，油漆桶等危险废弃物交给有资质的单位回收处理。</w:t>
      </w:r>
    </w:p>
    <w:p>
      <w:pPr>
        <w:spacing w:line="360" w:lineRule="auto"/>
        <w:ind w:firstLine="480" w:firstLineChars="200"/>
        <w:rPr>
          <w:bCs/>
          <w:sz w:val="24"/>
        </w:rPr>
      </w:pPr>
      <w:r>
        <w:rPr>
          <w:bCs/>
          <w:sz w:val="24"/>
        </w:rPr>
        <w:t>（</w:t>
      </w:r>
      <w:r>
        <w:rPr>
          <w:rFonts w:hint="eastAsia"/>
          <w:bCs/>
          <w:sz w:val="24"/>
        </w:rPr>
        <w:t>3</w:t>
      </w:r>
      <w:r>
        <w:rPr>
          <w:bCs/>
          <w:sz w:val="24"/>
        </w:rPr>
        <w:t>）生活垃圾</w:t>
      </w:r>
    </w:p>
    <w:p>
      <w:pPr>
        <w:spacing w:line="360" w:lineRule="auto"/>
        <w:ind w:firstLine="480" w:firstLineChars="200"/>
        <w:rPr>
          <w:sz w:val="24"/>
        </w:rPr>
      </w:pPr>
      <w:r>
        <w:rPr>
          <w:sz w:val="24"/>
        </w:rPr>
        <w:t>本项目施工人员生活垃圾以</w:t>
      </w:r>
      <w:r>
        <w:rPr>
          <w:rFonts w:hint="eastAsia"/>
          <w:sz w:val="24"/>
        </w:rPr>
        <w:t>0.5</w:t>
      </w:r>
      <w:r>
        <w:rPr>
          <w:sz w:val="24"/>
        </w:rPr>
        <w:t>kg/人·d计，施工人数</w:t>
      </w:r>
      <w:r>
        <w:rPr>
          <w:rFonts w:hint="eastAsia"/>
          <w:sz w:val="24"/>
        </w:rPr>
        <w:t>5</w:t>
      </w:r>
      <w:r>
        <w:rPr>
          <w:sz w:val="24"/>
        </w:rPr>
        <w:t>0人/d，则生活垃圾产生量约为0.0</w:t>
      </w:r>
      <w:r>
        <w:rPr>
          <w:rFonts w:hint="eastAsia"/>
          <w:sz w:val="24"/>
        </w:rPr>
        <w:t>25</w:t>
      </w:r>
      <w:r>
        <w:rPr>
          <w:sz w:val="24"/>
        </w:rPr>
        <w:t>t/d，施工期生活垃圾产生总量约为</w:t>
      </w:r>
      <w:r>
        <w:rPr>
          <w:rFonts w:hint="eastAsia"/>
          <w:sz w:val="24"/>
        </w:rPr>
        <w:t>6.88</w:t>
      </w:r>
      <w:r>
        <w:rPr>
          <w:sz w:val="24"/>
        </w:rPr>
        <w:t>t（施工期为</w:t>
      </w:r>
      <w:r>
        <w:rPr>
          <w:rFonts w:hint="eastAsia"/>
          <w:sz w:val="24"/>
        </w:rPr>
        <w:t>9个月</w:t>
      </w:r>
      <w:r>
        <w:rPr>
          <w:sz w:val="24"/>
        </w:rPr>
        <w:t>）。</w:t>
      </w:r>
    </w:p>
    <w:p>
      <w:pPr>
        <w:spacing w:line="360" w:lineRule="auto"/>
        <w:ind w:firstLine="482" w:firstLineChars="200"/>
        <w:rPr>
          <w:b/>
          <w:sz w:val="24"/>
        </w:rPr>
      </w:pPr>
      <w:r>
        <w:rPr>
          <w:rFonts w:hint="eastAsia"/>
          <w:b/>
          <w:sz w:val="24"/>
        </w:rPr>
        <w:t>5、施工期生态环境环境影响</w:t>
      </w:r>
    </w:p>
    <w:p>
      <w:pPr>
        <w:spacing w:line="360" w:lineRule="auto"/>
        <w:ind w:firstLine="480" w:firstLineChars="200"/>
        <w:rPr>
          <w:sz w:val="24"/>
        </w:rPr>
      </w:pPr>
      <w:r>
        <w:rPr>
          <w:rFonts w:hint="eastAsia"/>
          <w:color w:val="FF0000"/>
          <w:sz w:val="24"/>
          <w:u w:val="wave"/>
          <w:lang w:val="en-US" w:eastAsia="zh-CN"/>
        </w:rPr>
        <w:t>项目施工期前用地类型主要为一般耕地、其他农用地</w:t>
      </w:r>
      <w:r>
        <w:rPr>
          <w:rFonts w:hint="eastAsia"/>
          <w:color w:val="FF0000"/>
          <w:sz w:val="24"/>
          <w:u w:val="wave"/>
        </w:rPr>
        <w:t>项目</w:t>
      </w:r>
      <w:r>
        <w:rPr>
          <w:rFonts w:hint="eastAsia"/>
          <w:color w:val="FF0000"/>
          <w:sz w:val="24"/>
          <w:u w:val="wave"/>
          <w:lang w:eastAsia="zh-CN"/>
        </w:rPr>
        <w:t>。</w:t>
      </w:r>
      <w:r>
        <w:rPr>
          <w:rFonts w:hint="eastAsia"/>
          <w:sz w:val="24"/>
        </w:rPr>
        <w:t>建设过程中，将破坏土地构型，植被被破坏，雨水侵蚀致使土壤流失，土层变薄，土壤发生层次缺失，导致表土裸露，局部蓄水固土的功能将丧失，从而导致水土流失。</w:t>
      </w:r>
    </w:p>
    <w:p>
      <w:pPr>
        <w:spacing w:line="360" w:lineRule="auto"/>
        <w:ind w:firstLine="480" w:firstLineChars="200"/>
        <w:rPr>
          <w:sz w:val="24"/>
        </w:rPr>
      </w:pPr>
      <w:r>
        <w:rPr>
          <w:rFonts w:hint="eastAsia"/>
          <w:sz w:val="24"/>
        </w:rPr>
        <w:t>水土流失是指土壤在降水侵蚀力作用下的分散、迁移和沉积的过程。影响水土流失的因素较多，主要包括降雨、土壤、植被、地形地貌以及工程施工等因素。就本项目而言，影响施工期水土流失的主要因素是降雨和工程施工。</w:t>
      </w:r>
    </w:p>
    <w:p>
      <w:pPr>
        <w:spacing w:line="360" w:lineRule="auto"/>
        <w:ind w:firstLine="480" w:firstLineChars="200"/>
        <w:rPr>
          <w:sz w:val="24"/>
        </w:rPr>
      </w:pPr>
      <w:r>
        <w:rPr>
          <w:rFonts w:hint="eastAsia"/>
          <w:sz w:val="24"/>
        </w:rPr>
        <w:t>（1）降雨因素</w:t>
      </w:r>
    </w:p>
    <w:p>
      <w:pPr>
        <w:spacing w:line="360" w:lineRule="auto"/>
        <w:ind w:firstLine="480" w:firstLineChars="200"/>
        <w:rPr>
          <w:sz w:val="24"/>
        </w:rPr>
      </w:pPr>
      <w:r>
        <w:rPr>
          <w:rFonts w:hint="eastAsia"/>
          <w:sz w:val="24"/>
        </w:rPr>
        <w:t>降雨是发生水土流失的最直接最重要的自然因素。降雨对裸露地表的影响表现在两个方面：一是雨滴对裸露地表的直接冲溅作用，二是雨水汇集形成地表径流的冲刷作用。这种作用在暴雨时表现得更为集中和剧烈，往往引起较大强度的水土流失。常宁市雨季充沛，雨季集中在4~6月份，降雨量大、暴雨日多（即降雨强度大）是造成水土流失的最直接的作用因素。因此，本项目的施工（尤其是在雨季）不可避免的会面临水土流失问题。</w:t>
      </w:r>
    </w:p>
    <w:p>
      <w:pPr>
        <w:spacing w:line="360" w:lineRule="auto"/>
        <w:ind w:firstLine="480" w:firstLineChars="200"/>
        <w:rPr>
          <w:sz w:val="24"/>
        </w:rPr>
      </w:pPr>
      <w:r>
        <w:rPr>
          <w:rFonts w:hint="eastAsia"/>
          <w:sz w:val="24"/>
        </w:rPr>
        <w:t>（2）工程因素</w:t>
      </w:r>
    </w:p>
    <w:p>
      <w:pPr>
        <w:spacing w:line="360" w:lineRule="auto"/>
        <w:ind w:firstLine="480" w:firstLineChars="200"/>
        <w:rPr>
          <w:sz w:val="24"/>
        </w:rPr>
      </w:pPr>
      <w:r>
        <w:rPr>
          <w:rFonts w:hint="eastAsia"/>
          <w:sz w:val="24"/>
        </w:rPr>
        <w:t>工程因素主要指人类的各项开发建设活动，它通过影响引起水土流失的各项自然因素而起作用，是促进水土流失加剧的重要因素。区域开发建设改变区域地形地貌、破坏植被、改变土壤的理化性质，从而加剧水土流失的发生。就本建设项目而言，在正常的降雨条件下，工程施工是导致水土流失发生、发展并加剧的根源。据估算，经扰动的土壤其侵蚀模数比未经扰动的土壤约可加大10倍。若施工期不采取水土保持措施，造成的水土流失将非常严重，因此，施工期为本项目水土流失防治重点阶段。</w:t>
      </w:r>
    </w:p>
    <w:p>
      <w:pPr>
        <w:spacing w:line="360" w:lineRule="auto"/>
        <w:ind w:firstLine="480" w:firstLineChars="200"/>
        <w:rPr>
          <w:sz w:val="24"/>
        </w:rPr>
      </w:pPr>
      <w:r>
        <w:rPr>
          <w:rFonts w:hint="eastAsia"/>
          <w:sz w:val="24"/>
        </w:rPr>
        <w:t>本次评价采用经验公式（无明显侵蚀地区）计算水土流失量：</w:t>
      </w:r>
    </w:p>
    <w:p>
      <w:pPr>
        <w:spacing w:line="360" w:lineRule="auto"/>
        <w:ind w:firstLine="480" w:firstLineChars="200"/>
        <w:rPr>
          <w:sz w:val="24"/>
        </w:rPr>
      </w:pPr>
      <w:r>
        <w:rPr>
          <w:rFonts w:hint="eastAsia"/>
          <w:sz w:val="24"/>
        </w:rPr>
        <w:t>水土流失量=土壤侵蚀模数×侵蚀面积×影响时段</w:t>
      </w:r>
    </w:p>
    <w:p>
      <w:pPr>
        <w:spacing w:line="360" w:lineRule="auto"/>
        <w:ind w:firstLine="480" w:firstLineChars="200"/>
        <w:rPr>
          <w:color w:val="FF0000"/>
          <w:sz w:val="24"/>
        </w:rPr>
      </w:pPr>
      <w:r>
        <w:rPr>
          <w:rFonts w:hint="eastAsia"/>
          <w:sz w:val="24"/>
        </w:rPr>
        <w:t>根据《土壤侵蚀分类分级标准》（SL190-2007）提出的全国土壤侵蚀类型区划，项目建设所在区域属于南方红壤丘陵区。经过类比同区域建设项目建设期侵蚀模数，确定本项目建设期侵蚀模数为4500t/km</w:t>
      </w:r>
      <w:r>
        <w:rPr>
          <w:rFonts w:hint="eastAsia"/>
          <w:sz w:val="24"/>
          <w:vertAlign w:val="superscript"/>
        </w:rPr>
        <w:t>2</w:t>
      </w:r>
      <w:r>
        <w:rPr>
          <w:rFonts w:hint="eastAsia"/>
          <w:sz w:val="24"/>
        </w:rPr>
        <w:t>.a。本项目建设期</w:t>
      </w:r>
      <w:r>
        <w:rPr>
          <w:rFonts w:hint="eastAsia"/>
          <w:color w:val="auto"/>
          <w:sz w:val="24"/>
        </w:rPr>
        <w:t>为9个月，用地面积约21981m</w:t>
      </w:r>
      <w:r>
        <w:rPr>
          <w:rFonts w:hint="eastAsia"/>
          <w:color w:val="auto"/>
          <w:sz w:val="24"/>
          <w:vertAlign w:val="superscript"/>
        </w:rPr>
        <w:t>2</w:t>
      </w:r>
      <w:r>
        <w:rPr>
          <w:rFonts w:hint="eastAsia"/>
          <w:color w:val="auto"/>
          <w:sz w:val="24"/>
        </w:rPr>
        <w:t>，因此本项目建设期间的水土流失新增量约为98.91t。</w:t>
      </w:r>
    </w:p>
    <w:p>
      <w:pPr>
        <w:spacing w:line="360" w:lineRule="auto"/>
        <w:ind w:firstLine="480" w:firstLineChars="200"/>
        <w:rPr>
          <w:sz w:val="24"/>
        </w:rPr>
      </w:pPr>
      <w:r>
        <w:rPr>
          <w:rFonts w:hint="eastAsia"/>
          <w:sz w:val="24"/>
        </w:rPr>
        <w:t>为减少项目建设对的水土流失影响，建议项目施工过程中采取相应的水土保持措施，可以在施工区设置临时分区围拦设施，减少水土流失的形成面积，另外特别注意加强挖填土阶段的施工环境管理，固定土方的堆放场地，禁止土方在场外的乱堆乱放，防止运输抛洒等，通过以上措施的采取，可将施工造成的水土流失进行有效控制。落实上述措施后，项目水土流失量可以减少90</w:t>
      </w:r>
      <w:r>
        <w:rPr>
          <w:sz w:val="24"/>
        </w:rPr>
        <w:t>％</w:t>
      </w:r>
      <w:r>
        <w:rPr>
          <w:rFonts w:hint="eastAsia"/>
          <w:sz w:val="24"/>
        </w:rPr>
        <w:t>左右，故本项目水土流失量约为9.89t。</w:t>
      </w:r>
    </w:p>
    <w:p>
      <w:pPr>
        <w:pStyle w:val="7"/>
        <w:adjustRightInd w:val="0"/>
        <w:snapToGrid w:val="0"/>
        <w:spacing w:before="0" w:after="0" w:line="360" w:lineRule="auto"/>
        <w:jc w:val="left"/>
        <w:rPr>
          <w:sz w:val="24"/>
          <w:szCs w:val="24"/>
        </w:rPr>
      </w:pPr>
      <w:bookmarkStart w:id="179" w:name="_Toc8015"/>
      <w:bookmarkStart w:id="180" w:name="_Toc6183"/>
      <w:bookmarkStart w:id="181" w:name="_Toc17452"/>
      <w:bookmarkStart w:id="182" w:name="_Toc8211"/>
      <w:bookmarkStart w:id="183" w:name="_Toc5466"/>
      <w:bookmarkStart w:id="184" w:name="_Toc517522288"/>
      <w:bookmarkStart w:id="185" w:name="_Toc20495"/>
      <w:r>
        <w:rPr>
          <w:rFonts w:hint="eastAsia"/>
          <w:sz w:val="24"/>
          <w:szCs w:val="24"/>
        </w:rPr>
        <w:t>3.3</w:t>
      </w:r>
      <w:r>
        <w:rPr>
          <w:sz w:val="24"/>
          <w:szCs w:val="24"/>
        </w:rPr>
        <w:t>.2</w:t>
      </w:r>
      <w:r>
        <w:rPr>
          <w:rFonts w:hint="eastAsia"/>
          <w:sz w:val="24"/>
          <w:szCs w:val="24"/>
        </w:rPr>
        <w:t xml:space="preserve"> </w:t>
      </w:r>
      <w:r>
        <w:rPr>
          <w:sz w:val="24"/>
          <w:szCs w:val="24"/>
        </w:rPr>
        <w:t>运营期污染源强</w:t>
      </w:r>
      <w:bookmarkEnd w:id="179"/>
      <w:bookmarkEnd w:id="180"/>
      <w:bookmarkEnd w:id="181"/>
      <w:bookmarkEnd w:id="182"/>
      <w:bookmarkEnd w:id="183"/>
      <w:bookmarkEnd w:id="184"/>
      <w:bookmarkEnd w:id="185"/>
      <w:r>
        <w:rPr>
          <w:sz w:val="24"/>
          <w:szCs w:val="24"/>
        </w:rPr>
        <w:t>核算</w:t>
      </w:r>
    </w:p>
    <w:p>
      <w:pPr>
        <w:spacing w:line="360" w:lineRule="auto"/>
        <w:ind w:firstLine="482" w:firstLineChars="200"/>
        <w:outlineLvl w:val="3"/>
        <w:rPr>
          <w:rFonts w:eastAsiaTheme="minorEastAsia"/>
          <w:b/>
          <w:sz w:val="24"/>
        </w:rPr>
      </w:pPr>
      <w:r>
        <w:rPr>
          <w:rFonts w:hint="eastAsia" w:eastAsiaTheme="minorEastAsia"/>
          <w:b/>
          <w:sz w:val="24"/>
        </w:rPr>
        <w:t xml:space="preserve">3.3.2.1 </w:t>
      </w:r>
      <w:r>
        <w:rPr>
          <w:rFonts w:eastAsiaTheme="minorEastAsia"/>
          <w:b/>
          <w:sz w:val="24"/>
        </w:rPr>
        <w:t>运营期大气污染源源强核算</w:t>
      </w:r>
    </w:p>
    <w:p>
      <w:pPr>
        <w:autoSpaceDE w:val="0"/>
        <w:autoSpaceDN w:val="0"/>
        <w:adjustRightInd w:val="0"/>
        <w:spacing w:line="360" w:lineRule="auto"/>
        <w:ind w:firstLine="480" w:firstLineChars="200"/>
        <w:rPr>
          <w:sz w:val="24"/>
        </w:rPr>
      </w:pPr>
      <w:r>
        <w:rPr>
          <w:rFonts w:hint="eastAsia"/>
          <w:sz w:val="24"/>
        </w:rPr>
        <w:t>本项目废气主要源于鸡舍恶臭、鲜鸡粪室外输送恶臭、</w:t>
      </w:r>
      <w:r>
        <w:rPr>
          <w:rFonts w:hint="eastAsia"/>
          <w:sz w:val="24"/>
          <w:lang w:val="en-US" w:eastAsia="zh-CN"/>
        </w:rPr>
        <w:t>鸡粪收集室</w:t>
      </w:r>
      <w:r>
        <w:rPr>
          <w:rFonts w:hint="eastAsia"/>
          <w:sz w:val="24"/>
        </w:rPr>
        <w:t>恶臭、食堂油烟、</w:t>
      </w:r>
      <w:r>
        <w:rPr>
          <w:rFonts w:hint="eastAsia"/>
          <w:sz w:val="24"/>
          <w:lang w:eastAsia="zh-CN"/>
        </w:rPr>
        <w:t>备用柴油发电机尾气</w:t>
      </w:r>
      <w:r>
        <w:rPr>
          <w:rFonts w:hint="eastAsia"/>
          <w:sz w:val="24"/>
        </w:rPr>
        <w:t>、运输车辆尾气以及鸡舍粉尘。</w:t>
      </w:r>
    </w:p>
    <w:p>
      <w:pPr>
        <w:autoSpaceDE w:val="0"/>
        <w:autoSpaceDN w:val="0"/>
        <w:adjustRightInd w:val="0"/>
        <w:spacing w:line="360" w:lineRule="auto"/>
        <w:ind w:firstLine="482" w:firstLineChars="200"/>
        <w:rPr>
          <w:b/>
          <w:color w:val="FF0000"/>
          <w:sz w:val="24"/>
          <w:u w:val="wave"/>
        </w:rPr>
      </w:pPr>
      <w:r>
        <w:rPr>
          <w:rFonts w:hint="eastAsia"/>
          <w:b/>
          <w:color w:val="FF0000"/>
          <w:sz w:val="24"/>
          <w:u w:val="wave"/>
        </w:rPr>
        <w:t>1、鸡舍恶臭</w:t>
      </w:r>
    </w:p>
    <w:p>
      <w:pPr>
        <w:autoSpaceDE w:val="0"/>
        <w:autoSpaceDN w:val="0"/>
        <w:adjustRightInd w:val="0"/>
        <w:spacing w:line="360" w:lineRule="auto"/>
        <w:ind w:firstLine="480" w:firstLineChars="200"/>
        <w:rPr>
          <w:rFonts w:ascii="宋体" w:hAnsi="宋体" w:cs="宋体"/>
          <w:b/>
          <w:color w:val="FF0000"/>
          <w:kern w:val="0"/>
          <w:sz w:val="24"/>
          <w:u w:val="wave"/>
        </w:rPr>
      </w:pPr>
      <w:r>
        <w:rPr>
          <w:color w:val="FF0000"/>
          <w:sz w:val="24"/>
          <w:u w:val="wave"/>
        </w:rPr>
        <w:t>鸡舍恶臭气体是恶臭与温室气体，其主要来源为有机物腐败时所产生的氨气、动物有机体中蛋白质腐败时所产生的硫化氢及饲料中纤维分解时所产生的甲烷等，</w:t>
      </w:r>
      <w:r>
        <w:rPr>
          <w:rFonts w:hint="eastAsia"/>
          <w:color w:val="FF0000"/>
          <w:sz w:val="24"/>
          <w:u w:val="wave"/>
        </w:rPr>
        <w:t>由于养殖场臭气产生量与气温、鸡舍清洁条件、饲料等有关，且属于面源污染，无组织扩散，目前较难统计出较准确的产生量。</w:t>
      </w:r>
      <w:r>
        <w:rPr>
          <w:rFonts w:hint="eastAsia" w:asciiTheme="minorEastAsia" w:hAnsiTheme="minorEastAsia" w:eastAsiaTheme="minorEastAsia"/>
          <w:color w:val="FF0000"/>
          <w:sz w:val="24"/>
          <w:u w:val="wave"/>
        </w:rPr>
        <w:t>根据《排污许可证申请与核发技术规范</w:t>
      </w:r>
      <w:r>
        <w:rPr>
          <w:rFonts w:asciiTheme="minorEastAsia" w:hAnsiTheme="minorEastAsia" w:eastAsiaTheme="minorEastAsia"/>
          <w:color w:val="FF0000"/>
          <w:sz w:val="24"/>
          <w:u w:val="wave"/>
        </w:rPr>
        <w:t xml:space="preserve"> </w:t>
      </w:r>
      <w:r>
        <w:rPr>
          <w:rFonts w:hint="eastAsia" w:asciiTheme="minorEastAsia" w:hAnsiTheme="minorEastAsia" w:eastAsiaTheme="minorEastAsia"/>
          <w:color w:val="FF0000"/>
          <w:sz w:val="24"/>
          <w:u w:val="wave"/>
        </w:rPr>
        <w:t>畜禽养殖行业》表</w:t>
      </w:r>
      <w:r>
        <w:rPr>
          <w:rFonts w:eastAsiaTheme="minorEastAsia"/>
          <w:color w:val="FF0000"/>
          <w:sz w:val="24"/>
          <w:u w:val="wave"/>
        </w:rPr>
        <w:t>9</w:t>
      </w:r>
      <w:r>
        <w:rPr>
          <w:rFonts w:asciiTheme="minorEastAsia" w:hAnsiTheme="minorEastAsia" w:eastAsiaTheme="minorEastAsia"/>
          <w:color w:val="FF0000"/>
          <w:sz w:val="24"/>
          <w:u w:val="wave"/>
        </w:rPr>
        <w:t>“</w:t>
      </w:r>
      <w:r>
        <w:rPr>
          <w:rFonts w:hint="eastAsia" w:asciiTheme="minorEastAsia" w:hAnsiTheme="minorEastAsia" w:eastAsiaTheme="minorEastAsia"/>
          <w:color w:val="FF0000"/>
          <w:sz w:val="24"/>
          <w:u w:val="wave"/>
        </w:rPr>
        <w:t>各类禽污染物产生量</w:t>
      </w:r>
      <w:r>
        <w:rPr>
          <w:rFonts w:asciiTheme="minorEastAsia" w:hAnsiTheme="minorEastAsia" w:eastAsiaTheme="minorEastAsia"/>
          <w:color w:val="FF0000"/>
          <w:sz w:val="24"/>
          <w:u w:val="wave"/>
        </w:rPr>
        <w:t>”</w:t>
      </w:r>
      <w:r>
        <w:rPr>
          <w:rFonts w:hint="eastAsia" w:asciiTheme="minorEastAsia" w:hAnsiTheme="minorEastAsia" w:eastAsiaTheme="minorEastAsia"/>
          <w:color w:val="FF0000"/>
          <w:sz w:val="24"/>
          <w:u w:val="wave"/>
        </w:rPr>
        <w:t>可</w:t>
      </w:r>
      <w:r>
        <w:rPr>
          <w:rFonts w:hint="eastAsia"/>
          <w:color w:val="FF0000"/>
          <w:sz w:val="24"/>
          <w:u w:val="wave"/>
        </w:rPr>
        <w:t>知蛋鸡的粪便污染物产生量详见下表。</w:t>
      </w:r>
    </w:p>
    <w:p>
      <w:pPr>
        <w:autoSpaceDE w:val="0"/>
        <w:autoSpaceDN w:val="0"/>
        <w:adjustRightInd w:val="0"/>
        <w:spacing w:beforeLines="50"/>
        <w:jc w:val="center"/>
        <w:rPr>
          <w:b/>
          <w:color w:val="FF0000"/>
          <w:u w:val="wave"/>
        </w:rPr>
      </w:pPr>
      <w:r>
        <w:rPr>
          <w:rFonts w:hint="eastAsia"/>
          <w:b/>
          <w:color w:val="FF0000"/>
          <w:u w:val="wave"/>
        </w:rPr>
        <w:t>表</w:t>
      </w:r>
      <w:r>
        <w:rPr>
          <w:b/>
          <w:color w:val="FF0000"/>
          <w:u w:val="wave"/>
        </w:rPr>
        <w:t>3.</w:t>
      </w:r>
      <w:r>
        <w:rPr>
          <w:rFonts w:hint="eastAsia"/>
          <w:b/>
          <w:color w:val="FF0000"/>
          <w:u w:val="wave"/>
        </w:rPr>
        <w:t>3-4</w:t>
      </w:r>
      <w:r>
        <w:rPr>
          <w:b/>
          <w:color w:val="FF0000"/>
          <w:u w:val="wave"/>
        </w:rPr>
        <w:t xml:space="preserve">  </w:t>
      </w:r>
      <w:r>
        <w:rPr>
          <w:rFonts w:hint="eastAsia"/>
          <w:b/>
          <w:color w:val="FF0000"/>
          <w:u w:val="wave"/>
        </w:rPr>
        <w:t>蛋鸡养殖排污系数</w:t>
      </w:r>
    </w:p>
    <w:tbl>
      <w:tblPr>
        <w:tblStyle w:val="47"/>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58"/>
        <w:gridCol w:w="2543"/>
        <w:gridCol w:w="3300"/>
        <w:gridCol w:w="17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2" w:type="pct"/>
            <w:vMerge w:val="restart"/>
            <w:tcBorders>
              <w:tl2br w:val="nil"/>
              <w:tr2bl w:val="nil"/>
            </w:tcBorders>
            <w:vAlign w:val="center"/>
          </w:tcPr>
          <w:p>
            <w:pPr>
              <w:pStyle w:val="90"/>
              <w:rPr>
                <w:rFonts w:ascii="Times New Roman" w:hAnsi="Times New Roman" w:cs="Times New Roman" w:eastAsiaTheme="majorEastAsia"/>
                <w:b/>
                <w:color w:val="FF0000"/>
                <w:kern w:val="2"/>
                <w:sz w:val="21"/>
                <w:szCs w:val="21"/>
                <w:u w:val="wave"/>
              </w:rPr>
            </w:pPr>
            <w:r>
              <w:rPr>
                <w:rFonts w:ascii="Times New Roman" w:cs="Times New Roman" w:hAnsiTheme="majorEastAsia" w:eastAsiaTheme="majorEastAsia"/>
                <w:b/>
                <w:color w:val="FF0000"/>
                <w:sz w:val="21"/>
                <w:szCs w:val="21"/>
                <w:u w:val="wave"/>
              </w:rPr>
              <w:t>种类</w:t>
            </w:r>
          </w:p>
        </w:tc>
        <w:tc>
          <w:tcPr>
            <w:tcW w:w="1491" w:type="pct"/>
            <w:vMerge w:val="restart"/>
            <w:tcBorders>
              <w:tl2br w:val="nil"/>
              <w:tr2bl w:val="nil"/>
            </w:tcBorders>
            <w:vAlign w:val="center"/>
          </w:tcPr>
          <w:p>
            <w:pPr>
              <w:pStyle w:val="90"/>
              <w:rPr>
                <w:rFonts w:ascii="Times New Roman" w:hAnsi="Times New Roman" w:cs="Times New Roman" w:eastAsiaTheme="majorEastAsia"/>
                <w:b/>
                <w:color w:val="FF0000"/>
                <w:kern w:val="2"/>
                <w:sz w:val="21"/>
                <w:szCs w:val="21"/>
                <w:u w:val="wave"/>
              </w:rPr>
            </w:pPr>
            <w:r>
              <w:rPr>
                <w:rFonts w:ascii="Times New Roman" w:cs="Times New Roman" w:hAnsiTheme="majorEastAsia" w:eastAsiaTheme="majorEastAsia"/>
                <w:b/>
                <w:color w:val="FF0000"/>
                <w:sz w:val="21"/>
                <w:szCs w:val="21"/>
                <w:u w:val="wave"/>
              </w:rPr>
              <w:t>粪便产生量（</w:t>
            </w:r>
            <w:r>
              <w:rPr>
                <w:rFonts w:ascii="Times New Roman" w:hAnsi="Times New Roman" w:cs="Times New Roman" w:eastAsiaTheme="majorEastAsia"/>
                <w:b/>
                <w:color w:val="FF0000"/>
                <w:sz w:val="21"/>
                <w:szCs w:val="21"/>
                <w:u w:val="wave"/>
              </w:rPr>
              <w:t xml:space="preserve">kg/d </w:t>
            </w:r>
            <w:r>
              <w:rPr>
                <w:rFonts w:ascii="Times New Roman" w:cs="Times New Roman" w:hAnsiTheme="majorEastAsia" w:eastAsiaTheme="majorEastAsia"/>
                <w:b/>
                <w:color w:val="FF0000"/>
                <w:sz w:val="21"/>
                <w:szCs w:val="21"/>
                <w:u w:val="wave"/>
              </w:rPr>
              <w:t>头</w:t>
            </w:r>
            <w:r>
              <w:rPr>
                <w:rFonts w:ascii="Times New Roman" w:hAnsi="Times New Roman" w:cs="Times New Roman" w:eastAsiaTheme="majorEastAsia"/>
                <w:b/>
                <w:color w:val="FF0000"/>
                <w:sz w:val="21"/>
                <w:szCs w:val="21"/>
                <w:u w:val="wave"/>
              </w:rPr>
              <w:t>/</w:t>
            </w:r>
            <w:r>
              <w:rPr>
                <w:rFonts w:ascii="Times New Roman" w:cs="Times New Roman" w:hAnsiTheme="majorEastAsia" w:eastAsiaTheme="majorEastAsia"/>
                <w:b/>
                <w:color w:val="FF0000"/>
                <w:sz w:val="21"/>
                <w:szCs w:val="21"/>
                <w:u w:val="wave"/>
              </w:rPr>
              <w:t>只）</w:t>
            </w:r>
          </w:p>
        </w:tc>
        <w:tc>
          <w:tcPr>
            <w:tcW w:w="1935" w:type="pct"/>
            <w:tcBorders>
              <w:tl2br w:val="nil"/>
              <w:tr2bl w:val="nil"/>
            </w:tcBorders>
            <w:vAlign w:val="center"/>
          </w:tcPr>
          <w:p>
            <w:pPr>
              <w:pStyle w:val="90"/>
              <w:rPr>
                <w:rFonts w:ascii="Times New Roman" w:hAnsi="Times New Roman" w:cs="Times New Roman" w:eastAsiaTheme="majorEastAsia"/>
                <w:b/>
                <w:color w:val="FF0000"/>
                <w:kern w:val="2"/>
                <w:sz w:val="21"/>
                <w:szCs w:val="21"/>
                <w:u w:val="wave"/>
              </w:rPr>
            </w:pPr>
            <w:r>
              <w:rPr>
                <w:rFonts w:ascii="Times New Roman" w:cs="Times New Roman" w:hAnsiTheme="majorEastAsia" w:eastAsiaTheme="majorEastAsia"/>
                <w:b/>
                <w:color w:val="FF0000"/>
                <w:sz w:val="21"/>
                <w:szCs w:val="21"/>
                <w:u w:val="wave"/>
              </w:rPr>
              <w:t>粪便中污染物含量（</w:t>
            </w:r>
            <w:r>
              <w:rPr>
                <w:rFonts w:ascii="Times New Roman" w:hAnsi="Times New Roman" w:cs="Times New Roman" w:eastAsiaTheme="majorEastAsia"/>
                <w:b/>
                <w:color w:val="FF0000"/>
                <w:sz w:val="21"/>
                <w:szCs w:val="21"/>
                <w:u w:val="wave"/>
              </w:rPr>
              <w:t xml:space="preserve">g/d </w:t>
            </w:r>
            <w:r>
              <w:rPr>
                <w:rFonts w:ascii="Times New Roman" w:cs="Times New Roman" w:hAnsiTheme="majorEastAsia" w:eastAsiaTheme="majorEastAsia"/>
                <w:b/>
                <w:color w:val="FF0000"/>
                <w:sz w:val="21"/>
                <w:szCs w:val="21"/>
                <w:u w:val="wave"/>
              </w:rPr>
              <w:t>头</w:t>
            </w:r>
            <w:r>
              <w:rPr>
                <w:rFonts w:ascii="Times New Roman" w:hAnsi="Times New Roman" w:cs="Times New Roman" w:eastAsiaTheme="majorEastAsia"/>
                <w:b/>
                <w:color w:val="FF0000"/>
                <w:sz w:val="21"/>
                <w:szCs w:val="21"/>
                <w:u w:val="wave"/>
              </w:rPr>
              <w:t>/</w:t>
            </w:r>
            <w:r>
              <w:rPr>
                <w:rFonts w:ascii="Times New Roman" w:cs="Times New Roman" w:hAnsiTheme="majorEastAsia" w:eastAsiaTheme="majorEastAsia"/>
                <w:b/>
                <w:color w:val="FF0000"/>
                <w:sz w:val="21"/>
                <w:szCs w:val="21"/>
                <w:u w:val="wave"/>
              </w:rPr>
              <w:t>只）</w:t>
            </w:r>
          </w:p>
        </w:tc>
        <w:tc>
          <w:tcPr>
            <w:tcW w:w="1011" w:type="pct"/>
            <w:vMerge w:val="restart"/>
            <w:tcBorders>
              <w:tl2br w:val="nil"/>
              <w:tr2bl w:val="nil"/>
            </w:tcBorders>
            <w:vAlign w:val="center"/>
          </w:tcPr>
          <w:p>
            <w:pPr>
              <w:pStyle w:val="90"/>
              <w:rPr>
                <w:rFonts w:ascii="Times New Roman" w:hAnsi="Times New Roman" w:cs="Times New Roman" w:eastAsiaTheme="majorEastAsia"/>
                <w:b/>
                <w:color w:val="FF0000"/>
                <w:sz w:val="21"/>
                <w:szCs w:val="21"/>
                <w:u w:val="wave"/>
              </w:rPr>
            </w:pPr>
            <w:r>
              <w:rPr>
                <w:rFonts w:ascii="Times New Roman" w:cs="Times New Roman" w:hAnsiTheme="majorEastAsia" w:eastAsiaTheme="majorEastAsia"/>
                <w:b/>
                <w:color w:val="FF0000"/>
                <w:sz w:val="21"/>
                <w:szCs w:val="21"/>
                <w:u w:val="wave"/>
              </w:rPr>
              <w:t>清粪工艺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2" w:type="pct"/>
            <w:vMerge w:val="continue"/>
            <w:tcBorders>
              <w:tl2br w:val="nil"/>
              <w:tr2bl w:val="nil"/>
            </w:tcBorders>
            <w:vAlign w:val="center"/>
          </w:tcPr>
          <w:p>
            <w:pPr>
              <w:pStyle w:val="90"/>
              <w:rPr>
                <w:rFonts w:ascii="Times New Roman" w:hAnsi="Times New Roman" w:cs="Times New Roman" w:eastAsiaTheme="majorEastAsia"/>
                <w:b/>
                <w:color w:val="FF0000"/>
                <w:kern w:val="2"/>
                <w:sz w:val="21"/>
                <w:szCs w:val="21"/>
                <w:u w:val="wave"/>
              </w:rPr>
            </w:pPr>
          </w:p>
        </w:tc>
        <w:tc>
          <w:tcPr>
            <w:tcW w:w="1491" w:type="pct"/>
            <w:vMerge w:val="continue"/>
            <w:tcBorders>
              <w:tl2br w:val="nil"/>
              <w:tr2bl w:val="nil"/>
            </w:tcBorders>
            <w:vAlign w:val="center"/>
          </w:tcPr>
          <w:p>
            <w:pPr>
              <w:pStyle w:val="90"/>
              <w:rPr>
                <w:rFonts w:ascii="Times New Roman" w:hAnsi="Times New Roman" w:cs="Times New Roman" w:eastAsiaTheme="majorEastAsia"/>
                <w:b/>
                <w:color w:val="FF0000"/>
                <w:kern w:val="2"/>
                <w:sz w:val="21"/>
                <w:szCs w:val="21"/>
                <w:u w:val="wave"/>
              </w:rPr>
            </w:pPr>
          </w:p>
        </w:tc>
        <w:tc>
          <w:tcPr>
            <w:tcW w:w="1935" w:type="pct"/>
            <w:tcBorders>
              <w:tl2br w:val="nil"/>
              <w:tr2bl w:val="nil"/>
            </w:tcBorders>
            <w:vAlign w:val="center"/>
          </w:tcPr>
          <w:p>
            <w:pPr>
              <w:pStyle w:val="90"/>
              <w:rPr>
                <w:rFonts w:ascii="Times New Roman" w:hAnsi="Times New Roman" w:cs="Times New Roman" w:eastAsiaTheme="majorEastAsia"/>
                <w:b/>
                <w:color w:val="FF0000"/>
                <w:kern w:val="2"/>
                <w:sz w:val="21"/>
                <w:szCs w:val="21"/>
                <w:u w:val="wave"/>
              </w:rPr>
            </w:pPr>
            <w:r>
              <w:rPr>
                <w:rFonts w:ascii="Times New Roman" w:cs="Times New Roman" w:hAnsiTheme="majorEastAsia" w:eastAsiaTheme="majorEastAsia"/>
                <w:b/>
                <w:color w:val="FF0000"/>
                <w:sz w:val="21"/>
                <w:szCs w:val="21"/>
                <w:u w:val="wave"/>
              </w:rPr>
              <w:t>总氮</w:t>
            </w:r>
          </w:p>
        </w:tc>
        <w:tc>
          <w:tcPr>
            <w:tcW w:w="1011" w:type="pct"/>
            <w:vMerge w:val="continue"/>
            <w:tcBorders>
              <w:tl2br w:val="nil"/>
              <w:tr2bl w:val="nil"/>
            </w:tcBorders>
            <w:vAlign w:val="center"/>
          </w:tcPr>
          <w:p>
            <w:pPr>
              <w:pStyle w:val="90"/>
              <w:rPr>
                <w:rFonts w:ascii="Times New Roman" w:hAnsi="Times New Roman" w:cs="Times New Roman" w:eastAsiaTheme="majorEastAsia"/>
                <w:color w:val="FF0000"/>
                <w:kern w:val="2"/>
                <w:sz w:val="21"/>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2" w:type="pct"/>
            <w:tcBorders>
              <w:tl2br w:val="nil"/>
              <w:tr2bl w:val="nil"/>
            </w:tcBorders>
            <w:vAlign w:val="center"/>
          </w:tcPr>
          <w:p>
            <w:pPr>
              <w:pStyle w:val="90"/>
              <w:rPr>
                <w:rFonts w:ascii="Times New Roman" w:hAnsi="Times New Roman" w:cs="Times New Roman" w:eastAsiaTheme="majorEastAsia"/>
                <w:color w:val="FF0000"/>
                <w:kern w:val="2"/>
                <w:sz w:val="21"/>
                <w:szCs w:val="21"/>
                <w:u w:val="wave"/>
              </w:rPr>
            </w:pPr>
            <w:r>
              <w:rPr>
                <w:rFonts w:ascii="Times New Roman" w:cs="Times New Roman" w:hAnsiTheme="majorEastAsia" w:eastAsiaTheme="majorEastAsia"/>
                <w:color w:val="FF0000"/>
                <w:sz w:val="21"/>
                <w:szCs w:val="21"/>
                <w:u w:val="wave"/>
              </w:rPr>
              <w:t>蛋鸡</w:t>
            </w:r>
          </w:p>
        </w:tc>
        <w:tc>
          <w:tcPr>
            <w:tcW w:w="1491" w:type="pct"/>
            <w:tcBorders>
              <w:tl2br w:val="nil"/>
              <w:tr2bl w:val="nil"/>
            </w:tcBorders>
            <w:vAlign w:val="center"/>
          </w:tcPr>
          <w:p>
            <w:pPr>
              <w:pStyle w:val="90"/>
              <w:rPr>
                <w:rFonts w:ascii="Times New Roman" w:hAnsi="Times New Roman" w:cs="Times New Roman" w:eastAsiaTheme="majorEastAsia"/>
                <w:color w:val="FF0000"/>
                <w:kern w:val="2"/>
                <w:sz w:val="21"/>
                <w:szCs w:val="21"/>
                <w:u w:val="wave"/>
              </w:rPr>
            </w:pPr>
            <w:r>
              <w:rPr>
                <w:rFonts w:ascii="Times New Roman" w:hAnsi="Times New Roman" w:cs="Times New Roman" w:eastAsiaTheme="majorEastAsia"/>
                <w:color w:val="FF0000"/>
                <w:sz w:val="21"/>
                <w:szCs w:val="21"/>
                <w:u w:val="wave"/>
              </w:rPr>
              <w:t>0.13</w:t>
            </w:r>
          </w:p>
        </w:tc>
        <w:tc>
          <w:tcPr>
            <w:tcW w:w="1935" w:type="pct"/>
            <w:tcBorders>
              <w:tl2br w:val="nil"/>
              <w:tr2bl w:val="nil"/>
            </w:tcBorders>
            <w:vAlign w:val="center"/>
          </w:tcPr>
          <w:p>
            <w:pPr>
              <w:pStyle w:val="90"/>
              <w:rPr>
                <w:rFonts w:ascii="Times New Roman" w:hAnsi="Times New Roman" w:cs="Times New Roman" w:eastAsiaTheme="majorEastAsia"/>
                <w:color w:val="FF0000"/>
                <w:kern w:val="2"/>
                <w:sz w:val="21"/>
                <w:szCs w:val="21"/>
                <w:u w:val="wave"/>
              </w:rPr>
            </w:pPr>
            <w:r>
              <w:rPr>
                <w:rFonts w:ascii="Times New Roman" w:hAnsi="Times New Roman" w:cs="Times New Roman" w:eastAsiaTheme="majorEastAsia"/>
                <w:color w:val="FF0000"/>
                <w:sz w:val="21"/>
                <w:szCs w:val="21"/>
                <w:u w:val="wave"/>
              </w:rPr>
              <w:t>1.2</w:t>
            </w:r>
          </w:p>
        </w:tc>
        <w:tc>
          <w:tcPr>
            <w:tcW w:w="1011" w:type="pct"/>
            <w:tcBorders>
              <w:tl2br w:val="nil"/>
              <w:tr2bl w:val="nil"/>
            </w:tcBorders>
            <w:vAlign w:val="center"/>
          </w:tcPr>
          <w:p>
            <w:pPr>
              <w:pStyle w:val="90"/>
              <w:rPr>
                <w:rFonts w:ascii="Times New Roman" w:hAnsi="Times New Roman" w:cs="Times New Roman" w:eastAsiaTheme="majorEastAsia"/>
                <w:color w:val="FF0000"/>
                <w:kern w:val="2"/>
                <w:sz w:val="21"/>
                <w:szCs w:val="21"/>
                <w:u w:val="wave"/>
              </w:rPr>
            </w:pPr>
            <w:r>
              <w:rPr>
                <w:rFonts w:ascii="Times New Roman" w:cs="Times New Roman" w:hAnsiTheme="majorEastAsia" w:eastAsiaTheme="majorEastAsia"/>
                <w:color w:val="FF0000"/>
                <w:sz w:val="21"/>
                <w:szCs w:val="21"/>
                <w:u w:val="wave"/>
              </w:rPr>
              <w:t>干清粪</w:t>
            </w:r>
          </w:p>
        </w:tc>
      </w:tr>
    </w:tbl>
    <w:p>
      <w:pPr>
        <w:autoSpaceDE w:val="0"/>
        <w:autoSpaceDN w:val="0"/>
        <w:adjustRightInd w:val="0"/>
        <w:spacing w:line="360" w:lineRule="auto"/>
        <w:ind w:firstLine="480" w:firstLineChars="200"/>
        <w:rPr>
          <w:color w:val="FF0000"/>
          <w:kern w:val="0"/>
          <w:sz w:val="24"/>
          <w:u w:val="wave"/>
        </w:rPr>
      </w:pPr>
      <w:r>
        <w:rPr>
          <w:rFonts w:hint="eastAsia"/>
          <w:color w:val="FF0000"/>
          <w:kern w:val="0"/>
          <w:sz w:val="24"/>
          <w:u w:val="wave"/>
        </w:rPr>
        <w:t>本项目蛋鸡存栏为60万羽，则鸡粪的产生量为28470t/a，则粪便中总氮含量为262.8t/a。</w:t>
      </w:r>
    </w:p>
    <w:p>
      <w:pPr>
        <w:autoSpaceDE w:val="0"/>
        <w:autoSpaceDN w:val="0"/>
        <w:adjustRightInd w:val="0"/>
        <w:spacing w:line="360" w:lineRule="auto"/>
        <w:ind w:firstLine="480" w:firstLineChars="200"/>
        <w:rPr>
          <w:color w:val="FF0000"/>
          <w:kern w:val="0"/>
          <w:sz w:val="24"/>
          <w:u w:val="wave"/>
        </w:rPr>
      </w:pPr>
      <w:r>
        <w:rPr>
          <w:rFonts w:hint="eastAsia"/>
          <w:color w:val="FF0000"/>
          <w:kern w:val="0"/>
          <w:sz w:val="24"/>
          <w:u w:val="wave"/>
        </w:rPr>
        <w:t>根据《畜禽场环境评价》（刘成国主编，中国标准出版社）和《农业污染源产排污系数手册》（2009年2月，中国农业科学院农业环境与可持续发展研究所和环境保护部南京环境科学研究所编写）中相关数据，禽类粪便中，氮的挥发量约占总量的10%，其中NH</w:t>
      </w:r>
      <w:r>
        <w:rPr>
          <w:rFonts w:hint="eastAsia"/>
          <w:color w:val="FF0000"/>
          <w:kern w:val="0"/>
          <w:sz w:val="24"/>
          <w:u w:val="wave"/>
          <w:vertAlign w:val="subscript"/>
        </w:rPr>
        <w:t>3</w:t>
      </w:r>
      <w:r>
        <w:rPr>
          <w:rFonts w:hint="eastAsia"/>
          <w:color w:val="FF0000"/>
          <w:kern w:val="0"/>
          <w:sz w:val="24"/>
          <w:u w:val="wave"/>
        </w:rPr>
        <w:t>占挥发氨的25%，H</w:t>
      </w:r>
      <w:r>
        <w:rPr>
          <w:rFonts w:hint="eastAsia"/>
          <w:color w:val="FF0000"/>
          <w:kern w:val="0"/>
          <w:sz w:val="24"/>
          <w:u w:val="wave"/>
          <w:vertAlign w:val="subscript"/>
        </w:rPr>
        <w:t>2</w:t>
      </w:r>
      <w:r>
        <w:rPr>
          <w:rFonts w:hint="eastAsia"/>
          <w:color w:val="FF0000"/>
          <w:kern w:val="0"/>
          <w:sz w:val="24"/>
          <w:u w:val="wave"/>
        </w:rPr>
        <w:t>S主要产生于细菌在厌氧或无氧条件下对鸡粪中含硫蛋白质的分解，产生量约为NH</w:t>
      </w:r>
      <w:r>
        <w:rPr>
          <w:rFonts w:hint="eastAsia"/>
          <w:color w:val="FF0000"/>
          <w:kern w:val="0"/>
          <w:sz w:val="24"/>
          <w:u w:val="wave"/>
          <w:vertAlign w:val="subscript"/>
        </w:rPr>
        <w:t>3</w:t>
      </w:r>
      <w:r>
        <w:rPr>
          <w:rFonts w:hint="eastAsia"/>
          <w:color w:val="FF0000"/>
          <w:kern w:val="0"/>
          <w:sz w:val="24"/>
          <w:u w:val="wave"/>
        </w:rPr>
        <w:t>的10%。另根据相关资料，禽畜粪污中氨态氮转化为氨气释放主要集中在新鲜粪便产生后的15d内，本项目鸡粪释放废气的15d中，在鸡舍内停留时间为1d（日产日清）。</w:t>
      </w:r>
    </w:p>
    <w:p>
      <w:pPr>
        <w:autoSpaceDE w:val="0"/>
        <w:autoSpaceDN w:val="0"/>
        <w:adjustRightInd w:val="0"/>
        <w:spacing w:line="360" w:lineRule="auto"/>
        <w:ind w:firstLine="480" w:firstLineChars="200"/>
        <w:rPr>
          <w:color w:val="FF0000"/>
          <w:kern w:val="0"/>
          <w:sz w:val="24"/>
          <w:u w:val="wave"/>
        </w:rPr>
      </w:pPr>
      <w:r>
        <w:rPr>
          <w:rFonts w:hint="eastAsia"/>
          <w:color w:val="FF0000"/>
          <w:kern w:val="0"/>
          <w:sz w:val="24"/>
          <w:u w:val="wave"/>
        </w:rPr>
        <w:t>项目共设蛋鸡舍6栋，分东、</w:t>
      </w:r>
      <w:r>
        <w:rPr>
          <w:rFonts w:hint="eastAsia"/>
          <w:color w:val="FF0000"/>
          <w:kern w:val="0"/>
          <w:sz w:val="24"/>
          <w:u w:val="wave"/>
          <w:lang w:val="en-US" w:eastAsia="zh-CN"/>
        </w:rPr>
        <w:t>南</w:t>
      </w:r>
      <w:r>
        <w:rPr>
          <w:rFonts w:hint="eastAsia"/>
          <w:color w:val="FF0000"/>
          <w:kern w:val="0"/>
          <w:sz w:val="24"/>
          <w:u w:val="wave"/>
        </w:rPr>
        <w:t>两个养殖区域，每个养殖区域各设3栋，每栋鸡舍均存栏10万羽，则项目运营期鸡粪中NH</w:t>
      </w:r>
      <w:r>
        <w:rPr>
          <w:rFonts w:hint="eastAsia"/>
          <w:color w:val="FF0000"/>
          <w:kern w:val="0"/>
          <w:sz w:val="24"/>
          <w:u w:val="wave"/>
          <w:vertAlign w:val="subscript"/>
        </w:rPr>
        <w:t>3</w:t>
      </w:r>
      <w:r>
        <w:rPr>
          <w:rFonts w:hint="eastAsia"/>
          <w:color w:val="FF0000"/>
          <w:kern w:val="0"/>
          <w:sz w:val="24"/>
          <w:u w:val="wave"/>
        </w:rPr>
        <w:t>、H</w:t>
      </w:r>
      <w:r>
        <w:rPr>
          <w:rFonts w:hint="eastAsia"/>
          <w:color w:val="FF0000"/>
          <w:kern w:val="0"/>
          <w:sz w:val="24"/>
          <w:u w:val="wave"/>
          <w:vertAlign w:val="subscript"/>
        </w:rPr>
        <w:t>2</w:t>
      </w:r>
      <w:r>
        <w:rPr>
          <w:rFonts w:hint="eastAsia"/>
          <w:color w:val="FF0000"/>
          <w:kern w:val="0"/>
          <w:sz w:val="24"/>
          <w:u w:val="wave"/>
        </w:rPr>
        <w:t>S含量详见下表：</w:t>
      </w:r>
    </w:p>
    <w:p>
      <w:pPr>
        <w:autoSpaceDE w:val="0"/>
        <w:autoSpaceDN w:val="0"/>
        <w:adjustRightInd w:val="0"/>
        <w:spacing w:beforeLines="50"/>
        <w:jc w:val="center"/>
        <w:rPr>
          <w:b/>
          <w:color w:val="FF0000"/>
          <w:u w:val="wave"/>
        </w:rPr>
      </w:pPr>
      <w:r>
        <w:rPr>
          <w:b/>
          <w:color w:val="FF0000"/>
          <w:u w:val="wave"/>
        </w:rPr>
        <w:t>表3.</w:t>
      </w:r>
      <w:r>
        <w:rPr>
          <w:rFonts w:hint="eastAsia"/>
          <w:b/>
          <w:color w:val="FF0000"/>
          <w:u w:val="wave"/>
        </w:rPr>
        <w:t>3-5</w:t>
      </w:r>
      <w:r>
        <w:rPr>
          <w:b/>
          <w:color w:val="FF0000"/>
          <w:u w:val="wave"/>
        </w:rPr>
        <w:t xml:space="preserve">  </w:t>
      </w:r>
      <w:r>
        <w:rPr>
          <w:rFonts w:hint="eastAsia"/>
          <w:b/>
          <w:color w:val="FF0000"/>
          <w:u w:val="wave"/>
        </w:rPr>
        <w:t>鸡舍恶臭气体产生情况一览表（未考虑臭气源头控制措施）</w:t>
      </w:r>
    </w:p>
    <w:tbl>
      <w:tblPr>
        <w:tblStyle w:val="4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885"/>
        <w:gridCol w:w="2084"/>
        <w:gridCol w:w="1417"/>
        <w:gridCol w:w="16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5" w:type="pct"/>
            <w:tcBorders>
              <w:tl2br w:val="nil"/>
              <w:tr2bl w:val="nil"/>
            </w:tcBorders>
            <w:vAlign w:val="center"/>
          </w:tcPr>
          <w:p>
            <w:pPr>
              <w:pStyle w:val="90"/>
              <w:rPr>
                <w:rFonts w:ascii="Times New Roman" w:hAnsi="Times New Roman" w:cs="Times New Roman" w:eastAsiaTheme="minorEastAsia"/>
                <w:b/>
                <w:bCs/>
                <w:color w:val="FF0000"/>
                <w:sz w:val="21"/>
                <w:szCs w:val="21"/>
                <w:u w:val="wave"/>
              </w:rPr>
            </w:pPr>
            <w:r>
              <w:rPr>
                <w:rFonts w:ascii="Times New Roman" w:cs="Times New Roman" w:hAnsiTheme="minorEastAsia" w:eastAsiaTheme="minorEastAsia"/>
                <w:b/>
                <w:bCs/>
                <w:color w:val="FF0000"/>
                <w:sz w:val="21"/>
                <w:szCs w:val="21"/>
                <w:u w:val="wave"/>
              </w:rPr>
              <w:t>位置</w:t>
            </w:r>
          </w:p>
        </w:tc>
        <w:tc>
          <w:tcPr>
            <w:tcW w:w="1105" w:type="pct"/>
            <w:tcBorders>
              <w:tl2br w:val="nil"/>
              <w:tr2bl w:val="nil"/>
            </w:tcBorders>
            <w:vAlign w:val="center"/>
          </w:tcPr>
          <w:p>
            <w:pPr>
              <w:pStyle w:val="90"/>
              <w:rPr>
                <w:rFonts w:ascii="Times New Roman" w:hAnsi="Times New Roman" w:cs="Times New Roman" w:eastAsiaTheme="minorEastAsia"/>
                <w:b/>
                <w:bCs/>
                <w:color w:val="FF0000"/>
                <w:sz w:val="21"/>
                <w:szCs w:val="21"/>
                <w:u w:val="wave"/>
              </w:rPr>
            </w:pPr>
            <w:r>
              <w:rPr>
                <w:rFonts w:ascii="Times New Roman" w:cs="Times New Roman" w:hAnsiTheme="minorEastAsia" w:eastAsiaTheme="minorEastAsia"/>
                <w:b/>
                <w:bCs/>
                <w:color w:val="FF0000"/>
                <w:sz w:val="21"/>
                <w:szCs w:val="21"/>
                <w:u w:val="wave"/>
              </w:rPr>
              <w:t>全氮产生量（</w:t>
            </w:r>
            <w:r>
              <w:rPr>
                <w:rFonts w:ascii="Times New Roman" w:hAnsi="Times New Roman" w:cs="Times New Roman" w:eastAsiaTheme="minorEastAsia"/>
                <w:b/>
                <w:bCs/>
                <w:color w:val="FF0000"/>
                <w:sz w:val="21"/>
                <w:szCs w:val="21"/>
                <w:u w:val="wave"/>
              </w:rPr>
              <w:t>t/a</w:t>
            </w:r>
            <w:r>
              <w:rPr>
                <w:rFonts w:ascii="Times New Roman" w:cs="Times New Roman" w:hAnsiTheme="minorEastAsia" w:eastAsiaTheme="minorEastAsia"/>
                <w:b/>
                <w:bCs/>
                <w:color w:val="FF0000"/>
                <w:sz w:val="21"/>
                <w:szCs w:val="21"/>
                <w:u w:val="wave"/>
              </w:rPr>
              <w:t>）</w:t>
            </w:r>
          </w:p>
        </w:tc>
        <w:tc>
          <w:tcPr>
            <w:tcW w:w="1222" w:type="pct"/>
            <w:tcBorders>
              <w:tl2br w:val="nil"/>
              <w:tr2bl w:val="nil"/>
            </w:tcBorders>
            <w:vAlign w:val="center"/>
          </w:tcPr>
          <w:p>
            <w:pPr>
              <w:pStyle w:val="90"/>
              <w:rPr>
                <w:rFonts w:ascii="Times New Roman" w:hAnsi="Times New Roman" w:cs="Times New Roman" w:eastAsiaTheme="minorEastAsia"/>
                <w:b/>
                <w:bCs/>
                <w:color w:val="FF0000"/>
                <w:sz w:val="21"/>
                <w:szCs w:val="21"/>
                <w:u w:val="wave"/>
              </w:rPr>
            </w:pPr>
            <w:r>
              <w:rPr>
                <w:rFonts w:ascii="Times New Roman" w:cs="Times New Roman" w:hAnsiTheme="minorEastAsia" w:eastAsiaTheme="minorEastAsia"/>
                <w:b/>
                <w:bCs/>
                <w:color w:val="FF0000"/>
                <w:sz w:val="21"/>
                <w:szCs w:val="21"/>
                <w:u w:val="wave"/>
              </w:rPr>
              <w:t>氮的挥发量（</w:t>
            </w:r>
            <w:r>
              <w:rPr>
                <w:rFonts w:ascii="Times New Roman" w:hAnsi="Times New Roman" w:cs="Times New Roman" w:eastAsiaTheme="minorEastAsia"/>
                <w:b/>
                <w:bCs/>
                <w:color w:val="FF0000"/>
                <w:sz w:val="21"/>
                <w:szCs w:val="21"/>
                <w:u w:val="wave"/>
              </w:rPr>
              <w:t>t/a</w:t>
            </w:r>
            <w:r>
              <w:rPr>
                <w:rFonts w:ascii="Times New Roman" w:cs="Times New Roman" w:hAnsiTheme="minorEastAsia" w:eastAsiaTheme="minorEastAsia"/>
                <w:b/>
                <w:bCs/>
                <w:color w:val="FF0000"/>
                <w:sz w:val="21"/>
                <w:szCs w:val="21"/>
                <w:u w:val="wave"/>
              </w:rPr>
              <w:t>）</w:t>
            </w:r>
          </w:p>
        </w:tc>
        <w:tc>
          <w:tcPr>
            <w:tcW w:w="831" w:type="pct"/>
            <w:tcBorders>
              <w:tl2br w:val="nil"/>
              <w:tr2bl w:val="nil"/>
            </w:tcBorders>
            <w:vAlign w:val="center"/>
          </w:tcPr>
          <w:p>
            <w:pPr>
              <w:pStyle w:val="90"/>
              <w:rPr>
                <w:rFonts w:ascii="Times New Roman" w:hAnsi="Times New Roman" w:cs="Times New Roman" w:eastAsiaTheme="minorEastAsia"/>
                <w:b/>
                <w:bCs/>
                <w:color w:val="FF0000"/>
                <w:sz w:val="21"/>
                <w:szCs w:val="21"/>
                <w:u w:val="wave"/>
              </w:rPr>
            </w:pPr>
            <w:r>
              <w:rPr>
                <w:rFonts w:ascii="Times New Roman" w:hAnsi="Times New Roman" w:cs="Times New Roman" w:eastAsiaTheme="minorEastAsia"/>
                <w:b/>
                <w:bCs/>
                <w:color w:val="FF0000"/>
                <w:sz w:val="21"/>
                <w:szCs w:val="21"/>
                <w:u w:val="wave"/>
              </w:rPr>
              <w:t>NH</w:t>
            </w:r>
            <w:r>
              <w:rPr>
                <w:rFonts w:ascii="Times New Roman" w:hAnsi="Times New Roman" w:cs="Times New Roman" w:eastAsiaTheme="minorEastAsia"/>
                <w:b/>
                <w:bCs/>
                <w:color w:val="FF0000"/>
                <w:sz w:val="21"/>
                <w:szCs w:val="21"/>
                <w:u w:val="wave"/>
                <w:vertAlign w:val="subscript"/>
              </w:rPr>
              <w:t>3</w:t>
            </w:r>
            <w:r>
              <w:rPr>
                <w:rFonts w:ascii="Times New Roman" w:cs="Times New Roman" w:hAnsiTheme="minorEastAsia" w:eastAsiaTheme="minorEastAsia"/>
                <w:b/>
                <w:bCs/>
                <w:color w:val="FF0000"/>
                <w:sz w:val="21"/>
                <w:szCs w:val="21"/>
                <w:u w:val="wave"/>
              </w:rPr>
              <w:t>（</w:t>
            </w:r>
            <w:r>
              <w:rPr>
                <w:rFonts w:ascii="Times New Roman" w:hAnsi="Times New Roman" w:cs="Times New Roman" w:eastAsiaTheme="minorEastAsia"/>
                <w:b/>
                <w:bCs/>
                <w:color w:val="FF0000"/>
                <w:sz w:val="21"/>
                <w:szCs w:val="21"/>
                <w:u w:val="wave"/>
              </w:rPr>
              <w:t>t/a</w:t>
            </w:r>
            <w:r>
              <w:rPr>
                <w:rFonts w:ascii="Times New Roman" w:cs="Times New Roman" w:hAnsiTheme="minorEastAsia" w:eastAsiaTheme="minorEastAsia"/>
                <w:b/>
                <w:bCs/>
                <w:color w:val="FF0000"/>
                <w:sz w:val="21"/>
                <w:szCs w:val="21"/>
                <w:u w:val="wave"/>
              </w:rPr>
              <w:t>）</w:t>
            </w:r>
          </w:p>
        </w:tc>
        <w:tc>
          <w:tcPr>
            <w:tcW w:w="947" w:type="pct"/>
            <w:tcBorders>
              <w:tl2br w:val="nil"/>
              <w:tr2bl w:val="nil"/>
            </w:tcBorders>
            <w:vAlign w:val="center"/>
          </w:tcPr>
          <w:p>
            <w:pPr>
              <w:pStyle w:val="90"/>
              <w:rPr>
                <w:rFonts w:ascii="Times New Roman" w:hAnsi="Times New Roman" w:cs="Times New Roman" w:eastAsiaTheme="minorEastAsia"/>
                <w:b/>
                <w:bCs/>
                <w:color w:val="FF0000"/>
                <w:sz w:val="21"/>
                <w:szCs w:val="21"/>
                <w:u w:val="wave"/>
              </w:rPr>
            </w:pPr>
            <w:r>
              <w:rPr>
                <w:rFonts w:ascii="Times New Roman" w:hAnsi="Times New Roman" w:cs="Times New Roman" w:eastAsiaTheme="minorEastAsia"/>
                <w:b/>
                <w:bCs/>
                <w:color w:val="FF0000"/>
                <w:sz w:val="21"/>
                <w:szCs w:val="21"/>
                <w:u w:val="wave"/>
              </w:rPr>
              <w:t>H</w:t>
            </w:r>
            <w:r>
              <w:rPr>
                <w:rFonts w:ascii="Times New Roman" w:hAnsi="Times New Roman" w:cs="Times New Roman" w:eastAsiaTheme="minorEastAsia"/>
                <w:b/>
                <w:bCs/>
                <w:color w:val="FF0000"/>
                <w:sz w:val="21"/>
                <w:szCs w:val="21"/>
                <w:u w:val="wave"/>
                <w:vertAlign w:val="subscript"/>
              </w:rPr>
              <w:t>2</w:t>
            </w:r>
            <w:r>
              <w:rPr>
                <w:rFonts w:ascii="Times New Roman" w:hAnsi="Times New Roman" w:cs="Times New Roman" w:eastAsiaTheme="minorEastAsia"/>
                <w:b/>
                <w:bCs/>
                <w:color w:val="FF0000"/>
                <w:sz w:val="21"/>
                <w:szCs w:val="21"/>
                <w:u w:val="wave"/>
              </w:rPr>
              <w:t>S</w:t>
            </w:r>
            <w:r>
              <w:rPr>
                <w:rFonts w:ascii="Times New Roman" w:cs="Times New Roman" w:hAnsiTheme="minorEastAsia" w:eastAsiaTheme="minorEastAsia"/>
                <w:b/>
                <w:bCs/>
                <w:color w:val="FF0000"/>
                <w:sz w:val="21"/>
                <w:szCs w:val="21"/>
                <w:u w:val="wave"/>
              </w:rPr>
              <w:t>（</w:t>
            </w:r>
            <w:r>
              <w:rPr>
                <w:rFonts w:ascii="Times New Roman" w:hAnsi="Times New Roman" w:cs="Times New Roman" w:eastAsiaTheme="minorEastAsia"/>
                <w:b/>
                <w:bCs/>
                <w:color w:val="FF0000"/>
                <w:sz w:val="21"/>
                <w:szCs w:val="21"/>
                <w:u w:val="wave"/>
              </w:rPr>
              <w:t>t/a</w:t>
            </w:r>
            <w:r>
              <w:rPr>
                <w:rFonts w:ascii="Times New Roman" w:cs="Times New Roman" w:hAnsiTheme="minorEastAsia" w:eastAsiaTheme="minorEastAsia"/>
                <w:b/>
                <w:bCs/>
                <w:color w:val="FF0000"/>
                <w:sz w:val="21"/>
                <w:szCs w:val="21"/>
                <w:u w:val="wav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5" w:type="pct"/>
            <w:tcBorders>
              <w:tl2br w:val="nil"/>
              <w:tr2bl w:val="nil"/>
            </w:tcBorders>
            <w:vAlign w:val="center"/>
          </w:tcPr>
          <w:p>
            <w:pPr>
              <w:pStyle w:val="90"/>
              <w:rPr>
                <w:rFonts w:ascii="Times New Roman" w:hAnsi="Times New Roman" w:cs="Times New Roman" w:eastAsiaTheme="minorEastAsia"/>
                <w:color w:val="FF0000"/>
                <w:sz w:val="21"/>
                <w:szCs w:val="21"/>
                <w:u w:val="wave"/>
              </w:rPr>
            </w:pPr>
            <w:r>
              <w:rPr>
                <w:rFonts w:ascii="Times New Roman" w:hAnsi="Times New Roman" w:cs="Times New Roman" w:eastAsiaTheme="minorEastAsia"/>
                <w:color w:val="FF0000"/>
                <w:sz w:val="21"/>
                <w:szCs w:val="21"/>
                <w:u w:val="wave"/>
              </w:rPr>
              <w:t>东部养殖区</w:t>
            </w:r>
          </w:p>
        </w:tc>
        <w:tc>
          <w:tcPr>
            <w:tcW w:w="1105" w:type="pct"/>
            <w:tcBorders>
              <w:tl2br w:val="nil"/>
              <w:tr2bl w:val="nil"/>
            </w:tcBorders>
            <w:vAlign w:val="center"/>
          </w:tcPr>
          <w:p>
            <w:pPr>
              <w:pStyle w:val="90"/>
              <w:rPr>
                <w:rFonts w:ascii="Times New Roman" w:hAnsi="Times New Roman" w:cs="Times New Roman" w:eastAsiaTheme="minorEastAsia"/>
                <w:color w:val="FF0000"/>
                <w:sz w:val="21"/>
                <w:szCs w:val="21"/>
                <w:u w:val="wave"/>
              </w:rPr>
            </w:pPr>
            <w:r>
              <w:rPr>
                <w:rFonts w:hint="eastAsia" w:ascii="Times New Roman" w:hAnsi="Times New Roman" w:cs="Times New Roman" w:eastAsiaTheme="minorEastAsia"/>
                <w:color w:val="FF0000"/>
                <w:sz w:val="21"/>
                <w:szCs w:val="21"/>
                <w:u w:val="wave"/>
              </w:rPr>
              <w:t>131.4</w:t>
            </w:r>
          </w:p>
        </w:tc>
        <w:tc>
          <w:tcPr>
            <w:tcW w:w="2084" w:type="dxa"/>
            <w:tcBorders>
              <w:tl2br w:val="nil"/>
              <w:tr2bl w:val="nil"/>
            </w:tcBorders>
            <w:vAlign w:val="center"/>
          </w:tcPr>
          <w:p>
            <w:pPr>
              <w:pStyle w:val="90"/>
              <w:rPr>
                <w:rFonts w:hint="default" w:ascii="Times New Roman" w:hAnsi="Times New Roman" w:cs="Times New Roman" w:eastAsiaTheme="minorEastAsia"/>
                <w:color w:val="FF0000"/>
                <w:sz w:val="21"/>
                <w:szCs w:val="21"/>
                <w:u w:val="wave"/>
                <w:lang w:val="en-US" w:eastAsia="zh-CN"/>
              </w:rPr>
            </w:pPr>
            <w:r>
              <w:rPr>
                <w:rFonts w:hint="eastAsia" w:ascii="Times New Roman" w:hAnsi="Times New Roman" w:cs="Times New Roman" w:eastAsiaTheme="minorEastAsia"/>
                <w:color w:val="FF0000"/>
                <w:sz w:val="21"/>
                <w:szCs w:val="21"/>
                <w:u w:val="wave"/>
              </w:rPr>
              <w:t>131.4*10%/15=0.876</w:t>
            </w:r>
          </w:p>
        </w:tc>
        <w:tc>
          <w:tcPr>
            <w:tcW w:w="1417" w:type="dxa"/>
            <w:tcBorders>
              <w:tl2br w:val="nil"/>
              <w:tr2bl w:val="nil"/>
            </w:tcBorders>
            <w:vAlign w:val="center"/>
          </w:tcPr>
          <w:p>
            <w:pPr>
              <w:pStyle w:val="90"/>
              <w:rPr>
                <w:rFonts w:hint="default" w:ascii="Times New Roman" w:hAnsi="Times New Roman" w:cs="Times New Roman" w:eastAsiaTheme="minorEastAsia"/>
                <w:color w:val="FF0000"/>
                <w:sz w:val="21"/>
                <w:szCs w:val="21"/>
                <w:u w:val="wave"/>
                <w:lang w:val="en-US" w:eastAsia="zh-CN"/>
              </w:rPr>
            </w:pPr>
            <w:r>
              <w:rPr>
                <w:rFonts w:hint="eastAsia" w:ascii="Times New Roman" w:hAnsi="Times New Roman" w:cs="Times New Roman" w:eastAsiaTheme="minorEastAsia"/>
                <w:color w:val="FF0000"/>
                <w:sz w:val="21"/>
                <w:szCs w:val="21"/>
                <w:u w:val="wave"/>
              </w:rPr>
              <w:t>0.219</w:t>
            </w:r>
          </w:p>
        </w:tc>
        <w:tc>
          <w:tcPr>
            <w:tcW w:w="1615" w:type="dxa"/>
            <w:tcBorders>
              <w:tl2br w:val="nil"/>
              <w:tr2bl w:val="nil"/>
            </w:tcBorders>
            <w:vAlign w:val="center"/>
          </w:tcPr>
          <w:p>
            <w:pPr>
              <w:pStyle w:val="90"/>
              <w:rPr>
                <w:rFonts w:hint="default" w:ascii="Times New Roman" w:hAnsi="Times New Roman" w:cs="Times New Roman" w:eastAsiaTheme="minorEastAsia"/>
                <w:color w:val="FF0000"/>
                <w:sz w:val="21"/>
                <w:szCs w:val="21"/>
                <w:u w:val="wave"/>
                <w:lang w:val="en-US" w:eastAsia="zh-CN"/>
              </w:rPr>
            </w:pPr>
            <w:r>
              <w:rPr>
                <w:rFonts w:hint="eastAsia" w:ascii="Times New Roman" w:hAnsi="Times New Roman" w:cs="Times New Roman" w:eastAsiaTheme="minorEastAsia"/>
                <w:color w:val="FF0000"/>
                <w:sz w:val="21"/>
                <w:szCs w:val="21"/>
                <w:u w:val="wave"/>
              </w:rPr>
              <w:t>0.0219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5" w:type="pct"/>
            <w:tcBorders>
              <w:tl2br w:val="nil"/>
              <w:tr2bl w:val="nil"/>
            </w:tcBorders>
            <w:vAlign w:val="center"/>
          </w:tcPr>
          <w:p>
            <w:pPr>
              <w:pStyle w:val="90"/>
              <w:rPr>
                <w:rFonts w:hint="eastAsia" w:ascii="Times New Roman" w:hAnsi="Times New Roman" w:cs="Times New Roman" w:eastAsiaTheme="minorEastAsia"/>
                <w:color w:val="FF0000"/>
                <w:sz w:val="21"/>
                <w:szCs w:val="21"/>
                <w:u w:val="wave"/>
                <w:lang w:eastAsia="zh-CN"/>
              </w:rPr>
            </w:pPr>
            <w:r>
              <w:rPr>
                <w:rFonts w:hint="eastAsia" w:ascii="Times New Roman" w:hAnsi="Times New Roman" w:cs="Times New Roman" w:eastAsiaTheme="minorEastAsia"/>
                <w:color w:val="FF0000"/>
                <w:sz w:val="21"/>
                <w:szCs w:val="21"/>
                <w:u w:val="wave"/>
                <w:lang w:eastAsia="zh-CN"/>
              </w:rPr>
              <w:t>南部养殖区</w:t>
            </w:r>
          </w:p>
        </w:tc>
        <w:tc>
          <w:tcPr>
            <w:tcW w:w="1105" w:type="pct"/>
            <w:tcBorders>
              <w:tl2br w:val="nil"/>
              <w:tr2bl w:val="nil"/>
            </w:tcBorders>
            <w:vAlign w:val="center"/>
          </w:tcPr>
          <w:p>
            <w:pPr>
              <w:pStyle w:val="90"/>
              <w:rPr>
                <w:rFonts w:ascii="Times New Roman" w:hAnsi="Times New Roman" w:cs="Times New Roman" w:eastAsiaTheme="minorEastAsia"/>
                <w:color w:val="FF0000"/>
                <w:sz w:val="21"/>
                <w:szCs w:val="21"/>
                <w:u w:val="wave"/>
              </w:rPr>
            </w:pPr>
            <w:r>
              <w:rPr>
                <w:rFonts w:hint="eastAsia" w:ascii="Times New Roman" w:hAnsi="Times New Roman" w:cs="Times New Roman" w:eastAsiaTheme="minorEastAsia"/>
                <w:color w:val="FF0000"/>
                <w:sz w:val="21"/>
                <w:szCs w:val="21"/>
                <w:u w:val="wave"/>
              </w:rPr>
              <w:t>131.4</w:t>
            </w:r>
          </w:p>
        </w:tc>
        <w:tc>
          <w:tcPr>
            <w:tcW w:w="2084" w:type="dxa"/>
            <w:tcBorders>
              <w:tl2br w:val="nil"/>
              <w:tr2bl w:val="nil"/>
            </w:tcBorders>
            <w:vAlign w:val="center"/>
          </w:tcPr>
          <w:p>
            <w:pPr>
              <w:pStyle w:val="90"/>
              <w:rPr>
                <w:rFonts w:hint="default" w:ascii="Times New Roman" w:hAnsi="Times New Roman" w:cs="Times New Roman" w:eastAsiaTheme="minorEastAsia"/>
                <w:color w:val="FF0000"/>
                <w:sz w:val="21"/>
                <w:szCs w:val="21"/>
                <w:u w:val="wave"/>
                <w:lang w:val="en-US" w:eastAsia="zh-CN"/>
              </w:rPr>
            </w:pPr>
            <w:r>
              <w:rPr>
                <w:rFonts w:hint="eastAsia" w:ascii="Times New Roman" w:hAnsi="Times New Roman" w:cs="Times New Roman" w:eastAsiaTheme="minorEastAsia"/>
                <w:color w:val="FF0000"/>
                <w:sz w:val="21"/>
                <w:szCs w:val="21"/>
                <w:u w:val="wave"/>
              </w:rPr>
              <w:t>131.4*10%/15=0.876</w:t>
            </w:r>
          </w:p>
        </w:tc>
        <w:tc>
          <w:tcPr>
            <w:tcW w:w="1417" w:type="dxa"/>
            <w:tcBorders>
              <w:tl2br w:val="nil"/>
              <w:tr2bl w:val="nil"/>
            </w:tcBorders>
            <w:vAlign w:val="center"/>
          </w:tcPr>
          <w:p>
            <w:pPr>
              <w:pStyle w:val="90"/>
              <w:rPr>
                <w:rFonts w:hint="default" w:ascii="Times New Roman" w:hAnsi="Times New Roman" w:cs="Times New Roman" w:eastAsiaTheme="minorEastAsia"/>
                <w:color w:val="FF0000"/>
                <w:sz w:val="21"/>
                <w:szCs w:val="21"/>
                <w:u w:val="wave"/>
                <w:lang w:val="en-US" w:eastAsia="zh-CN"/>
              </w:rPr>
            </w:pPr>
            <w:r>
              <w:rPr>
                <w:rFonts w:hint="eastAsia" w:ascii="Times New Roman" w:hAnsi="Times New Roman" w:cs="Times New Roman" w:eastAsiaTheme="minorEastAsia"/>
                <w:color w:val="FF0000"/>
                <w:sz w:val="21"/>
                <w:szCs w:val="21"/>
                <w:u w:val="wave"/>
              </w:rPr>
              <w:t>0.219</w:t>
            </w:r>
          </w:p>
        </w:tc>
        <w:tc>
          <w:tcPr>
            <w:tcW w:w="1615" w:type="dxa"/>
            <w:tcBorders>
              <w:tl2br w:val="nil"/>
              <w:tr2bl w:val="nil"/>
            </w:tcBorders>
            <w:vAlign w:val="center"/>
          </w:tcPr>
          <w:p>
            <w:pPr>
              <w:pStyle w:val="90"/>
              <w:rPr>
                <w:rFonts w:hint="default" w:ascii="Times New Roman" w:hAnsi="Times New Roman" w:cs="Times New Roman" w:eastAsiaTheme="minorEastAsia"/>
                <w:color w:val="FF0000"/>
                <w:sz w:val="21"/>
                <w:szCs w:val="21"/>
                <w:u w:val="wave"/>
                <w:lang w:val="en-US" w:eastAsia="zh-CN"/>
              </w:rPr>
            </w:pPr>
            <w:r>
              <w:rPr>
                <w:rFonts w:hint="eastAsia" w:ascii="Times New Roman" w:hAnsi="Times New Roman" w:cs="Times New Roman" w:eastAsiaTheme="minorEastAsia"/>
                <w:color w:val="FF0000"/>
                <w:sz w:val="21"/>
                <w:szCs w:val="21"/>
                <w:u w:val="wave"/>
              </w:rPr>
              <w:t>0.0219</w:t>
            </w:r>
          </w:p>
        </w:tc>
      </w:tr>
    </w:tbl>
    <w:p>
      <w:pPr>
        <w:autoSpaceDE w:val="0"/>
        <w:autoSpaceDN w:val="0"/>
        <w:adjustRightInd w:val="0"/>
        <w:spacing w:line="360" w:lineRule="auto"/>
        <w:ind w:firstLine="480" w:firstLineChars="200"/>
        <w:rPr>
          <w:color w:val="FF0000"/>
          <w:kern w:val="0"/>
          <w:sz w:val="24"/>
          <w:u w:val="wave"/>
        </w:rPr>
      </w:pPr>
      <w:r>
        <w:rPr>
          <w:color w:val="FF0000"/>
          <w:kern w:val="0"/>
          <w:sz w:val="24"/>
          <w:u w:val="wave"/>
        </w:rPr>
        <w:t>由于鸡舍内对温度、采光、通风等条件要求较严格，因而无法对鸡舍进行封闭式、对恶臭气体进行集中处理，鸡舍内恶臭气体通过鸡舍排风扇和通风窗外逸，其排放方式为无组织面源排放。</w:t>
      </w:r>
    </w:p>
    <w:p>
      <w:pPr>
        <w:autoSpaceDE w:val="0"/>
        <w:autoSpaceDN w:val="0"/>
        <w:adjustRightInd w:val="0"/>
        <w:spacing w:line="360" w:lineRule="auto"/>
        <w:ind w:firstLine="480" w:firstLineChars="200"/>
        <w:rPr>
          <w:color w:val="FF0000"/>
          <w:kern w:val="0"/>
          <w:sz w:val="24"/>
          <w:u w:val="wave"/>
        </w:rPr>
      </w:pPr>
      <w:r>
        <w:rPr>
          <w:color w:val="FF0000"/>
          <w:kern w:val="0"/>
          <w:sz w:val="24"/>
          <w:u w:val="wave"/>
        </w:rPr>
        <w:t>根据设计，运行后采取综合除臭措施和管理措施予以控制臭气影响，主要包括在饲料中添加益生菌，加强通风，定期喷洒生物菌液除臭剂等。</w:t>
      </w:r>
    </w:p>
    <w:p>
      <w:pPr>
        <w:autoSpaceDE w:val="0"/>
        <w:autoSpaceDN w:val="0"/>
        <w:adjustRightInd w:val="0"/>
        <w:spacing w:line="360" w:lineRule="auto"/>
        <w:ind w:firstLine="480" w:firstLineChars="200"/>
        <w:rPr>
          <w:color w:val="FF0000"/>
          <w:kern w:val="0"/>
          <w:sz w:val="24"/>
          <w:u w:val="wave"/>
        </w:rPr>
      </w:pPr>
      <w:r>
        <w:rPr>
          <w:color w:val="FF0000"/>
          <w:kern w:val="0"/>
          <w:sz w:val="24"/>
          <w:u w:val="wave"/>
        </w:rPr>
        <w:t>根据《家畜环境卫生学》（安立龙，高等出版社），在饲料添加益生菌能再源头上控制恶臭气体的产生，有效地降解NH</w:t>
      </w:r>
      <w:r>
        <w:rPr>
          <w:color w:val="FF0000"/>
          <w:kern w:val="0"/>
          <w:sz w:val="24"/>
          <w:u w:val="wave"/>
          <w:vertAlign w:val="subscript"/>
        </w:rPr>
        <w:t>3</w:t>
      </w:r>
      <w:r>
        <w:rPr>
          <w:color w:val="FF0000"/>
          <w:kern w:val="0"/>
          <w:sz w:val="24"/>
          <w:u w:val="wave"/>
        </w:rPr>
        <w:t>、H</w:t>
      </w:r>
      <w:r>
        <w:rPr>
          <w:color w:val="FF0000"/>
          <w:kern w:val="0"/>
          <w:sz w:val="24"/>
          <w:u w:val="wave"/>
          <w:vertAlign w:val="subscript"/>
        </w:rPr>
        <w:t>2</w:t>
      </w:r>
      <w:r>
        <w:rPr>
          <w:color w:val="FF0000"/>
          <w:kern w:val="0"/>
          <w:sz w:val="24"/>
          <w:u w:val="wave"/>
        </w:rPr>
        <w:t>S等有害气体。参照2011年5月《规模需求养殖场污染防治最佳可行技术指南（试行）编制说明》，在选用优质饲料、添加微生物制剂等来提高饲料的消化率和转化率的前提下，合理设置封闭型鸡舍、采用干清粪等源头削减措施后，废气源头削减效率可达62%。</w:t>
      </w:r>
    </w:p>
    <w:p>
      <w:pPr>
        <w:pStyle w:val="238"/>
        <w:rPr>
          <w:rFonts w:hint="eastAsia" w:ascii="Times New Roman" w:hAnsi="Times New Roman" w:eastAsia="宋体" w:cs="Times New Roman"/>
          <w:color w:val="FF0000"/>
          <w:kern w:val="0"/>
          <w:sz w:val="24"/>
          <w:szCs w:val="24"/>
          <w:u w:val="wave"/>
          <w:lang w:val="en-US" w:eastAsia="zh-CN" w:bidi="ar-SA"/>
        </w:rPr>
      </w:pPr>
      <w:r>
        <w:rPr>
          <w:rFonts w:ascii="Times New Roman" w:hAnsi="Times New Roman" w:eastAsia="宋体" w:cs="Times New Roman"/>
          <w:color w:val="FF0000"/>
          <w:kern w:val="0"/>
          <w:sz w:val="24"/>
          <w:szCs w:val="24"/>
          <w:u w:val="wave"/>
          <w:lang w:val="en-US" w:eastAsia="zh-CN" w:bidi="ar-SA"/>
        </w:rPr>
        <w:t>本项目采取如下恶臭控制措施：</w:t>
      </w:r>
      <w:r>
        <w:rPr>
          <w:rFonts w:hint="eastAsia" w:ascii="Times New Roman" w:hAnsi="Times New Roman" w:eastAsia="宋体" w:cs="Times New Roman"/>
          <w:color w:val="FF0000"/>
          <w:kern w:val="0"/>
          <w:sz w:val="24"/>
          <w:szCs w:val="24"/>
          <w:u w:val="wave"/>
          <w:lang w:val="en-US" w:eastAsia="zh-CN" w:bidi="ar-SA"/>
        </w:rPr>
        <w:t>①</w:t>
      </w:r>
      <w:r>
        <w:rPr>
          <w:rFonts w:ascii="Times New Roman" w:hAnsi="Times New Roman" w:eastAsia="宋体" w:cs="Times New Roman"/>
          <w:color w:val="FF0000"/>
          <w:kern w:val="0"/>
          <w:sz w:val="24"/>
          <w:szCs w:val="24"/>
          <w:u w:val="wave"/>
          <w:lang w:val="en-US" w:eastAsia="zh-CN" w:bidi="ar-SA"/>
        </w:rPr>
        <w:t>在饲料中添加益生菌；</w:t>
      </w:r>
      <w:r>
        <w:rPr>
          <w:rFonts w:hint="eastAsia" w:ascii="Times New Roman" w:hAnsi="Times New Roman" w:eastAsia="宋体" w:cs="Times New Roman"/>
          <w:color w:val="FF0000"/>
          <w:kern w:val="0"/>
          <w:sz w:val="24"/>
          <w:szCs w:val="24"/>
          <w:u w:val="wave"/>
          <w:lang w:val="en-US" w:eastAsia="zh-CN" w:bidi="ar-SA"/>
        </w:rPr>
        <w:t>②</w:t>
      </w:r>
      <w:r>
        <w:rPr>
          <w:rFonts w:ascii="Times New Roman" w:hAnsi="Times New Roman" w:eastAsia="宋体" w:cs="Times New Roman"/>
          <w:color w:val="FF0000"/>
          <w:kern w:val="0"/>
          <w:sz w:val="24"/>
          <w:szCs w:val="24"/>
          <w:u w:val="wave"/>
          <w:lang w:val="en-US" w:eastAsia="zh-CN" w:bidi="ar-SA"/>
        </w:rPr>
        <w:t>鸡舍除必要的通风换气口以外，无其他开口；同时舍内通过自动环境控制系统调节温度、湿度等，减缓发酵的速度；</w:t>
      </w:r>
      <w:r>
        <w:rPr>
          <w:rFonts w:hint="eastAsia" w:ascii="Times New Roman" w:hAnsi="Times New Roman" w:eastAsia="宋体" w:cs="Times New Roman"/>
          <w:color w:val="FF0000"/>
          <w:kern w:val="0"/>
          <w:sz w:val="24"/>
          <w:szCs w:val="24"/>
          <w:u w:val="wave"/>
          <w:lang w:val="en-US" w:eastAsia="zh-CN" w:bidi="ar-SA"/>
        </w:rPr>
        <w:t>③</w:t>
      </w:r>
      <w:r>
        <w:rPr>
          <w:rFonts w:ascii="Times New Roman" w:hAnsi="Times New Roman" w:eastAsia="宋体" w:cs="Times New Roman"/>
          <w:color w:val="FF0000"/>
          <w:kern w:val="0"/>
          <w:sz w:val="24"/>
          <w:szCs w:val="24"/>
          <w:u w:val="wave"/>
          <w:lang w:val="en-US" w:eastAsia="zh-CN" w:bidi="ar-SA"/>
        </w:rPr>
        <w:t>鸡粪</w:t>
      </w:r>
      <w:r>
        <w:rPr>
          <w:rFonts w:hint="eastAsia" w:ascii="Times New Roman" w:hAnsi="Times New Roman" w:eastAsia="宋体" w:cs="Times New Roman"/>
          <w:color w:val="FF0000"/>
          <w:kern w:val="0"/>
          <w:sz w:val="24"/>
          <w:szCs w:val="24"/>
          <w:u w:val="wave"/>
          <w:lang w:val="en-US" w:eastAsia="zh-CN" w:bidi="ar-SA"/>
        </w:rPr>
        <w:t>日产</w:t>
      </w:r>
      <w:r>
        <w:rPr>
          <w:rFonts w:ascii="Times New Roman" w:hAnsi="Times New Roman" w:eastAsia="宋体" w:cs="Times New Roman"/>
          <w:color w:val="FF0000"/>
          <w:kern w:val="0"/>
          <w:sz w:val="24"/>
          <w:szCs w:val="24"/>
          <w:u w:val="wave"/>
          <w:lang w:val="en-US" w:eastAsia="zh-CN" w:bidi="ar-SA"/>
        </w:rPr>
        <w:t>日清，且为干清粪工艺；</w:t>
      </w:r>
      <w:r>
        <w:rPr>
          <w:rFonts w:hint="eastAsia" w:ascii="Times New Roman" w:hAnsi="Times New Roman" w:eastAsia="宋体" w:cs="Times New Roman"/>
          <w:color w:val="FF0000"/>
          <w:kern w:val="0"/>
          <w:sz w:val="24"/>
          <w:szCs w:val="24"/>
          <w:u w:val="wave"/>
          <w:lang w:val="en-US" w:eastAsia="zh-CN" w:bidi="ar-SA"/>
        </w:rPr>
        <w:t>④</w:t>
      </w:r>
      <w:r>
        <w:rPr>
          <w:rFonts w:ascii="Times New Roman" w:hAnsi="Times New Roman" w:eastAsia="宋体" w:cs="Times New Roman"/>
          <w:color w:val="FF0000"/>
          <w:kern w:val="0"/>
          <w:sz w:val="24"/>
          <w:szCs w:val="24"/>
          <w:u w:val="wave"/>
          <w:lang w:val="en-US" w:eastAsia="zh-CN" w:bidi="ar-SA"/>
        </w:rPr>
        <w:t>在鸡舍内定期喷洒</w:t>
      </w:r>
      <w:r>
        <w:rPr>
          <w:rFonts w:hint="eastAsia" w:ascii="Times New Roman" w:hAnsi="Times New Roman" w:eastAsia="宋体" w:cs="Times New Roman"/>
          <w:color w:val="FF0000"/>
          <w:kern w:val="0"/>
          <w:sz w:val="24"/>
          <w:szCs w:val="24"/>
          <w:u w:val="wave"/>
          <w:lang w:val="en-US" w:eastAsia="zh-CN" w:bidi="ar-SA"/>
        </w:rPr>
        <w:t>微生物制剂、酶制剂和植物提取液等活性物质</w:t>
      </w:r>
      <w:r>
        <w:rPr>
          <w:rFonts w:ascii="Times New Roman" w:hAnsi="Times New Roman" w:eastAsia="宋体" w:cs="Times New Roman"/>
          <w:color w:val="FF0000"/>
          <w:kern w:val="0"/>
          <w:sz w:val="24"/>
          <w:szCs w:val="24"/>
          <w:u w:val="wave"/>
          <w:lang w:val="en-US" w:eastAsia="zh-CN" w:bidi="ar-SA"/>
        </w:rPr>
        <w:t>等。采取上述措施后，本项目臭气源头削减效率按照60%计算</w:t>
      </w:r>
      <w:r>
        <w:rPr>
          <w:rFonts w:hint="eastAsia" w:ascii="Times New Roman" w:hAnsi="Times New Roman" w:eastAsia="宋体" w:cs="Times New Roman"/>
          <w:color w:val="FF0000"/>
          <w:kern w:val="0"/>
          <w:sz w:val="24"/>
          <w:szCs w:val="24"/>
          <w:u w:val="wave"/>
          <w:lang w:val="en-US" w:eastAsia="zh-CN" w:bidi="ar-SA"/>
        </w:rPr>
        <w:t>.</w:t>
      </w:r>
    </w:p>
    <w:p>
      <w:pPr>
        <w:pStyle w:val="238"/>
        <w:rPr>
          <w:rFonts w:hint="default" w:ascii="Times New Roman" w:hAnsi="Times New Roman" w:eastAsia="宋体" w:cs="Times New Roman"/>
          <w:color w:val="FF0000"/>
          <w:kern w:val="0"/>
          <w:sz w:val="24"/>
          <w:szCs w:val="24"/>
          <w:u w:val="wave"/>
          <w:lang w:val="en-US" w:eastAsia="zh-CN" w:bidi="ar-SA"/>
        </w:rPr>
      </w:pPr>
      <w:r>
        <w:rPr>
          <w:rFonts w:ascii="Times New Roman" w:hAnsi="Times New Roman" w:eastAsia="宋体" w:cs="Times New Roman"/>
          <w:color w:val="FF0000"/>
          <w:kern w:val="0"/>
          <w:sz w:val="24"/>
          <w:szCs w:val="24"/>
          <w:u w:val="wave"/>
          <w:lang w:val="en-US" w:eastAsia="zh-CN" w:bidi="ar-SA"/>
        </w:rPr>
        <w:t>本项目养殖过程中鸡舍恶臭气体产排情况见表</w:t>
      </w:r>
      <w:r>
        <w:rPr>
          <w:rFonts w:hint="eastAsia" w:ascii="Times New Roman" w:hAnsi="Times New Roman" w:eastAsia="宋体" w:cs="Times New Roman"/>
          <w:color w:val="FF0000"/>
          <w:kern w:val="0"/>
          <w:sz w:val="24"/>
          <w:szCs w:val="24"/>
          <w:u w:val="wave"/>
          <w:lang w:val="en-US" w:eastAsia="zh-CN" w:bidi="ar-SA"/>
        </w:rPr>
        <w:t>3.3-7。</w:t>
      </w:r>
    </w:p>
    <w:p>
      <w:pPr>
        <w:autoSpaceDE w:val="0"/>
        <w:autoSpaceDN w:val="0"/>
        <w:adjustRightInd w:val="0"/>
        <w:spacing w:beforeLines="50"/>
        <w:jc w:val="center"/>
        <w:rPr>
          <w:rFonts w:ascii="Times New Roman" w:hAnsi="Times New Roman" w:eastAsia="宋体" w:cs="Times New Roman"/>
          <w:b/>
          <w:color w:val="FF0000"/>
          <w:u w:val="wave"/>
        </w:rPr>
      </w:pPr>
      <w:r>
        <w:rPr>
          <w:rFonts w:ascii="Times New Roman" w:hAnsi="Times New Roman" w:eastAsia="宋体" w:cs="Times New Roman"/>
          <w:b/>
          <w:color w:val="FF0000"/>
          <w:u w:val="wave"/>
        </w:rPr>
        <w:t>表3.3-</w:t>
      </w:r>
      <w:r>
        <w:rPr>
          <w:rFonts w:hint="eastAsia" w:ascii="Times New Roman" w:hAnsi="Times New Roman" w:eastAsia="宋体" w:cs="Times New Roman"/>
          <w:b/>
          <w:color w:val="FF0000"/>
          <w:u w:val="wave"/>
          <w:lang w:val="en-US" w:eastAsia="zh-CN"/>
        </w:rPr>
        <w:t>7</w:t>
      </w:r>
      <w:r>
        <w:rPr>
          <w:rFonts w:ascii="Times New Roman" w:hAnsi="Times New Roman" w:eastAsia="宋体" w:cs="Times New Roman"/>
          <w:b/>
          <w:color w:val="FF0000"/>
          <w:u w:val="wave"/>
        </w:rPr>
        <w:t xml:space="preserve">  鸡舍恶臭产生及排放一览表</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640"/>
        <w:gridCol w:w="792"/>
        <w:gridCol w:w="797"/>
        <w:gridCol w:w="3849"/>
        <w:gridCol w:w="899"/>
        <w:gridCol w:w="8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 w:type="pct"/>
            <w:vMerge w:val="restart"/>
            <w:tcBorders>
              <w:tl2br w:val="nil"/>
              <w:tr2bl w:val="nil"/>
            </w:tcBorders>
            <w:noWrap w:val="0"/>
            <w:vAlign w:val="center"/>
          </w:tcPr>
          <w:p>
            <w:pPr>
              <w:pStyle w:val="5"/>
              <w:spacing w:after="0"/>
              <w:ind w:firstLine="0" w:firstLineChars="0"/>
              <w:jc w:val="center"/>
              <w:rPr>
                <w:rFonts w:ascii="Times New Roman" w:hAnsi="Times New Roman"/>
                <w:b/>
                <w:bCs/>
                <w:color w:val="FF0000"/>
                <w:sz w:val="21"/>
                <w:szCs w:val="21"/>
                <w:u w:val="wave"/>
              </w:rPr>
            </w:pPr>
            <w:r>
              <w:rPr>
                <w:rFonts w:ascii="Times New Roman" w:hAnsi="Times New Roman"/>
                <w:b/>
                <w:bCs/>
                <w:color w:val="FF0000"/>
                <w:sz w:val="21"/>
                <w:szCs w:val="21"/>
                <w:u w:val="wave"/>
              </w:rPr>
              <w:t>污染 源</w:t>
            </w:r>
          </w:p>
        </w:tc>
        <w:tc>
          <w:tcPr>
            <w:tcW w:w="375" w:type="pct"/>
            <w:vMerge w:val="restart"/>
            <w:tcBorders>
              <w:tl2br w:val="nil"/>
              <w:tr2bl w:val="nil"/>
            </w:tcBorders>
            <w:noWrap w:val="0"/>
            <w:vAlign w:val="center"/>
          </w:tcPr>
          <w:p>
            <w:pPr>
              <w:pStyle w:val="41"/>
              <w:spacing w:line="240" w:lineRule="auto"/>
              <w:jc w:val="center"/>
              <w:rPr>
                <w:rFonts w:ascii="Times New Roman" w:hAnsi="Times New Roman"/>
                <w:b/>
                <w:bCs/>
                <w:color w:val="FF0000"/>
                <w:sz w:val="21"/>
                <w:szCs w:val="21"/>
                <w:u w:val="wave"/>
              </w:rPr>
            </w:pPr>
            <w:r>
              <w:rPr>
                <w:rFonts w:ascii="Times New Roman" w:hAnsi="Times New Roman"/>
                <w:b/>
                <w:bCs/>
                <w:color w:val="FF0000"/>
                <w:sz w:val="21"/>
                <w:szCs w:val="21"/>
                <w:u w:val="wave"/>
              </w:rPr>
              <w:t>污染物</w:t>
            </w:r>
          </w:p>
        </w:tc>
        <w:tc>
          <w:tcPr>
            <w:tcW w:w="931" w:type="pct"/>
            <w:gridSpan w:val="2"/>
            <w:tcBorders>
              <w:tl2br w:val="nil"/>
              <w:tr2bl w:val="nil"/>
            </w:tcBorders>
            <w:noWrap w:val="0"/>
            <w:vAlign w:val="center"/>
          </w:tcPr>
          <w:p>
            <w:pPr>
              <w:pStyle w:val="41"/>
              <w:spacing w:line="240" w:lineRule="auto"/>
              <w:jc w:val="center"/>
              <w:rPr>
                <w:rFonts w:ascii="Times New Roman" w:hAnsi="Times New Roman"/>
                <w:b/>
                <w:bCs/>
                <w:color w:val="FF0000"/>
                <w:sz w:val="21"/>
                <w:szCs w:val="21"/>
                <w:u w:val="wave"/>
              </w:rPr>
            </w:pPr>
            <w:r>
              <w:rPr>
                <w:rFonts w:ascii="Times New Roman" w:hAnsi="Times New Roman"/>
                <w:b/>
                <w:bCs/>
                <w:color w:val="FF0000"/>
                <w:sz w:val="21"/>
                <w:szCs w:val="21"/>
                <w:u w:val="wave"/>
              </w:rPr>
              <w:t>产生量</w:t>
            </w:r>
          </w:p>
        </w:tc>
        <w:tc>
          <w:tcPr>
            <w:tcW w:w="2256" w:type="pct"/>
            <w:vMerge w:val="restart"/>
            <w:tcBorders>
              <w:tl2br w:val="nil"/>
              <w:tr2bl w:val="nil"/>
            </w:tcBorders>
            <w:noWrap w:val="0"/>
            <w:vAlign w:val="center"/>
          </w:tcPr>
          <w:p>
            <w:pPr>
              <w:pStyle w:val="41"/>
              <w:spacing w:line="240" w:lineRule="auto"/>
              <w:jc w:val="center"/>
              <w:rPr>
                <w:rFonts w:ascii="Times New Roman" w:hAnsi="Times New Roman"/>
                <w:b/>
                <w:bCs/>
                <w:color w:val="FF0000"/>
                <w:sz w:val="21"/>
                <w:szCs w:val="21"/>
                <w:u w:val="wave"/>
              </w:rPr>
            </w:pPr>
            <w:r>
              <w:rPr>
                <w:rFonts w:ascii="Times New Roman" w:hAnsi="Times New Roman"/>
                <w:b/>
                <w:bCs/>
                <w:color w:val="FF0000"/>
                <w:sz w:val="21"/>
                <w:szCs w:val="21"/>
                <w:u w:val="wave"/>
              </w:rPr>
              <w:t>拟处理措施</w:t>
            </w:r>
          </w:p>
        </w:tc>
        <w:tc>
          <w:tcPr>
            <w:tcW w:w="1054" w:type="pct"/>
            <w:gridSpan w:val="2"/>
            <w:tcBorders>
              <w:tl2br w:val="nil"/>
              <w:tr2bl w:val="nil"/>
            </w:tcBorders>
            <w:noWrap w:val="0"/>
            <w:vAlign w:val="center"/>
          </w:tcPr>
          <w:p>
            <w:pPr>
              <w:pStyle w:val="41"/>
              <w:spacing w:line="240" w:lineRule="auto"/>
              <w:jc w:val="center"/>
              <w:rPr>
                <w:rFonts w:ascii="Times New Roman" w:hAnsi="Times New Roman"/>
                <w:b/>
                <w:bCs/>
                <w:color w:val="FF0000"/>
                <w:sz w:val="21"/>
                <w:szCs w:val="21"/>
                <w:u w:val="wave"/>
              </w:rPr>
            </w:pPr>
            <w:r>
              <w:rPr>
                <w:rFonts w:ascii="Times New Roman" w:hAnsi="Times New Roman"/>
                <w:b/>
                <w:bCs/>
                <w:color w:val="FF0000"/>
                <w:sz w:val="21"/>
                <w:szCs w:val="21"/>
                <w:u w:val="wave"/>
              </w:rPr>
              <w:t>污染物排放量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 w:type="pct"/>
            <w:vMerge w:val="continue"/>
            <w:tcBorders>
              <w:tl2br w:val="nil"/>
              <w:tr2bl w:val="nil"/>
            </w:tcBorders>
            <w:noWrap w:val="0"/>
            <w:vAlign w:val="center"/>
          </w:tcPr>
          <w:p>
            <w:pPr>
              <w:pStyle w:val="41"/>
              <w:spacing w:line="240" w:lineRule="auto"/>
              <w:jc w:val="center"/>
              <w:rPr>
                <w:rFonts w:ascii="Times New Roman" w:hAnsi="Times New Roman"/>
                <w:b/>
                <w:bCs/>
                <w:color w:val="FF0000"/>
                <w:sz w:val="21"/>
                <w:szCs w:val="21"/>
                <w:u w:val="wave"/>
              </w:rPr>
            </w:pPr>
          </w:p>
        </w:tc>
        <w:tc>
          <w:tcPr>
            <w:tcW w:w="375" w:type="pct"/>
            <w:vMerge w:val="continue"/>
            <w:tcBorders>
              <w:tl2br w:val="nil"/>
              <w:tr2bl w:val="nil"/>
            </w:tcBorders>
            <w:noWrap w:val="0"/>
            <w:vAlign w:val="center"/>
          </w:tcPr>
          <w:p>
            <w:pPr>
              <w:pStyle w:val="41"/>
              <w:spacing w:line="240" w:lineRule="auto"/>
              <w:jc w:val="center"/>
              <w:rPr>
                <w:rFonts w:ascii="Times New Roman" w:hAnsi="Times New Roman"/>
                <w:b/>
                <w:bCs/>
                <w:color w:val="FF0000"/>
                <w:sz w:val="21"/>
                <w:szCs w:val="21"/>
                <w:u w:val="wave"/>
              </w:rPr>
            </w:pPr>
          </w:p>
        </w:tc>
        <w:tc>
          <w:tcPr>
            <w:tcW w:w="464" w:type="pct"/>
            <w:tcBorders>
              <w:tl2br w:val="nil"/>
              <w:tr2bl w:val="nil"/>
            </w:tcBorders>
            <w:noWrap w:val="0"/>
            <w:vAlign w:val="center"/>
          </w:tcPr>
          <w:p>
            <w:pPr>
              <w:pStyle w:val="41"/>
              <w:spacing w:line="240" w:lineRule="auto"/>
              <w:jc w:val="center"/>
              <w:rPr>
                <w:rFonts w:ascii="Times New Roman" w:hAnsi="Times New Roman"/>
                <w:b/>
                <w:bCs/>
                <w:color w:val="FF0000"/>
                <w:sz w:val="21"/>
                <w:szCs w:val="21"/>
                <w:u w:val="wave"/>
              </w:rPr>
            </w:pPr>
            <w:r>
              <w:rPr>
                <w:rFonts w:ascii="Times New Roman" w:hAnsi="Times New Roman"/>
                <w:b/>
                <w:bCs/>
                <w:color w:val="FF0000"/>
                <w:sz w:val="21"/>
                <w:szCs w:val="21"/>
                <w:u w:val="wave"/>
              </w:rPr>
              <w:t>kg/d</w:t>
            </w:r>
          </w:p>
        </w:tc>
        <w:tc>
          <w:tcPr>
            <w:tcW w:w="467" w:type="pct"/>
            <w:tcBorders>
              <w:tl2br w:val="nil"/>
              <w:tr2bl w:val="nil"/>
            </w:tcBorders>
            <w:noWrap w:val="0"/>
            <w:vAlign w:val="center"/>
          </w:tcPr>
          <w:p>
            <w:pPr>
              <w:pStyle w:val="41"/>
              <w:spacing w:line="240" w:lineRule="auto"/>
              <w:jc w:val="center"/>
              <w:rPr>
                <w:rFonts w:ascii="Times New Roman" w:hAnsi="Times New Roman"/>
                <w:b/>
                <w:bCs/>
                <w:color w:val="FF0000"/>
                <w:sz w:val="21"/>
                <w:szCs w:val="21"/>
                <w:u w:val="wave"/>
              </w:rPr>
            </w:pPr>
            <w:r>
              <w:rPr>
                <w:rFonts w:ascii="Times New Roman" w:hAnsi="Times New Roman"/>
                <w:b/>
                <w:bCs/>
                <w:color w:val="FF0000"/>
                <w:sz w:val="21"/>
                <w:szCs w:val="21"/>
                <w:u w:val="wave"/>
              </w:rPr>
              <w:t>t/a</w:t>
            </w:r>
          </w:p>
        </w:tc>
        <w:tc>
          <w:tcPr>
            <w:tcW w:w="2256" w:type="pct"/>
            <w:vMerge w:val="continue"/>
            <w:tcBorders>
              <w:tl2br w:val="nil"/>
              <w:tr2bl w:val="nil"/>
            </w:tcBorders>
            <w:noWrap w:val="0"/>
            <w:vAlign w:val="center"/>
          </w:tcPr>
          <w:p>
            <w:pPr>
              <w:pStyle w:val="41"/>
              <w:spacing w:line="240" w:lineRule="auto"/>
              <w:jc w:val="center"/>
              <w:rPr>
                <w:rFonts w:ascii="Times New Roman" w:hAnsi="Times New Roman"/>
                <w:b/>
                <w:bCs/>
                <w:color w:val="FF0000"/>
                <w:sz w:val="21"/>
                <w:szCs w:val="21"/>
                <w:u w:val="wave"/>
              </w:rPr>
            </w:pPr>
          </w:p>
        </w:tc>
        <w:tc>
          <w:tcPr>
            <w:tcW w:w="527" w:type="pct"/>
            <w:tcBorders>
              <w:tl2br w:val="nil"/>
              <w:tr2bl w:val="nil"/>
            </w:tcBorders>
            <w:noWrap w:val="0"/>
            <w:vAlign w:val="center"/>
          </w:tcPr>
          <w:p>
            <w:pPr>
              <w:pStyle w:val="41"/>
              <w:spacing w:line="240" w:lineRule="auto"/>
              <w:jc w:val="center"/>
              <w:rPr>
                <w:rFonts w:ascii="Times New Roman" w:hAnsi="Times New Roman"/>
                <w:b/>
                <w:bCs/>
                <w:color w:val="FF0000"/>
                <w:sz w:val="21"/>
                <w:szCs w:val="21"/>
                <w:u w:val="wave"/>
              </w:rPr>
            </w:pPr>
            <w:r>
              <w:rPr>
                <w:rFonts w:ascii="Times New Roman" w:hAnsi="Times New Roman"/>
                <w:b/>
                <w:bCs/>
                <w:color w:val="FF0000"/>
                <w:sz w:val="21"/>
                <w:szCs w:val="21"/>
                <w:u w:val="wave"/>
              </w:rPr>
              <w:t>kg/d</w:t>
            </w:r>
          </w:p>
        </w:tc>
        <w:tc>
          <w:tcPr>
            <w:tcW w:w="527" w:type="pct"/>
            <w:tcBorders>
              <w:tl2br w:val="nil"/>
              <w:tr2bl w:val="nil"/>
            </w:tcBorders>
            <w:noWrap w:val="0"/>
            <w:vAlign w:val="center"/>
          </w:tcPr>
          <w:p>
            <w:pPr>
              <w:pStyle w:val="41"/>
              <w:spacing w:line="240" w:lineRule="auto"/>
              <w:jc w:val="center"/>
              <w:rPr>
                <w:rFonts w:ascii="Times New Roman" w:hAnsi="Times New Roman"/>
                <w:b/>
                <w:bCs/>
                <w:color w:val="FF0000"/>
                <w:sz w:val="21"/>
                <w:szCs w:val="21"/>
                <w:u w:val="wave"/>
              </w:rPr>
            </w:pPr>
            <w:r>
              <w:rPr>
                <w:rFonts w:ascii="Times New Roman" w:hAnsi="Times New Roman"/>
                <w:b/>
                <w:bCs/>
                <w:color w:val="FF0000"/>
                <w:sz w:val="21"/>
                <w:szCs w:val="21"/>
                <w:u w:val="wave"/>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 w:type="pct"/>
            <w:vMerge w:val="restart"/>
            <w:tcBorders>
              <w:tl2br w:val="nil"/>
              <w:tr2bl w:val="nil"/>
            </w:tcBorders>
            <w:noWrap w:val="0"/>
            <w:vAlign w:val="center"/>
          </w:tcPr>
          <w:p>
            <w:pPr>
              <w:pStyle w:val="41"/>
              <w:spacing w:line="240" w:lineRule="auto"/>
              <w:jc w:val="center"/>
              <w:rPr>
                <w:rFonts w:ascii="Times New Roman" w:hAnsi="Times New Roman"/>
                <w:color w:val="FF0000"/>
                <w:sz w:val="21"/>
                <w:szCs w:val="21"/>
                <w:u w:val="wave"/>
              </w:rPr>
            </w:pPr>
            <w:r>
              <w:rPr>
                <w:rFonts w:hint="eastAsia" w:ascii="Times New Roman" w:hAnsi="Times New Roman"/>
                <w:color w:val="FF0000"/>
                <w:sz w:val="21"/>
                <w:szCs w:val="21"/>
                <w:u w:val="wave"/>
              </w:rPr>
              <w:t>东部养殖区</w:t>
            </w:r>
          </w:p>
        </w:tc>
        <w:tc>
          <w:tcPr>
            <w:tcW w:w="375" w:type="pct"/>
            <w:tcBorders>
              <w:tl2br w:val="nil"/>
              <w:tr2bl w:val="nil"/>
            </w:tcBorders>
            <w:noWrap w:val="0"/>
            <w:vAlign w:val="center"/>
          </w:tcPr>
          <w:p>
            <w:pPr>
              <w:pStyle w:val="41"/>
              <w:spacing w:line="240" w:lineRule="auto"/>
              <w:jc w:val="center"/>
              <w:rPr>
                <w:rFonts w:ascii="Times New Roman" w:hAnsi="Times New Roman"/>
                <w:color w:val="FF0000"/>
                <w:sz w:val="21"/>
                <w:szCs w:val="21"/>
                <w:u w:val="wave"/>
              </w:rPr>
            </w:pPr>
            <w:r>
              <w:rPr>
                <w:rFonts w:ascii="Times New Roman" w:hAnsi="Times New Roman"/>
                <w:color w:val="FF0000"/>
                <w:sz w:val="21"/>
                <w:szCs w:val="21"/>
                <w:u w:val="wave"/>
              </w:rPr>
              <w:t>NH</w:t>
            </w:r>
            <w:r>
              <w:rPr>
                <w:rFonts w:ascii="Times New Roman" w:hAnsi="Times New Roman"/>
                <w:color w:val="FF0000"/>
                <w:sz w:val="21"/>
                <w:szCs w:val="21"/>
                <w:u w:val="wave"/>
                <w:vertAlign w:val="subscript"/>
              </w:rPr>
              <w:t>3</w:t>
            </w:r>
          </w:p>
        </w:tc>
        <w:tc>
          <w:tcPr>
            <w:tcW w:w="464" w:type="pct"/>
            <w:tcBorders>
              <w:tl2br w:val="nil"/>
              <w:tr2bl w:val="nil"/>
            </w:tcBorders>
            <w:noWrap w:val="0"/>
            <w:vAlign w:val="center"/>
          </w:tcPr>
          <w:p>
            <w:pPr>
              <w:pStyle w:val="41"/>
              <w:spacing w:line="240" w:lineRule="auto"/>
              <w:jc w:val="center"/>
              <w:rPr>
                <w:rFonts w:hint="default" w:ascii="Times New Roman" w:hAnsi="Times New Roman" w:eastAsia="宋体"/>
                <w:color w:val="FF0000"/>
                <w:sz w:val="21"/>
                <w:szCs w:val="21"/>
                <w:u w:val="wave"/>
                <w:lang w:val="en-US" w:eastAsia="zh-CN"/>
              </w:rPr>
            </w:pPr>
            <w:r>
              <w:rPr>
                <w:rFonts w:hint="eastAsia" w:ascii="Times New Roman" w:hAnsi="Times New Roman"/>
                <w:color w:val="FF0000"/>
                <w:sz w:val="21"/>
                <w:szCs w:val="21"/>
                <w:u w:val="wave"/>
                <w:lang w:val="en-US" w:eastAsia="zh-CN"/>
              </w:rPr>
              <w:t>0.6</w:t>
            </w:r>
          </w:p>
        </w:tc>
        <w:tc>
          <w:tcPr>
            <w:tcW w:w="467" w:type="pct"/>
            <w:tcBorders>
              <w:tl2br w:val="nil"/>
              <w:tr2bl w:val="nil"/>
            </w:tcBorders>
            <w:noWrap w:val="0"/>
            <w:vAlign w:val="center"/>
          </w:tcPr>
          <w:p>
            <w:pPr>
              <w:pStyle w:val="41"/>
              <w:spacing w:line="240" w:lineRule="auto"/>
              <w:jc w:val="center"/>
              <w:rPr>
                <w:rFonts w:hint="default" w:ascii="Times New Roman" w:hAnsi="Times New Roman" w:eastAsia="宋体"/>
                <w:color w:val="FF0000"/>
                <w:sz w:val="21"/>
                <w:szCs w:val="21"/>
                <w:u w:val="wave"/>
                <w:lang w:val="en-US" w:eastAsia="zh-CN"/>
              </w:rPr>
            </w:pPr>
            <w:r>
              <w:rPr>
                <w:rFonts w:hint="eastAsia" w:ascii="Times New Roman" w:hAnsi="Times New Roman"/>
                <w:color w:val="FF0000"/>
                <w:sz w:val="21"/>
                <w:szCs w:val="21"/>
                <w:u w:val="wave"/>
                <w:lang w:val="en-US" w:eastAsia="zh-CN"/>
              </w:rPr>
              <w:t>0.219</w:t>
            </w:r>
          </w:p>
        </w:tc>
        <w:tc>
          <w:tcPr>
            <w:tcW w:w="2256" w:type="pct"/>
            <w:vMerge w:val="restart"/>
            <w:tcBorders>
              <w:tl2br w:val="nil"/>
              <w:tr2bl w:val="nil"/>
            </w:tcBorders>
            <w:noWrap w:val="0"/>
            <w:vAlign w:val="center"/>
          </w:tcPr>
          <w:p>
            <w:pPr>
              <w:pStyle w:val="41"/>
              <w:spacing w:line="240" w:lineRule="auto"/>
              <w:jc w:val="center"/>
              <w:rPr>
                <w:rFonts w:ascii="Times New Roman" w:hAnsi="Times New Roman"/>
                <w:color w:val="FF0000"/>
                <w:sz w:val="21"/>
                <w:szCs w:val="21"/>
                <w:u w:val="wave"/>
              </w:rPr>
            </w:pPr>
            <w:r>
              <w:rPr>
                <w:rFonts w:ascii="Times New Roman" w:hAnsi="Times New Roman"/>
                <w:color w:val="FF0000"/>
                <w:sz w:val="21"/>
                <w:szCs w:val="21"/>
                <w:u w:val="wave"/>
              </w:rPr>
              <w:t>鸡粪采取</w:t>
            </w:r>
            <w:r>
              <w:rPr>
                <w:rFonts w:hint="eastAsia" w:ascii="Times New Roman" w:hAnsi="Times New Roman"/>
                <w:color w:val="FF0000"/>
                <w:sz w:val="21"/>
                <w:szCs w:val="21"/>
                <w:u w:val="wave"/>
              </w:rPr>
              <w:t>带式自动清粪方式</w:t>
            </w:r>
            <w:r>
              <w:rPr>
                <w:rFonts w:ascii="Times New Roman" w:hAnsi="Times New Roman"/>
                <w:color w:val="FF0000"/>
                <w:sz w:val="21"/>
                <w:szCs w:val="21"/>
                <w:u w:val="wave"/>
              </w:rPr>
              <w:t>，日产日清，鸡舍定期喷洒生物处理液除臭；加强鸡舍通风；优化饲料配方，提高饲养技术，合理调配饲料，饲料中添加EM菌；加强场区内绿化管理，种植较高大的绿色植物。综合削减效率80%。</w:t>
            </w:r>
          </w:p>
        </w:tc>
        <w:tc>
          <w:tcPr>
            <w:tcW w:w="527" w:type="pct"/>
            <w:tcBorders>
              <w:tl2br w:val="nil"/>
              <w:tr2bl w:val="nil"/>
            </w:tcBorders>
            <w:noWrap w:val="0"/>
            <w:vAlign w:val="center"/>
          </w:tcPr>
          <w:p>
            <w:pPr>
              <w:pStyle w:val="41"/>
              <w:spacing w:line="240" w:lineRule="auto"/>
              <w:jc w:val="center"/>
              <w:rPr>
                <w:rFonts w:hint="default" w:ascii="Times New Roman" w:hAnsi="Times New Roman" w:eastAsia="宋体"/>
                <w:color w:val="FF0000"/>
                <w:sz w:val="21"/>
                <w:szCs w:val="21"/>
                <w:u w:val="wave"/>
                <w:lang w:val="en-US" w:eastAsia="zh-CN"/>
              </w:rPr>
            </w:pPr>
            <w:r>
              <w:rPr>
                <w:rFonts w:hint="eastAsia" w:ascii="Times New Roman" w:hAnsi="Times New Roman"/>
                <w:color w:val="FF0000"/>
                <w:sz w:val="21"/>
                <w:szCs w:val="21"/>
                <w:u w:val="wave"/>
                <w:lang w:val="en-US" w:eastAsia="zh-CN"/>
              </w:rPr>
              <w:t>0.24</w:t>
            </w:r>
          </w:p>
        </w:tc>
        <w:tc>
          <w:tcPr>
            <w:tcW w:w="527" w:type="pct"/>
            <w:tcBorders>
              <w:tl2br w:val="nil"/>
              <w:tr2bl w:val="nil"/>
            </w:tcBorders>
            <w:noWrap w:val="0"/>
            <w:vAlign w:val="center"/>
          </w:tcPr>
          <w:p>
            <w:pPr>
              <w:jc w:val="center"/>
              <w:rPr>
                <w:rFonts w:hint="default" w:ascii="Times New Roman" w:hAnsi="Times New Roman" w:eastAsia="宋体" w:cs="Times New Roman"/>
                <w:color w:val="FF0000"/>
                <w:kern w:val="2"/>
                <w:sz w:val="21"/>
                <w:szCs w:val="21"/>
                <w:u w:val="wave"/>
                <w:lang w:val="en-US" w:eastAsia="zh-CN" w:bidi="ar-SA"/>
              </w:rPr>
            </w:pPr>
            <w:r>
              <w:rPr>
                <w:rFonts w:hint="eastAsia"/>
                <w:color w:val="FF0000"/>
                <w:szCs w:val="21"/>
                <w:u w:val="wave"/>
              </w:rPr>
              <w:t>0.0876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 w:type="pct"/>
            <w:vMerge w:val="continue"/>
            <w:tcBorders>
              <w:tl2br w:val="nil"/>
              <w:tr2bl w:val="nil"/>
            </w:tcBorders>
            <w:noWrap w:val="0"/>
            <w:vAlign w:val="center"/>
          </w:tcPr>
          <w:p>
            <w:pPr>
              <w:pStyle w:val="41"/>
              <w:spacing w:line="240" w:lineRule="auto"/>
              <w:jc w:val="center"/>
              <w:rPr>
                <w:rFonts w:ascii="Times New Roman" w:hAnsi="Times New Roman"/>
                <w:color w:val="FF0000"/>
                <w:sz w:val="21"/>
                <w:szCs w:val="21"/>
                <w:u w:val="wave"/>
              </w:rPr>
            </w:pPr>
          </w:p>
        </w:tc>
        <w:tc>
          <w:tcPr>
            <w:tcW w:w="375" w:type="pct"/>
            <w:tcBorders>
              <w:tl2br w:val="nil"/>
              <w:tr2bl w:val="nil"/>
            </w:tcBorders>
            <w:noWrap w:val="0"/>
            <w:vAlign w:val="center"/>
          </w:tcPr>
          <w:p>
            <w:pPr>
              <w:pStyle w:val="41"/>
              <w:spacing w:line="240" w:lineRule="auto"/>
              <w:jc w:val="center"/>
              <w:rPr>
                <w:rFonts w:ascii="Times New Roman" w:hAnsi="Times New Roman"/>
                <w:color w:val="FF0000"/>
                <w:sz w:val="21"/>
                <w:szCs w:val="21"/>
                <w:u w:val="wave"/>
              </w:rPr>
            </w:pPr>
            <w:r>
              <w:rPr>
                <w:rFonts w:ascii="Times New Roman" w:hAnsi="Times New Roman"/>
                <w:color w:val="FF0000"/>
                <w:sz w:val="21"/>
                <w:szCs w:val="21"/>
                <w:u w:val="wave"/>
              </w:rPr>
              <w:t>H</w:t>
            </w:r>
            <w:r>
              <w:rPr>
                <w:rFonts w:ascii="Times New Roman" w:hAnsi="Times New Roman"/>
                <w:color w:val="FF0000"/>
                <w:sz w:val="21"/>
                <w:szCs w:val="21"/>
                <w:u w:val="wave"/>
                <w:vertAlign w:val="subscript"/>
              </w:rPr>
              <w:t>2</w:t>
            </w:r>
            <w:r>
              <w:rPr>
                <w:rFonts w:ascii="Times New Roman" w:hAnsi="Times New Roman"/>
                <w:color w:val="FF0000"/>
                <w:sz w:val="21"/>
                <w:szCs w:val="21"/>
                <w:u w:val="wave"/>
              </w:rPr>
              <w:t>S</w:t>
            </w:r>
          </w:p>
        </w:tc>
        <w:tc>
          <w:tcPr>
            <w:tcW w:w="464" w:type="pct"/>
            <w:tcBorders>
              <w:tl2br w:val="nil"/>
              <w:tr2bl w:val="nil"/>
            </w:tcBorders>
            <w:noWrap w:val="0"/>
            <w:vAlign w:val="center"/>
          </w:tcPr>
          <w:p>
            <w:pPr>
              <w:pStyle w:val="41"/>
              <w:spacing w:line="240" w:lineRule="auto"/>
              <w:jc w:val="center"/>
              <w:rPr>
                <w:rFonts w:hint="default" w:ascii="Times New Roman" w:hAnsi="Times New Roman" w:eastAsia="宋体"/>
                <w:color w:val="FF0000"/>
                <w:sz w:val="21"/>
                <w:szCs w:val="21"/>
                <w:u w:val="wave"/>
                <w:lang w:val="en-US" w:eastAsia="zh-CN"/>
              </w:rPr>
            </w:pPr>
            <w:r>
              <w:rPr>
                <w:rFonts w:hint="eastAsia" w:ascii="Times New Roman" w:hAnsi="Times New Roman"/>
                <w:color w:val="FF0000"/>
                <w:sz w:val="21"/>
                <w:szCs w:val="21"/>
                <w:u w:val="wave"/>
                <w:lang w:val="en-US" w:eastAsia="zh-CN"/>
              </w:rPr>
              <w:t>0.06</w:t>
            </w:r>
          </w:p>
        </w:tc>
        <w:tc>
          <w:tcPr>
            <w:tcW w:w="467" w:type="pct"/>
            <w:tcBorders>
              <w:tl2br w:val="nil"/>
              <w:tr2bl w:val="nil"/>
            </w:tcBorders>
            <w:noWrap w:val="0"/>
            <w:vAlign w:val="center"/>
          </w:tcPr>
          <w:p>
            <w:pPr>
              <w:pStyle w:val="41"/>
              <w:spacing w:line="240" w:lineRule="auto"/>
              <w:jc w:val="center"/>
              <w:rPr>
                <w:rFonts w:hint="default" w:ascii="Times New Roman" w:hAnsi="Times New Roman" w:eastAsia="宋体"/>
                <w:color w:val="FF0000"/>
                <w:sz w:val="21"/>
                <w:szCs w:val="21"/>
                <w:u w:val="wave"/>
                <w:lang w:val="en-US" w:eastAsia="zh-CN"/>
              </w:rPr>
            </w:pPr>
            <w:r>
              <w:rPr>
                <w:rFonts w:hint="eastAsia" w:ascii="Times New Roman" w:hAnsi="Times New Roman"/>
                <w:color w:val="FF0000"/>
                <w:sz w:val="21"/>
                <w:szCs w:val="21"/>
                <w:u w:val="wave"/>
                <w:lang w:val="en-US" w:eastAsia="zh-CN"/>
              </w:rPr>
              <w:t>0.0219</w:t>
            </w:r>
          </w:p>
        </w:tc>
        <w:tc>
          <w:tcPr>
            <w:tcW w:w="2256" w:type="pct"/>
            <w:vMerge w:val="continue"/>
            <w:tcBorders>
              <w:tl2br w:val="nil"/>
              <w:tr2bl w:val="nil"/>
            </w:tcBorders>
            <w:noWrap w:val="0"/>
            <w:vAlign w:val="center"/>
          </w:tcPr>
          <w:p>
            <w:pPr>
              <w:pStyle w:val="41"/>
              <w:spacing w:line="240" w:lineRule="auto"/>
              <w:jc w:val="center"/>
              <w:rPr>
                <w:rFonts w:ascii="Times New Roman" w:hAnsi="Times New Roman"/>
                <w:color w:val="FF0000"/>
                <w:sz w:val="21"/>
                <w:szCs w:val="21"/>
                <w:u w:val="wave"/>
              </w:rPr>
            </w:pPr>
          </w:p>
        </w:tc>
        <w:tc>
          <w:tcPr>
            <w:tcW w:w="527" w:type="pct"/>
            <w:tcBorders>
              <w:tl2br w:val="nil"/>
              <w:tr2bl w:val="nil"/>
            </w:tcBorders>
            <w:noWrap w:val="0"/>
            <w:vAlign w:val="center"/>
          </w:tcPr>
          <w:p>
            <w:pPr>
              <w:pStyle w:val="41"/>
              <w:spacing w:line="240" w:lineRule="auto"/>
              <w:jc w:val="center"/>
              <w:rPr>
                <w:rFonts w:hint="default" w:ascii="Times New Roman" w:hAnsi="Times New Roman" w:eastAsia="宋体"/>
                <w:color w:val="FF0000"/>
                <w:sz w:val="21"/>
                <w:szCs w:val="21"/>
                <w:u w:val="wave"/>
                <w:lang w:val="en-US" w:eastAsia="zh-CN"/>
              </w:rPr>
            </w:pPr>
            <w:r>
              <w:rPr>
                <w:rFonts w:hint="eastAsia" w:ascii="Times New Roman" w:hAnsi="Times New Roman"/>
                <w:color w:val="FF0000"/>
                <w:sz w:val="21"/>
                <w:szCs w:val="21"/>
                <w:u w:val="wave"/>
                <w:lang w:val="en-US" w:eastAsia="zh-CN"/>
              </w:rPr>
              <w:t>0.024</w:t>
            </w:r>
          </w:p>
        </w:tc>
        <w:tc>
          <w:tcPr>
            <w:tcW w:w="527" w:type="pct"/>
            <w:tcBorders>
              <w:tl2br w:val="nil"/>
              <w:tr2bl w:val="nil"/>
            </w:tcBorders>
            <w:noWrap w:val="0"/>
            <w:vAlign w:val="center"/>
          </w:tcPr>
          <w:p>
            <w:pPr>
              <w:jc w:val="center"/>
              <w:rPr>
                <w:rFonts w:hint="default" w:ascii="Times New Roman" w:hAnsi="Times New Roman" w:eastAsia="宋体" w:cs="Times New Roman"/>
                <w:color w:val="FF0000"/>
                <w:kern w:val="2"/>
                <w:sz w:val="21"/>
                <w:szCs w:val="21"/>
                <w:u w:val="wave"/>
                <w:lang w:val="en-US" w:eastAsia="zh-CN" w:bidi="ar-SA"/>
              </w:rPr>
            </w:pPr>
            <w:r>
              <w:rPr>
                <w:rFonts w:hint="eastAsia"/>
                <w:color w:val="FF0000"/>
                <w:szCs w:val="21"/>
                <w:u w:val="wave"/>
              </w:rPr>
              <w:t>0.00876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 w:type="pct"/>
            <w:vMerge w:val="restart"/>
            <w:tcBorders>
              <w:tl2br w:val="nil"/>
              <w:tr2bl w:val="nil"/>
            </w:tcBorders>
            <w:noWrap w:val="0"/>
            <w:vAlign w:val="center"/>
          </w:tcPr>
          <w:p>
            <w:pPr>
              <w:pStyle w:val="41"/>
              <w:spacing w:line="240" w:lineRule="auto"/>
              <w:jc w:val="center"/>
              <w:rPr>
                <w:rFonts w:hint="eastAsia" w:ascii="Times New Roman" w:hAnsi="Times New Roman" w:eastAsia="宋体"/>
                <w:color w:val="FF0000"/>
                <w:sz w:val="21"/>
                <w:szCs w:val="21"/>
                <w:u w:val="wave"/>
                <w:lang w:eastAsia="zh-CN"/>
              </w:rPr>
            </w:pPr>
            <w:r>
              <w:rPr>
                <w:rFonts w:hint="eastAsia" w:ascii="Times New Roman" w:hAnsi="Times New Roman"/>
                <w:color w:val="FF0000"/>
                <w:sz w:val="21"/>
                <w:szCs w:val="21"/>
                <w:u w:val="wave"/>
                <w:lang w:eastAsia="zh-CN"/>
              </w:rPr>
              <w:t>南部养殖区</w:t>
            </w:r>
          </w:p>
        </w:tc>
        <w:tc>
          <w:tcPr>
            <w:tcW w:w="375" w:type="pct"/>
            <w:tcBorders>
              <w:tl2br w:val="nil"/>
              <w:tr2bl w:val="nil"/>
            </w:tcBorders>
            <w:noWrap w:val="0"/>
            <w:vAlign w:val="center"/>
          </w:tcPr>
          <w:p>
            <w:pPr>
              <w:pStyle w:val="41"/>
              <w:spacing w:line="240" w:lineRule="auto"/>
              <w:jc w:val="center"/>
              <w:rPr>
                <w:rFonts w:ascii="Times New Roman" w:hAnsi="Times New Roman" w:eastAsia="宋体" w:cs="Times New Roman"/>
                <w:bCs/>
                <w:color w:val="FF0000"/>
                <w:kern w:val="2"/>
                <w:sz w:val="21"/>
                <w:szCs w:val="21"/>
                <w:u w:val="wave"/>
                <w:lang w:val="en-US" w:eastAsia="zh-CN" w:bidi="ar-SA"/>
              </w:rPr>
            </w:pPr>
            <w:r>
              <w:rPr>
                <w:rFonts w:ascii="Times New Roman" w:hAnsi="Times New Roman"/>
                <w:color w:val="FF0000"/>
                <w:sz w:val="21"/>
                <w:szCs w:val="21"/>
                <w:u w:val="wave"/>
              </w:rPr>
              <w:t>NH</w:t>
            </w:r>
            <w:r>
              <w:rPr>
                <w:rFonts w:ascii="Times New Roman" w:hAnsi="Times New Roman"/>
                <w:color w:val="FF0000"/>
                <w:sz w:val="21"/>
                <w:szCs w:val="21"/>
                <w:u w:val="wave"/>
                <w:vertAlign w:val="subscript"/>
              </w:rPr>
              <w:t>3</w:t>
            </w:r>
          </w:p>
        </w:tc>
        <w:tc>
          <w:tcPr>
            <w:tcW w:w="464" w:type="pct"/>
            <w:tcBorders>
              <w:tl2br w:val="nil"/>
              <w:tr2bl w:val="nil"/>
            </w:tcBorders>
            <w:noWrap w:val="0"/>
            <w:vAlign w:val="center"/>
          </w:tcPr>
          <w:p>
            <w:pPr>
              <w:pStyle w:val="41"/>
              <w:spacing w:line="240" w:lineRule="auto"/>
              <w:jc w:val="center"/>
              <w:rPr>
                <w:rFonts w:hint="default" w:ascii="Times New Roman" w:hAnsi="Times New Roman" w:eastAsia="宋体"/>
                <w:color w:val="FF0000"/>
                <w:sz w:val="21"/>
                <w:szCs w:val="21"/>
                <w:u w:val="wave"/>
                <w:lang w:val="en-US" w:eastAsia="zh-CN"/>
              </w:rPr>
            </w:pPr>
            <w:r>
              <w:rPr>
                <w:rFonts w:hint="eastAsia" w:ascii="Times New Roman" w:hAnsi="Times New Roman"/>
                <w:color w:val="FF0000"/>
                <w:sz w:val="21"/>
                <w:szCs w:val="21"/>
                <w:u w:val="wave"/>
                <w:lang w:val="en-US" w:eastAsia="zh-CN"/>
              </w:rPr>
              <w:t>0.6</w:t>
            </w:r>
          </w:p>
        </w:tc>
        <w:tc>
          <w:tcPr>
            <w:tcW w:w="467" w:type="pct"/>
            <w:tcBorders>
              <w:tl2br w:val="nil"/>
              <w:tr2bl w:val="nil"/>
            </w:tcBorders>
            <w:noWrap w:val="0"/>
            <w:vAlign w:val="center"/>
          </w:tcPr>
          <w:p>
            <w:pPr>
              <w:pStyle w:val="41"/>
              <w:spacing w:line="240" w:lineRule="auto"/>
              <w:jc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color w:val="FF0000"/>
                <w:sz w:val="21"/>
                <w:szCs w:val="21"/>
                <w:u w:val="wave"/>
                <w:lang w:val="en-US" w:eastAsia="zh-CN"/>
              </w:rPr>
              <w:t>3.285</w:t>
            </w:r>
          </w:p>
        </w:tc>
        <w:tc>
          <w:tcPr>
            <w:tcW w:w="2256" w:type="pct"/>
            <w:vMerge w:val="continue"/>
            <w:tcBorders>
              <w:tl2br w:val="nil"/>
              <w:tr2bl w:val="nil"/>
            </w:tcBorders>
            <w:noWrap w:val="0"/>
            <w:vAlign w:val="center"/>
          </w:tcPr>
          <w:p>
            <w:pPr>
              <w:pStyle w:val="41"/>
              <w:spacing w:line="240" w:lineRule="auto"/>
              <w:jc w:val="center"/>
              <w:rPr>
                <w:rFonts w:ascii="Times New Roman" w:hAnsi="Times New Roman"/>
                <w:color w:val="FF0000"/>
                <w:sz w:val="21"/>
                <w:szCs w:val="21"/>
                <w:u w:val="wave"/>
              </w:rPr>
            </w:pPr>
          </w:p>
        </w:tc>
        <w:tc>
          <w:tcPr>
            <w:tcW w:w="527" w:type="pct"/>
            <w:tcBorders>
              <w:tl2br w:val="nil"/>
              <w:tr2bl w:val="nil"/>
            </w:tcBorders>
            <w:noWrap w:val="0"/>
            <w:vAlign w:val="center"/>
          </w:tcPr>
          <w:p>
            <w:pPr>
              <w:pStyle w:val="41"/>
              <w:spacing w:line="240" w:lineRule="auto"/>
              <w:jc w:val="center"/>
              <w:rPr>
                <w:rFonts w:hint="default" w:ascii="Times New Roman" w:hAnsi="Times New Roman" w:eastAsia="宋体"/>
                <w:color w:val="FF0000"/>
                <w:sz w:val="21"/>
                <w:szCs w:val="21"/>
                <w:u w:val="wave"/>
                <w:lang w:val="en-US" w:eastAsia="zh-CN"/>
              </w:rPr>
            </w:pPr>
            <w:r>
              <w:rPr>
                <w:rFonts w:hint="eastAsia" w:ascii="Times New Roman" w:hAnsi="Times New Roman"/>
                <w:color w:val="FF0000"/>
                <w:sz w:val="21"/>
                <w:szCs w:val="21"/>
                <w:u w:val="wave"/>
                <w:lang w:val="en-US" w:eastAsia="zh-CN"/>
              </w:rPr>
              <w:t>0.24</w:t>
            </w:r>
          </w:p>
        </w:tc>
        <w:tc>
          <w:tcPr>
            <w:tcW w:w="527" w:type="pct"/>
            <w:tcBorders>
              <w:tl2br w:val="nil"/>
              <w:tr2bl w:val="nil"/>
            </w:tcBorders>
            <w:noWrap w:val="0"/>
            <w:vAlign w:val="center"/>
          </w:tcPr>
          <w:p>
            <w:pPr>
              <w:jc w:val="center"/>
              <w:rPr>
                <w:rFonts w:hint="default" w:ascii="Times New Roman" w:hAnsi="Times New Roman" w:eastAsia="宋体" w:cs="Times New Roman"/>
                <w:color w:val="FF0000"/>
                <w:kern w:val="2"/>
                <w:sz w:val="21"/>
                <w:szCs w:val="21"/>
                <w:u w:val="wave"/>
                <w:lang w:val="en-US" w:eastAsia="zh-CN" w:bidi="ar-SA"/>
              </w:rPr>
            </w:pPr>
            <w:r>
              <w:rPr>
                <w:rFonts w:hint="eastAsia"/>
                <w:color w:val="FF0000"/>
                <w:szCs w:val="21"/>
                <w:u w:val="wave"/>
              </w:rPr>
              <w:t>0.0876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 w:type="pct"/>
            <w:vMerge w:val="continue"/>
            <w:tcBorders>
              <w:tl2br w:val="nil"/>
              <w:tr2bl w:val="nil"/>
            </w:tcBorders>
            <w:noWrap w:val="0"/>
            <w:vAlign w:val="center"/>
          </w:tcPr>
          <w:p>
            <w:pPr>
              <w:pStyle w:val="41"/>
              <w:spacing w:line="240" w:lineRule="auto"/>
              <w:jc w:val="center"/>
              <w:rPr>
                <w:rFonts w:ascii="Times New Roman" w:hAnsi="Times New Roman"/>
                <w:color w:val="FF0000"/>
                <w:sz w:val="21"/>
                <w:szCs w:val="21"/>
                <w:u w:val="wave"/>
              </w:rPr>
            </w:pPr>
          </w:p>
        </w:tc>
        <w:tc>
          <w:tcPr>
            <w:tcW w:w="375" w:type="pct"/>
            <w:tcBorders>
              <w:tl2br w:val="nil"/>
              <w:tr2bl w:val="nil"/>
            </w:tcBorders>
            <w:noWrap w:val="0"/>
            <w:vAlign w:val="center"/>
          </w:tcPr>
          <w:p>
            <w:pPr>
              <w:pStyle w:val="41"/>
              <w:spacing w:line="240" w:lineRule="auto"/>
              <w:jc w:val="center"/>
              <w:rPr>
                <w:rFonts w:ascii="Times New Roman" w:hAnsi="Times New Roman" w:eastAsia="宋体" w:cs="Times New Roman"/>
                <w:bCs/>
                <w:color w:val="FF0000"/>
                <w:kern w:val="2"/>
                <w:sz w:val="21"/>
                <w:szCs w:val="21"/>
                <w:u w:val="wave"/>
                <w:lang w:val="en-US" w:eastAsia="zh-CN" w:bidi="ar-SA"/>
              </w:rPr>
            </w:pPr>
            <w:r>
              <w:rPr>
                <w:rFonts w:ascii="Times New Roman" w:hAnsi="Times New Roman"/>
                <w:color w:val="FF0000"/>
                <w:sz w:val="21"/>
                <w:szCs w:val="21"/>
                <w:u w:val="wave"/>
              </w:rPr>
              <w:t>H</w:t>
            </w:r>
            <w:r>
              <w:rPr>
                <w:rFonts w:ascii="Times New Roman" w:hAnsi="Times New Roman"/>
                <w:color w:val="FF0000"/>
                <w:sz w:val="21"/>
                <w:szCs w:val="21"/>
                <w:u w:val="wave"/>
                <w:vertAlign w:val="subscript"/>
              </w:rPr>
              <w:t>2</w:t>
            </w:r>
            <w:r>
              <w:rPr>
                <w:rFonts w:ascii="Times New Roman" w:hAnsi="Times New Roman"/>
                <w:color w:val="FF0000"/>
                <w:sz w:val="21"/>
                <w:szCs w:val="21"/>
                <w:u w:val="wave"/>
              </w:rPr>
              <w:t>S</w:t>
            </w:r>
          </w:p>
        </w:tc>
        <w:tc>
          <w:tcPr>
            <w:tcW w:w="464" w:type="pct"/>
            <w:tcBorders>
              <w:tl2br w:val="nil"/>
              <w:tr2bl w:val="nil"/>
            </w:tcBorders>
            <w:noWrap w:val="0"/>
            <w:vAlign w:val="center"/>
          </w:tcPr>
          <w:p>
            <w:pPr>
              <w:pStyle w:val="41"/>
              <w:spacing w:line="240" w:lineRule="auto"/>
              <w:jc w:val="center"/>
              <w:rPr>
                <w:rFonts w:hint="default" w:ascii="Times New Roman" w:hAnsi="Times New Roman" w:eastAsia="宋体"/>
                <w:color w:val="FF0000"/>
                <w:sz w:val="21"/>
                <w:szCs w:val="21"/>
                <w:u w:val="wave"/>
                <w:lang w:val="en-US" w:eastAsia="zh-CN"/>
              </w:rPr>
            </w:pPr>
            <w:r>
              <w:rPr>
                <w:rFonts w:hint="eastAsia" w:ascii="Times New Roman" w:hAnsi="Times New Roman"/>
                <w:color w:val="FF0000"/>
                <w:sz w:val="21"/>
                <w:szCs w:val="21"/>
                <w:u w:val="wave"/>
                <w:lang w:val="en-US" w:eastAsia="zh-CN"/>
              </w:rPr>
              <w:t>0.06</w:t>
            </w:r>
          </w:p>
        </w:tc>
        <w:tc>
          <w:tcPr>
            <w:tcW w:w="467" w:type="pct"/>
            <w:tcBorders>
              <w:tl2br w:val="nil"/>
              <w:tr2bl w:val="nil"/>
            </w:tcBorders>
            <w:noWrap w:val="0"/>
            <w:vAlign w:val="center"/>
          </w:tcPr>
          <w:p>
            <w:pPr>
              <w:pStyle w:val="41"/>
              <w:spacing w:line="240" w:lineRule="auto"/>
              <w:jc w:val="center"/>
              <w:rPr>
                <w:rFonts w:hint="default" w:ascii="Times New Roman" w:hAnsi="Times New Roman" w:eastAsia="宋体" w:cs="Times New Roman"/>
                <w:bCs/>
                <w:color w:val="FF0000"/>
                <w:kern w:val="2"/>
                <w:sz w:val="21"/>
                <w:szCs w:val="21"/>
                <w:u w:val="wave"/>
                <w:lang w:val="en-US" w:eastAsia="zh-CN" w:bidi="ar-SA"/>
              </w:rPr>
            </w:pPr>
            <w:r>
              <w:rPr>
                <w:rFonts w:hint="eastAsia" w:ascii="Times New Roman" w:hAnsi="Times New Roman"/>
                <w:color w:val="FF0000"/>
                <w:sz w:val="21"/>
                <w:szCs w:val="21"/>
                <w:u w:val="wave"/>
                <w:lang w:val="en-US" w:eastAsia="zh-CN"/>
              </w:rPr>
              <w:t>0.329</w:t>
            </w:r>
          </w:p>
        </w:tc>
        <w:tc>
          <w:tcPr>
            <w:tcW w:w="2256" w:type="pct"/>
            <w:vMerge w:val="continue"/>
            <w:tcBorders>
              <w:tl2br w:val="nil"/>
              <w:tr2bl w:val="nil"/>
            </w:tcBorders>
            <w:noWrap w:val="0"/>
            <w:vAlign w:val="center"/>
          </w:tcPr>
          <w:p>
            <w:pPr>
              <w:pStyle w:val="41"/>
              <w:spacing w:line="240" w:lineRule="auto"/>
              <w:jc w:val="center"/>
              <w:rPr>
                <w:rFonts w:ascii="Times New Roman" w:hAnsi="Times New Roman"/>
                <w:color w:val="FF0000"/>
                <w:sz w:val="21"/>
                <w:szCs w:val="21"/>
                <w:u w:val="wave"/>
              </w:rPr>
            </w:pPr>
          </w:p>
        </w:tc>
        <w:tc>
          <w:tcPr>
            <w:tcW w:w="527" w:type="pct"/>
            <w:tcBorders>
              <w:tl2br w:val="nil"/>
              <w:tr2bl w:val="nil"/>
            </w:tcBorders>
            <w:noWrap w:val="0"/>
            <w:vAlign w:val="center"/>
          </w:tcPr>
          <w:p>
            <w:pPr>
              <w:pStyle w:val="41"/>
              <w:spacing w:line="240" w:lineRule="auto"/>
              <w:jc w:val="center"/>
              <w:rPr>
                <w:rFonts w:hint="default" w:ascii="Times New Roman" w:hAnsi="Times New Roman" w:eastAsia="宋体"/>
                <w:color w:val="FF0000"/>
                <w:sz w:val="21"/>
                <w:szCs w:val="21"/>
                <w:u w:val="wave"/>
                <w:lang w:val="en-US" w:eastAsia="zh-CN"/>
              </w:rPr>
            </w:pPr>
            <w:r>
              <w:rPr>
                <w:rFonts w:hint="eastAsia" w:ascii="Times New Roman" w:hAnsi="Times New Roman"/>
                <w:color w:val="FF0000"/>
                <w:sz w:val="21"/>
                <w:szCs w:val="21"/>
                <w:u w:val="wave"/>
                <w:lang w:val="en-US" w:eastAsia="zh-CN"/>
              </w:rPr>
              <w:t>0.024</w:t>
            </w:r>
          </w:p>
        </w:tc>
        <w:tc>
          <w:tcPr>
            <w:tcW w:w="527" w:type="pct"/>
            <w:tcBorders>
              <w:tl2br w:val="nil"/>
              <w:tr2bl w:val="nil"/>
            </w:tcBorders>
            <w:noWrap w:val="0"/>
            <w:vAlign w:val="center"/>
          </w:tcPr>
          <w:p>
            <w:pPr>
              <w:jc w:val="center"/>
              <w:rPr>
                <w:rFonts w:hint="default" w:ascii="Times New Roman" w:hAnsi="Times New Roman" w:eastAsia="宋体" w:cs="Times New Roman"/>
                <w:color w:val="FF0000"/>
                <w:kern w:val="2"/>
                <w:sz w:val="21"/>
                <w:szCs w:val="21"/>
                <w:u w:val="wave"/>
                <w:lang w:val="en-US" w:eastAsia="zh-CN" w:bidi="ar-SA"/>
              </w:rPr>
            </w:pPr>
            <w:r>
              <w:rPr>
                <w:rFonts w:hint="eastAsia"/>
                <w:color w:val="FF0000"/>
                <w:szCs w:val="21"/>
                <w:u w:val="wave"/>
              </w:rPr>
              <w:t>0.00876</w:t>
            </w:r>
          </w:p>
        </w:tc>
      </w:tr>
    </w:tbl>
    <w:p>
      <w:pPr>
        <w:autoSpaceDE w:val="0"/>
        <w:autoSpaceDN w:val="0"/>
        <w:adjustRightInd w:val="0"/>
        <w:spacing w:line="360" w:lineRule="auto"/>
        <w:ind w:firstLine="482" w:firstLineChars="200"/>
        <w:rPr>
          <w:b/>
          <w:kern w:val="0"/>
          <w:sz w:val="24"/>
        </w:rPr>
      </w:pPr>
      <w:r>
        <w:rPr>
          <w:rFonts w:hint="eastAsia"/>
          <w:b/>
          <w:kern w:val="0"/>
          <w:sz w:val="24"/>
        </w:rPr>
        <w:t>2、鲜鸡粪室外输送恶臭</w:t>
      </w:r>
    </w:p>
    <w:p>
      <w:pPr>
        <w:autoSpaceDE w:val="0"/>
        <w:autoSpaceDN w:val="0"/>
        <w:adjustRightInd w:val="0"/>
        <w:spacing w:line="360" w:lineRule="auto"/>
        <w:ind w:firstLine="480" w:firstLineChars="200"/>
        <w:rPr>
          <w:kern w:val="0"/>
          <w:sz w:val="24"/>
        </w:rPr>
      </w:pPr>
      <w:r>
        <w:rPr>
          <w:rFonts w:hint="eastAsia"/>
          <w:kern w:val="0"/>
          <w:sz w:val="24"/>
        </w:rPr>
        <w:t>本项目鲜鸡粪从鸡舍输送至鸡粪收集室的过程中</w:t>
      </w:r>
      <w:r>
        <w:rPr>
          <w:rFonts w:hint="eastAsia"/>
          <w:kern w:val="0"/>
          <w:sz w:val="24"/>
          <w:lang w:val="en-US" w:eastAsia="zh-CN"/>
        </w:rPr>
        <w:t>会</w:t>
      </w:r>
      <w:r>
        <w:rPr>
          <w:rFonts w:hint="eastAsia"/>
          <w:kern w:val="0"/>
          <w:sz w:val="24"/>
        </w:rPr>
        <w:t>产生鲜鸡粪室外输送恶臭，鸡舍为密闭鸡舍、鸡粪收集室为密闭</w:t>
      </w:r>
      <w:r>
        <w:rPr>
          <w:rFonts w:hint="eastAsia"/>
          <w:kern w:val="0"/>
          <w:sz w:val="24"/>
          <w:lang w:val="en-US" w:eastAsia="zh-CN"/>
        </w:rPr>
        <w:t>车间</w:t>
      </w:r>
      <w:r>
        <w:rPr>
          <w:rFonts w:hint="eastAsia"/>
          <w:kern w:val="0"/>
          <w:sz w:val="24"/>
        </w:rPr>
        <w:t>。考虑鲜鸡粪在室外输送时间很短，在短时间内可快速将鲜鸡粪从鸡舍输送至鸡粪收集室中，产生的NH</w:t>
      </w:r>
      <w:r>
        <w:rPr>
          <w:rFonts w:hint="eastAsia"/>
          <w:kern w:val="0"/>
          <w:sz w:val="24"/>
          <w:vertAlign w:val="subscript"/>
        </w:rPr>
        <w:t>3</w:t>
      </w:r>
      <w:r>
        <w:rPr>
          <w:rFonts w:hint="eastAsia"/>
          <w:kern w:val="0"/>
          <w:sz w:val="24"/>
        </w:rPr>
        <w:t>和H</w:t>
      </w:r>
      <w:r>
        <w:rPr>
          <w:rFonts w:hint="eastAsia"/>
          <w:kern w:val="0"/>
          <w:sz w:val="24"/>
          <w:vertAlign w:val="subscript"/>
        </w:rPr>
        <w:t>2</w:t>
      </w:r>
      <w:r>
        <w:rPr>
          <w:rFonts w:hint="eastAsia"/>
          <w:kern w:val="0"/>
          <w:sz w:val="24"/>
        </w:rPr>
        <w:t>S污染物产生量很小，类比同类项目，本次评价鲜鸡粪室外输送恶臭中NH</w:t>
      </w:r>
      <w:r>
        <w:rPr>
          <w:rFonts w:hint="eastAsia"/>
          <w:kern w:val="0"/>
          <w:sz w:val="24"/>
          <w:vertAlign w:val="subscript"/>
        </w:rPr>
        <w:t>3</w:t>
      </w:r>
      <w:r>
        <w:rPr>
          <w:rFonts w:hint="eastAsia"/>
          <w:kern w:val="0"/>
          <w:sz w:val="24"/>
        </w:rPr>
        <w:t>和H</w:t>
      </w:r>
      <w:r>
        <w:rPr>
          <w:rFonts w:hint="eastAsia"/>
          <w:kern w:val="0"/>
          <w:sz w:val="24"/>
          <w:vertAlign w:val="subscript"/>
        </w:rPr>
        <w:t>2</w:t>
      </w:r>
      <w:r>
        <w:rPr>
          <w:rFonts w:hint="eastAsia"/>
          <w:kern w:val="0"/>
          <w:sz w:val="24"/>
        </w:rPr>
        <w:t>S污染物按鸡舍恶臭中NH</w:t>
      </w:r>
      <w:r>
        <w:rPr>
          <w:rFonts w:hint="eastAsia"/>
          <w:kern w:val="0"/>
          <w:sz w:val="24"/>
          <w:vertAlign w:val="subscript"/>
        </w:rPr>
        <w:t>3</w:t>
      </w:r>
      <w:r>
        <w:rPr>
          <w:rFonts w:hint="eastAsia"/>
          <w:kern w:val="0"/>
          <w:sz w:val="24"/>
        </w:rPr>
        <w:t>和H</w:t>
      </w:r>
      <w:r>
        <w:rPr>
          <w:rFonts w:hint="eastAsia"/>
          <w:kern w:val="0"/>
          <w:sz w:val="24"/>
          <w:vertAlign w:val="subscript"/>
        </w:rPr>
        <w:t>2</w:t>
      </w:r>
      <w:r>
        <w:rPr>
          <w:rFonts w:hint="eastAsia"/>
          <w:kern w:val="0"/>
          <w:sz w:val="24"/>
        </w:rPr>
        <w:t>S污染物产生量的5%估算，则东、</w:t>
      </w:r>
      <w:r>
        <w:rPr>
          <w:rFonts w:hint="eastAsia"/>
          <w:kern w:val="0"/>
          <w:sz w:val="24"/>
          <w:lang w:eastAsia="zh-CN"/>
        </w:rPr>
        <w:t>南部养殖区</w:t>
      </w:r>
      <w:r>
        <w:rPr>
          <w:rFonts w:hint="eastAsia"/>
          <w:kern w:val="0"/>
          <w:sz w:val="24"/>
        </w:rPr>
        <w:t>鲜鸡粪室外输送恶臭中NH</w:t>
      </w:r>
      <w:r>
        <w:rPr>
          <w:rFonts w:hint="eastAsia"/>
          <w:kern w:val="0"/>
          <w:sz w:val="24"/>
          <w:vertAlign w:val="subscript"/>
        </w:rPr>
        <w:t>3</w:t>
      </w:r>
      <w:r>
        <w:rPr>
          <w:rFonts w:hint="eastAsia"/>
          <w:kern w:val="0"/>
          <w:sz w:val="24"/>
        </w:rPr>
        <w:t>产生量均为0.011t/a，H</w:t>
      </w:r>
      <w:r>
        <w:rPr>
          <w:rFonts w:hint="eastAsia"/>
          <w:kern w:val="0"/>
          <w:sz w:val="24"/>
          <w:vertAlign w:val="subscript"/>
        </w:rPr>
        <w:t>2</w:t>
      </w:r>
      <w:r>
        <w:rPr>
          <w:rFonts w:hint="eastAsia"/>
          <w:kern w:val="0"/>
          <w:sz w:val="24"/>
        </w:rPr>
        <w:t>S产生量均为0.0011t/a，鲜鸡粪室外输送恶臭中NH</w:t>
      </w:r>
      <w:r>
        <w:rPr>
          <w:rFonts w:hint="eastAsia"/>
          <w:kern w:val="0"/>
          <w:sz w:val="24"/>
          <w:vertAlign w:val="subscript"/>
        </w:rPr>
        <w:t>3</w:t>
      </w:r>
      <w:r>
        <w:rPr>
          <w:rFonts w:hint="eastAsia"/>
          <w:kern w:val="0"/>
          <w:sz w:val="24"/>
        </w:rPr>
        <w:t>产生总量为0.022t/a，H</w:t>
      </w:r>
      <w:r>
        <w:rPr>
          <w:rFonts w:hint="eastAsia"/>
          <w:kern w:val="0"/>
          <w:sz w:val="24"/>
          <w:vertAlign w:val="subscript"/>
        </w:rPr>
        <w:t>2</w:t>
      </w:r>
      <w:r>
        <w:rPr>
          <w:rFonts w:hint="eastAsia"/>
          <w:kern w:val="0"/>
          <w:sz w:val="24"/>
        </w:rPr>
        <w:t>S产生总量为0.0022t/a。</w:t>
      </w:r>
    </w:p>
    <w:p>
      <w:pPr>
        <w:autoSpaceDE w:val="0"/>
        <w:autoSpaceDN w:val="0"/>
        <w:adjustRightInd w:val="0"/>
        <w:spacing w:line="360" w:lineRule="auto"/>
        <w:ind w:firstLine="480" w:firstLineChars="200"/>
        <w:rPr>
          <w:kern w:val="0"/>
          <w:sz w:val="24"/>
        </w:rPr>
      </w:pPr>
      <w:r>
        <w:rPr>
          <w:rFonts w:hint="eastAsia"/>
          <w:kern w:val="0"/>
          <w:sz w:val="24"/>
          <w:lang w:val="en-US" w:eastAsia="zh-CN"/>
        </w:rPr>
        <w:t>建设单位拟</w:t>
      </w:r>
      <w:r>
        <w:rPr>
          <w:rFonts w:hint="eastAsia"/>
          <w:kern w:val="0"/>
          <w:sz w:val="24"/>
        </w:rPr>
        <w:t>设置密闭输送廊道</w:t>
      </w:r>
      <w:r>
        <w:rPr>
          <w:rFonts w:hint="eastAsia"/>
          <w:kern w:val="0"/>
          <w:sz w:val="24"/>
          <w:lang w:eastAsia="zh-CN"/>
        </w:rPr>
        <w:t>、</w:t>
      </w:r>
      <w:r>
        <w:rPr>
          <w:rFonts w:hint="eastAsia"/>
          <w:kern w:val="0"/>
          <w:sz w:val="24"/>
        </w:rPr>
        <w:t>喷雾除臭、加强</w:t>
      </w:r>
      <w:r>
        <w:rPr>
          <w:rFonts w:hint="eastAsia"/>
          <w:kern w:val="0"/>
          <w:sz w:val="24"/>
          <w:lang w:val="en-US" w:eastAsia="zh-CN"/>
        </w:rPr>
        <w:t>周边</w:t>
      </w:r>
      <w:r>
        <w:rPr>
          <w:rFonts w:hint="eastAsia"/>
          <w:kern w:val="0"/>
          <w:sz w:val="24"/>
        </w:rPr>
        <w:t>绿化等措施减少鲜鸡粪室外输送恶臭对环境的影响。本项目在采取上述废气治理措施后，对鲜鸡粪室外输送恶臭中的NH</w:t>
      </w:r>
      <w:r>
        <w:rPr>
          <w:rFonts w:hint="eastAsia"/>
          <w:kern w:val="0"/>
          <w:sz w:val="24"/>
          <w:vertAlign w:val="subscript"/>
        </w:rPr>
        <w:t>3</w:t>
      </w:r>
      <w:r>
        <w:rPr>
          <w:rFonts w:hint="eastAsia"/>
          <w:kern w:val="0"/>
          <w:sz w:val="24"/>
        </w:rPr>
        <w:t>和H</w:t>
      </w:r>
      <w:r>
        <w:rPr>
          <w:rFonts w:hint="eastAsia"/>
          <w:kern w:val="0"/>
          <w:sz w:val="24"/>
          <w:vertAlign w:val="subscript"/>
        </w:rPr>
        <w:t>2</w:t>
      </w:r>
      <w:r>
        <w:rPr>
          <w:rFonts w:hint="eastAsia"/>
          <w:kern w:val="0"/>
          <w:sz w:val="24"/>
        </w:rPr>
        <w:t>S处理效率按</w:t>
      </w:r>
      <w:r>
        <w:rPr>
          <w:rFonts w:hint="eastAsia"/>
          <w:kern w:val="0"/>
          <w:sz w:val="24"/>
          <w:lang w:val="en-US" w:eastAsia="zh-CN"/>
        </w:rPr>
        <w:t>4</w:t>
      </w:r>
      <w:r>
        <w:rPr>
          <w:rFonts w:hint="eastAsia"/>
          <w:kern w:val="0"/>
          <w:sz w:val="24"/>
        </w:rPr>
        <w:t>0%计算，则东、</w:t>
      </w:r>
      <w:r>
        <w:rPr>
          <w:rFonts w:hint="eastAsia"/>
          <w:kern w:val="0"/>
          <w:sz w:val="24"/>
          <w:lang w:eastAsia="zh-CN"/>
        </w:rPr>
        <w:t>南部养殖区</w:t>
      </w:r>
      <w:r>
        <w:rPr>
          <w:rFonts w:hint="eastAsia"/>
          <w:kern w:val="0"/>
          <w:sz w:val="24"/>
        </w:rPr>
        <w:t>鲜鸡粪室外输送恶臭中NH</w:t>
      </w:r>
      <w:r>
        <w:rPr>
          <w:rFonts w:hint="eastAsia"/>
          <w:kern w:val="0"/>
          <w:sz w:val="24"/>
          <w:vertAlign w:val="subscript"/>
        </w:rPr>
        <w:t>3</w:t>
      </w:r>
      <w:r>
        <w:rPr>
          <w:rFonts w:hint="eastAsia"/>
          <w:kern w:val="0"/>
          <w:sz w:val="24"/>
        </w:rPr>
        <w:t>和H</w:t>
      </w:r>
      <w:r>
        <w:rPr>
          <w:rFonts w:hint="eastAsia"/>
          <w:kern w:val="0"/>
          <w:sz w:val="24"/>
          <w:vertAlign w:val="subscript"/>
        </w:rPr>
        <w:t>2</w:t>
      </w:r>
      <w:r>
        <w:rPr>
          <w:rFonts w:hint="eastAsia"/>
          <w:kern w:val="0"/>
          <w:sz w:val="24"/>
        </w:rPr>
        <w:t>S排放量均为0.0066t/a、0.00066t/a，鲜鸡粪室外输送恶臭中NH</w:t>
      </w:r>
      <w:r>
        <w:rPr>
          <w:rFonts w:hint="eastAsia"/>
          <w:kern w:val="0"/>
          <w:sz w:val="24"/>
          <w:vertAlign w:val="subscript"/>
        </w:rPr>
        <w:t>3</w:t>
      </w:r>
      <w:r>
        <w:rPr>
          <w:rFonts w:hint="eastAsia"/>
          <w:kern w:val="0"/>
          <w:sz w:val="24"/>
        </w:rPr>
        <w:t>和H</w:t>
      </w:r>
      <w:r>
        <w:rPr>
          <w:rFonts w:hint="eastAsia"/>
          <w:kern w:val="0"/>
          <w:sz w:val="24"/>
          <w:vertAlign w:val="subscript"/>
        </w:rPr>
        <w:t>2</w:t>
      </w:r>
      <w:r>
        <w:rPr>
          <w:rFonts w:hint="eastAsia"/>
          <w:kern w:val="0"/>
          <w:sz w:val="24"/>
        </w:rPr>
        <w:t>S排放总量分别为0.0132t/a、0.0013t/a。</w:t>
      </w:r>
    </w:p>
    <w:p>
      <w:pPr>
        <w:autoSpaceDE w:val="0"/>
        <w:autoSpaceDN w:val="0"/>
        <w:adjustRightInd w:val="0"/>
        <w:spacing w:line="360" w:lineRule="auto"/>
        <w:ind w:firstLine="482" w:firstLineChars="200"/>
        <w:rPr>
          <w:rFonts w:hint="eastAsia" w:ascii="Times New Roman" w:hAnsi="Times New Roman" w:eastAsia="宋体" w:cs="Times New Roman"/>
          <w:b/>
          <w:bCs/>
          <w:color w:val="FF0000"/>
          <w:kern w:val="0"/>
          <w:sz w:val="24"/>
          <w:u w:val="wave"/>
        </w:rPr>
      </w:pPr>
      <w:r>
        <w:rPr>
          <w:rFonts w:hint="eastAsia" w:ascii="Times New Roman" w:hAnsi="Times New Roman" w:eastAsia="宋体" w:cs="Times New Roman"/>
          <w:b/>
          <w:bCs/>
          <w:color w:val="FF0000"/>
          <w:kern w:val="0"/>
          <w:sz w:val="24"/>
          <w:u w:val="wave"/>
        </w:rPr>
        <w:t>3、鸡粪收集室产生的恶臭</w:t>
      </w:r>
    </w:p>
    <w:p>
      <w:pPr>
        <w:autoSpaceDE w:val="0"/>
        <w:autoSpaceDN w:val="0"/>
        <w:adjustRightInd w:val="0"/>
        <w:spacing w:line="360" w:lineRule="auto"/>
        <w:ind w:firstLine="480" w:firstLineChars="200"/>
        <w:rPr>
          <w:rFonts w:hint="eastAsia" w:ascii="Times New Roman" w:hAnsi="Times New Roman" w:eastAsia="宋体" w:cs="Times New Roman"/>
          <w:color w:val="FF0000"/>
          <w:kern w:val="0"/>
          <w:sz w:val="24"/>
          <w:u w:val="wave"/>
        </w:rPr>
      </w:pPr>
      <w:r>
        <w:rPr>
          <w:rFonts w:hint="eastAsia" w:ascii="Times New Roman" w:hAnsi="Times New Roman" w:eastAsia="宋体" w:cs="Times New Roman"/>
          <w:color w:val="FF0000"/>
          <w:kern w:val="0"/>
          <w:sz w:val="24"/>
          <w:u w:val="wave"/>
        </w:rPr>
        <w:t>项目采用干清粪养殖技术，鸡粪日产日清。项目每栋鸡舍自动化清粪，鸡粪不落地，并配套建设鸡粪收集室作为鸡粪临时贮存场所，正常情况下，鸡粪采用自动干清粪清掏排出鸡舍后，部分直接拉走依托台源蛋鸡养殖一场好氧发酵罐制有机肥；剩余部分则直接拉走外售衡阳县沛科生态科技有限责任公司制有机肥，在衡阳县沛科生态科技有限责任公司进行发酵预处理，不在本厂区进行预处理</w:t>
      </w:r>
      <w:r>
        <w:rPr>
          <w:rFonts w:hint="eastAsia" w:ascii="Times New Roman" w:hAnsi="Times New Roman" w:eastAsia="宋体" w:cs="Times New Roman"/>
          <w:color w:val="FF0000"/>
          <w:kern w:val="0"/>
          <w:sz w:val="24"/>
          <w:u w:val="wave"/>
          <w:lang w:eastAsia="zh-CN"/>
        </w:rPr>
        <w:t>。</w:t>
      </w:r>
      <w:r>
        <w:rPr>
          <w:rFonts w:hint="eastAsia" w:ascii="Times New Roman" w:hAnsi="Times New Roman" w:eastAsia="宋体" w:cs="Times New Roman"/>
          <w:color w:val="FF0000"/>
          <w:kern w:val="0"/>
          <w:sz w:val="24"/>
          <w:u w:val="wave"/>
        </w:rPr>
        <w:t>在鸡粪收集室内堆存时间很短，臭气散发时间有限，同时对其进行喷洒除臭剂等措施，鸡粪收集室密闭，暂存的少量鸡粪相较于鸡舍，其产生量较少，对厂界外空气质量影响很小。</w:t>
      </w:r>
    </w:p>
    <w:p>
      <w:pPr>
        <w:autoSpaceDE w:val="0"/>
        <w:autoSpaceDN w:val="0"/>
        <w:adjustRightInd w:val="0"/>
        <w:spacing w:line="360" w:lineRule="auto"/>
        <w:ind w:firstLine="480" w:firstLineChars="20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项目主要采取以下措施降低鸡粪收集室恶臭气体的排放：</w:t>
      </w:r>
    </w:p>
    <w:p>
      <w:pPr>
        <w:autoSpaceDE w:val="0"/>
        <w:autoSpaceDN w:val="0"/>
        <w:adjustRightInd w:val="0"/>
        <w:spacing w:line="360" w:lineRule="auto"/>
        <w:ind w:firstLine="480" w:firstLineChars="200"/>
        <w:rPr>
          <w:rFonts w:hint="eastAsia" w:ascii="Times New Roman" w:hAnsi="Times New Roman" w:eastAsia="宋体" w:cs="Times New Roman"/>
          <w:kern w:val="0"/>
          <w:sz w:val="24"/>
        </w:rPr>
      </w:pPr>
      <w:r>
        <w:rPr>
          <w:rFonts w:hint="eastAsia" w:ascii="Times New Roman" w:hAnsi="Times New Roman" w:eastAsia="宋体" w:cs="Times New Roman"/>
          <w:kern w:val="0"/>
          <w:sz w:val="24"/>
        </w:rPr>
        <w:fldChar w:fldCharType="begin"/>
      </w:r>
      <w:r>
        <w:rPr>
          <w:rFonts w:hint="eastAsia" w:ascii="Times New Roman" w:hAnsi="Times New Roman" w:eastAsia="宋体" w:cs="Times New Roman"/>
          <w:kern w:val="0"/>
          <w:sz w:val="24"/>
        </w:rPr>
        <w:instrText xml:space="preserve"> = 1 \* GB3 </w:instrText>
      </w:r>
      <w:r>
        <w:rPr>
          <w:rFonts w:hint="eastAsia" w:ascii="Times New Roman" w:hAnsi="Times New Roman" w:eastAsia="宋体" w:cs="Times New Roman"/>
          <w:kern w:val="0"/>
          <w:sz w:val="24"/>
        </w:rPr>
        <w:fldChar w:fldCharType="separate"/>
      </w:r>
      <w:r>
        <w:rPr>
          <w:rFonts w:hint="eastAsia" w:ascii="Times New Roman" w:hAnsi="Times New Roman" w:eastAsia="宋体" w:cs="Times New Roman"/>
          <w:kern w:val="0"/>
          <w:sz w:val="24"/>
        </w:rPr>
        <w:t>①</w:t>
      </w:r>
      <w:r>
        <w:rPr>
          <w:rFonts w:hint="eastAsia" w:ascii="Times New Roman" w:hAnsi="Times New Roman" w:eastAsia="宋体" w:cs="Times New Roman"/>
          <w:kern w:val="0"/>
          <w:sz w:val="24"/>
        </w:rPr>
        <w:fldChar w:fldCharType="end"/>
      </w:r>
      <w:r>
        <w:rPr>
          <w:rFonts w:hint="eastAsia" w:ascii="Times New Roman" w:hAnsi="Times New Roman" w:eastAsia="宋体" w:cs="Times New Roman"/>
          <w:kern w:val="0"/>
          <w:sz w:val="24"/>
        </w:rPr>
        <w:t>加强管理，确保鸡粪能够及时清运，冬季在鸡粪收集室堆存时间不大于三天，夏天做到日产日清，避免在厂区内长期堆存，同时保证鸡粪收集室清理干净。</w:t>
      </w:r>
    </w:p>
    <w:p>
      <w:pPr>
        <w:autoSpaceDE w:val="0"/>
        <w:autoSpaceDN w:val="0"/>
        <w:adjustRightInd w:val="0"/>
        <w:spacing w:line="360" w:lineRule="auto"/>
        <w:ind w:firstLine="480" w:firstLineChars="200"/>
        <w:rPr>
          <w:rFonts w:hint="eastAsia" w:ascii="Times New Roman" w:hAnsi="Times New Roman" w:eastAsia="宋体" w:cs="Times New Roman"/>
          <w:kern w:val="0"/>
          <w:sz w:val="24"/>
        </w:rPr>
      </w:pPr>
      <w:r>
        <w:rPr>
          <w:rFonts w:hint="eastAsia" w:ascii="Times New Roman" w:hAnsi="Times New Roman" w:eastAsia="宋体" w:cs="Times New Roman"/>
          <w:kern w:val="0"/>
          <w:sz w:val="24"/>
        </w:rPr>
        <w:fldChar w:fldCharType="begin"/>
      </w:r>
      <w:r>
        <w:rPr>
          <w:rFonts w:hint="eastAsia" w:ascii="Times New Roman" w:hAnsi="Times New Roman" w:eastAsia="宋体" w:cs="Times New Roman"/>
          <w:kern w:val="0"/>
          <w:sz w:val="24"/>
        </w:rPr>
        <w:instrText xml:space="preserve"> = 2 \* GB3 </w:instrText>
      </w:r>
      <w:r>
        <w:rPr>
          <w:rFonts w:hint="eastAsia" w:ascii="Times New Roman" w:hAnsi="Times New Roman" w:eastAsia="宋体" w:cs="Times New Roman"/>
          <w:kern w:val="0"/>
          <w:sz w:val="24"/>
        </w:rPr>
        <w:fldChar w:fldCharType="separate"/>
      </w:r>
      <w:r>
        <w:rPr>
          <w:rFonts w:hint="eastAsia" w:ascii="Times New Roman" w:hAnsi="Times New Roman" w:eastAsia="宋体" w:cs="Times New Roman"/>
          <w:kern w:val="0"/>
          <w:sz w:val="24"/>
        </w:rPr>
        <w:t>②</w:t>
      </w:r>
      <w:r>
        <w:rPr>
          <w:rFonts w:hint="eastAsia" w:ascii="Times New Roman" w:hAnsi="Times New Roman" w:eastAsia="宋体" w:cs="Times New Roman"/>
          <w:kern w:val="0"/>
          <w:sz w:val="24"/>
        </w:rPr>
        <w:fldChar w:fldCharType="end"/>
      </w:r>
      <w:r>
        <w:rPr>
          <w:rFonts w:hint="eastAsia" w:ascii="Times New Roman" w:hAnsi="Times New Roman" w:eastAsia="宋体" w:cs="Times New Roman"/>
          <w:kern w:val="0"/>
          <w:sz w:val="24"/>
        </w:rPr>
        <w:t>保证鸡粪收集室干燥，做好防风、防雨、防渗措施，因氨和硫化氢易溶于水，室内湿度高时，易被吸附在墙壁、天棚、地面等处，并随水分渗入建筑材料中；室内温度上升时挥发逸散出来，污染空气。</w:t>
      </w:r>
    </w:p>
    <w:p>
      <w:pPr>
        <w:pStyle w:val="286"/>
        <w:spacing w:after="0"/>
        <w:ind w:firstLine="480"/>
        <w:rPr>
          <w:rFonts w:hint="default" w:ascii="Times New Roman" w:hAnsi="Times New Roman" w:eastAsia="宋体" w:cs="Times New Roman"/>
          <w:b/>
          <w:bCs w:val="0"/>
          <w:kern w:val="2"/>
          <w:sz w:val="24"/>
          <w:szCs w:val="24"/>
          <w:lang w:val="en-US" w:eastAsia="zh-CN" w:bidi="ar-SA"/>
        </w:rPr>
      </w:pPr>
      <w:r>
        <w:rPr>
          <w:rFonts w:hint="eastAsia" w:ascii="Times New Roman" w:hAnsi="Times New Roman" w:eastAsia="宋体" w:cs="Times New Roman"/>
          <w:b/>
          <w:bCs w:val="0"/>
          <w:kern w:val="2"/>
          <w:sz w:val="24"/>
          <w:szCs w:val="24"/>
          <w:lang w:val="en-US" w:eastAsia="zh-CN" w:bidi="ar-SA"/>
        </w:rPr>
        <w:t>4、粉尘</w:t>
      </w:r>
    </w:p>
    <w:p>
      <w:pPr>
        <w:pStyle w:val="286"/>
        <w:spacing w:after="0"/>
        <w:ind w:firstLine="480"/>
        <w:rPr>
          <w:rFonts w:ascii="Times New Roman" w:hAnsi="Times New Roman" w:eastAsia="宋体" w:cs="Times New Roman"/>
          <w:bCs/>
          <w:kern w:val="2"/>
          <w:sz w:val="24"/>
          <w:szCs w:val="24"/>
          <w:lang w:val="en-US" w:eastAsia="zh-CN" w:bidi="ar-SA"/>
        </w:rPr>
      </w:pPr>
      <w:r>
        <w:rPr>
          <w:rFonts w:ascii="Times New Roman" w:hAnsi="Times New Roman" w:eastAsia="宋体" w:cs="Times New Roman"/>
          <w:bCs/>
          <w:kern w:val="2"/>
          <w:sz w:val="24"/>
          <w:szCs w:val="24"/>
          <w:lang w:val="en-US" w:eastAsia="zh-CN" w:bidi="ar-SA"/>
        </w:rPr>
        <w:t>由于鸡舍内空气流动性大，鸡舍内饲料、鸡粪及散落毛羽在干燥空气中会产生粉尘污染物，后经鸡舍</w:t>
      </w:r>
      <w:r>
        <w:rPr>
          <w:rFonts w:hint="eastAsia" w:ascii="Times New Roman" w:hAnsi="Times New Roman" w:eastAsia="宋体" w:cs="Times New Roman"/>
          <w:bCs/>
          <w:kern w:val="2"/>
          <w:sz w:val="24"/>
          <w:szCs w:val="24"/>
          <w:lang w:val="en-US" w:eastAsia="zh-CN" w:bidi="ar-SA"/>
        </w:rPr>
        <w:t>西</w:t>
      </w:r>
      <w:r>
        <w:rPr>
          <w:rFonts w:ascii="Times New Roman" w:hAnsi="Times New Roman" w:eastAsia="宋体" w:cs="Times New Roman"/>
          <w:bCs/>
          <w:kern w:val="2"/>
          <w:sz w:val="24"/>
          <w:szCs w:val="24"/>
          <w:lang w:val="en-US" w:eastAsia="zh-CN" w:bidi="ar-SA"/>
        </w:rPr>
        <w:t>侧排风扇排出鸡舍外，进入</w:t>
      </w:r>
      <w:r>
        <w:rPr>
          <w:rFonts w:hint="eastAsia" w:ascii="Times New Roman" w:hAnsi="Times New Roman" w:eastAsia="宋体" w:cs="Times New Roman"/>
          <w:bCs/>
          <w:kern w:val="2"/>
          <w:sz w:val="24"/>
          <w:szCs w:val="24"/>
          <w:lang w:val="en-US" w:eastAsia="zh-CN" w:bidi="ar-SA"/>
        </w:rPr>
        <w:t>鸡舍尾端防尘间</w:t>
      </w:r>
      <w:r>
        <w:rPr>
          <w:rFonts w:ascii="Times New Roman" w:hAnsi="Times New Roman" w:eastAsia="宋体" w:cs="Times New Roman"/>
          <w:bCs/>
          <w:kern w:val="2"/>
          <w:sz w:val="24"/>
          <w:szCs w:val="24"/>
          <w:lang w:val="en-US" w:eastAsia="zh-CN" w:bidi="ar-SA"/>
        </w:rPr>
        <w:t>。根据《鸡舍内粉尘控制方法初探》（刘慧娟，辽宁农业职业技术学院），一般情况下，鸡舍内空气总粉尘浓度约为4.20mg/m</w:t>
      </w:r>
      <w:r>
        <w:rPr>
          <w:rFonts w:ascii="Times New Roman" w:hAnsi="Times New Roman" w:eastAsia="宋体" w:cs="Times New Roman"/>
          <w:bCs/>
          <w:kern w:val="2"/>
          <w:sz w:val="24"/>
          <w:szCs w:val="24"/>
          <w:vertAlign w:val="superscript"/>
          <w:lang w:val="en-US" w:eastAsia="zh-CN" w:bidi="ar-SA"/>
        </w:rPr>
        <w:t>3</w:t>
      </w:r>
      <w:r>
        <w:rPr>
          <w:rFonts w:ascii="Times New Roman" w:hAnsi="Times New Roman" w:eastAsia="宋体" w:cs="Times New Roman"/>
          <w:bCs/>
          <w:kern w:val="2"/>
          <w:sz w:val="24"/>
          <w:szCs w:val="24"/>
          <w:lang w:val="en-US" w:eastAsia="zh-CN" w:bidi="ar-SA"/>
        </w:rPr>
        <w:t>。</w:t>
      </w:r>
      <w:r>
        <w:rPr>
          <w:rFonts w:hint="eastAsia" w:ascii="Times New Roman" w:hAnsi="Times New Roman" w:eastAsia="宋体" w:cs="Times New Roman"/>
          <w:bCs/>
          <w:kern w:val="2"/>
          <w:sz w:val="24"/>
          <w:szCs w:val="24"/>
          <w:lang w:val="en-US" w:eastAsia="zh-CN" w:bidi="ar-SA"/>
        </w:rPr>
        <w:t>据建设单位提供的资料，</w:t>
      </w:r>
      <w:r>
        <w:rPr>
          <w:rFonts w:hint="eastAsia" w:cs="Times New Roman"/>
          <w:bCs/>
          <w:kern w:val="2"/>
          <w:sz w:val="24"/>
          <w:szCs w:val="24"/>
          <w:lang w:val="en-US" w:eastAsia="zh-CN" w:bidi="ar-SA"/>
        </w:rPr>
        <w:t>每日</w:t>
      </w:r>
      <w:r>
        <w:rPr>
          <w:rFonts w:ascii="Times New Roman" w:hAnsi="Times New Roman" w:eastAsia="宋体" w:cs="Times New Roman"/>
          <w:bCs/>
          <w:kern w:val="2"/>
          <w:sz w:val="24"/>
          <w:szCs w:val="24"/>
          <w:lang w:val="en-US" w:eastAsia="zh-CN" w:bidi="ar-SA"/>
        </w:rPr>
        <w:t>风机风量</w:t>
      </w:r>
      <w:r>
        <w:rPr>
          <w:rFonts w:hint="eastAsia" w:cs="Times New Roman"/>
          <w:bCs/>
          <w:kern w:val="2"/>
          <w:sz w:val="24"/>
          <w:szCs w:val="24"/>
          <w:lang w:val="en-US" w:eastAsia="zh-CN" w:bidi="ar-SA"/>
        </w:rPr>
        <w:t>约24</w:t>
      </w:r>
      <w:r>
        <w:rPr>
          <w:rFonts w:ascii="Times New Roman" w:hAnsi="Times New Roman" w:eastAsia="宋体" w:cs="Times New Roman"/>
          <w:bCs/>
          <w:kern w:val="2"/>
          <w:sz w:val="24"/>
          <w:szCs w:val="24"/>
          <w:lang w:val="en-US" w:eastAsia="zh-CN" w:bidi="ar-SA"/>
        </w:rPr>
        <w:t>0000m</w:t>
      </w:r>
      <w:r>
        <w:rPr>
          <w:rFonts w:ascii="Times New Roman" w:hAnsi="Times New Roman" w:eastAsia="宋体" w:cs="Times New Roman"/>
          <w:bCs/>
          <w:kern w:val="2"/>
          <w:sz w:val="24"/>
          <w:szCs w:val="24"/>
          <w:vertAlign w:val="superscript"/>
          <w:lang w:val="en-US" w:eastAsia="zh-CN" w:bidi="ar-SA"/>
        </w:rPr>
        <w:t>3</w:t>
      </w:r>
      <w:r>
        <w:rPr>
          <w:rFonts w:ascii="Times New Roman" w:hAnsi="Times New Roman" w:eastAsia="宋体" w:cs="Times New Roman"/>
          <w:bCs/>
          <w:kern w:val="2"/>
          <w:sz w:val="24"/>
          <w:szCs w:val="24"/>
          <w:lang w:val="en-US" w:eastAsia="zh-CN" w:bidi="ar-SA"/>
        </w:rPr>
        <w:t>/h，则粉尘产生量约</w:t>
      </w:r>
      <w:r>
        <w:rPr>
          <w:rFonts w:hint="eastAsia" w:cs="Times New Roman"/>
          <w:bCs/>
          <w:kern w:val="2"/>
          <w:sz w:val="24"/>
          <w:szCs w:val="24"/>
          <w:lang w:val="en-US" w:eastAsia="zh-CN" w:bidi="ar-SA"/>
        </w:rPr>
        <w:t>24.19</w:t>
      </w:r>
      <w:r>
        <w:rPr>
          <w:rFonts w:ascii="Times New Roman" w:hAnsi="Times New Roman" w:eastAsia="宋体" w:cs="Times New Roman"/>
          <w:bCs/>
          <w:kern w:val="2"/>
          <w:sz w:val="24"/>
          <w:szCs w:val="24"/>
          <w:lang w:val="en-US" w:eastAsia="zh-CN" w:bidi="ar-SA"/>
        </w:rPr>
        <w:t>kg/d、</w:t>
      </w:r>
      <w:r>
        <w:rPr>
          <w:rFonts w:hint="eastAsia" w:ascii="Times New Roman" w:hAnsi="Times New Roman" w:eastAsia="宋体" w:cs="Times New Roman"/>
          <w:bCs/>
          <w:kern w:val="2"/>
          <w:sz w:val="24"/>
          <w:szCs w:val="24"/>
          <w:lang w:val="en-US" w:eastAsia="zh-CN" w:bidi="ar-SA"/>
        </w:rPr>
        <w:t>8.8</w:t>
      </w:r>
      <w:r>
        <w:rPr>
          <w:rFonts w:hint="eastAsia" w:cs="Times New Roman"/>
          <w:bCs/>
          <w:kern w:val="2"/>
          <w:sz w:val="24"/>
          <w:szCs w:val="24"/>
          <w:lang w:val="en-US" w:eastAsia="zh-CN" w:bidi="ar-SA"/>
        </w:rPr>
        <w:t>3</w:t>
      </w:r>
      <w:r>
        <w:rPr>
          <w:rFonts w:ascii="Times New Roman" w:hAnsi="Times New Roman" w:eastAsia="宋体" w:cs="Times New Roman"/>
          <w:bCs/>
          <w:kern w:val="2"/>
          <w:sz w:val="24"/>
          <w:szCs w:val="24"/>
          <w:lang w:val="en-US" w:eastAsia="zh-CN" w:bidi="ar-SA"/>
        </w:rPr>
        <w:t>t/a。</w:t>
      </w:r>
    </w:p>
    <w:p>
      <w:pPr>
        <w:autoSpaceDE w:val="0"/>
        <w:autoSpaceDN w:val="0"/>
        <w:adjustRightInd w:val="0"/>
        <w:spacing w:line="360" w:lineRule="auto"/>
        <w:ind w:firstLine="480" w:firstLineChars="200"/>
        <w:rPr>
          <w:rFonts w:hint="eastAsia" w:ascii="Times New Roman" w:hAnsi="Times New Roman" w:eastAsia="宋体" w:cs="Times New Roman"/>
          <w:bCs/>
          <w:kern w:val="2"/>
          <w:sz w:val="24"/>
          <w:szCs w:val="24"/>
          <w:lang w:val="en-US" w:eastAsia="zh-CN" w:bidi="ar-SA"/>
        </w:rPr>
      </w:pPr>
      <w:r>
        <w:rPr>
          <w:rFonts w:ascii="Times New Roman" w:hAnsi="Times New Roman" w:eastAsia="宋体" w:cs="Times New Roman"/>
          <w:bCs/>
          <w:kern w:val="2"/>
          <w:sz w:val="24"/>
          <w:szCs w:val="24"/>
          <w:lang w:val="en-US" w:eastAsia="zh-CN" w:bidi="ar-SA"/>
        </w:rPr>
        <w:t>在养殖过程中，由饲养员每日打扫鸡舍地面上的粉尘，</w:t>
      </w:r>
      <w:r>
        <w:rPr>
          <w:rFonts w:hint="eastAsia" w:ascii="Times New Roman" w:hAnsi="Times New Roman" w:eastAsia="宋体" w:cs="Times New Roman"/>
          <w:bCs/>
          <w:kern w:val="2"/>
          <w:sz w:val="24"/>
          <w:szCs w:val="24"/>
          <w:lang w:val="en-US" w:eastAsia="zh-CN" w:bidi="ar-SA"/>
        </w:rPr>
        <w:t>建设单位通过在鸡舍排风尾端设置防尘间</w:t>
      </w:r>
      <w:r>
        <w:rPr>
          <w:rFonts w:ascii="Times New Roman" w:hAnsi="Times New Roman" w:eastAsia="宋体" w:cs="Times New Roman"/>
          <w:bCs/>
          <w:kern w:val="2"/>
          <w:sz w:val="24"/>
          <w:szCs w:val="24"/>
          <w:lang w:val="en-US" w:eastAsia="zh-CN" w:bidi="ar-SA"/>
        </w:rPr>
        <w:t>封闭，并在排放口上部布置防尘网</w:t>
      </w:r>
      <w:r>
        <w:rPr>
          <w:rFonts w:hint="eastAsia" w:ascii="Times New Roman" w:hAnsi="Times New Roman" w:eastAsia="宋体" w:cs="Times New Roman"/>
          <w:bCs/>
          <w:kern w:val="2"/>
          <w:sz w:val="24"/>
          <w:szCs w:val="24"/>
          <w:lang w:val="en-US" w:eastAsia="zh-CN" w:bidi="ar-SA"/>
        </w:rPr>
        <w:t>，设置水雾喷淋系统，利用雾化水将粘附粉尘，形成比重更大的颗粒物而加速沉降</w:t>
      </w:r>
      <w:r>
        <w:rPr>
          <w:rFonts w:ascii="Times New Roman" w:hAnsi="Times New Roman" w:eastAsia="宋体" w:cs="Times New Roman"/>
          <w:bCs/>
          <w:kern w:val="2"/>
          <w:sz w:val="24"/>
          <w:szCs w:val="24"/>
          <w:lang w:val="en-US" w:eastAsia="zh-CN" w:bidi="ar-SA"/>
        </w:rPr>
        <w:t>。采取以上措施后，</w:t>
      </w:r>
      <w:r>
        <w:rPr>
          <w:rFonts w:hint="eastAsia" w:ascii="Times New Roman" w:hAnsi="Times New Roman" w:eastAsia="宋体" w:cs="Times New Roman"/>
          <w:bCs/>
          <w:kern w:val="2"/>
          <w:sz w:val="24"/>
          <w:szCs w:val="24"/>
          <w:lang w:val="en-US" w:eastAsia="zh-CN" w:bidi="ar-SA"/>
        </w:rPr>
        <w:t>粉尘可降低80%以上</w:t>
      </w:r>
      <w:r>
        <w:rPr>
          <w:rFonts w:ascii="Times New Roman" w:hAnsi="Times New Roman" w:eastAsia="宋体" w:cs="Times New Roman"/>
          <w:bCs/>
          <w:kern w:val="2"/>
          <w:sz w:val="24"/>
          <w:szCs w:val="24"/>
          <w:lang w:val="en-US" w:eastAsia="zh-CN" w:bidi="ar-SA"/>
        </w:rPr>
        <w:t>，则鸡</w:t>
      </w:r>
      <w:r>
        <w:rPr>
          <w:rFonts w:hint="eastAsia" w:ascii="Times New Roman" w:hAnsi="Times New Roman" w:eastAsia="宋体" w:cs="Times New Roman"/>
          <w:bCs/>
          <w:kern w:val="2"/>
          <w:sz w:val="24"/>
          <w:szCs w:val="24"/>
          <w:lang w:val="en-US" w:eastAsia="zh-CN" w:bidi="ar-SA"/>
        </w:rPr>
        <w:t>舍</w:t>
      </w:r>
      <w:r>
        <w:rPr>
          <w:rFonts w:ascii="Times New Roman" w:hAnsi="Times New Roman" w:eastAsia="宋体" w:cs="Times New Roman"/>
          <w:bCs/>
          <w:kern w:val="2"/>
          <w:sz w:val="24"/>
          <w:szCs w:val="24"/>
          <w:lang w:val="en-US" w:eastAsia="zh-CN" w:bidi="ar-SA"/>
        </w:rPr>
        <w:t>粉尘排放量为</w:t>
      </w:r>
      <w:r>
        <w:rPr>
          <w:rFonts w:hint="eastAsia" w:ascii="Times New Roman" w:hAnsi="Times New Roman" w:eastAsia="宋体" w:cs="Times New Roman"/>
          <w:bCs/>
          <w:kern w:val="2"/>
          <w:sz w:val="24"/>
          <w:szCs w:val="24"/>
          <w:lang w:val="en-US" w:eastAsia="zh-CN" w:bidi="ar-SA"/>
        </w:rPr>
        <w:t>1.77</w:t>
      </w:r>
      <w:r>
        <w:rPr>
          <w:rFonts w:ascii="Times New Roman" w:hAnsi="Times New Roman" w:eastAsia="宋体" w:cs="Times New Roman"/>
          <w:bCs/>
          <w:kern w:val="2"/>
          <w:sz w:val="24"/>
          <w:szCs w:val="24"/>
          <w:lang w:val="en-US" w:eastAsia="zh-CN" w:bidi="ar-SA"/>
        </w:rPr>
        <w:t>t/a，排放速率为</w:t>
      </w:r>
      <w:r>
        <w:rPr>
          <w:rFonts w:hint="eastAsia" w:ascii="Times New Roman" w:hAnsi="Times New Roman" w:eastAsia="宋体" w:cs="Times New Roman"/>
          <w:bCs/>
          <w:kern w:val="2"/>
          <w:sz w:val="24"/>
          <w:szCs w:val="24"/>
          <w:lang w:val="en-US" w:eastAsia="zh-CN" w:bidi="ar-SA"/>
        </w:rPr>
        <w:t>0.20</w:t>
      </w:r>
      <w:r>
        <w:rPr>
          <w:rFonts w:ascii="Times New Roman" w:hAnsi="Times New Roman" w:eastAsia="宋体" w:cs="Times New Roman"/>
          <w:bCs/>
          <w:kern w:val="2"/>
          <w:sz w:val="24"/>
          <w:szCs w:val="24"/>
          <w:lang w:val="en-US" w:eastAsia="zh-CN" w:bidi="ar-SA"/>
        </w:rPr>
        <w:t>kg/h</w:t>
      </w:r>
      <w:r>
        <w:rPr>
          <w:rFonts w:hint="eastAsia" w:ascii="Times New Roman" w:hAnsi="Times New Roman" w:eastAsia="宋体" w:cs="Times New Roman"/>
          <w:bCs/>
          <w:kern w:val="2"/>
          <w:sz w:val="24"/>
          <w:szCs w:val="24"/>
          <w:lang w:val="en-US" w:eastAsia="zh-CN" w:bidi="ar-SA"/>
        </w:rPr>
        <w:t>。</w:t>
      </w:r>
      <w:r>
        <w:rPr>
          <w:rFonts w:hint="eastAsia"/>
          <w:kern w:val="0"/>
          <w:sz w:val="24"/>
        </w:rPr>
        <w:t>东、</w:t>
      </w:r>
      <w:r>
        <w:rPr>
          <w:rFonts w:hint="eastAsia"/>
          <w:kern w:val="0"/>
          <w:sz w:val="24"/>
          <w:lang w:eastAsia="zh-CN"/>
        </w:rPr>
        <w:t>南部养殖区</w:t>
      </w:r>
      <w:r>
        <w:rPr>
          <w:rFonts w:hint="eastAsia"/>
          <w:kern w:val="0"/>
          <w:sz w:val="24"/>
          <w:lang w:val="en-US" w:eastAsia="zh-CN"/>
        </w:rPr>
        <w:t>粉尘</w:t>
      </w:r>
      <w:r>
        <w:rPr>
          <w:rFonts w:hint="eastAsia"/>
          <w:kern w:val="0"/>
          <w:sz w:val="24"/>
        </w:rPr>
        <w:t>排放量均为</w:t>
      </w:r>
      <w:r>
        <w:rPr>
          <w:rFonts w:hint="eastAsia"/>
          <w:kern w:val="0"/>
          <w:sz w:val="24"/>
          <w:lang w:val="en-US" w:eastAsia="zh-CN"/>
        </w:rPr>
        <w:t>0.885</w:t>
      </w:r>
      <w:r>
        <w:rPr>
          <w:rFonts w:hint="eastAsia"/>
          <w:kern w:val="0"/>
          <w:sz w:val="24"/>
        </w:rPr>
        <w:t>t/a</w:t>
      </w:r>
      <w:r>
        <w:rPr>
          <w:rFonts w:hint="eastAsia"/>
          <w:kern w:val="0"/>
          <w:sz w:val="24"/>
          <w:lang w:eastAsia="zh-CN"/>
        </w:rPr>
        <w:t>。</w:t>
      </w:r>
    </w:p>
    <w:p>
      <w:pPr>
        <w:pStyle w:val="5"/>
        <w:adjustRightInd w:val="0"/>
        <w:snapToGrid w:val="0"/>
        <w:spacing w:after="0" w:line="360" w:lineRule="auto"/>
        <w:ind w:firstLine="482" w:firstLineChars="200"/>
        <w:rPr>
          <w:rFonts w:ascii="Times New Roman" w:hAnsi="Times New Roman" w:cs="Times New Roman"/>
          <w:b/>
          <w:sz w:val="24"/>
        </w:rPr>
      </w:pPr>
      <w:r>
        <w:rPr>
          <w:rFonts w:hint="eastAsia" w:ascii="Times New Roman" w:hAnsi="Times New Roman" w:cs="Times New Roman"/>
          <w:b/>
          <w:sz w:val="24"/>
        </w:rPr>
        <w:t>5、食堂油烟</w:t>
      </w:r>
    </w:p>
    <w:p>
      <w:pPr>
        <w:adjustRightInd w:val="0"/>
        <w:snapToGrid w:val="0"/>
        <w:spacing w:line="360" w:lineRule="auto"/>
        <w:ind w:firstLine="480" w:firstLineChars="200"/>
        <w:rPr>
          <w:bCs/>
          <w:sz w:val="24"/>
        </w:rPr>
      </w:pPr>
      <w:r>
        <w:rPr>
          <w:rFonts w:hint="eastAsia" w:hAnsiTheme="majorEastAsia" w:eastAsiaTheme="majorEastAsia"/>
          <w:kern w:val="0"/>
          <w:sz w:val="24"/>
        </w:rPr>
        <w:t>项目劳动定员50</w:t>
      </w:r>
      <w:r>
        <w:rPr>
          <w:rFonts w:eastAsiaTheme="majorEastAsia"/>
          <w:kern w:val="0"/>
          <w:sz w:val="24"/>
        </w:rPr>
        <w:t>人，均</w:t>
      </w:r>
      <w:r>
        <w:rPr>
          <w:sz w:val="24"/>
        </w:rPr>
        <w:t>在厂区用餐</w:t>
      </w:r>
      <w:r>
        <w:rPr>
          <w:bCs/>
          <w:sz w:val="24"/>
        </w:rPr>
        <w:t>。一般食堂的食用油耗油系数为3kg/100人·d，则其一天的食用油的用量约为</w:t>
      </w:r>
      <w:r>
        <w:rPr>
          <w:rFonts w:hint="eastAsia"/>
          <w:bCs/>
          <w:sz w:val="24"/>
        </w:rPr>
        <w:t>1.5</w:t>
      </w:r>
      <w:r>
        <w:rPr>
          <w:bCs/>
          <w:sz w:val="24"/>
        </w:rPr>
        <w:t>kg，油烟和油的挥发量占总耗油量的2%～4%之间，取其均值3%，则油烟的产生量约为</w:t>
      </w:r>
      <w:r>
        <w:rPr>
          <w:rFonts w:hint="eastAsia"/>
          <w:bCs/>
          <w:sz w:val="24"/>
        </w:rPr>
        <w:t>16.425</w:t>
      </w:r>
      <w:r>
        <w:rPr>
          <w:bCs/>
          <w:sz w:val="24"/>
        </w:rPr>
        <w:t>kg/a，建议项目在厨房安装油烟净化器（净化效率不小于</w:t>
      </w:r>
      <w:r>
        <w:rPr>
          <w:rFonts w:hint="eastAsia"/>
          <w:bCs/>
          <w:sz w:val="24"/>
        </w:rPr>
        <w:t>60</w:t>
      </w:r>
      <w:r>
        <w:rPr>
          <w:bCs/>
          <w:sz w:val="24"/>
        </w:rPr>
        <w:t>%），厨房油烟经净化器过滤后由风机和排气管引至建筑物楼面高空排放。项目设置</w:t>
      </w:r>
      <w:r>
        <w:rPr>
          <w:rFonts w:hint="eastAsia"/>
          <w:bCs/>
          <w:sz w:val="24"/>
        </w:rPr>
        <w:t>2</w:t>
      </w:r>
      <w:r>
        <w:rPr>
          <w:sz w:val="24"/>
        </w:rPr>
        <w:t>个基准灶头数，</w:t>
      </w:r>
      <w:r>
        <w:rPr>
          <w:bCs/>
          <w:sz w:val="24"/>
        </w:rPr>
        <w:t>风机总风量为</w:t>
      </w:r>
      <w:r>
        <w:rPr>
          <w:rFonts w:hint="eastAsia"/>
          <w:bCs/>
          <w:sz w:val="24"/>
        </w:rPr>
        <w:t>4</w:t>
      </w:r>
      <w:r>
        <w:rPr>
          <w:bCs/>
          <w:sz w:val="24"/>
        </w:rPr>
        <w:t>00</w:t>
      </w:r>
      <w:r>
        <w:rPr>
          <w:rFonts w:hint="eastAsia"/>
          <w:bCs/>
          <w:sz w:val="24"/>
        </w:rPr>
        <w:t>0</w:t>
      </w:r>
      <w:r>
        <w:rPr>
          <w:bCs/>
          <w:sz w:val="24"/>
        </w:rPr>
        <w:t>m</w:t>
      </w:r>
      <w:r>
        <w:rPr>
          <w:rFonts w:hint="eastAsia"/>
          <w:bCs/>
          <w:sz w:val="24"/>
          <w:vertAlign w:val="superscript"/>
        </w:rPr>
        <w:t>3</w:t>
      </w:r>
      <w:r>
        <w:rPr>
          <w:bCs/>
          <w:sz w:val="24"/>
        </w:rPr>
        <w:t>/h，平均每天使用</w:t>
      </w:r>
      <w:r>
        <w:rPr>
          <w:rFonts w:hint="eastAsia"/>
          <w:bCs/>
          <w:sz w:val="24"/>
        </w:rPr>
        <w:t>3</w:t>
      </w:r>
      <w:r>
        <w:rPr>
          <w:bCs/>
          <w:sz w:val="24"/>
        </w:rPr>
        <w:t>小时，工作时间3</w:t>
      </w:r>
      <w:r>
        <w:rPr>
          <w:rFonts w:hint="eastAsia"/>
          <w:bCs/>
          <w:sz w:val="24"/>
        </w:rPr>
        <w:t>65</w:t>
      </w:r>
      <w:r>
        <w:rPr>
          <w:bCs/>
          <w:sz w:val="24"/>
        </w:rPr>
        <w:t>天，则风机风量为</w:t>
      </w:r>
      <w:r>
        <w:rPr>
          <w:rFonts w:hint="eastAsia"/>
          <w:bCs/>
          <w:sz w:val="24"/>
        </w:rPr>
        <w:t>4.38</w:t>
      </w:r>
      <w:r>
        <w:rPr>
          <w:sz w:val="24"/>
        </w:rPr>
        <w:t>×10</w:t>
      </w:r>
      <w:r>
        <w:rPr>
          <w:rFonts w:hint="eastAsia"/>
          <w:sz w:val="24"/>
          <w:vertAlign w:val="superscript"/>
        </w:rPr>
        <w:t>6</w:t>
      </w:r>
      <w:r>
        <w:rPr>
          <w:sz w:val="24"/>
        </w:rPr>
        <w:t>m</w:t>
      </w:r>
      <w:r>
        <w:rPr>
          <w:rFonts w:hint="eastAsia"/>
          <w:sz w:val="24"/>
          <w:vertAlign w:val="superscript"/>
        </w:rPr>
        <w:t>3</w:t>
      </w:r>
      <w:r>
        <w:rPr>
          <w:sz w:val="24"/>
        </w:rPr>
        <w:t>/a，油烟产生浓度为</w:t>
      </w:r>
      <w:r>
        <w:rPr>
          <w:rFonts w:hint="eastAsia"/>
          <w:sz w:val="24"/>
        </w:rPr>
        <w:t>3.75</w:t>
      </w:r>
      <w:r>
        <w:rPr>
          <w:sz w:val="24"/>
        </w:rPr>
        <w:t>mg/m</w:t>
      </w:r>
      <w:r>
        <w:rPr>
          <w:sz w:val="24"/>
          <w:vertAlign w:val="superscript"/>
        </w:rPr>
        <w:t>3</w:t>
      </w:r>
      <w:r>
        <w:rPr>
          <w:bCs/>
          <w:sz w:val="24"/>
        </w:rPr>
        <w:t>，排放浓度约为</w:t>
      </w:r>
      <w:r>
        <w:rPr>
          <w:rFonts w:hint="eastAsia"/>
          <w:bCs/>
          <w:sz w:val="24"/>
        </w:rPr>
        <w:t>1.5</w:t>
      </w:r>
      <w:r>
        <w:rPr>
          <w:bCs/>
          <w:sz w:val="24"/>
        </w:rPr>
        <w:t>mg/m</w:t>
      </w:r>
      <w:r>
        <w:rPr>
          <w:bCs/>
          <w:sz w:val="24"/>
          <w:vertAlign w:val="superscript"/>
        </w:rPr>
        <w:t>3</w:t>
      </w:r>
      <w:r>
        <w:rPr>
          <w:bCs/>
          <w:sz w:val="24"/>
        </w:rPr>
        <w:t>，排放量约为</w:t>
      </w:r>
      <w:r>
        <w:rPr>
          <w:rFonts w:hint="eastAsia"/>
          <w:bCs/>
          <w:sz w:val="24"/>
        </w:rPr>
        <w:t>6.57</w:t>
      </w:r>
      <w:r>
        <w:rPr>
          <w:bCs/>
          <w:sz w:val="24"/>
        </w:rPr>
        <w:t>kg/a。</w:t>
      </w:r>
    </w:p>
    <w:p>
      <w:pPr>
        <w:adjustRightInd w:val="0"/>
        <w:snapToGrid w:val="0"/>
        <w:spacing w:line="360" w:lineRule="auto"/>
        <w:ind w:firstLine="482" w:firstLineChars="200"/>
        <w:rPr>
          <w:rFonts w:hint="eastAsia" w:hAnsiTheme="majorEastAsia" w:eastAsiaTheme="majorEastAsia"/>
          <w:b/>
          <w:kern w:val="0"/>
          <w:sz w:val="24"/>
          <w:lang w:eastAsia="zh-CN"/>
        </w:rPr>
      </w:pPr>
      <w:r>
        <w:rPr>
          <w:rFonts w:hint="eastAsia" w:hAnsiTheme="majorEastAsia" w:eastAsiaTheme="majorEastAsia"/>
          <w:b/>
          <w:kern w:val="0"/>
          <w:sz w:val="24"/>
        </w:rPr>
        <w:t>6、</w:t>
      </w:r>
      <w:r>
        <w:rPr>
          <w:rFonts w:hint="eastAsia" w:hAnsiTheme="majorEastAsia" w:eastAsiaTheme="majorEastAsia"/>
          <w:b/>
          <w:kern w:val="0"/>
          <w:sz w:val="24"/>
          <w:lang w:eastAsia="zh-CN"/>
        </w:rPr>
        <w:t>备用柴油发电机尾气</w:t>
      </w:r>
    </w:p>
    <w:p>
      <w:pPr>
        <w:adjustRightInd w:val="0"/>
        <w:snapToGrid w:val="0"/>
        <w:spacing w:line="360" w:lineRule="auto"/>
        <w:ind w:firstLine="480" w:firstLineChars="200"/>
        <w:rPr>
          <w:rFonts w:hAnsiTheme="majorEastAsia" w:eastAsiaTheme="majorEastAsia"/>
          <w:kern w:val="0"/>
          <w:sz w:val="24"/>
        </w:rPr>
      </w:pPr>
      <w:r>
        <w:rPr>
          <w:rFonts w:hint="eastAsia" w:hAnsiTheme="majorEastAsia" w:eastAsiaTheme="majorEastAsia"/>
          <w:kern w:val="0"/>
          <w:sz w:val="24"/>
        </w:rPr>
        <w:t>本项目正常情况下不会使用柴油发电机，仅停电时使用备用柴油发电机发电，为场区供电。设置2台</w:t>
      </w:r>
      <w:r>
        <w:rPr>
          <w:rFonts w:hAnsiTheme="majorEastAsia" w:eastAsiaTheme="majorEastAsia"/>
          <w:kern w:val="0"/>
          <w:sz w:val="24"/>
        </w:rPr>
        <w:t>500KW</w:t>
      </w:r>
      <w:r>
        <w:rPr>
          <w:rFonts w:hint="eastAsia" w:hAnsiTheme="majorEastAsia" w:eastAsiaTheme="majorEastAsia"/>
          <w:kern w:val="0"/>
          <w:sz w:val="24"/>
        </w:rPr>
        <w:t>柴油发电机，由于柴油发电机只有在停电时应急使用，因此其产生频率小且具有偶发性，产生的燃油废气量很小，忽略不计，主要污染物为</w:t>
      </w:r>
      <w:r>
        <w:rPr>
          <w:rFonts w:hAnsiTheme="majorEastAsia" w:eastAsiaTheme="majorEastAsia"/>
          <w:kern w:val="0"/>
          <w:sz w:val="24"/>
        </w:rPr>
        <w:t>CO</w:t>
      </w:r>
      <w:r>
        <w:rPr>
          <w:rFonts w:hint="eastAsia" w:hAnsiTheme="majorEastAsia" w:eastAsiaTheme="majorEastAsia"/>
          <w:kern w:val="0"/>
          <w:sz w:val="24"/>
        </w:rPr>
        <w:t>、</w:t>
      </w:r>
      <w:r>
        <w:rPr>
          <w:rFonts w:hAnsiTheme="majorEastAsia" w:eastAsiaTheme="majorEastAsia"/>
          <w:kern w:val="0"/>
          <w:sz w:val="24"/>
        </w:rPr>
        <w:t>THC</w:t>
      </w:r>
      <w:r>
        <w:rPr>
          <w:rFonts w:hint="eastAsia" w:hAnsiTheme="majorEastAsia" w:eastAsiaTheme="majorEastAsia"/>
          <w:kern w:val="0"/>
          <w:sz w:val="24"/>
        </w:rPr>
        <w:t>、</w:t>
      </w:r>
      <w:r>
        <w:rPr>
          <w:rFonts w:hAnsiTheme="majorEastAsia" w:eastAsiaTheme="majorEastAsia"/>
          <w:kern w:val="0"/>
          <w:sz w:val="24"/>
        </w:rPr>
        <w:t>NO</w:t>
      </w:r>
      <w:r>
        <w:rPr>
          <w:rFonts w:hAnsiTheme="majorEastAsia" w:eastAsiaTheme="majorEastAsia"/>
          <w:kern w:val="0"/>
          <w:sz w:val="24"/>
          <w:vertAlign w:val="subscript"/>
        </w:rPr>
        <w:t>X</w:t>
      </w:r>
      <w:r>
        <w:rPr>
          <w:rFonts w:hint="eastAsia" w:hAnsiTheme="majorEastAsia" w:eastAsiaTheme="majorEastAsia"/>
          <w:kern w:val="0"/>
          <w:sz w:val="24"/>
        </w:rPr>
        <w:t>。</w:t>
      </w:r>
      <w:r>
        <w:rPr>
          <w:rFonts w:hint="eastAsia" w:ascii="Times New Roman" w:hAnsi="Times New Roman" w:eastAsia="宋体" w:cs="Times New Roman"/>
          <w:sz w:val="24"/>
        </w:rPr>
        <w:t>废气经发电机自带的净化装置净化后，经排气筒高于屋顶排放，不会对周边环境造成较大影响</w:t>
      </w:r>
      <w:r>
        <w:rPr>
          <w:rFonts w:hint="eastAsia" w:hAnsiTheme="majorEastAsia" w:eastAsiaTheme="majorEastAsia"/>
          <w:kern w:val="0"/>
          <w:sz w:val="24"/>
        </w:rPr>
        <w:t>。</w:t>
      </w:r>
    </w:p>
    <w:p>
      <w:pPr>
        <w:adjustRightInd w:val="0"/>
        <w:snapToGrid w:val="0"/>
        <w:spacing w:line="360" w:lineRule="auto"/>
        <w:ind w:firstLine="482" w:firstLineChars="200"/>
        <w:rPr>
          <w:rFonts w:hAnsiTheme="majorEastAsia" w:eastAsiaTheme="majorEastAsia"/>
          <w:b/>
          <w:kern w:val="0"/>
          <w:sz w:val="24"/>
        </w:rPr>
      </w:pPr>
      <w:r>
        <w:rPr>
          <w:rFonts w:hint="eastAsia" w:hAnsiTheme="majorEastAsia" w:eastAsiaTheme="majorEastAsia"/>
          <w:b/>
          <w:kern w:val="0"/>
          <w:sz w:val="24"/>
        </w:rPr>
        <w:t>7、运输车辆尾气</w:t>
      </w:r>
    </w:p>
    <w:p>
      <w:pPr>
        <w:adjustRightInd w:val="0"/>
        <w:snapToGrid w:val="0"/>
        <w:spacing w:line="360" w:lineRule="auto"/>
        <w:ind w:firstLine="480" w:firstLineChars="200"/>
        <w:rPr>
          <w:rFonts w:hAnsiTheme="majorEastAsia" w:eastAsiaTheme="majorEastAsia"/>
          <w:kern w:val="0"/>
          <w:sz w:val="24"/>
        </w:rPr>
      </w:pPr>
      <w:r>
        <w:rPr>
          <w:rFonts w:hint="eastAsia" w:hAnsiTheme="majorEastAsia" w:eastAsiaTheme="majorEastAsia"/>
          <w:kern w:val="0"/>
          <w:sz w:val="24"/>
        </w:rPr>
        <w:t>本项目运输车辆主要为铲车、物资运输车辆在场内运输时，产生运输车辆尾气，主要污染物为</w:t>
      </w:r>
      <w:r>
        <w:rPr>
          <w:rFonts w:hAnsiTheme="majorEastAsia" w:eastAsiaTheme="majorEastAsia"/>
          <w:kern w:val="0"/>
          <w:sz w:val="24"/>
        </w:rPr>
        <w:t>CO</w:t>
      </w:r>
      <w:r>
        <w:rPr>
          <w:rFonts w:hint="eastAsia" w:hAnsiTheme="majorEastAsia" w:eastAsiaTheme="majorEastAsia"/>
          <w:kern w:val="0"/>
          <w:sz w:val="24"/>
        </w:rPr>
        <w:t>、</w:t>
      </w:r>
      <w:r>
        <w:rPr>
          <w:rFonts w:hAnsiTheme="majorEastAsia" w:eastAsiaTheme="majorEastAsia"/>
          <w:kern w:val="0"/>
          <w:sz w:val="24"/>
        </w:rPr>
        <w:t>THC</w:t>
      </w:r>
      <w:r>
        <w:rPr>
          <w:rFonts w:hint="eastAsia" w:hAnsiTheme="majorEastAsia" w:eastAsiaTheme="majorEastAsia"/>
          <w:kern w:val="0"/>
          <w:sz w:val="24"/>
        </w:rPr>
        <w:t>、</w:t>
      </w:r>
      <w:r>
        <w:rPr>
          <w:rFonts w:hAnsiTheme="majorEastAsia" w:eastAsiaTheme="majorEastAsia"/>
          <w:kern w:val="0"/>
          <w:sz w:val="24"/>
        </w:rPr>
        <w:t>NO</w:t>
      </w:r>
      <w:r>
        <w:rPr>
          <w:rFonts w:hAnsiTheme="majorEastAsia" w:eastAsiaTheme="majorEastAsia"/>
          <w:kern w:val="0"/>
          <w:sz w:val="24"/>
          <w:vertAlign w:val="subscript"/>
        </w:rPr>
        <w:t>X</w:t>
      </w:r>
      <w:r>
        <w:rPr>
          <w:rFonts w:hint="eastAsia" w:hAnsiTheme="majorEastAsia" w:eastAsiaTheme="majorEastAsia"/>
          <w:kern w:val="0"/>
          <w:sz w:val="24"/>
        </w:rPr>
        <w:t>。本项目运营期间主要为饲料原料运进场区、鸡粪运出场区以及叉车运输鸡蛋时，产生的运输车辆尾气，物资运输车辆运输频次少，产生的尾气量忽略不计。通过使用清洁燃料（柴油</w:t>
      </w:r>
      <w:r>
        <w:rPr>
          <w:rFonts w:hAnsiTheme="majorEastAsia" w:eastAsiaTheme="majorEastAsia"/>
          <w:kern w:val="0"/>
          <w:sz w:val="24"/>
        </w:rPr>
        <w:t>/</w:t>
      </w:r>
      <w:r>
        <w:rPr>
          <w:rFonts w:hint="eastAsia" w:hAnsiTheme="majorEastAsia" w:eastAsiaTheme="majorEastAsia"/>
          <w:kern w:val="0"/>
          <w:sz w:val="24"/>
        </w:rPr>
        <w:t>汽油），定期对运输车辆维修保养等措施减少汽车尾气的产生，通过场区通风后运输车辆尾气自然稀释扩散，通过加强绿化减小运输车辆尾气对周边环境的影响。总体而言，运输车辆尾气对环境影响较小。</w:t>
      </w:r>
    </w:p>
    <w:p>
      <w:pPr>
        <w:adjustRightInd w:val="0"/>
        <w:snapToGrid w:val="0"/>
        <w:spacing w:line="360" w:lineRule="auto"/>
        <w:ind w:firstLine="482" w:firstLineChars="200"/>
        <w:rPr>
          <w:rFonts w:hAnsiTheme="majorEastAsia" w:eastAsiaTheme="majorEastAsia"/>
          <w:b/>
          <w:kern w:val="0"/>
          <w:sz w:val="24"/>
        </w:rPr>
      </w:pPr>
      <w:r>
        <w:rPr>
          <w:rFonts w:hint="eastAsia" w:hAnsiTheme="majorEastAsia" w:eastAsiaTheme="majorEastAsia"/>
          <w:b/>
          <w:kern w:val="0"/>
          <w:sz w:val="24"/>
          <w:lang w:val="en-US" w:eastAsia="zh-CN"/>
        </w:rPr>
        <w:t>8</w:t>
      </w:r>
      <w:r>
        <w:rPr>
          <w:rFonts w:hint="eastAsia" w:hAnsiTheme="majorEastAsia" w:eastAsiaTheme="majorEastAsia"/>
          <w:b/>
          <w:kern w:val="0"/>
          <w:sz w:val="24"/>
        </w:rPr>
        <w:t>、废气污染物产排情况汇总</w:t>
      </w:r>
    </w:p>
    <w:p>
      <w:pPr>
        <w:adjustRightInd w:val="0"/>
        <w:snapToGrid w:val="0"/>
        <w:spacing w:line="360" w:lineRule="auto"/>
        <w:ind w:firstLine="480" w:firstLineChars="200"/>
        <w:rPr>
          <w:rFonts w:hAnsiTheme="majorEastAsia" w:eastAsiaTheme="majorEastAsia"/>
          <w:kern w:val="0"/>
          <w:sz w:val="24"/>
        </w:rPr>
      </w:pPr>
      <w:r>
        <w:rPr>
          <w:rFonts w:hint="eastAsia" w:hAnsiTheme="majorEastAsia" w:eastAsiaTheme="majorEastAsia"/>
          <w:kern w:val="0"/>
          <w:sz w:val="24"/>
        </w:rPr>
        <w:t>本项目废气污染物总体产排情况见表3.3-6。</w:t>
      </w:r>
    </w:p>
    <w:p>
      <w:pPr>
        <w:spacing w:beforeLines="50"/>
        <w:jc w:val="center"/>
        <w:rPr>
          <w:b/>
        </w:rPr>
        <w:sectPr>
          <w:headerReference r:id="rId15"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spacing w:beforeLines="50"/>
        <w:jc w:val="center"/>
        <w:rPr>
          <w:b/>
        </w:rPr>
      </w:pPr>
      <w:r>
        <w:rPr>
          <w:rFonts w:hint="eastAsia"/>
          <w:b/>
        </w:rPr>
        <w:t>表3.3-6  废气总体产排情况一览表</w:t>
      </w:r>
    </w:p>
    <w:tbl>
      <w:tblPr>
        <w:tblStyle w:val="4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65"/>
        <w:gridCol w:w="749"/>
        <w:gridCol w:w="1004"/>
        <w:gridCol w:w="814"/>
        <w:gridCol w:w="987"/>
        <w:gridCol w:w="2583"/>
        <w:gridCol w:w="880"/>
        <w:gridCol w:w="900"/>
        <w:gridCol w:w="1030"/>
        <w:gridCol w:w="840"/>
        <w:gridCol w:w="890"/>
        <w:gridCol w:w="870"/>
        <w:gridCol w:w="785"/>
        <w:gridCol w:w="9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5" w:type="pct"/>
            <w:vMerge w:val="restart"/>
            <w:vAlign w:val="center"/>
          </w:tcPr>
          <w:p>
            <w:pPr>
              <w:jc w:val="center"/>
              <w:rPr>
                <w:b/>
                <w:szCs w:val="21"/>
              </w:rPr>
            </w:pPr>
            <w:r>
              <w:rPr>
                <w:b/>
                <w:szCs w:val="21"/>
              </w:rPr>
              <w:t>产污环节</w:t>
            </w:r>
          </w:p>
        </w:tc>
        <w:tc>
          <w:tcPr>
            <w:tcW w:w="264" w:type="pct"/>
            <w:vMerge w:val="restart"/>
            <w:vAlign w:val="center"/>
          </w:tcPr>
          <w:p>
            <w:pPr>
              <w:jc w:val="center"/>
              <w:rPr>
                <w:b/>
                <w:szCs w:val="21"/>
              </w:rPr>
            </w:pPr>
            <w:r>
              <w:rPr>
                <w:b/>
                <w:szCs w:val="21"/>
              </w:rPr>
              <w:t>污染物</w:t>
            </w:r>
          </w:p>
        </w:tc>
        <w:tc>
          <w:tcPr>
            <w:tcW w:w="989" w:type="pct"/>
            <w:gridSpan w:val="3"/>
            <w:vAlign w:val="center"/>
          </w:tcPr>
          <w:p>
            <w:pPr>
              <w:jc w:val="center"/>
              <w:rPr>
                <w:b/>
                <w:szCs w:val="21"/>
              </w:rPr>
            </w:pPr>
            <w:r>
              <w:rPr>
                <w:b/>
                <w:szCs w:val="21"/>
              </w:rPr>
              <w:t>产生情况</w:t>
            </w:r>
          </w:p>
        </w:tc>
        <w:tc>
          <w:tcPr>
            <w:tcW w:w="1221" w:type="pct"/>
            <w:gridSpan w:val="2"/>
            <w:vAlign w:val="center"/>
          </w:tcPr>
          <w:p>
            <w:pPr>
              <w:jc w:val="center"/>
              <w:rPr>
                <w:b/>
                <w:szCs w:val="21"/>
              </w:rPr>
            </w:pPr>
            <w:r>
              <w:rPr>
                <w:b/>
                <w:szCs w:val="21"/>
              </w:rPr>
              <w:t>治理设施</w:t>
            </w:r>
          </w:p>
        </w:tc>
        <w:tc>
          <w:tcPr>
            <w:tcW w:w="977" w:type="pct"/>
            <w:gridSpan w:val="3"/>
            <w:vAlign w:val="center"/>
          </w:tcPr>
          <w:p>
            <w:pPr>
              <w:jc w:val="center"/>
              <w:rPr>
                <w:b/>
                <w:szCs w:val="21"/>
              </w:rPr>
            </w:pPr>
            <w:r>
              <w:rPr>
                <w:b/>
                <w:szCs w:val="21"/>
              </w:rPr>
              <w:t>排放情况</w:t>
            </w:r>
          </w:p>
        </w:tc>
        <w:tc>
          <w:tcPr>
            <w:tcW w:w="897" w:type="pct"/>
            <w:gridSpan w:val="3"/>
            <w:vAlign w:val="center"/>
          </w:tcPr>
          <w:p>
            <w:pPr>
              <w:jc w:val="center"/>
              <w:rPr>
                <w:b/>
                <w:szCs w:val="21"/>
              </w:rPr>
            </w:pPr>
            <w:r>
              <w:rPr>
                <w:b/>
                <w:szCs w:val="21"/>
              </w:rPr>
              <w:t>排放标准</w:t>
            </w:r>
          </w:p>
        </w:tc>
        <w:tc>
          <w:tcPr>
            <w:tcW w:w="344" w:type="pct"/>
            <w:vMerge w:val="restart"/>
            <w:vAlign w:val="center"/>
          </w:tcPr>
          <w:p>
            <w:pPr>
              <w:jc w:val="center"/>
              <w:rPr>
                <w:b/>
                <w:szCs w:val="21"/>
              </w:rPr>
            </w:pPr>
            <w:r>
              <w:rPr>
                <w:b/>
                <w:szCs w:val="21"/>
              </w:rPr>
              <w:t>排放方式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5" w:type="pct"/>
            <w:vMerge w:val="continue"/>
            <w:vAlign w:val="center"/>
          </w:tcPr>
          <w:p>
            <w:pPr>
              <w:jc w:val="center"/>
              <w:rPr>
                <w:szCs w:val="21"/>
              </w:rPr>
            </w:pPr>
          </w:p>
        </w:tc>
        <w:tc>
          <w:tcPr>
            <w:tcW w:w="264" w:type="pct"/>
            <w:vMerge w:val="continue"/>
            <w:vAlign w:val="center"/>
          </w:tcPr>
          <w:p>
            <w:pPr>
              <w:jc w:val="center"/>
              <w:rPr>
                <w:szCs w:val="21"/>
              </w:rPr>
            </w:pPr>
          </w:p>
        </w:tc>
        <w:tc>
          <w:tcPr>
            <w:tcW w:w="354" w:type="pct"/>
            <w:vAlign w:val="center"/>
          </w:tcPr>
          <w:p>
            <w:pPr>
              <w:jc w:val="center"/>
              <w:rPr>
                <w:szCs w:val="21"/>
              </w:rPr>
            </w:pPr>
            <w:r>
              <w:rPr>
                <w:b/>
                <w:szCs w:val="21"/>
              </w:rPr>
              <w:t>产生量t/a</w:t>
            </w:r>
          </w:p>
        </w:tc>
        <w:tc>
          <w:tcPr>
            <w:tcW w:w="287" w:type="pct"/>
            <w:vAlign w:val="center"/>
          </w:tcPr>
          <w:p>
            <w:pPr>
              <w:jc w:val="center"/>
              <w:rPr>
                <w:b/>
                <w:szCs w:val="21"/>
              </w:rPr>
            </w:pPr>
            <w:r>
              <w:rPr>
                <w:b/>
                <w:szCs w:val="21"/>
              </w:rPr>
              <w:t>产生速率kg/h</w:t>
            </w:r>
          </w:p>
        </w:tc>
        <w:tc>
          <w:tcPr>
            <w:tcW w:w="348" w:type="pct"/>
            <w:vAlign w:val="center"/>
          </w:tcPr>
          <w:p>
            <w:pPr>
              <w:jc w:val="center"/>
              <w:rPr>
                <w:b/>
                <w:szCs w:val="21"/>
              </w:rPr>
            </w:pPr>
            <w:r>
              <w:rPr>
                <w:b/>
                <w:szCs w:val="21"/>
              </w:rPr>
              <w:t>产生浓度mg/m</w:t>
            </w:r>
            <w:r>
              <w:rPr>
                <w:b/>
                <w:szCs w:val="21"/>
                <w:vertAlign w:val="superscript"/>
              </w:rPr>
              <w:t>3</w:t>
            </w:r>
          </w:p>
        </w:tc>
        <w:tc>
          <w:tcPr>
            <w:tcW w:w="911" w:type="pct"/>
            <w:vAlign w:val="center"/>
          </w:tcPr>
          <w:p>
            <w:pPr>
              <w:jc w:val="center"/>
              <w:rPr>
                <w:b/>
                <w:szCs w:val="21"/>
              </w:rPr>
            </w:pPr>
            <w:r>
              <w:rPr>
                <w:b/>
                <w:szCs w:val="21"/>
              </w:rPr>
              <w:t>治理设施名称</w:t>
            </w:r>
          </w:p>
        </w:tc>
        <w:tc>
          <w:tcPr>
            <w:tcW w:w="310" w:type="pct"/>
            <w:vAlign w:val="center"/>
          </w:tcPr>
          <w:p>
            <w:pPr>
              <w:jc w:val="center"/>
              <w:rPr>
                <w:b/>
                <w:szCs w:val="21"/>
              </w:rPr>
            </w:pPr>
            <w:r>
              <w:rPr>
                <w:b/>
                <w:szCs w:val="21"/>
              </w:rPr>
              <w:t>处理效率（%）</w:t>
            </w:r>
          </w:p>
        </w:tc>
        <w:tc>
          <w:tcPr>
            <w:tcW w:w="317" w:type="pct"/>
            <w:vAlign w:val="center"/>
          </w:tcPr>
          <w:p>
            <w:pPr>
              <w:jc w:val="center"/>
              <w:rPr>
                <w:szCs w:val="21"/>
              </w:rPr>
            </w:pPr>
            <w:r>
              <w:rPr>
                <w:b/>
                <w:szCs w:val="21"/>
              </w:rPr>
              <w:t>排放量t/a</w:t>
            </w:r>
          </w:p>
        </w:tc>
        <w:tc>
          <w:tcPr>
            <w:tcW w:w="363" w:type="pct"/>
            <w:vAlign w:val="center"/>
          </w:tcPr>
          <w:p>
            <w:pPr>
              <w:jc w:val="center"/>
              <w:rPr>
                <w:b/>
                <w:szCs w:val="21"/>
              </w:rPr>
            </w:pPr>
            <w:r>
              <w:rPr>
                <w:b/>
                <w:szCs w:val="21"/>
              </w:rPr>
              <w:t>排放速率kg/h</w:t>
            </w:r>
          </w:p>
        </w:tc>
        <w:tc>
          <w:tcPr>
            <w:tcW w:w="296" w:type="pct"/>
            <w:vAlign w:val="center"/>
          </w:tcPr>
          <w:p>
            <w:pPr>
              <w:jc w:val="center"/>
              <w:rPr>
                <w:b/>
                <w:szCs w:val="21"/>
              </w:rPr>
            </w:pPr>
            <w:r>
              <w:rPr>
                <w:b/>
                <w:szCs w:val="21"/>
              </w:rPr>
              <w:t>排放浓度mg/m</w:t>
            </w:r>
            <w:r>
              <w:rPr>
                <w:b/>
                <w:szCs w:val="21"/>
                <w:vertAlign w:val="superscript"/>
              </w:rPr>
              <w:t>3</w:t>
            </w:r>
          </w:p>
        </w:tc>
        <w:tc>
          <w:tcPr>
            <w:tcW w:w="313" w:type="pct"/>
            <w:vAlign w:val="center"/>
          </w:tcPr>
          <w:p>
            <w:pPr>
              <w:jc w:val="center"/>
              <w:rPr>
                <w:b/>
                <w:szCs w:val="21"/>
              </w:rPr>
            </w:pPr>
            <w:r>
              <w:rPr>
                <w:b/>
                <w:szCs w:val="21"/>
              </w:rPr>
              <w:t>排放速率kg/h</w:t>
            </w:r>
          </w:p>
        </w:tc>
        <w:tc>
          <w:tcPr>
            <w:tcW w:w="306" w:type="pct"/>
            <w:vAlign w:val="center"/>
          </w:tcPr>
          <w:p>
            <w:pPr>
              <w:jc w:val="center"/>
              <w:rPr>
                <w:b/>
                <w:szCs w:val="21"/>
              </w:rPr>
            </w:pPr>
            <w:r>
              <w:rPr>
                <w:b/>
                <w:szCs w:val="21"/>
              </w:rPr>
              <w:t>排放浓度mg/m</w:t>
            </w:r>
            <w:r>
              <w:rPr>
                <w:b/>
                <w:szCs w:val="21"/>
                <w:vertAlign w:val="superscript"/>
              </w:rPr>
              <w:t>3</w:t>
            </w:r>
          </w:p>
        </w:tc>
        <w:tc>
          <w:tcPr>
            <w:tcW w:w="276" w:type="pct"/>
            <w:vAlign w:val="center"/>
          </w:tcPr>
          <w:p>
            <w:pPr>
              <w:jc w:val="center"/>
              <w:rPr>
                <w:b/>
                <w:szCs w:val="21"/>
              </w:rPr>
            </w:pPr>
            <w:r>
              <w:rPr>
                <w:b/>
                <w:szCs w:val="21"/>
              </w:rPr>
              <w:t>是否达标</w:t>
            </w:r>
          </w:p>
        </w:tc>
        <w:tc>
          <w:tcPr>
            <w:tcW w:w="344" w:type="pct"/>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7" w:hRule="atLeast"/>
        </w:trPr>
        <w:tc>
          <w:tcPr>
            <w:tcW w:w="305" w:type="pct"/>
            <w:vMerge w:val="restart"/>
            <w:vAlign w:val="center"/>
          </w:tcPr>
          <w:p>
            <w:pPr>
              <w:jc w:val="center"/>
              <w:rPr>
                <w:szCs w:val="21"/>
              </w:rPr>
            </w:pPr>
            <w:r>
              <w:rPr>
                <w:szCs w:val="21"/>
              </w:rPr>
              <w:t>东部养殖区3栋鸡舍</w:t>
            </w:r>
          </w:p>
        </w:tc>
        <w:tc>
          <w:tcPr>
            <w:tcW w:w="264" w:type="pct"/>
            <w:vAlign w:val="center"/>
          </w:tcPr>
          <w:p>
            <w:pPr>
              <w:jc w:val="center"/>
              <w:rPr>
                <w:szCs w:val="21"/>
              </w:rPr>
            </w:pPr>
            <w:r>
              <w:rPr>
                <w:rFonts w:hint="eastAsia"/>
                <w:szCs w:val="21"/>
              </w:rPr>
              <w:t>NH</w:t>
            </w:r>
            <w:r>
              <w:rPr>
                <w:rFonts w:hint="eastAsia"/>
                <w:szCs w:val="21"/>
                <w:vertAlign w:val="subscript"/>
              </w:rPr>
              <w:t>3</w:t>
            </w:r>
          </w:p>
        </w:tc>
        <w:tc>
          <w:tcPr>
            <w:tcW w:w="354" w:type="pct"/>
            <w:vAlign w:val="center"/>
          </w:tcPr>
          <w:p>
            <w:pPr>
              <w:jc w:val="center"/>
              <w:rPr>
                <w:rFonts w:hint="default" w:eastAsia="宋体"/>
                <w:szCs w:val="21"/>
                <w:lang w:val="en-US" w:eastAsia="zh-CN"/>
              </w:rPr>
            </w:pPr>
            <w:r>
              <w:rPr>
                <w:rFonts w:hint="eastAsia"/>
                <w:szCs w:val="21"/>
              </w:rPr>
              <w:t>0.219</w:t>
            </w:r>
          </w:p>
        </w:tc>
        <w:tc>
          <w:tcPr>
            <w:tcW w:w="287" w:type="pct"/>
            <w:vAlign w:val="center"/>
          </w:tcPr>
          <w:p>
            <w:pPr>
              <w:jc w:val="center"/>
              <w:rPr>
                <w:rFonts w:hint="default" w:eastAsia="宋体"/>
                <w:szCs w:val="21"/>
                <w:lang w:val="en-US" w:eastAsia="zh-CN"/>
              </w:rPr>
            </w:pPr>
            <w:r>
              <w:rPr>
                <w:rFonts w:hint="eastAsia"/>
                <w:szCs w:val="21"/>
              </w:rPr>
              <w:t>0.025</w:t>
            </w:r>
          </w:p>
        </w:tc>
        <w:tc>
          <w:tcPr>
            <w:tcW w:w="348" w:type="pct"/>
            <w:vAlign w:val="center"/>
          </w:tcPr>
          <w:p>
            <w:pPr>
              <w:jc w:val="center"/>
              <w:rPr>
                <w:szCs w:val="21"/>
              </w:rPr>
            </w:pPr>
            <w:r>
              <w:rPr>
                <w:rFonts w:hint="eastAsia"/>
                <w:szCs w:val="21"/>
              </w:rPr>
              <w:t>/</w:t>
            </w:r>
          </w:p>
        </w:tc>
        <w:tc>
          <w:tcPr>
            <w:tcW w:w="911" w:type="pct"/>
            <w:vMerge w:val="restart"/>
            <w:vAlign w:val="center"/>
          </w:tcPr>
          <w:p>
            <w:pPr>
              <w:jc w:val="center"/>
              <w:rPr>
                <w:szCs w:val="21"/>
              </w:rPr>
            </w:pPr>
            <w:r>
              <w:rPr>
                <w:rFonts w:hint="eastAsia"/>
                <w:szCs w:val="21"/>
              </w:rPr>
              <w:t>采用干清粪方式、日产日清，在日粮中添加EM菌，在鸡舍定期喷洒微生物制剂、酶制剂和植物提取液等活性物质</w:t>
            </w:r>
          </w:p>
        </w:tc>
        <w:tc>
          <w:tcPr>
            <w:tcW w:w="310" w:type="pct"/>
            <w:vAlign w:val="center"/>
          </w:tcPr>
          <w:p>
            <w:pPr>
              <w:jc w:val="center"/>
              <w:rPr>
                <w:rFonts w:hint="default"/>
                <w:szCs w:val="21"/>
                <w:lang w:val="en-US"/>
              </w:rPr>
            </w:pPr>
            <w:r>
              <w:rPr>
                <w:rFonts w:hint="eastAsia"/>
                <w:szCs w:val="21"/>
                <w:lang w:val="en-US" w:eastAsia="zh-CN"/>
              </w:rPr>
              <w:t>60</w:t>
            </w:r>
          </w:p>
        </w:tc>
        <w:tc>
          <w:tcPr>
            <w:tcW w:w="317" w:type="pct"/>
            <w:vAlign w:val="center"/>
          </w:tcPr>
          <w:p>
            <w:pPr>
              <w:jc w:val="center"/>
              <w:rPr>
                <w:rFonts w:hint="default" w:eastAsia="宋体"/>
                <w:szCs w:val="21"/>
                <w:lang w:val="en-US" w:eastAsia="zh-CN"/>
              </w:rPr>
            </w:pPr>
            <w:r>
              <w:rPr>
                <w:rFonts w:hint="eastAsia"/>
                <w:szCs w:val="21"/>
              </w:rPr>
              <w:t>0.0876</w:t>
            </w:r>
          </w:p>
        </w:tc>
        <w:tc>
          <w:tcPr>
            <w:tcW w:w="363" w:type="pct"/>
            <w:vAlign w:val="center"/>
          </w:tcPr>
          <w:p>
            <w:pPr>
              <w:jc w:val="center"/>
              <w:rPr>
                <w:rFonts w:hint="default" w:eastAsia="宋体"/>
                <w:szCs w:val="21"/>
                <w:lang w:val="en-US" w:eastAsia="zh-CN"/>
              </w:rPr>
            </w:pPr>
            <w:r>
              <w:rPr>
                <w:rFonts w:hint="eastAsia"/>
                <w:szCs w:val="21"/>
              </w:rPr>
              <w:t>0.01</w:t>
            </w:r>
          </w:p>
        </w:tc>
        <w:tc>
          <w:tcPr>
            <w:tcW w:w="296" w:type="pct"/>
            <w:vAlign w:val="center"/>
          </w:tcPr>
          <w:p>
            <w:pPr>
              <w:jc w:val="center"/>
              <w:rPr>
                <w:szCs w:val="21"/>
              </w:rPr>
            </w:pPr>
            <w:r>
              <w:rPr>
                <w:rFonts w:hint="eastAsia"/>
                <w:szCs w:val="21"/>
              </w:rPr>
              <w:t>/</w:t>
            </w:r>
          </w:p>
        </w:tc>
        <w:tc>
          <w:tcPr>
            <w:tcW w:w="313" w:type="pct"/>
            <w:vAlign w:val="center"/>
          </w:tcPr>
          <w:p>
            <w:pPr>
              <w:jc w:val="center"/>
              <w:rPr>
                <w:szCs w:val="21"/>
              </w:rPr>
            </w:pPr>
            <w:r>
              <w:rPr>
                <w:rFonts w:hint="eastAsia"/>
                <w:szCs w:val="21"/>
              </w:rPr>
              <w:t>/</w:t>
            </w:r>
          </w:p>
        </w:tc>
        <w:tc>
          <w:tcPr>
            <w:tcW w:w="306" w:type="pct"/>
            <w:vAlign w:val="center"/>
          </w:tcPr>
          <w:p>
            <w:pPr>
              <w:jc w:val="center"/>
              <w:rPr>
                <w:szCs w:val="21"/>
              </w:rPr>
            </w:pPr>
            <w:r>
              <w:rPr>
                <w:rFonts w:hint="eastAsia"/>
                <w:szCs w:val="21"/>
              </w:rPr>
              <w:t>1.5</w:t>
            </w:r>
          </w:p>
        </w:tc>
        <w:tc>
          <w:tcPr>
            <w:tcW w:w="276" w:type="pct"/>
            <w:vAlign w:val="center"/>
          </w:tcPr>
          <w:p>
            <w:pPr>
              <w:jc w:val="center"/>
              <w:rPr>
                <w:szCs w:val="21"/>
              </w:rPr>
            </w:pPr>
            <w:r>
              <w:rPr>
                <w:rFonts w:hint="eastAsia"/>
                <w:szCs w:val="21"/>
              </w:rPr>
              <w:t>是</w:t>
            </w:r>
          </w:p>
        </w:tc>
        <w:tc>
          <w:tcPr>
            <w:tcW w:w="344" w:type="pct"/>
            <w:vMerge w:val="restart"/>
            <w:vAlign w:val="center"/>
          </w:tcPr>
          <w:p>
            <w:pPr>
              <w:jc w:val="center"/>
              <w:rPr>
                <w:szCs w:val="21"/>
              </w:rPr>
            </w:pPr>
            <w:r>
              <w:rPr>
                <w:szCs w:val="21"/>
              </w:rPr>
              <w:t>无组织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5" w:type="pct"/>
            <w:vMerge w:val="continue"/>
            <w:vAlign w:val="center"/>
          </w:tcPr>
          <w:p>
            <w:pPr>
              <w:jc w:val="center"/>
              <w:rPr>
                <w:szCs w:val="21"/>
              </w:rPr>
            </w:pPr>
          </w:p>
        </w:tc>
        <w:tc>
          <w:tcPr>
            <w:tcW w:w="264" w:type="pct"/>
            <w:vAlign w:val="center"/>
          </w:tcPr>
          <w:p>
            <w:pPr>
              <w:jc w:val="center"/>
              <w:rPr>
                <w:szCs w:val="21"/>
              </w:rPr>
            </w:pPr>
            <w:r>
              <w:rPr>
                <w:rFonts w:hint="eastAsia"/>
                <w:szCs w:val="21"/>
              </w:rPr>
              <w:t>H</w:t>
            </w:r>
            <w:r>
              <w:rPr>
                <w:rFonts w:hint="eastAsia"/>
                <w:szCs w:val="21"/>
                <w:vertAlign w:val="subscript"/>
              </w:rPr>
              <w:t>2</w:t>
            </w:r>
            <w:r>
              <w:rPr>
                <w:rFonts w:hint="eastAsia"/>
                <w:szCs w:val="21"/>
              </w:rPr>
              <w:t>S</w:t>
            </w:r>
          </w:p>
        </w:tc>
        <w:tc>
          <w:tcPr>
            <w:tcW w:w="354" w:type="pct"/>
            <w:vAlign w:val="center"/>
          </w:tcPr>
          <w:p>
            <w:pPr>
              <w:jc w:val="center"/>
              <w:rPr>
                <w:rFonts w:hint="default" w:eastAsia="宋体"/>
                <w:szCs w:val="21"/>
                <w:lang w:val="en-US" w:eastAsia="zh-CN"/>
              </w:rPr>
            </w:pPr>
            <w:r>
              <w:rPr>
                <w:rFonts w:hint="eastAsia"/>
                <w:szCs w:val="21"/>
              </w:rPr>
              <w:t>0.0219</w:t>
            </w:r>
          </w:p>
        </w:tc>
        <w:tc>
          <w:tcPr>
            <w:tcW w:w="287" w:type="pct"/>
            <w:vAlign w:val="center"/>
          </w:tcPr>
          <w:p>
            <w:pPr>
              <w:jc w:val="center"/>
              <w:rPr>
                <w:rFonts w:hint="default" w:eastAsia="宋体"/>
                <w:szCs w:val="21"/>
                <w:lang w:val="en-US" w:eastAsia="zh-CN"/>
              </w:rPr>
            </w:pPr>
            <w:r>
              <w:rPr>
                <w:rFonts w:hint="eastAsia"/>
                <w:szCs w:val="21"/>
              </w:rPr>
              <w:t>0.0025</w:t>
            </w:r>
          </w:p>
        </w:tc>
        <w:tc>
          <w:tcPr>
            <w:tcW w:w="348" w:type="pct"/>
            <w:vAlign w:val="center"/>
          </w:tcPr>
          <w:p>
            <w:pPr>
              <w:jc w:val="center"/>
              <w:rPr>
                <w:szCs w:val="21"/>
              </w:rPr>
            </w:pPr>
            <w:r>
              <w:rPr>
                <w:rFonts w:hint="eastAsia"/>
                <w:szCs w:val="21"/>
              </w:rPr>
              <w:t>/</w:t>
            </w:r>
          </w:p>
        </w:tc>
        <w:tc>
          <w:tcPr>
            <w:tcW w:w="911" w:type="pct"/>
            <w:vMerge w:val="continue"/>
            <w:vAlign w:val="center"/>
          </w:tcPr>
          <w:p>
            <w:pPr>
              <w:jc w:val="center"/>
              <w:rPr>
                <w:szCs w:val="21"/>
              </w:rPr>
            </w:pPr>
          </w:p>
        </w:tc>
        <w:tc>
          <w:tcPr>
            <w:tcW w:w="310" w:type="pct"/>
            <w:vAlign w:val="center"/>
          </w:tcPr>
          <w:p>
            <w:pPr>
              <w:jc w:val="center"/>
              <w:rPr>
                <w:rFonts w:hint="default"/>
                <w:szCs w:val="21"/>
                <w:lang w:val="en-US"/>
              </w:rPr>
            </w:pPr>
            <w:r>
              <w:rPr>
                <w:rFonts w:hint="eastAsia"/>
                <w:szCs w:val="21"/>
                <w:lang w:val="en-US" w:eastAsia="zh-CN"/>
              </w:rPr>
              <w:t>60</w:t>
            </w:r>
          </w:p>
        </w:tc>
        <w:tc>
          <w:tcPr>
            <w:tcW w:w="317" w:type="pct"/>
            <w:vAlign w:val="center"/>
          </w:tcPr>
          <w:p>
            <w:pPr>
              <w:jc w:val="center"/>
              <w:rPr>
                <w:rFonts w:hint="default" w:eastAsia="宋体"/>
                <w:szCs w:val="21"/>
                <w:lang w:val="en-US" w:eastAsia="zh-CN"/>
              </w:rPr>
            </w:pPr>
            <w:r>
              <w:rPr>
                <w:rFonts w:hint="eastAsia"/>
                <w:szCs w:val="21"/>
              </w:rPr>
              <w:t>0.00876</w:t>
            </w:r>
          </w:p>
        </w:tc>
        <w:tc>
          <w:tcPr>
            <w:tcW w:w="363" w:type="pct"/>
            <w:vAlign w:val="center"/>
          </w:tcPr>
          <w:p>
            <w:pPr>
              <w:jc w:val="center"/>
              <w:rPr>
                <w:rFonts w:hint="default" w:eastAsia="宋体"/>
                <w:szCs w:val="21"/>
                <w:lang w:val="en-US" w:eastAsia="zh-CN"/>
              </w:rPr>
            </w:pPr>
            <w:r>
              <w:rPr>
                <w:rFonts w:hint="eastAsia"/>
                <w:szCs w:val="21"/>
              </w:rPr>
              <w:t>0.001</w:t>
            </w:r>
          </w:p>
        </w:tc>
        <w:tc>
          <w:tcPr>
            <w:tcW w:w="296" w:type="pct"/>
            <w:vAlign w:val="center"/>
          </w:tcPr>
          <w:p>
            <w:pPr>
              <w:jc w:val="center"/>
              <w:rPr>
                <w:szCs w:val="21"/>
              </w:rPr>
            </w:pPr>
            <w:r>
              <w:rPr>
                <w:rFonts w:hint="eastAsia"/>
                <w:szCs w:val="21"/>
              </w:rPr>
              <w:t>/</w:t>
            </w:r>
          </w:p>
        </w:tc>
        <w:tc>
          <w:tcPr>
            <w:tcW w:w="313" w:type="pct"/>
            <w:vAlign w:val="center"/>
          </w:tcPr>
          <w:p>
            <w:pPr>
              <w:jc w:val="center"/>
              <w:rPr>
                <w:szCs w:val="21"/>
              </w:rPr>
            </w:pPr>
            <w:r>
              <w:rPr>
                <w:rFonts w:hint="eastAsia"/>
                <w:szCs w:val="21"/>
              </w:rPr>
              <w:t>/</w:t>
            </w:r>
          </w:p>
        </w:tc>
        <w:tc>
          <w:tcPr>
            <w:tcW w:w="306" w:type="pct"/>
            <w:vAlign w:val="center"/>
          </w:tcPr>
          <w:p>
            <w:pPr>
              <w:jc w:val="center"/>
              <w:rPr>
                <w:szCs w:val="21"/>
              </w:rPr>
            </w:pPr>
            <w:r>
              <w:rPr>
                <w:rFonts w:hint="eastAsia"/>
                <w:szCs w:val="21"/>
              </w:rPr>
              <w:t>0.06</w:t>
            </w:r>
          </w:p>
        </w:tc>
        <w:tc>
          <w:tcPr>
            <w:tcW w:w="276" w:type="pct"/>
            <w:vAlign w:val="center"/>
          </w:tcPr>
          <w:p>
            <w:pPr>
              <w:jc w:val="center"/>
              <w:rPr>
                <w:szCs w:val="21"/>
              </w:rPr>
            </w:pPr>
            <w:r>
              <w:rPr>
                <w:szCs w:val="21"/>
              </w:rPr>
              <w:t>是</w:t>
            </w:r>
          </w:p>
        </w:tc>
        <w:tc>
          <w:tcPr>
            <w:tcW w:w="344" w:type="pct"/>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5" w:type="pct"/>
            <w:vMerge w:val="continue"/>
            <w:vAlign w:val="center"/>
          </w:tcPr>
          <w:p>
            <w:pPr>
              <w:jc w:val="center"/>
              <w:rPr>
                <w:szCs w:val="21"/>
              </w:rPr>
            </w:pPr>
          </w:p>
        </w:tc>
        <w:tc>
          <w:tcPr>
            <w:tcW w:w="264" w:type="pct"/>
            <w:vAlign w:val="center"/>
          </w:tcPr>
          <w:p>
            <w:pPr>
              <w:jc w:val="center"/>
              <w:rPr>
                <w:rFonts w:hint="eastAsia" w:eastAsia="宋体"/>
                <w:szCs w:val="21"/>
                <w:lang w:val="en-US" w:eastAsia="zh-CN"/>
              </w:rPr>
            </w:pPr>
            <w:r>
              <w:rPr>
                <w:rFonts w:hint="eastAsia"/>
                <w:szCs w:val="21"/>
                <w:lang w:val="en-US" w:eastAsia="zh-CN"/>
              </w:rPr>
              <w:t>粉尘</w:t>
            </w:r>
          </w:p>
        </w:tc>
        <w:tc>
          <w:tcPr>
            <w:tcW w:w="354" w:type="pct"/>
            <w:vAlign w:val="center"/>
          </w:tcPr>
          <w:p>
            <w:pPr>
              <w:jc w:val="center"/>
              <w:rPr>
                <w:rFonts w:hint="default"/>
                <w:szCs w:val="21"/>
                <w:lang w:val="en-US" w:eastAsia="zh-CN"/>
              </w:rPr>
            </w:pPr>
            <w:r>
              <w:rPr>
                <w:rFonts w:hint="eastAsia"/>
                <w:szCs w:val="21"/>
                <w:lang w:val="en-US" w:eastAsia="zh-CN"/>
              </w:rPr>
              <w:t>4.415</w:t>
            </w:r>
          </w:p>
        </w:tc>
        <w:tc>
          <w:tcPr>
            <w:tcW w:w="287" w:type="pct"/>
            <w:vAlign w:val="center"/>
          </w:tcPr>
          <w:p>
            <w:pPr>
              <w:jc w:val="center"/>
              <w:rPr>
                <w:rFonts w:hint="default"/>
                <w:szCs w:val="21"/>
                <w:lang w:val="en-US" w:eastAsia="zh-CN"/>
              </w:rPr>
            </w:pPr>
            <w:r>
              <w:rPr>
                <w:rFonts w:hint="eastAsia"/>
                <w:szCs w:val="21"/>
                <w:lang w:val="en-US" w:eastAsia="zh-CN"/>
              </w:rPr>
              <w:t>0.504</w:t>
            </w:r>
          </w:p>
        </w:tc>
        <w:tc>
          <w:tcPr>
            <w:tcW w:w="348" w:type="pct"/>
            <w:vAlign w:val="center"/>
          </w:tcPr>
          <w:p>
            <w:pPr>
              <w:jc w:val="center"/>
              <w:rPr>
                <w:rFonts w:hint="eastAsia"/>
                <w:szCs w:val="21"/>
              </w:rPr>
            </w:pPr>
          </w:p>
        </w:tc>
        <w:tc>
          <w:tcPr>
            <w:tcW w:w="911" w:type="pct"/>
            <w:vAlign w:val="center"/>
          </w:tcPr>
          <w:p>
            <w:pPr>
              <w:jc w:val="center"/>
              <w:rPr>
                <w:rFonts w:hint="default" w:eastAsia="宋体"/>
                <w:szCs w:val="21"/>
                <w:lang w:val="en-US" w:eastAsia="zh-CN"/>
              </w:rPr>
            </w:pPr>
            <w:r>
              <w:rPr>
                <w:rFonts w:hint="eastAsia"/>
                <w:szCs w:val="21"/>
                <w:lang w:val="en-US" w:eastAsia="zh-CN"/>
              </w:rPr>
              <w:t>喷雾抑尘</w:t>
            </w:r>
          </w:p>
        </w:tc>
        <w:tc>
          <w:tcPr>
            <w:tcW w:w="310" w:type="pct"/>
            <w:vAlign w:val="center"/>
          </w:tcPr>
          <w:p>
            <w:pPr>
              <w:jc w:val="center"/>
              <w:rPr>
                <w:rFonts w:hint="default"/>
                <w:szCs w:val="21"/>
                <w:lang w:val="en-US" w:eastAsia="zh-CN"/>
              </w:rPr>
            </w:pPr>
            <w:r>
              <w:rPr>
                <w:rFonts w:hint="eastAsia"/>
                <w:szCs w:val="21"/>
                <w:lang w:val="en-US" w:eastAsia="zh-CN"/>
              </w:rPr>
              <w:t>80</w:t>
            </w:r>
          </w:p>
        </w:tc>
        <w:tc>
          <w:tcPr>
            <w:tcW w:w="317" w:type="pct"/>
            <w:vAlign w:val="center"/>
          </w:tcPr>
          <w:p>
            <w:pPr>
              <w:jc w:val="center"/>
              <w:rPr>
                <w:rFonts w:hint="default"/>
                <w:szCs w:val="21"/>
                <w:lang w:val="en-US" w:eastAsia="zh-CN"/>
              </w:rPr>
            </w:pPr>
            <w:r>
              <w:rPr>
                <w:rFonts w:hint="eastAsia"/>
                <w:szCs w:val="21"/>
                <w:lang w:val="en-US" w:eastAsia="zh-CN"/>
              </w:rPr>
              <w:t>0.885</w:t>
            </w:r>
          </w:p>
        </w:tc>
        <w:tc>
          <w:tcPr>
            <w:tcW w:w="363" w:type="pct"/>
            <w:vAlign w:val="center"/>
          </w:tcPr>
          <w:p>
            <w:pPr>
              <w:jc w:val="center"/>
              <w:rPr>
                <w:rFonts w:hint="default"/>
                <w:szCs w:val="21"/>
                <w:lang w:val="en-US" w:eastAsia="zh-CN"/>
              </w:rPr>
            </w:pPr>
            <w:r>
              <w:rPr>
                <w:rFonts w:hint="eastAsia"/>
                <w:szCs w:val="21"/>
                <w:lang w:val="en-US" w:eastAsia="zh-CN"/>
              </w:rPr>
              <w:t>0.101</w:t>
            </w:r>
          </w:p>
        </w:tc>
        <w:tc>
          <w:tcPr>
            <w:tcW w:w="296" w:type="pct"/>
            <w:vAlign w:val="center"/>
          </w:tcPr>
          <w:p>
            <w:pPr>
              <w:jc w:val="center"/>
              <w:rPr>
                <w:rFonts w:hint="eastAsia" w:eastAsia="宋体"/>
                <w:szCs w:val="21"/>
                <w:lang w:val="en-US" w:eastAsia="zh-CN"/>
              </w:rPr>
            </w:pPr>
            <w:r>
              <w:rPr>
                <w:rFonts w:hint="eastAsia"/>
                <w:szCs w:val="21"/>
                <w:lang w:val="en-US" w:eastAsia="zh-CN"/>
              </w:rPr>
              <w:t>/</w:t>
            </w:r>
          </w:p>
        </w:tc>
        <w:tc>
          <w:tcPr>
            <w:tcW w:w="313" w:type="pct"/>
            <w:vAlign w:val="center"/>
          </w:tcPr>
          <w:p>
            <w:pPr>
              <w:jc w:val="center"/>
              <w:rPr>
                <w:rFonts w:hint="eastAsia" w:eastAsia="宋体"/>
                <w:szCs w:val="21"/>
                <w:lang w:val="en-US" w:eastAsia="zh-CN"/>
              </w:rPr>
            </w:pPr>
            <w:r>
              <w:rPr>
                <w:rFonts w:hint="eastAsia"/>
                <w:szCs w:val="21"/>
                <w:lang w:val="en-US" w:eastAsia="zh-CN"/>
              </w:rPr>
              <w:t>/</w:t>
            </w:r>
          </w:p>
        </w:tc>
        <w:tc>
          <w:tcPr>
            <w:tcW w:w="306" w:type="pct"/>
            <w:vAlign w:val="center"/>
          </w:tcPr>
          <w:p>
            <w:pPr>
              <w:jc w:val="center"/>
              <w:rPr>
                <w:rFonts w:hint="default" w:eastAsia="宋体"/>
                <w:szCs w:val="21"/>
                <w:lang w:val="en-US" w:eastAsia="zh-CN"/>
              </w:rPr>
            </w:pPr>
            <w:r>
              <w:rPr>
                <w:rFonts w:hint="eastAsia"/>
                <w:szCs w:val="21"/>
                <w:lang w:val="en-US" w:eastAsia="zh-CN"/>
              </w:rPr>
              <w:t>1.0</w:t>
            </w:r>
          </w:p>
        </w:tc>
        <w:tc>
          <w:tcPr>
            <w:tcW w:w="276" w:type="pct"/>
            <w:vAlign w:val="center"/>
          </w:tcPr>
          <w:p>
            <w:pPr>
              <w:jc w:val="center"/>
              <w:rPr>
                <w:szCs w:val="21"/>
              </w:rPr>
            </w:pPr>
            <w:r>
              <w:rPr>
                <w:szCs w:val="21"/>
              </w:rPr>
              <w:t>是</w:t>
            </w:r>
          </w:p>
        </w:tc>
        <w:tc>
          <w:tcPr>
            <w:tcW w:w="344" w:type="pct"/>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305" w:type="pct"/>
            <w:vMerge w:val="restart"/>
            <w:vAlign w:val="center"/>
          </w:tcPr>
          <w:p>
            <w:pPr>
              <w:jc w:val="center"/>
              <w:rPr>
                <w:szCs w:val="21"/>
              </w:rPr>
            </w:pPr>
            <w:r>
              <w:rPr>
                <w:rFonts w:hint="eastAsia"/>
                <w:szCs w:val="21"/>
                <w:lang w:eastAsia="zh-CN"/>
              </w:rPr>
              <w:t>南部养殖区</w:t>
            </w:r>
            <w:r>
              <w:rPr>
                <w:szCs w:val="21"/>
              </w:rPr>
              <w:t>3栋鸡舍</w:t>
            </w:r>
          </w:p>
        </w:tc>
        <w:tc>
          <w:tcPr>
            <w:tcW w:w="264" w:type="pct"/>
            <w:vAlign w:val="center"/>
          </w:tcPr>
          <w:p>
            <w:pPr>
              <w:jc w:val="center"/>
              <w:rPr>
                <w:szCs w:val="21"/>
              </w:rPr>
            </w:pPr>
            <w:r>
              <w:rPr>
                <w:rFonts w:hint="eastAsia"/>
                <w:szCs w:val="21"/>
              </w:rPr>
              <w:t>NH</w:t>
            </w:r>
            <w:r>
              <w:rPr>
                <w:rFonts w:hint="eastAsia"/>
                <w:szCs w:val="21"/>
                <w:vertAlign w:val="subscript"/>
              </w:rPr>
              <w:t>3</w:t>
            </w:r>
          </w:p>
        </w:tc>
        <w:tc>
          <w:tcPr>
            <w:tcW w:w="354" w:type="pct"/>
            <w:vAlign w:val="center"/>
          </w:tcPr>
          <w:p>
            <w:pPr>
              <w:jc w:val="center"/>
              <w:rPr>
                <w:szCs w:val="21"/>
              </w:rPr>
            </w:pPr>
            <w:r>
              <w:rPr>
                <w:rFonts w:hint="eastAsia"/>
                <w:szCs w:val="21"/>
              </w:rPr>
              <w:t>0.219</w:t>
            </w:r>
          </w:p>
        </w:tc>
        <w:tc>
          <w:tcPr>
            <w:tcW w:w="287" w:type="pct"/>
            <w:vAlign w:val="center"/>
          </w:tcPr>
          <w:p>
            <w:pPr>
              <w:jc w:val="center"/>
              <w:rPr>
                <w:szCs w:val="21"/>
              </w:rPr>
            </w:pPr>
            <w:r>
              <w:rPr>
                <w:rFonts w:hint="eastAsia"/>
                <w:szCs w:val="21"/>
              </w:rPr>
              <w:t>0.025</w:t>
            </w:r>
          </w:p>
        </w:tc>
        <w:tc>
          <w:tcPr>
            <w:tcW w:w="348" w:type="pct"/>
            <w:vAlign w:val="center"/>
          </w:tcPr>
          <w:p>
            <w:pPr>
              <w:jc w:val="center"/>
              <w:rPr>
                <w:szCs w:val="21"/>
              </w:rPr>
            </w:pPr>
            <w:r>
              <w:rPr>
                <w:rFonts w:hint="eastAsia"/>
                <w:szCs w:val="21"/>
              </w:rPr>
              <w:t>/</w:t>
            </w:r>
          </w:p>
        </w:tc>
        <w:tc>
          <w:tcPr>
            <w:tcW w:w="911" w:type="pct"/>
            <w:vMerge w:val="restart"/>
            <w:vAlign w:val="center"/>
          </w:tcPr>
          <w:p>
            <w:pPr>
              <w:jc w:val="center"/>
              <w:rPr>
                <w:szCs w:val="21"/>
              </w:rPr>
            </w:pPr>
            <w:r>
              <w:rPr>
                <w:rFonts w:hint="eastAsia"/>
                <w:szCs w:val="21"/>
              </w:rPr>
              <w:t>采用干清粪方式、日产日清，在日粮中添加EM菌，在鸡舍定期喷洒微生物制剂、酶制剂和植物提取液等活性物质</w:t>
            </w:r>
          </w:p>
        </w:tc>
        <w:tc>
          <w:tcPr>
            <w:tcW w:w="310" w:type="pct"/>
            <w:vAlign w:val="center"/>
          </w:tcPr>
          <w:p>
            <w:pPr>
              <w:jc w:val="center"/>
              <w:rPr>
                <w:szCs w:val="21"/>
              </w:rPr>
            </w:pPr>
            <w:r>
              <w:rPr>
                <w:rFonts w:hint="eastAsia"/>
                <w:szCs w:val="21"/>
                <w:lang w:val="en-US" w:eastAsia="zh-CN"/>
              </w:rPr>
              <w:t>60</w:t>
            </w:r>
          </w:p>
        </w:tc>
        <w:tc>
          <w:tcPr>
            <w:tcW w:w="317" w:type="pct"/>
            <w:vAlign w:val="center"/>
          </w:tcPr>
          <w:p>
            <w:pPr>
              <w:jc w:val="center"/>
              <w:rPr>
                <w:szCs w:val="21"/>
              </w:rPr>
            </w:pPr>
            <w:r>
              <w:rPr>
                <w:rFonts w:hint="eastAsia"/>
                <w:szCs w:val="21"/>
              </w:rPr>
              <w:t>0.0876</w:t>
            </w:r>
          </w:p>
        </w:tc>
        <w:tc>
          <w:tcPr>
            <w:tcW w:w="363" w:type="pct"/>
            <w:vAlign w:val="center"/>
          </w:tcPr>
          <w:p>
            <w:pPr>
              <w:jc w:val="center"/>
              <w:rPr>
                <w:szCs w:val="21"/>
              </w:rPr>
            </w:pPr>
            <w:r>
              <w:rPr>
                <w:rFonts w:hint="eastAsia"/>
                <w:szCs w:val="21"/>
              </w:rPr>
              <w:t>0.01</w:t>
            </w:r>
          </w:p>
        </w:tc>
        <w:tc>
          <w:tcPr>
            <w:tcW w:w="296" w:type="pct"/>
            <w:vAlign w:val="center"/>
          </w:tcPr>
          <w:p>
            <w:pPr>
              <w:jc w:val="center"/>
              <w:rPr>
                <w:szCs w:val="21"/>
              </w:rPr>
            </w:pPr>
            <w:r>
              <w:rPr>
                <w:rFonts w:hint="eastAsia"/>
                <w:szCs w:val="21"/>
              </w:rPr>
              <w:t>/</w:t>
            </w:r>
          </w:p>
        </w:tc>
        <w:tc>
          <w:tcPr>
            <w:tcW w:w="313" w:type="pct"/>
            <w:vAlign w:val="center"/>
          </w:tcPr>
          <w:p>
            <w:pPr>
              <w:jc w:val="center"/>
              <w:rPr>
                <w:szCs w:val="21"/>
              </w:rPr>
            </w:pPr>
            <w:r>
              <w:rPr>
                <w:rFonts w:hint="eastAsia"/>
                <w:szCs w:val="21"/>
              </w:rPr>
              <w:t>/</w:t>
            </w:r>
          </w:p>
        </w:tc>
        <w:tc>
          <w:tcPr>
            <w:tcW w:w="306" w:type="pct"/>
            <w:vAlign w:val="center"/>
          </w:tcPr>
          <w:p>
            <w:pPr>
              <w:jc w:val="center"/>
              <w:rPr>
                <w:szCs w:val="21"/>
              </w:rPr>
            </w:pPr>
            <w:r>
              <w:rPr>
                <w:rFonts w:hint="eastAsia"/>
                <w:szCs w:val="21"/>
              </w:rPr>
              <w:t>1.5</w:t>
            </w:r>
          </w:p>
        </w:tc>
        <w:tc>
          <w:tcPr>
            <w:tcW w:w="276" w:type="pct"/>
            <w:vAlign w:val="center"/>
          </w:tcPr>
          <w:p>
            <w:pPr>
              <w:jc w:val="center"/>
              <w:rPr>
                <w:szCs w:val="21"/>
              </w:rPr>
            </w:pPr>
            <w:r>
              <w:rPr>
                <w:rFonts w:hint="eastAsia"/>
                <w:szCs w:val="21"/>
              </w:rPr>
              <w:t>是</w:t>
            </w:r>
          </w:p>
        </w:tc>
        <w:tc>
          <w:tcPr>
            <w:tcW w:w="344" w:type="pct"/>
            <w:vMerge w:val="restart"/>
            <w:vAlign w:val="center"/>
          </w:tcPr>
          <w:p>
            <w:pPr>
              <w:jc w:val="center"/>
              <w:rPr>
                <w:szCs w:val="21"/>
              </w:rPr>
            </w:pPr>
            <w:r>
              <w:rPr>
                <w:szCs w:val="21"/>
              </w:rPr>
              <w:t>无组织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5" w:type="pct"/>
            <w:vMerge w:val="continue"/>
            <w:vAlign w:val="center"/>
          </w:tcPr>
          <w:p>
            <w:pPr>
              <w:jc w:val="center"/>
              <w:rPr>
                <w:szCs w:val="21"/>
              </w:rPr>
            </w:pPr>
          </w:p>
        </w:tc>
        <w:tc>
          <w:tcPr>
            <w:tcW w:w="264" w:type="pct"/>
            <w:vAlign w:val="center"/>
          </w:tcPr>
          <w:p>
            <w:pPr>
              <w:jc w:val="center"/>
              <w:rPr>
                <w:szCs w:val="21"/>
              </w:rPr>
            </w:pPr>
            <w:r>
              <w:rPr>
                <w:rFonts w:hint="eastAsia"/>
                <w:szCs w:val="21"/>
              </w:rPr>
              <w:t>H</w:t>
            </w:r>
            <w:r>
              <w:rPr>
                <w:rFonts w:hint="eastAsia"/>
                <w:szCs w:val="21"/>
                <w:vertAlign w:val="subscript"/>
              </w:rPr>
              <w:t>2</w:t>
            </w:r>
            <w:r>
              <w:rPr>
                <w:rFonts w:hint="eastAsia"/>
                <w:szCs w:val="21"/>
              </w:rPr>
              <w:t>S</w:t>
            </w:r>
          </w:p>
        </w:tc>
        <w:tc>
          <w:tcPr>
            <w:tcW w:w="354" w:type="pct"/>
            <w:vAlign w:val="center"/>
          </w:tcPr>
          <w:p>
            <w:pPr>
              <w:jc w:val="center"/>
              <w:rPr>
                <w:szCs w:val="21"/>
              </w:rPr>
            </w:pPr>
            <w:r>
              <w:rPr>
                <w:rFonts w:hint="eastAsia"/>
                <w:szCs w:val="21"/>
              </w:rPr>
              <w:t>0.0219</w:t>
            </w:r>
          </w:p>
        </w:tc>
        <w:tc>
          <w:tcPr>
            <w:tcW w:w="287" w:type="pct"/>
            <w:vAlign w:val="center"/>
          </w:tcPr>
          <w:p>
            <w:pPr>
              <w:jc w:val="center"/>
              <w:rPr>
                <w:szCs w:val="21"/>
              </w:rPr>
            </w:pPr>
            <w:r>
              <w:rPr>
                <w:rFonts w:hint="eastAsia"/>
                <w:szCs w:val="21"/>
              </w:rPr>
              <w:t>0.0025</w:t>
            </w:r>
          </w:p>
        </w:tc>
        <w:tc>
          <w:tcPr>
            <w:tcW w:w="348" w:type="pct"/>
            <w:vAlign w:val="center"/>
          </w:tcPr>
          <w:p>
            <w:pPr>
              <w:jc w:val="center"/>
              <w:rPr>
                <w:szCs w:val="21"/>
              </w:rPr>
            </w:pPr>
            <w:r>
              <w:rPr>
                <w:rFonts w:hint="eastAsia"/>
                <w:szCs w:val="21"/>
              </w:rPr>
              <w:t>/</w:t>
            </w:r>
          </w:p>
        </w:tc>
        <w:tc>
          <w:tcPr>
            <w:tcW w:w="911" w:type="pct"/>
            <w:vMerge w:val="continue"/>
            <w:vAlign w:val="center"/>
          </w:tcPr>
          <w:p>
            <w:pPr>
              <w:jc w:val="center"/>
              <w:rPr>
                <w:szCs w:val="21"/>
              </w:rPr>
            </w:pPr>
          </w:p>
        </w:tc>
        <w:tc>
          <w:tcPr>
            <w:tcW w:w="310" w:type="pct"/>
            <w:vAlign w:val="center"/>
          </w:tcPr>
          <w:p>
            <w:pPr>
              <w:jc w:val="center"/>
              <w:rPr>
                <w:szCs w:val="21"/>
              </w:rPr>
            </w:pPr>
            <w:r>
              <w:rPr>
                <w:rFonts w:hint="eastAsia"/>
                <w:szCs w:val="21"/>
                <w:lang w:val="en-US" w:eastAsia="zh-CN"/>
              </w:rPr>
              <w:t>60</w:t>
            </w:r>
          </w:p>
        </w:tc>
        <w:tc>
          <w:tcPr>
            <w:tcW w:w="317" w:type="pct"/>
            <w:vAlign w:val="center"/>
          </w:tcPr>
          <w:p>
            <w:pPr>
              <w:jc w:val="center"/>
              <w:rPr>
                <w:szCs w:val="21"/>
              </w:rPr>
            </w:pPr>
            <w:r>
              <w:rPr>
                <w:rFonts w:hint="eastAsia"/>
                <w:szCs w:val="21"/>
              </w:rPr>
              <w:t>0.00876</w:t>
            </w:r>
          </w:p>
        </w:tc>
        <w:tc>
          <w:tcPr>
            <w:tcW w:w="363" w:type="pct"/>
            <w:vAlign w:val="center"/>
          </w:tcPr>
          <w:p>
            <w:pPr>
              <w:jc w:val="center"/>
              <w:rPr>
                <w:szCs w:val="21"/>
              </w:rPr>
            </w:pPr>
            <w:r>
              <w:rPr>
                <w:rFonts w:hint="eastAsia"/>
                <w:szCs w:val="21"/>
              </w:rPr>
              <w:t>0.001</w:t>
            </w:r>
          </w:p>
        </w:tc>
        <w:tc>
          <w:tcPr>
            <w:tcW w:w="296" w:type="pct"/>
            <w:vAlign w:val="center"/>
          </w:tcPr>
          <w:p>
            <w:pPr>
              <w:jc w:val="center"/>
              <w:rPr>
                <w:szCs w:val="21"/>
              </w:rPr>
            </w:pPr>
            <w:r>
              <w:rPr>
                <w:rFonts w:hint="eastAsia"/>
                <w:szCs w:val="21"/>
              </w:rPr>
              <w:t>/</w:t>
            </w:r>
          </w:p>
        </w:tc>
        <w:tc>
          <w:tcPr>
            <w:tcW w:w="313" w:type="pct"/>
            <w:vAlign w:val="center"/>
          </w:tcPr>
          <w:p>
            <w:pPr>
              <w:jc w:val="center"/>
              <w:rPr>
                <w:szCs w:val="21"/>
              </w:rPr>
            </w:pPr>
            <w:r>
              <w:rPr>
                <w:rFonts w:hint="eastAsia"/>
                <w:szCs w:val="21"/>
              </w:rPr>
              <w:t>/</w:t>
            </w:r>
          </w:p>
        </w:tc>
        <w:tc>
          <w:tcPr>
            <w:tcW w:w="306" w:type="pct"/>
            <w:vAlign w:val="center"/>
          </w:tcPr>
          <w:p>
            <w:pPr>
              <w:jc w:val="center"/>
              <w:rPr>
                <w:szCs w:val="21"/>
              </w:rPr>
            </w:pPr>
            <w:r>
              <w:rPr>
                <w:rFonts w:hint="eastAsia"/>
                <w:szCs w:val="21"/>
              </w:rPr>
              <w:t>0.06</w:t>
            </w:r>
          </w:p>
        </w:tc>
        <w:tc>
          <w:tcPr>
            <w:tcW w:w="276" w:type="pct"/>
            <w:vAlign w:val="center"/>
          </w:tcPr>
          <w:p>
            <w:pPr>
              <w:jc w:val="center"/>
              <w:rPr>
                <w:szCs w:val="21"/>
              </w:rPr>
            </w:pPr>
            <w:r>
              <w:rPr>
                <w:szCs w:val="21"/>
              </w:rPr>
              <w:t>是</w:t>
            </w:r>
          </w:p>
        </w:tc>
        <w:tc>
          <w:tcPr>
            <w:tcW w:w="344" w:type="pct"/>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5" w:type="pct"/>
            <w:vMerge w:val="continue"/>
            <w:vAlign w:val="center"/>
          </w:tcPr>
          <w:p>
            <w:pPr>
              <w:jc w:val="center"/>
              <w:rPr>
                <w:szCs w:val="21"/>
              </w:rPr>
            </w:pPr>
          </w:p>
        </w:tc>
        <w:tc>
          <w:tcPr>
            <w:tcW w:w="264" w:type="pct"/>
            <w:vAlign w:val="center"/>
          </w:tcPr>
          <w:p>
            <w:pPr>
              <w:jc w:val="center"/>
              <w:rPr>
                <w:rFonts w:hint="eastAsia" w:eastAsia="宋体"/>
                <w:szCs w:val="21"/>
                <w:lang w:val="en-US" w:eastAsia="zh-CN"/>
              </w:rPr>
            </w:pPr>
            <w:r>
              <w:rPr>
                <w:rFonts w:hint="eastAsia"/>
                <w:szCs w:val="21"/>
                <w:lang w:val="en-US" w:eastAsia="zh-CN"/>
              </w:rPr>
              <w:t>粉尘</w:t>
            </w:r>
          </w:p>
        </w:tc>
        <w:tc>
          <w:tcPr>
            <w:tcW w:w="1004" w:type="dxa"/>
            <w:vAlign w:val="center"/>
          </w:tcPr>
          <w:p>
            <w:pPr>
              <w:jc w:val="center"/>
              <w:rPr>
                <w:rFonts w:hint="default"/>
                <w:szCs w:val="21"/>
                <w:lang w:val="en-US" w:eastAsia="zh-CN"/>
              </w:rPr>
            </w:pPr>
            <w:r>
              <w:rPr>
                <w:rFonts w:hint="eastAsia"/>
                <w:szCs w:val="21"/>
                <w:lang w:val="en-US" w:eastAsia="zh-CN"/>
              </w:rPr>
              <w:t>4.415</w:t>
            </w:r>
          </w:p>
        </w:tc>
        <w:tc>
          <w:tcPr>
            <w:tcW w:w="814" w:type="dxa"/>
            <w:vAlign w:val="center"/>
          </w:tcPr>
          <w:p>
            <w:pPr>
              <w:jc w:val="center"/>
              <w:rPr>
                <w:rFonts w:hint="default"/>
                <w:szCs w:val="21"/>
                <w:lang w:val="en-US" w:eastAsia="zh-CN"/>
              </w:rPr>
            </w:pPr>
            <w:r>
              <w:rPr>
                <w:rFonts w:hint="eastAsia"/>
                <w:szCs w:val="21"/>
                <w:lang w:val="en-US" w:eastAsia="zh-CN"/>
              </w:rPr>
              <w:t>0.504</w:t>
            </w:r>
          </w:p>
        </w:tc>
        <w:tc>
          <w:tcPr>
            <w:tcW w:w="348" w:type="pct"/>
            <w:vAlign w:val="center"/>
          </w:tcPr>
          <w:p>
            <w:pPr>
              <w:jc w:val="center"/>
              <w:rPr>
                <w:rFonts w:hint="eastAsia"/>
                <w:szCs w:val="21"/>
              </w:rPr>
            </w:pPr>
          </w:p>
        </w:tc>
        <w:tc>
          <w:tcPr>
            <w:tcW w:w="911" w:type="pct"/>
            <w:vAlign w:val="center"/>
          </w:tcPr>
          <w:p>
            <w:pPr>
              <w:jc w:val="center"/>
              <w:rPr>
                <w:szCs w:val="21"/>
              </w:rPr>
            </w:pPr>
            <w:r>
              <w:rPr>
                <w:rFonts w:hint="eastAsia"/>
                <w:szCs w:val="21"/>
                <w:lang w:val="en-US" w:eastAsia="zh-CN"/>
              </w:rPr>
              <w:t>喷雾抑尘</w:t>
            </w:r>
          </w:p>
        </w:tc>
        <w:tc>
          <w:tcPr>
            <w:tcW w:w="310" w:type="pct"/>
            <w:vAlign w:val="center"/>
          </w:tcPr>
          <w:p>
            <w:pPr>
              <w:jc w:val="center"/>
              <w:rPr>
                <w:rFonts w:hint="default"/>
                <w:szCs w:val="21"/>
                <w:lang w:val="en-US" w:eastAsia="zh-CN"/>
              </w:rPr>
            </w:pPr>
            <w:r>
              <w:rPr>
                <w:rFonts w:hint="eastAsia"/>
                <w:szCs w:val="21"/>
                <w:lang w:val="en-US" w:eastAsia="zh-CN"/>
              </w:rPr>
              <w:t>80</w:t>
            </w:r>
          </w:p>
        </w:tc>
        <w:tc>
          <w:tcPr>
            <w:tcW w:w="317" w:type="pct"/>
            <w:vAlign w:val="center"/>
          </w:tcPr>
          <w:p>
            <w:pPr>
              <w:jc w:val="center"/>
              <w:rPr>
                <w:rFonts w:hint="default"/>
                <w:szCs w:val="21"/>
                <w:lang w:val="en-US" w:eastAsia="zh-CN"/>
              </w:rPr>
            </w:pPr>
            <w:r>
              <w:rPr>
                <w:rFonts w:hint="eastAsia"/>
                <w:szCs w:val="21"/>
                <w:lang w:val="en-US" w:eastAsia="zh-CN"/>
              </w:rPr>
              <w:t>0.885</w:t>
            </w:r>
          </w:p>
        </w:tc>
        <w:tc>
          <w:tcPr>
            <w:tcW w:w="363" w:type="pct"/>
            <w:vAlign w:val="center"/>
          </w:tcPr>
          <w:p>
            <w:pPr>
              <w:jc w:val="center"/>
              <w:rPr>
                <w:rFonts w:hint="default"/>
                <w:szCs w:val="21"/>
                <w:lang w:val="en-US" w:eastAsia="zh-CN"/>
              </w:rPr>
            </w:pPr>
            <w:r>
              <w:rPr>
                <w:rFonts w:hint="eastAsia"/>
                <w:szCs w:val="21"/>
                <w:lang w:val="en-US" w:eastAsia="zh-CN"/>
              </w:rPr>
              <w:t>0.101</w:t>
            </w:r>
          </w:p>
        </w:tc>
        <w:tc>
          <w:tcPr>
            <w:tcW w:w="296" w:type="pct"/>
            <w:vAlign w:val="center"/>
          </w:tcPr>
          <w:p>
            <w:pPr>
              <w:jc w:val="center"/>
              <w:rPr>
                <w:rFonts w:hint="eastAsia" w:eastAsia="宋体"/>
                <w:szCs w:val="21"/>
                <w:lang w:val="en-US" w:eastAsia="zh-CN"/>
              </w:rPr>
            </w:pPr>
            <w:r>
              <w:rPr>
                <w:rFonts w:hint="eastAsia"/>
                <w:szCs w:val="21"/>
                <w:lang w:val="en-US" w:eastAsia="zh-CN"/>
              </w:rPr>
              <w:t>/</w:t>
            </w:r>
          </w:p>
        </w:tc>
        <w:tc>
          <w:tcPr>
            <w:tcW w:w="313" w:type="pct"/>
            <w:vAlign w:val="center"/>
          </w:tcPr>
          <w:p>
            <w:pPr>
              <w:jc w:val="center"/>
              <w:rPr>
                <w:rFonts w:hint="eastAsia" w:eastAsia="宋体"/>
                <w:szCs w:val="21"/>
                <w:lang w:val="en-US" w:eastAsia="zh-CN"/>
              </w:rPr>
            </w:pPr>
            <w:r>
              <w:rPr>
                <w:rFonts w:hint="eastAsia"/>
                <w:szCs w:val="21"/>
                <w:lang w:val="en-US" w:eastAsia="zh-CN"/>
              </w:rPr>
              <w:t>/</w:t>
            </w:r>
          </w:p>
        </w:tc>
        <w:tc>
          <w:tcPr>
            <w:tcW w:w="306" w:type="pct"/>
            <w:vAlign w:val="center"/>
          </w:tcPr>
          <w:p>
            <w:pPr>
              <w:jc w:val="center"/>
              <w:rPr>
                <w:rFonts w:hint="default" w:eastAsia="宋体"/>
                <w:szCs w:val="21"/>
                <w:lang w:val="en-US" w:eastAsia="zh-CN"/>
              </w:rPr>
            </w:pPr>
            <w:r>
              <w:rPr>
                <w:rFonts w:hint="eastAsia"/>
                <w:szCs w:val="21"/>
                <w:lang w:val="en-US" w:eastAsia="zh-CN"/>
              </w:rPr>
              <w:t>1.0</w:t>
            </w:r>
          </w:p>
        </w:tc>
        <w:tc>
          <w:tcPr>
            <w:tcW w:w="276" w:type="pct"/>
            <w:vAlign w:val="center"/>
          </w:tcPr>
          <w:p>
            <w:pPr>
              <w:jc w:val="center"/>
              <w:rPr>
                <w:szCs w:val="21"/>
              </w:rPr>
            </w:pPr>
            <w:r>
              <w:rPr>
                <w:szCs w:val="21"/>
              </w:rPr>
              <w:t>是</w:t>
            </w:r>
          </w:p>
        </w:tc>
        <w:tc>
          <w:tcPr>
            <w:tcW w:w="344" w:type="pct"/>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5" w:type="pct"/>
            <w:vMerge w:val="restart"/>
            <w:vAlign w:val="center"/>
          </w:tcPr>
          <w:p>
            <w:pPr>
              <w:jc w:val="center"/>
              <w:rPr>
                <w:szCs w:val="21"/>
              </w:rPr>
            </w:pPr>
            <w:r>
              <w:rPr>
                <w:rFonts w:hint="eastAsia"/>
                <w:szCs w:val="21"/>
              </w:rPr>
              <w:t>东</w:t>
            </w:r>
            <w:r>
              <w:rPr>
                <w:szCs w:val="21"/>
              </w:rPr>
              <w:t>部鸡粪室外输送</w:t>
            </w:r>
          </w:p>
        </w:tc>
        <w:tc>
          <w:tcPr>
            <w:tcW w:w="264" w:type="pct"/>
            <w:vAlign w:val="center"/>
          </w:tcPr>
          <w:p>
            <w:pPr>
              <w:jc w:val="center"/>
              <w:rPr>
                <w:szCs w:val="21"/>
              </w:rPr>
            </w:pPr>
            <w:r>
              <w:rPr>
                <w:rFonts w:hint="eastAsia"/>
                <w:szCs w:val="21"/>
              </w:rPr>
              <w:t>NH</w:t>
            </w:r>
            <w:r>
              <w:rPr>
                <w:rFonts w:hint="eastAsia"/>
                <w:szCs w:val="21"/>
                <w:vertAlign w:val="subscript"/>
              </w:rPr>
              <w:t>3</w:t>
            </w:r>
          </w:p>
        </w:tc>
        <w:tc>
          <w:tcPr>
            <w:tcW w:w="354" w:type="pct"/>
            <w:vAlign w:val="center"/>
          </w:tcPr>
          <w:p>
            <w:pPr>
              <w:jc w:val="center"/>
              <w:rPr>
                <w:rFonts w:hint="default" w:eastAsia="宋体"/>
                <w:szCs w:val="21"/>
                <w:lang w:val="en-US" w:eastAsia="zh-CN"/>
              </w:rPr>
            </w:pPr>
            <w:r>
              <w:rPr>
                <w:rFonts w:hint="eastAsia"/>
                <w:szCs w:val="21"/>
              </w:rPr>
              <w:t>0.011</w:t>
            </w:r>
          </w:p>
        </w:tc>
        <w:tc>
          <w:tcPr>
            <w:tcW w:w="287" w:type="pct"/>
            <w:vAlign w:val="center"/>
          </w:tcPr>
          <w:p>
            <w:pPr>
              <w:jc w:val="center"/>
              <w:rPr>
                <w:rFonts w:hint="default" w:eastAsia="宋体"/>
                <w:szCs w:val="21"/>
                <w:lang w:val="en-US" w:eastAsia="zh-CN"/>
              </w:rPr>
            </w:pPr>
            <w:r>
              <w:rPr>
                <w:rFonts w:hint="eastAsia"/>
                <w:szCs w:val="21"/>
              </w:rPr>
              <w:t>0.0013</w:t>
            </w:r>
          </w:p>
        </w:tc>
        <w:tc>
          <w:tcPr>
            <w:tcW w:w="348" w:type="pct"/>
            <w:vAlign w:val="center"/>
          </w:tcPr>
          <w:p>
            <w:pPr>
              <w:jc w:val="center"/>
              <w:rPr>
                <w:szCs w:val="21"/>
              </w:rPr>
            </w:pPr>
            <w:r>
              <w:rPr>
                <w:rFonts w:hint="eastAsia"/>
                <w:szCs w:val="21"/>
              </w:rPr>
              <w:t>/</w:t>
            </w:r>
          </w:p>
        </w:tc>
        <w:tc>
          <w:tcPr>
            <w:tcW w:w="911" w:type="pct"/>
            <w:vMerge w:val="restart"/>
            <w:vAlign w:val="center"/>
          </w:tcPr>
          <w:p>
            <w:pPr>
              <w:jc w:val="center"/>
              <w:rPr>
                <w:szCs w:val="21"/>
              </w:rPr>
            </w:pPr>
            <w:r>
              <w:rPr>
                <w:rFonts w:hint="eastAsia"/>
                <w:spacing w:val="-11"/>
                <w:szCs w:val="21"/>
              </w:rPr>
              <w:t>设置密封输送廊道、</w:t>
            </w:r>
            <w:r>
              <w:rPr>
                <w:rFonts w:hint="eastAsia"/>
                <w:spacing w:val="-11"/>
                <w:szCs w:val="21"/>
                <w:lang w:val="en-US" w:eastAsia="zh-CN"/>
              </w:rPr>
              <w:t>喷雾除臭</w:t>
            </w:r>
            <w:r>
              <w:rPr>
                <w:rFonts w:hint="eastAsia"/>
                <w:spacing w:val="-11"/>
                <w:szCs w:val="21"/>
              </w:rPr>
              <w:t>、加强</w:t>
            </w:r>
            <w:r>
              <w:rPr>
                <w:rFonts w:hint="eastAsia"/>
                <w:spacing w:val="-11"/>
                <w:szCs w:val="21"/>
                <w:lang w:val="en-US" w:eastAsia="zh-CN"/>
              </w:rPr>
              <w:t>周边</w:t>
            </w:r>
            <w:r>
              <w:rPr>
                <w:rFonts w:hint="eastAsia"/>
                <w:spacing w:val="-11"/>
                <w:szCs w:val="21"/>
              </w:rPr>
              <w:t>绿化</w:t>
            </w:r>
          </w:p>
        </w:tc>
        <w:tc>
          <w:tcPr>
            <w:tcW w:w="310" w:type="pct"/>
            <w:vAlign w:val="center"/>
          </w:tcPr>
          <w:p>
            <w:pPr>
              <w:jc w:val="center"/>
              <w:rPr>
                <w:rFonts w:hint="default" w:eastAsia="宋体"/>
                <w:szCs w:val="21"/>
                <w:lang w:val="en-US" w:eastAsia="zh-CN"/>
              </w:rPr>
            </w:pPr>
            <w:r>
              <w:rPr>
                <w:rFonts w:hint="eastAsia"/>
                <w:szCs w:val="21"/>
              </w:rPr>
              <w:t>40</w:t>
            </w:r>
          </w:p>
        </w:tc>
        <w:tc>
          <w:tcPr>
            <w:tcW w:w="317" w:type="pct"/>
            <w:vAlign w:val="center"/>
          </w:tcPr>
          <w:p>
            <w:pPr>
              <w:jc w:val="center"/>
              <w:rPr>
                <w:rFonts w:hint="default" w:ascii="Times New Roman" w:hAnsi="Times New Roman" w:eastAsia="宋体" w:cs="Times New Roman"/>
                <w:kern w:val="2"/>
                <w:sz w:val="21"/>
                <w:szCs w:val="21"/>
                <w:lang w:val="en-US" w:eastAsia="zh-CN" w:bidi="ar-SA"/>
              </w:rPr>
            </w:pPr>
            <w:r>
              <w:rPr>
                <w:rFonts w:hint="eastAsia"/>
                <w:szCs w:val="21"/>
              </w:rPr>
              <w:t>0.0066</w:t>
            </w:r>
          </w:p>
        </w:tc>
        <w:tc>
          <w:tcPr>
            <w:tcW w:w="363" w:type="pct"/>
            <w:vAlign w:val="center"/>
          </w:tcPr>
          <w:p>
            <w:pPr>
              <w:jc w:val="center"/>
              <w:rPr>
                <w:rFonts w:hint="default" w:eastAsia="宋体"/>
                <w:szCs w:val="21"/>
                <w:lang w:val="en-US" w:eastAsia="zh-CN"/>
              </w:rPr>
            </w:pPr>
            <w:r>
              <w:rPr>
                <w:rFonts w:hint="eastAsia"/>
                <w:szCs w:val="21"/>
              </w:rPr>
              <w:t>0.0008</w:t>
            </w:r>
          </w:p>
        </w:tc>
        <w:tc>
          <w:tcPr>
            <w:tcW w:w="296" w:type="pct"/>
            <w:vAlign w:val="center"/>
          </w:tcPr>
          <w:p>
            <w:pPr>
              <w:jc w:val="center"/>
              <w:rPr>
                <w:szCs w:val="21"/>
              </w:rPr>
            </w:pPr>
            <w:r>
              <w:rPr>
                <w:rFonts w:hint="eastAsia"/>
                <w:szCs w:val="21"/>
              </w:rPr>
              <w:t>/</w:t>
            </w:r>
          </w:p>
        </w:tc>
        <w:tc>
          <w:tcPr>
            <w:tcW w:w="313" w:type="pct"/>
            <w:vAlign w:val="center"/>
          </w:tcPr>
          <w:p>
            <w:pPr>
              <w:jc w:val="center"/>
              <w:rPr>
                <w:szCs w:val="21"/>
              </w:rPr>
            </w:pPr>
            <w:r>
              <w:rPr>
                <w:rFonts w:hint="eastAsia"/>
                <w:szCs w:val="21"/>
              </w:rPr>
              <w:t>/</w:t>
            </w:r>
          </w:p>
        </w:tc>
        <w:tc>
          <w:tcPr>
            <w:tcW w:w="306" w:type="pct"/>
            <w:vAlign w:val="center"/>
          </w:tcPr>
          <w:p>
            <w:pPr>
              <w:jc w:val="center"/>
              <w:rPr>
                <w:szCs w:val="21"/>
              </w:rPr>
            </w:pPr>
            <w:r>
              <w:rPr>
                <w:rFonts w:hint="eastAsia"/>
                <w:szCs w:val="21"/>
              </w:rPr>
              <w:t>1.5</w:t>
            </w:r>
          </w:p>
        </w:tc>
        <w:tc>
          <w:tcPr>
            <w:tcW w:w="276" w:type="pct"/>
            <w:vAlign w:val="center"/>
          </w:tcPr>
          <w:p>
            <w:pPr>
              <w:jc w:val="center"/>
              <w:rPr>
                <w:szCs w:val="21"/>
              </w:rPr>
            </w:pPr>
            <w:r>
              <w:rPr>
                <w:rFonts w:hint="eastAsia"/>
                <w:szCs w:val="21"/>
              </w:rPr>
              <w:t>是</w:t>
            </w:r>
          </w:p>
        </w:tc>
        <w:tc>
          <w:tcPr>
            <w:tcW w:w="344" w:type="pct"/>
            <w:vMerge w:val="restart"/>
            <w:vAlign w:val="center"/>
          </w:tcPr>
          <w:p>
            <w:pPr>
              <w:jc w:val="center"/>
              <w:rPr>
                <w:szCs w:val="21"/>
              </w:rPr>
            </w:pPr>
            <w:r>
              <w:rPr>
                <w:szCs w:val="21"/>
              </w:rPr>
              <w:t>无组织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5" w:type="pct"/>
            <w:vMerge w:val="continue"/>
            <w:vAlign w:val="center"/>
          </w:tcPr>
          <w:p>
            <w:pPr>
              <w:jc w:val="center"/>
              <w:rPr>
                <w:szCs w:val="21"/>
              </w:rPr>
            </w:pPr>
          </w:p>
        </w:tc>
        <w:tc>
          <w:tcPr>
            <w:tcW w:w="264" w:type="pct"/>
            <w:vAlign w:val="center"/>
          </w:tcPr>
          <w:p>
            <w:pPr>
              <w:jc w:val="center"/>
              <w:rPr>
                <w:szCs w:val="21"/>
              </w:rPr>
            </w:pPr>
            <w:r>
              <w:rPr>
                <w:rFonts w:hint="eastAsia"/>
                <w:szCs w:val="21"/>
              </w:rPr>
              <w:t>H</w:t>
            </w:r>
            <w:r>
              <w:rPr>
                <w:rFonts w:hint="eastAsia"/>
                <w:szCs w:val="21"/>
                <w:vertAlign w:val="subscript"/>
              </w:rPr>
              <w:t>2</w:t>
            </w:r>
            <w:r>
              <w:rPr>
                <w:rFonts w:hint="eastAsia"/>
                <w:szCs w:val="21"/>
              </w:rPr>
              <w:t>S</w:t>
            </w:r>
          </w:p>
        </w:tc>
        <w:tc>
          <w:tcPr>
            <w:tcW w:w="354" w:type="pct"/>
            <w:vAlign w:val="center"/>
          </w:tcPr>
          <w:p>
            <w:pPr>
              <w:jc w:val="center"/>
              <w:rPr>
                <w:rFonts w:hint="default" w:eastAsia="宋体"/>
                <w:szCs w:val="21"/>
                <w:lang w:val="en-US" w:eastAsia="zh-CN"/>
              </w:rPr>
            </w:pPr>
            <w:r>
              <w:rPr>
                <w:rFonts w:hint="eastAsia"/>
                <w:szCs w:val="21"/>
              </w:rPr>
              <w:t>0.0011</w:t>
            </w:r>
          </w:p>
        </w:tc>
        <w:tc>
          <w:tcPr>
            <w:tcW w:w="287" w:type="pct"/>
            <w:vAlign w:val="center"/>
          </w:tcPr>
          <w:p>
            <w:pPr>
              <w:jc w:val="center"/>
              <w:rPr>
                <w:rFonts w:hint="default" w:eastAsia="宋体"/>
                <w:szCs w:val="21"/>
                <w:lang w:val="en-US" w:eastAsia="zh-CN"/>
              </w:rPr>
            </w:pPr>
            <w:r>
              <w:rPr>
                <w:rFonts w:hint="eastAsia"/>
                <w:szCs w:val="21"/>
              </w:rPr>
              <w:t>0.0001</w:t>
            </w:r>
          </w:p>
        </w:tc>
        <w:tc>
          <w:tcPr>
            <w:tcW w:w="348" w:type="pct"/>
            <w:vAlign w:val="center"/>
          </w:tcPr>
          <w:p>
            <w:pPr>
              <w:jc w:val="center"/>
              <w:rPr>
                <w:szCs w:val="21"/>
              </w:rPr>
            </w:pPr>
            <w:r>
              <w:rPr>
                <w:rFonts w:hint="eastAsia"/>
                <w:szCs w:val="21"/>
              </w:rPr>
              <w:t>/</w:t>
            </w:r>
          </w:p>
        </w:tc>
        <w:tc>
          <w:tcPr>
            <w:tcW w:w="911" w:type="pct"/>
            <w:vMerge w:val="continue"/>
            <w:vAlign w:val="center"/>
          </w:tcPr>
          <w:p>
            <w:pPr>
              <w:jc w:val="center"/>
              <w:rPr>
                <w:szCs w:val="21"/>
              </w:rPr>
            </w:pPr>
          </w:p>
        </w:tc>
        <w:tc>
          <w:tcPr>
            <w:tcW w:w="310" w:type="pct"/>
            <w:vAlign w:val="center"/>
          </w:tcPr>
          <w:p>
            <w:pPr>
              <w:jc w:val="center"/>
              <w:rPr>
                <w:rFonts w:hint="default" w:eastAsia="宋体"/>
                <w:szCs w:val="21"/>
                <w:lang w:val="en-US" w:eastAsia="zh-CN"/>
              </w:rPr>
            </w:pPr>
            <w:r>
              <w:rPr>
                <w:rFonts w:hint="eastAsia"/>
                <w:szCs w:val="21"/>
              </w:rPr>
              <w:t>40</w:t>
            </w:r>
          </w:p>
        </w:tc>
        <w:tc>
          <w:tcPr>
            <w:tcW w:w="317" w:type="pct"/>
            <w:vAlign w:val="center"/>
          </w:tcPr>
          <w:p>
            <w:pPr>
              <w:jc w:val="center"/>
              <w:rPr>
                <w:rFonts w:hint="default" w:ascii="Times New Roman" w:hAnsi="Times New Roman" w:eastAsia="宋体" w:cs="Times New Roman"/>
                <w:kern w:val="2"/>
                <w:sz w:val="21"/>
                <w:szCs w:val="21"/>
                <w:lang w:val="en-US" w:eastAsia="zh-CN" w:bidi="ar-SA"/>
              </w:rPr>
            </w:pPr>
            <w:r>
              <w:rPr>
                <w:rFonts w:hint="eastAsia"/>
                <w:szCs w:val="21"/>
              </w:rPr>
              <w:t>0.00066</w:t>
            </w:r>
          </w:p>
        </w:tc>
        <w:tc>
          <w:tcPr>
            <w:tcW w:w="363" w:type="pct"/>
            <w:vAlign w:val="center"/>
          </w:tcPr>
          <w:p>
            <w:pPr>
              <w:jc w:val="center"/>
              <w:rPr>
                <w:rFonts w:hint="default" w:eastAsia="宋体"/>
                <w:szCs w:val="21"/>
                <w:lang w:val="en-US" w:eastAsia="zh-CN"/>
              </w:rPr>
            </w:pPr>
            <w:r>
              <w:rPr>
                <w:rFonts w:hint="eastAsia"/>
                <w:szCs w:val="21"/>
              </w:rPr>
              <w:t>0.00008</w:t>
            </w:r>
          </w:p>
        </w:tc>
        <w:tc>
          <w:tcPr>
            <w:tcW w:w="296" w:type="pct"/>
            <w:vAlign w:val="center"/>
          </w:tcPr>
          <w:p>
            <w:pPr>
              <w:jc w:val="center"/>
              <w:rPr>
                <w:szCs w:val="21"/>
              </w:rPr>
            </w:pPr>
            <w:r>
              <w:rPr>
                <w:rFonts w:hint="eastAsia"/>
                <w:szCs w:val="21"/>
              </w:rPr>
              <w:t>/</w:t>
            </w:r>
          </w:p>
        </w:tc>
        <w:tc>
          <w:tcPr>
            <w:tcW w:w="313" w:type="pct"/>
            <w:vAlign w:val="center"/>
          </w:tcPr>
          <w:p>
            <w:pPr>
              <w:jc w:val="center"/>
              <w:rPr>
                <w:szCs w:val="21"/>
              </w:rPr>
            </w:pPr>
            <w:r>
              <w:rPr>
                <w:rFonts w:hint="eastAsia"/>
                <w:szCs w:val="21"/>
              </w:rPr>
              <w:t>/</w:t>
            </w:r>
          </w:p>
        </w:tc>
        <w:tc>
          <w:tcPr>
            <w:tcW w:w="306" w:type="pct"/>
            <w:vAlign w:val="center"/>
          </w:tcPr>
          <w:p>
            <w:pPr>
              <w:jc w:val="center"/>
              <w:rPr>
                <w:szCs w:val="21"/>
              </w:rPr>
            </w:pPr>
            <w:r>
              <w:rPr>
                <w:rFonts w:hint="eastAsia"/>
                <w:szCs w:val="21"/>
              </w:rPr>
              <w:t>0.06</w:t>
            </w:r>
          </w:p>
        </w:tc>
        <w:tc>
          <w:tcPr>
            <w:tcW w:w="276" w:type="pct"/>
            <w:vAlign w:val="center"/>
          </w:tcPr>
          <w:p>
            <w:pPr>
              <w:jc w:val="center"/>
              <w:rPr>
                <w:szCs w:val="21"/>
              </w:rPr>
            </w:pPr>
            <w:r>
              <w:rPr>
                <w:szCs w:val="21"/>
              </w:rPr>
              <w:t>是</w:t>
            </w:r>
          </w:p>
        </w:tc>
        <w:tc>
          <w:tcPr>
            <w:tcW w:w="344" w:type="pct"/>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5" w:type="pct"/>
            <w:vMerge w:val="restart"/>
            <w:vAlign w:val="center"/>
          </w:tcPr>
          <w:p>
            <w:pPr>
              <w:jc w:val="center"/>
              <w:rPr>
                <w:szCs w:val="21"/>
              </w:rPr>
            </w:pPr>
            <w:r>
              <w:rPr>
                <w:rFonts w:hint="eastAsia"/>
                <w:szCs w:val="21"/>
                <w:lang w:val="en-US" w:eastAsia="zh-CN"/>
              </w:rPr>
              <w:t>南</w:t>
            </w:r>
            <w:r>
              <w:rPr>
                <w:szCs w:val="21"/>
              </w:rPr>
              <w:t>部鸡粪室外输送</w:t>
            </w:r>
          </w:p>
        </w:tc>
        <w:tc>
          <w:tcPr>
            <w:tcW w:w="264" w:type="pct"/>
            <w:vAlign w:val="center"/>
          </w:tcPr>
          <w:p>
            <w:pPr>
              <w:jc w:val="center"/>
              <w:rPr>
                <w:szCs w:val="21"/>
              </w:rPr>
            </w:pPr>
            <w:r>
              <w:rPr>
                <w:rFonts w:hint="eastAsia"/>
                <w:szCs w:val="21"/>
              </w:rPr>
              <w:t>NH</w:t>
            </w:r>
            <w:r>
              <w:rPr>
                <w:rFonts w:hint="eastAsia"/>
                <w:szCs w:val="21"/>
                <w:vertAlign w:val="subscript"/>
              </w:rPr>
              <w:t>3</w:t>
            </w:r>
          </w:p>
        </w:tc>
        <w:tc>
          <w:tcPr>
            <w:tcW w:w="354" w:type="pct"/>
            <w:vAlign w:val="center"/>
          </w:tcPr>
          <w:p>
            <w:pPr>
              <w:jc w:val="center"/>
              <w:rPr>
                <w:szCs w:val="21"/>
              </w:rPr>
            </w:pPr>
            <w:r>
              <w:rPr>
                <w:rFonts w:hint="eastAsia"/>
                <w:szCs w:val="21"/>
              </w:rPr>
              <w:t>0.011</w:t>
            </w:r>
          </w:p>
        </w:tc>
        <w:tc>
          <w:tcPr>
            <w:tcW w:w="287" w:type="pct"/>
            <w:vAlign w:val="center"/>
          </w:tcPr>
          <w:p>
            <w:pPr>
              <w:jc w:val="center"/>
              <w:rPr>
                <w:szCs w:val="21"/>
              </w:rPr>
            </w:pPr>
            <w:r>
              <w:rPr>
                <w:rFonts w:hint="eastAsia"/>
                <w:szCs w:val="21"/>
              </w:rPr>
              <w:t>0.0013</w:t>
            </w:r>
          </w:p>
        </w:tc>
        <w:tc>
          <w:tcPr>
            <w:tcW w:w="348" w:type="pct"/>
            <w:vAlign w:val="center"/>
          </w:tcPr>
          <w:p>
            <w:pPr>
              <w:jc w:val="center"/>
              <w:rPr>
                <w:szCs w:val="21"/>
              </w:rPr>
            </w:pPr>
            <w:r>
              <w:rPr>
                <w:rFonts w:hint="eastAsia"/>
                <w:szCs w:val="21"/>
              </w:rPr>
              <w:t>/</w:t>
            </w:r>
          </w:p>
        </w:tc>
        <w:tc>
          <w:tcPr>
            <w:tcW w:w="911" w:type="pct"/>
            <w:vMerge w:val="restart"/>
            <w:vAlign w:val="center"/>
          </w:tcPr>
          <w:p>
            <w:pPr>
              <w:jc w:val="center"/>
              <w:rPr>
                <w:szCs w:val="21"/>
              </w:rPr>
            </w:pPr>
            <w:r>
              <w:rPr>
                <w:rFonts w:hint="eastAsia"/>
                <w:spacing w:val="-11"/>
                <w:szCs w:val="21"/>
              </w:rPr>
              <w:t>设置密封输送廊道、</w:t>
            </w:r>
            <w:r>
              <w:rPr>
                <w:rFonts w:hint="eastAsia"/>
                <w:spacing w:val="-11"/>
                <w:szCs w:val="21"/>
                <w:lang w:val="en-US" w:eastAsia="zh-CN"/>
              </w:rPr>
              <w:t>喷雾除臭</w:t>
            </w:r>
            <w:r>
              <w:rPr>
                <w:rFonts w:hint="eastAsia"/>
                <w:spacing w:val="-11"/>
                <w:szCs w:val="21"/>
              </w:rPr>
              <w:t>、加强</w:t>
            </w:r>
            <w:r>
              <w:rPr>
                <w:rFonts w:hint="eastAsia"/>
                <w:spacing w:val="-11"/>
                <w:szCs w:val="21"/>
                <w:lang w:val="en-US" w:eastAsia="zh-CN"/>
              </w:rPr>
              <w:t>周边</w:t>
            </w:r>
            <w:r>
              <w:rPr>
                <w:rFonts w:hint="eastAsia"/>
                <w:spacing w:val="-11"/>
                <w:szCs w:val="21"/>
              </w:rPr>
              <w:t>绿化</w:t>
            </w:r>
          </w:p>
        </w:tc>
        <w:tc>
          <w:tcPr>
            <w:tcW w:w="310" w:type="pct"/>
            <w:vAlign w:val="center"/>
          </w:tcPr>
          <w:p>
            <w:pPr>
              <w:jc w:val="center"/>
              <w:rPr>
                <w:szCs w:val="21"/>
              </w:rPr>
            </w:pPr>
            <w:r>
              <w:rPr>
                <w:rFonts w:hint="eastAsia"/>
                <w:szCs w:val="21"/>
              </w:rPr>
              <w:t>40</w:t>
            </w:r>
          </w:p>
        </w:tc>
        <w:tc>
          <w:tcPr>
            <w:tcW w:w="317" w:type="pct"/>
            <w:vAlign w:val="center"/>
          </w:tcPr>
          <w:p>
            <w:pPr>
              <w:jc w:val="center"/>
              <w:rPr>
                <w:szCs w:val="21"/>
              </w:rPr>
            </w:pPr>
            <w:r>
              <w:rPr>
                <w:rFonts w:hint="eastAsia"/>
                <w:szCs w:val="21"/>
              </w:rPr>
              <w:t>0.0066</w:t>
            </w:r>
          </w:p>
        </w:tc>
        <w:tc>
          <w:tcPr>
            <w:tcW w:w="363" w:type="pct"/>
            <w:vAlign w:val="center"/>
          </w:tcPr>
          <w:p>
            <w:pPr>
              <w:jc w:val="center"/>
              <w:rPr>
                <w:szCs w:val="21"/>
              </w:rPr>
            </w:pPr>
            <w:r>
              <w:rPr>
                <w:rFonts w:hint="eastAsia"/>
                <w:szCs w:val="21"/>
              </w:rPr>
              <w:t>0.0008</w:t>
            </w:r>
          </w:p>
        </w:tc>
        <w:tc>
          <w:tcPr>
            <w:tcW w:w="296" w:type="pct"/>
            <w:vAlign w:val="center"/>
          </w:tcPr>
          <w:p>
            <w:pPr>
              <w:jc w:val="center"/>
              <w:rPr>
                <w:szCs w:val="21"/>
              </w:rPr>
            </w:pPr>
            <w:r>
              <w:rPr>
                <w:rFonts w:hint="eastAsia"/>
                <w:szCs w:val="21"/>
              </w:rPr>
              <w:t>/</w:t>
            </w:r>
          </w:p>
        </w:tc>
        <w:tc>
          <w:tcPr>
            <w:tcW w:w="313" w:type="pct"/>
            <w:vAlign w:val="center"/>
          </w:tcPr>
          <w:p>
            <w:pPr>
              <w:jc w:val="center"/>
              <w:rPr>
                <w:szCs w:val="21"/>
              </w:rPr>
            </w:pPr>
            <w:r>
              <w:rPr>
                <w:rFonts w:hint="eastAsia"/>
                <w:szCs w:val="21"/>
              </w:rPr>
              <w:t>/</w:t>
            </w:r>
          </w:p>
        </w:tc>
        <w:tc>
          <w:tcPr>
            <w:tcW w:w="306" w:type="pct"/>
            <w:vAlign w:val="center"/>
          </w:tcPr>
          <w:p>
            <w:pPr>
              <w:jc w:val="center"/>
              <w:rPr>
                <w:szCs w:val="21"/>
              </w:rPr>
            </w:pPr>
            <w:r>
              <w:rPr>
                <w:rFonts w:hint="eastAsia"/>
                <w:szCs w:val="21"/>
              </w:rPr>
              <w:t>1.5</w:t>
            </w:r>
          </w:p>
        </w:tc>
        <w:tc>
          <w:tcPr>
            <w:tcW w:w="276" w:type="pct"/>
            <w:vAlign w:val="center"/>
          </w:tcPr>
          <w:p>
            <w:pPr>
              <w:jc w:val="center"/>
              <w:rPr>
                <w:szCs w:val="21"/>
              </w:rPr>
            </w:pPr>
            <w:r>
              <w:rPr>
                <w:rFonts w:hint="eastAsia"/>
                <w:szCs w:val="21"/>
              </w:rPr>
              <w:t>是</w:t>
            </w:r>
          </w:p>
        </w:tc>
        <w:tc>
          <w:tcPr>
            <w:tcW w:w="344" w:type="pct"/>
            <w:vMerge w:val="restart"/>
            <w:vAlign w:val="center"/>
          </w:tcPr>
          <w:p>
            <w:pPr>
              <w:jc w:val="center"/>
              <w:rPr>
                <w:szCs w:val="21"/>
              </w:rPr>
            </w:pPr>
            <w:r>
              <w:rPr>
                <w:szCs w:val="21"/>
              </w:rPr>
              <w:t>无组织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5" w:type="pct"/>
            <w:vMerge w:val="continue"/>
            <w:vAlign w:val="center"/>
          </w:tcPr>
          <w:p>
            <w:pPr>
              <w:jc w:val="center"/>
              <w:rPr>
                <w:szCs w:val="21"/>
              </w:rPr>
            </w:pPr>
          </w:p>
        </w:tc>
        <w:tc>
          <w:tcPr>
            <w:tcW w:w="264" w:type="pct"/>
            <w:vAlign w:val="center"/>
          </w:tcPr>
          <w:p>
            <w:pPr>
              <w:jc w:val="center"/>
              <w:rPr>
                <w:szCs w:val="21"/>
              </w:rPr>
            </w:pPr>
            <w:r>
              <w:rPr>
                <w:rFonts w:hint="eastAsia"/>
                <w:szCs w:val="21"/>
              </w:rPr>
              <w:t>H</w:t>
            </w:r>
            <w:r>
              <w:rPr>
                <w:rFonts w:hint="eastAsia"/>
                <w:szCs w:val="21"/>
                <w:vertAlign w:val="subscript"/>
              </w:rPr>
              <w:t>2</w:t>
            </w:r>
            <w:r>
              <w:rPr>
                <w:rFonts w:hint="eastAsia"/>
                <w:szCs w:val="21"/>
              </w:rPr>
              <w:t>S</w:t>
            </w:r>
          </w:p>
        </w:tc>
        <w:tc>
          <w:tcPr>
            <w:tcW w:w="354" w:type="pct"/>
            <w:vAlign w:val="center"/>
          </w:tcPr>
          <w:p>
            <w:pPr>
              <w:jc w:val="center"/>
              <w:rPr>
                <w:szCs w:val="21"/>
              </w:rPr>
            </w:pPr>
            <w:r>
              <w:rPr>
                <w:rFonts w:hint="eastAsia"/>
                <w:szCs w:val="21"/>
              </w:rPr>
              <w:t>0.0011</w:t>
            </w:r>
          </w:p>
        </w:tc>
        <w:tc>
          <w:tcPr>
            <w:tcW w:w="287" w:type="pct"/>
            <w:vAlign w:val="center"/>
          </w:tcPr>
          <w:p>
            <w:pPr>
              <w:jc w:val="center"/>
              <w:rPr>
                <w:szCs w:val="21"/>
              </w:rPr>
            </w:pPr>
            <w:r>
              <w:rPr>
                <w:rFonts w:hint="eastAsia"/>
                <w:szCs w:val="21"/>
              </w:rPr>
              <w:t>0.0001</w:t>
            </w:r>
          </w:p>
        </w:tc>
        <w:tc>
          <w:tcPr>
            <w:tcW w:w="348" w:type="pct"/>
            <w:vAlign w:val="center"/>
          </w:tcPr>
          <w:p>
            <w:pPr>
              <w:jc w:val="center"/>
              <w:rPr>
                <w:szCs w:val="21"/>
              </w:rPr>
            </w:pPr>
            <w:r>
              <w:rPr>
                <w:rFonts w:hint="eastAsia"/>
                <w:szCs w:val="21"/>
              </w:rPr>
              <w:t>/</w:t>
            </w:r>
          </w:p>
        </w:tc>
        <w:tc>
          <w:tcPr>
            <w:tcW w:w="911" w:type="pct"/>
            <w:vMerge w:val="continue"/>
            <w:vAlign w:val="center"/>
          </w:tcPr>
          <w:p>
            <w:pPr>
              <w:jc w:val="center"/>
              <w:rPr>
                <w:szCs w:val="21"/>
              </w:rPr>
            </w:pPr>
          </w:p>
        </w:tc>
        <w:tc>
          <w:tcPr>
            <w:tcW w:w="310" w:type="pct"/>
            <w:vAlign w:val="center"/>
          </w:tcPr>
          <w:p>
            <w:pPr>
              <w:jc w:val="center"/>
              <w:rPr>
                <w:szCs w:val="21"/>
              </w:rPr>
            </w:pPr>
            <w:r>
              <w:rPr>
                <w:rFonts w:hint="eastAsia"/>
                <w:szCs w:val="21"/>
              </w:rPr>
              <w:t>40</w:t>
            </w:r>
          </w:p>
        </w:tc>
        <w:tc>
          <w:tcPr>
            <w:tcW w:w="317" w:type="pct"/>
            <w:vAlign w:val="center"/>
          </w:tcPr>
          <w:p>
            <w:pPr>
              <w:jc w:val="center"/>
              <w:rPr>
                <w:szCs w:val="21"/>
              </w:rPr>
            </w:pPr>
            <w:r>
              <w:rPr>
                <w:rFonts w:hint="eastAsia"/>
                <w:szCs w:val="21"/>
              </w:rPr>
              <w:t>0.00066</w:t>
            </w:r>
          </w:p>
        </w:tc>
        <w:tc>
          <w:tcPr>
            <w:tcW w:w="363" w:type="pct"/>
            <w:vAlign w:val="center"/>
          </w:tcPr>
          <w:p>
            <w:pPr>
              <w:jc w:val="center"/>
              <w:rPr>
                <w:szCs w:val="21"/>
              </w:rPr>
            </w:pPr>
            <w:r>
              <w:rPr>
                <w:rFonts w:hint="eastAsia"/>
                <w:szCs w:val="21"/>
              </w:rPr>
              <w:t>0.00008</w:t>
            </w:r>
          </w:p>
        </w:tc>
        <w:tc>
          <w:tcPr>
            <w:tcW w:w="296" w:type="pct"/>
            <w:vAlign w:val="center"/>
          </w:tcPr>
          <w:p>
            <w:pPr>
              <w:jc w:val="center"/>
              <w:rPr>
                <w:szCs w:val="21"/>
              </w:rPr>
            </w:pPr>
            <w:r>
              <w:rPr>
                <w:rFonts w:hint="eastAsia"/>
                <w:szCs w:val="21"/>
              </w:rPr>
              <w:t>/</w:t>
            </w:r>
          </w:p>
        </w:tc>
        <w:tc>
          <w:tcPr>
            <w:tcW w:w="313" w:type="pct"/>
            <w:vAlign w:val="center"/>
          </w:tcPr>
          <w:p>
            <w:pPr>
              <w:jc w:val="center"/>
              <w:rPr>
                <w:szCs w:val="21"/>
              </w:rPr>
            </w:pPr>
            <w:r>
              <w:rPr>
                <w:rFonts w:hint="eastAsia"/>
                <w:szCs w:val="21"/>
              </w:rPr>
              <w:t>/</w:t>
            </w:r>
          </w:p>
        </w:tc>
        <w:tc>
          <w:tcPr>
            <w:tcW w:w="306" w:type="pct"/>
            <w:vAlign w:val="center"/>
          </w:tcPr>
          <w:p>
            <w:pPr>
              <w:jc w:val="center"/>
              <w:rPr>
                <w:szCs w:val="21"/>
              </w:rPr>
            </w:pPr>
            <w:r>
              <w:rPr>
                <w:rFonts w:hint="eastAsia"/>
                <w:szCs w:val="21"/>
              </w:rPr>
              <w:t>0.06</w:t>
            </w:r>
          </w:p>
        </w:tc>
        <w:tc>
          <w:tcPr>
            <w:tcW w:w="276" w:type="pct"/>
            <w:vAlign w:val="center"/>
          </w:tcPr>
          <w:p>
            <w:pPr>
              <w:jc w:val="center"/>
              <w:rPr>
                <w:szCs w:val="21"/>
              </w:rPr>
            </w:pPr>
            <w:r>
              <w:rPr>
                <w:szCs w:val="21"/>
              </w:rPr>
              <w:t>是</w:t>
            </w:r>
          </w:p>
        </w:tc>
        <w:tc>
          <w:tcPr>
            <w:tcW w:w="344" w:type="pct"/>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5" w:type="pct"/>
            <w:vAlign w:val="center"/>
          </w:tcPr>
          <w:p>
            <w:pPr>
              <w:jc w:val="center"/>
              <w:rPr>
                <w:szCs w:val="21"/>
              </w:rPr>
            </w:pPr>
            <w:r>
              <w:rPr>
                <w:szCs w:val="21"/>
              </w:rPr>
              <w:t>食堂</w:t>
            </w:r>
          </w:p>
        </w:tc>
        <w:tc>
          <w:tcPr>
            <w:tcW w:w="264" w:type="pct"/>
            <w:vAlign w:val="center"/>
          </w:tcPr>
          <w:p>
            <w:pPr>
              <w:jc w:val="center"/>
              <w:rPr>
                <w:szCs w:val="21"/>
              </w:rPr>
            </w:pPr>
            <w:r>
              <w:rPr>
                <w:rFonts w:hint="eastAsia"/>
                <w:szCs w:val="21"/>
              </w:rPr>
              <w:t>油烟</w:t>
            </w:r>
          </w:p>
        </w:tc>
        <w:tc>
          <w:tcPr>
            <w:tcW w:w="354" w:type="pct"/>
            <w:vAlign w:val="center"/>
          </w:tcPr>
          <w:p>
            <w:pPr>
              <w:jc w:val="center"/>
              <w:rPr>
                <w:szCs w:val="21"/>
              </w:rPr>
            </w:pPr>
            <w:r>
              <w:rPr>
                <w:rFonts w:hint="eastAsia"/>
                <w:szCs w:val="21"/>
              </w:rPr>
              <w:t>16.425kg</w:t>
            </w:r>
          </w:p>
        </w:tc>
        <w:tc>
          <w:tcPr>
            <w:tcW w:w="287" w:type="pct"/>
            <w:vAlign w:val="center"/>
          </w:tcPr>
          <w:p>
            <w:pPr>
              <w:jc w:val="center"/>
              <w:rPr>
                <w:szCs w:val="21"/>
              </w:rPr>
            </w:pPr>
            <w:r>
              <w:rPr>
                <w:rFonts w:hint="eastAsia"/>
                <w:szCs w:val="21"/>
              </w:rPr>
              <w:t>0.015</w:t>
            </w:r>
          </w:p>
        </w:tc>
        <w:tc>
          <w:tcPr>
            <w:tcW w:w="348" w:type="pct"/>
            <w:vAlign w:val="center"/>
          </w:tcPr>
          <w:p>
            <w:pPr>
              <w:jc w:val="center"/>
              <w:rPr>
                <w:szCs w:val="21"/>
              </w:rPr>
            </w:pPr>
            <w:r>
              <w:rPr>
                <w:rFonts w:hint="eastAsia"/>
                <w:szCs w:val="21"/>
              </w:rPr>
              <w:t>3.75</w:t>
            </w:r>
          </w:p>
        </w:tc>
        <w:tc>
          <w:tcPr>
            <w:tcW w:w="911" w:type="pct"/>
            <w:vAlign w:val="center"/>
          </w:tcPr>
          <w:p>
            <w:pPr>
              <w:jc w:val="center"/>
              <w:rPr>
                <w:szCs w:val="21"/>
              </w:rPr>
            </w:pPr>
            <w:r>
              <w:rPr>
                <w:rFonts w:hint="eastAsia"/>
                <w:szCs w:val="21"/>
              </w:rPr>
              <w:t>经油烟净化器处理后引至屋顶排放</w:t>
            </w:r>
          </w:p>
        </w:tc>
        <w:tc>
          <w:tcPr>
            <w:tcW w:w="310" w:type="pct"/>
            <w:vAlign w:val="center"/>
          </w:tcPr>
          <w:p>
            <w:pPr>
              <w:jc w:val="center"/>
              <w:rPr>
                <w:szCs w:val="21"/>
              </w:rPr>
            </w:pPr>
            <w:r>
              <w:rPr>
                <w:rFonts w:hint="eastAsia"/>
                <w:szCs w:val="21"/>
              </w:rPr>
              <w:t>60</w:t>
            </w:r>
          </w:p>
        </w:tc>
        <w:tc>
          <w:tcPr>
            <w:tcW w:w="317" w:type="pct"/>
            <w:vAlign w:val="center"/>
          </w:tcPr>
          <w:p>
            <w:pPr>
              <w:jc w:val="center"/>
              <w:rPr>
                <w:szCs w:val="21"/>
              </w:rPr>
            </w:pPr>
            <w:r>
              <w:rPr>
                <w:rFonts w:hint="eastAsia"/>
                <w:szCs w:val="21"/>
              </w:rPr>
              <w:t>6.57kg</w:t>
            </w:r>
          </w:p>
        </w:tc>
        <w:tc>
          <w:tcPr>
            <w:tcW w:w="363" w:type="pct"/>
            <w:vAlign w:val="center"/>
          </w:tcPr>
          <w:p>
            <w:pPr>
              <w:jc w:val="center"/>
              <w:rPr>
                <w:szCs w:val="21"/>
              </w:rPr>
            </w:pPr>
            <w:r>
              <w:rPr>
                <w:rFonts w:hint="eastAsia"/>
                <w:szCs w:val="21"/>
              </w:rPr>
              <w:t>0.006</w:t>
            </w:r>
          </w:p>
        </w:tc>
        <w:tc>
          <w:tcPr>
            <w:tcW w:w="296" w:type="pct"/>
            <w:vAlign w:val="center"/>
          </w:tcPr>
          <w:p>
            <w:pPr>
              <w:jc w:val="center"/>
              <w:rPr>
                <w:szCs w:val="21"/>
              </w:rPr>
            </w:pPr>
            <w:r>
              <w:rPr>
                <w:rFonts w:hint="eastAsia"/>
                <w:szCs w:val="21"/>
              </w:rPr>
              <w:t>1.5</w:t>
            </w:r>
          </w:p>
        </w:tc>
        <w:tc>
          <w:tcPr>
            <w:tcW w:w="313" w:type="pct"/>
            <w:vAlign w:val="center"/>
          </w:tcPr>
          <w:p>
            <w:pPr>
              <w:jc w:val="center"/>
              <w:rPr>
                <w:szCs w:val="21"/>
              </w:rPr>
            </w:pPr>
            <w:r>
              <w:rPr>
                <w:rFonts w:hint="eastAsia"/>
                <w:szCs w:val="21"/>
              </w:rPr>
              <w:t>/</w:t>
            </w:r>
          </w:p>
        </w:tc>
        <w:tc>
          <w:tcPr>
            <w:tcW w:w="306" w:type="pct"/>
            <w:vAlign w:val="center"/>
          </w:tcPr>
          <w:p>
            <w:pPr>
              <w:jc w:val="center"/>
              <w:rPr>
                <w:szCs w:val="21"/>
              </w:rPr>
            </w:pPr>
            <w:r>
              <w:rPr>
                <w:rFonts w:hint="eastAsia"/>
                <w:szCs w:val="21"/>
              </w:rPr>
              <w:t>2.0</w:t>
            </w:r>
          </w:p>
        </w:tc>
        <w:tc>
          <w:tcPr>
            <w:tcW w:w="276" w:type="pct"/>
            <w:vAlign w:val="center"/>
          </w:tcPr>
          <w:p>
            <w:pPr>
              <w:jc w:val="center"/>
              <w:rPr>
                <w:szCs w:val="21"/>
              </w:rPr>
            </w:pPr>
            <w:r>
              <w:rPr>
                <w:rFonts w:hint="eastAsia"/>
                <w:szCs w:val="21"/>
              </w:rPr>
              <w:t>是</w:t>
            </w:r>
          </w:p>
        </w:tc>
        <w:tc>
          <w:tcPr>
            <w:tcW w:w="344" w:type="pct"/>
            <w:vAlign w:val="center"/>
          </w:tcPr>
          <w:p>
            <w:pPr>
              <w:jc w:val="center"/>
              <w:rPr>
                <w:szCs w:val="21"/>
              </w:rPr>
            </w:pPr>
            <w:r>
              <w:rPr>
                <w:rFonts w:hint="eastAsia"/>
                <w:szCs w:val="21"/>
              </w:rPr>
              <w:t>有组织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5" w:type="pct"/>
            <w:vAlign w:val="center"/>
          </w:tcPr>
          <w:p>
            <w:pPr>
              <w:jc w:val="center"/>
              <w:rPr>
                <w:szCs w:val="21"/>
              </w:rPr>
            </w:pPr>
            <w:r>
              <w:rPr>
                <w:szCs w:val="21"/>
              </w:rPr>
              <w:t>发电机燃油</w:t>
            </w:r>
          </w:p>
        </w:tc>
        <w:tc>
          <w:tcPr>
            <w:tcW w:w="264" w:type="pct"/>
            <w:vAlign w:val="center"/>
          </w:tcPr>
          <w:p>
            <w:pPr>
              <w:jc w:val="center"/>
              <w:rPr>
                <w:szCs w:val="21"/>
              </w:rPr>
            </w:pPr>
            <w:r>
              <w:rPr>
                <w:rFonts w:hint="eastAsia"/>
                <w:szCs w:val="21"/>
              </w:rPr>
              <w:t>CO</w:t>
            </w:r>
          </w:p>
          <w:p>
            <w:pPr>
              <w:jc w:val="center"/>
              <w:rPr>
                <w:szCs w:val="21"/>
              </w:rPr>
            </w:pPr>
            <w:r>
              <w:rPr>
                <w:rFonts w:hint="eastAsia"/>
                <w:szCs w:val="21"/>
              </w:rPr>
              <w:t>THC</w:t>
            </w:r>
          </w:p>
          <w:p>
            <w:pPr>
              <w:jc w:val="center"/>
              <w:rPr>
                <w:szCs w:val="21"/>
              </w:rPr>
            </w:pPr>
            <w:r>
              <w:rPr>
                <w:szCs w:val="21"/>
              </w:rPr>
              <w:t>NOx</w:t>
            </w:r>
          </w:p>
        </w:tc>
        <w:tc>
          <w:tcPr>
            <w:tcW w:w="354" w:type="pct"/>
            <w:vAlign w:val="center"/>
          </w:tcPr>
          <w:p>
            <w:pPr>
              <w:jc w:val="center"/>
              <w:rPr>
                <w:szCs w:val="21"/>
              </w:rPr>
            </w:pPr>
            <w:r>
              <w:rPr>
                <w:rFonts w:hint="eastAsia"/>
                <w:szCs w:val="21"/>
              </w:rPr>
              <w:t>少量</w:t>
            </w:r>
          </w:p>
        </w:tc>
        <w:tc>
          <w:tcPr>
            <w:tcW w:w="287" w:type="pct"/>
            <w:vAlign w:val="center"/>
          </w:tcPr>
          <w:p>
            <w:pPr>
              <w:jc w:val="center"/>
              <w:rPr>
                <w:szCs w:val="21"/>
              </w:rPr>
            </w:pPr>
            <w:r>
              <w:rPr>
                <w:rFonts w:hint="eastAsia"/>
                <w:szCs w:val="21"/>
              </w:rPr>
              <w:t>/</w:t>
            </w:r>
          </w:p>
        </w:tc>
        <w:tc>
          <w:tcPr>
            <w:tcW w:w="348" w:type="pct"/>
            <w:vAlign w:val="center"/>
          </w:tcPr>
          <w:p>
            <w:pPr>
              <w:jc w:val="center"/>
              <w:rPr>
                <w:szCs w:val="21"/>
              </w:rPr>
            </w:pPr>
            <w:r>
              <w:rPr>
                <w:rFonts w:hint="eastAsia"/>
                <w:szCs w:val="21"/>
              </w:rPr>
              <w:t>/</w:t>
            </w:r>
          </w:p>
        </w:tc>
        <w:tc>
          <w:tcPr>
            <w:tcW w:w="911" w:type="pct"/>
            <w:vAlign w:val="center"/>
          </w:tcPr>
          <w:p>
            <w:pPr>
              <w:jc w:val="center"/>
              <w:rPr>
                <w:szCs w:val="21"/>
              </w:rPr>
            </w:pPr>
            <w:r>
              <w:rPr>
                <w:rFonts w:hint="eastAsia"/>
                <w:szCs w:val="21"/>
                <w:lang w:val="en-US" w:eastAsia="zh-CN"/>
              </w:rPr>
              <w:t>经设备自带尾气净化装置处理后专管高于楼顶排放</w:t>
            </w:r>
          </w:p>
        </w:tc>
        <w:tc>
          <w:tcPr>
            <w:tcW w:w="310" w:type="pct"/>
            <w:vAlign w:val="center"/>
          </w:tcPr>
          <w:p>
            <w:pPr>
              <w:jc w:val="center"/>
              <w:rPr>
                <w:szCs w:val="21"/>
              </w:rPr>
            </w:pPr>
            <w:r>
              <w:rPr>
                <w:rFonts w:hint="eastAsia"/>
                <w:szCs w:val="21"/>
              </w:rPr>
              <w:t>/</w:t>
            </w:r>
          </w:p>
        </w:tc>
        <w:tc>
          <w:tcPr>
            <w:tcW w:w="317" w:type="pct"/>
            <w:vAlign w:val="center"/>
          </w:tcPr>
          <w:p>
            <w:pPr>
              <w:jc w:val="center"/>
              <w:rPr>
                <w:szCs w:val="21"/>
              </w:rPr>
            </w:pPr>
            <w:r>
              <w:rPr>
                <w:rFonts w:hint="eastAsia"/>
                <w:szCs w:val="21"/>
              </w:rPr>
              <w:t>少量</w:t>
            </w:r>
          </w:p>
        </w:tc>
        <w:tc>
          <w:tcPr>
            <w:tcW w:w="363" w:type="pct"/>
            <w:vAlign w:val="center"/>
          </w:tcPr>
          <w:p>
            <w:pPr>
              <w:jc w:val="center"/>
              <w:rPr>
                <w:szCs w:val="21"/>
              </w:rPr>
            </w:pPr>
            <w:r>
              <w:rPr>
                <w:rFonts w:hint="eastAsia"/>
                <w:szCs w:val="21"/>
              </w:rPr>
              <w:t>/</w:t>
            </w:r>
          </w:p>
        </w:tc>
        <w:tc>
          <w:tcPr>
            <w:tcW w:w="296" w:type="pct"/>
            <w:vAlign w:val="center"/>
          </w:tcPr>
          <w:p>
            <w:pPr>
              <w:jc w:val="center"/>
              <w:rPr>
                <w:szCs w:val="21"/>
              </w:rPr>
            </w:pPr>
            <w:r>
              <w:rPr>
                <w:rFonts w:hint="eastAsia"/>
                <w:szCs w:val="21"/>
              </w:rPr>
              <w:t>/</w:t>
            </w:r>
          </w:p>
        </w:tc>
        <w:tc>
          <w:tcPr>
            <w:tcW w:w="313" w:type="pct"/>
            <w:vAlign w:val="center"/>
          </w:tcPr>
          <w:p>
            <w:pPr>
              <w:jc w:val="center"/>
              <w:rPr>
                <w:szCs w:val="21"/>
              </w:rPr>
            </w:pPr>
            <w:r>
              <w:rPr>
                <w:rFonts w:hint="eastAsia"/>
                <w:szCs w:val="21"/>
              </w:rPr>
              <w:t>/</w:t>
            </w:r>
          </w:p>
        </w:tc>
        <w:tc>
          <w:tcPr>
            <w:tcW w:w="306" w:type="pct"/>
            <w:vAlign w:val="center"/>
          </w:tcPr>
          <w:p>
            <w:pPr>
              <w:jc w:val="center"/>
              <w:rPr>
                <w:szCs w:val="21"/>
              </w:rPr>
            </w:pPr>
            <w:r>
              <w:rPr>
                <w:rFonts w:hint="eastAsia"/>
                <w:szCs w:val="21"/>
              </w:rPr>
              <w:t>/</w:t>
            </w:r>
          </w:p>
        </w:tc>
        <w:tc>
          <w:tcPr>
            <w:tcW w:w="276" w:type="pct"/>
            <w:vAlign w:val="center"/>
          </w:tcPr>
          <w:p>
            <w:pPr>
              <w:jc w:val="center"/>
              <w:rPr>
                <w:szCs w:val="21"/>
              </w:rPr>
            </w:pPr>
            <w:r>
              <w:rPr>
                <w:rFonts w:hint="eastAsia"/>
                <w:szCs w:val="21"/>
              </w:rPr>
              <w:t>是</w:t>
            </w:r>
          </w:p>
        </w:tc>
        <w:tc>
          <w:tcPr>
            <w:tcW w:w="344" w:type="pct"/>
            <w:vAlign w:val="center"/>
          </w:tcPr>
          <w:p>
            <w:pPr>
              <w:jc w:val="center"/>
              <w:rPr>
                <w:szCs w:val="21"/>
              </w:rPr>
            </w:pPr>
            <w:r>
              <w:rPr>
                <w:szCs w:val="21"/>
              </w:rPr>
              <w:t>无组织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05" w:type="pct"/>
            <w:vAlign w:val="center"/>
          </w:tcPr>
          <w:p>
            <w:pPr>
              <w:jc w:val="center"/>
              <w:rPr>
                <w:szCs w:val="21"/>
              </w:rPr>
            </w:pPr>
            <w:r>
              <w:rPr>
                <w:szCs w:val="21"/>
              </w:rPr>
              <w:t>运输车辆</w:t>
            </w:r>
          </w:p>
        </w:tc>
        <w:tc>
          <w:tcPr>
            <w:tcW w:w="264" w:type="pct"/>
            <w:vAlign w:val="center"/>
          </w:tcPr>
          <w:p>
            <w:pPr>
              <w:jc w:val="center"/>
              <w:rPr>
                <w:szCs w:val="21"/>
              </w:rPr>
            </w:pPr>
            <w:r>
              <w:rPr>
                <w:rFonts w:hint="eastAsia"/>
                <w:szCs w:val="21"/>
              </w:rPr>
              <w:t>CO</w:t>
            </w:r>
          </w:p>
          <w:p>
            <w:pPr>
              <w:jc w:val="center"/>
              <w:rPr>
                <w:szCs w:val="21"/>
              </w:rPr>
            </w:pPr>
            <w:r>
              <w:rPr>
                <w:rFonts w:hint="eastAsia"/>
                <w:szCs w:val="21"/>
              </w:rPr>
              <w:t>THC</w:t>
            </w:r>
          </w:p>
          <w:p>
            <w:pPr>
              <w:jc w:val="center"/>
              <w:rPr>
                <w:szCs w:val="21"/>
              </w:rPr>
            </w:pPr>
            <w:r>
              <w:rPr>
                <w:szCs w:val="21"/>
              </w:rPr>
              <w:t>NOx</w:t>
            </w:r>
          </w:p>
        </w:tc>
        <w:tc>
          <w:tcPr>
            <w:tcW w:w="354" w:type="pct"/>
            <w:vAlign w:val="center"/>
          </w:tcPr>
          <w:p>
            <w:pPr>
              <w:jc w:val="center"/>
              <w:rPr>
                <w:szCs w:val="21"/>
              </w:rPr>
            </w:pPr>
            <w:r>
              <w:rPr>
                <w:rFonts w:hint="eastAsia"/>
                <w:szCs w:val="21"/>
              </w:rPr>
              <w:t>少量</w:t>
            </w:r>
          </w:p>
        </w:tc>
        <w:tc>
          <w:tcPr>
            <w:tcW w:w="287" w:type="pct"/>
            <w:vAlign w:val="center"/>
          </w:tcPr>
          <w:p>
            <w:pPr>
              <w:jc w:val="center"/>
              <w:rPr>
                <w:szCs w:val="21"/>
              </w:rPr>
            </w:pPr>
            <w:r>
              <w:rPr>
                <w:rFonts w:hint="eastAsia"/>
                <w:szCs w:val="21"/>
              </w:rPr>
              <w:t>/</w:t>
            </w:r>
          </w:p>
        </w:tc>
        <w:tc>
          <w:tcPr>
            <w:tcW w:w="348" w:type="pct"/>
            <w:vAlign w:val="center"/>
          </w:tcPr>
          <w:p>
            <w:pPr>
              <w:jc w:val="center"/>
              <w:rPr>
                <w:szCs w:val="21"/>
              </w:rPr>
            </w:pPr>
            <w:r>
              <w:rPr>
                <w:rFonts w:hint="eastAsia"/>
                <w:szCs w:val="21"/>
              </w:rPr>
              <w:t>/</w:t>
            </w:r>
          </w:p>
        </w:tc>
        <w:tc>
          <w:tcPr>
            <w:tcW w:w="911" w:type="pct"/>
            <w:vAlign w:val="center"/>
          </w:tcPr>
          <w:p>
            <w:pPr>
              <w:jc w:val="center"/>
              <w:rPr>
                <w:szCs w:val="21"/>
              </w:rPr>
            </w:pPr>
            <w:r>
              <w:rPr>
                <w:rFonts w:hint="eastAsia"/>
                <w:szCs w:val="21"/>
              </w:rPr>
              <w:t>清洁燃料、定期维修保养、加强绿化、通风</w:t>
            </w:r>
          </w:p>
        </w:tc>
        <w:tc>
          <w:tcPr>
            <w:tcW w:w="310" w:type="pct"/>
            <w:vAlign w:val="center"/>
          </w:tcPr>
          <w:p>
            <w:pPr>
              <w:jc w:val="center"/>
              <w:rPr>
                <w:szCs w:val="21"/>
              </w:rPr>
            </w:pPr>
            <w:r>
              <w:rPr>
                <w:rFonts w:hint="eastAsia"/>
                <w:szCs w:val="21"/>
              </w:rPr>
              <w:t>/</w:t>
            </w:r>
          </w:p>
        </w:tc>
        <w:tc>
          <w:tcPr>
            <w:tcW w:w="317" w:type="pct"/>
            <w:vAlign w:val="center"/>
          </w:tcPr>
          <w:p>
            <w:pPr>
              <w:jc w:val="center"/>
              <w:rPr>
                <w:szCs w:val="21"/>
              </w:rPr>
            </w:pPr>
            <w:r>
              <w:rPr>
                <w:rFonts w:hint="eastAsia"/>
                <w:szCs w:val="21"/>
              </w:rPr>
              <w:t>少量</w:t>
            </w:r>
          </w:p>
        </w:tc>
        <w:tc>
          <w:tcPr>
            <w:tcW w:w="363" w:type="pct"/>
            <w:vAlign w:val="center"/>
          </w:tcPr>
          <w:p>
            <w:pPr>
              <w:jc w:val="center"/>
              <w:rPr>
                <w:szCs w:val="21"/>
              </w:rPr>
            </w:pPr>
            <w:r>
              <w:rPr>
                <w:rFonts w:hint="eastAsia"/>
                <w:szCs w:val="21"/>
              </w:rPr>
              <w:t>/</w:t>
            </w:r>
          </w:p>
        </w:tc>
        <w:tc>
          <w:tcPr>
            <w:tcW w:w="296" w:type="pct"/>
            <w:vAlign w:val="center"/>
          </w:tcPr>
          <w:p>
            <w:pPr>
              <w:jc w:val="center"/>
              <w:rPr>
                <w:szCs w:val="21"/>
              </w:rPr>
            </w:pPr>
            <w:r>
              <w:rPr>
                <w:rFonts w:hint="eastAsia"/>
                <w:szCs w:val="21"/>
              </w:rPr>
              <w:t>/</w:t>
            </w:r>
          </w:p>
        </w:tc>
        <w:tc>
          <w:tcPr>
            <w:tcW w:w="313" w:type="pct"/>
            <w:vAlign w:val="center"/>
          </w:tcPr>
          <w:p>
            <w:pPr>
              <w:jc w:val="center"/>
              <w:rPr>
                <w:szCs w:val="21"/>
              </w:rPr>
            </w:pPr>
            <w:r>
              <w:rPr>
                <w:rFonts w:hint="eastAsia"/>
                <w:szCs w:val="21"/>
              </w:rPr>
              <w:t>/</w:t>
            </w:r>
          </w:p>
        </w:tc>
        <w:tc>
          <w:tcPr>
            <w:tcW w:w="306" w:type="pct"/>
            <w:vAlign w:val="center"/>
          </w:tcPr>
          <w:p>
            <w:pPr>
              <w:jc w:val="center"/>
              <w:rPr>
                <w:szCs w:val="21"/>
              </w:rPr>
            </w:pPr>
            <w:r>
              <w:rPr>
                <w:rFonts w:hint="eastAsia"/>
                <w:szCs w:val="21"/>
              </w:rPr>
              <w:t>/</w:t>
            </w:r>
          </w:p>
        </w:tc>
        <w:tc>
          <w:tcPr>
            <w:tcW w:w="276" w:type="pct"/>
            <w:vAlign w:val="center"/>
          </w:tcPr>
          <w:p>
            <w:pPr>
              <w:jc w:val="center"/>
              <w:rPr>
                <w:szCs w:val="21"/>
              </w:rPr>
            </w:pPr>
            <w:r>
              <w:rPr>
                <w:rFonts w:hint="eastAsia"/>
                <w:szCs w:val="21"/>
              </w:rPr>
              <w:t>是</w:t>
            </w:r>
          </w:p>
        </w:tc>
        <w:tc>
          <w:tcPr>
            <w:tcW w:w="344" w:type="pct"/>
            <w:vAlign w:val="center"/>
          </w:tcPr>
          <w:p>
            <w:pPr>
              <w:jc w:val="center"/>
              <w:rPr>
                <w:szCs w:val="21"/>
              </w:rPr>
            </w:pPr>
            <w:r>
              <w:rPr>
                <w:szCs w:val="21"/>
              </w:rPr>
              <w:t>无组织</w:t>
            </w:r>
          </w:p>
        </w:tc>
      </w:tr>
    </w:tbl>
    <w:p>
      <w:pPr>
        <w:adjustRightInd w:val="0"/>
        <w:snapToGrid w:val="0"/>
        <w:spacing w:line="360" w:lineRule="auto"/>
        <w:ind w:firstLine="480" w:firstLineChars="200"/>
        <w:rPr>
          <w:rFonts w:hAnsiTheme="majorEastAsia" w:eastAsiaTheme="majorEastAsia"/>
          <w:kern w:val="0"/>
          <w:sz w:val="24"/>
        </w:rPr>
      </w:pPr>
    </w:p>
    <w:p>
      <w:pPr>
        <w:adjustRightInd w:val="0"/>
        <w:snapToGrid w:val="0"/>
        <w:spacing w:line="360" w:lineRule="auto"/>
        <w:ind w:firstLine="480" w:firstLineChars="200"/>
        <w:rPr>
          <w:rFonts w:hAnsiTheme="majorEastAsia" w:eastAsiaTheme="majorEastAsia"/>
          <w:kern w:val="0"/>
          <w:sz w:val="24"/>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12" w:charSpace="0"/>
        </w:sectPr>
      </w:pPr>
    </w:p>
    <w:p>
      <w:pPr>
        <w:spacing w:line="360" w:lineRule="auto"/>
        <w:ind w:firstLine="482" w:firstLineChars="200"/>
        <w:outlineLvl w:val="3"/>
        <w:rPr>
          <w:rFonts w:eastAsiaTheme="minorEastAsia"/>
          <w:b/>
          <w:sz w:val="24"/>
        </w:rPr>
      </w:pPr>
      <w:r>
        <w:rPr>
          <w:rFonts w:hint="eastAsia" w:eastAsiaTheme="minorEastAsia"/>
          <w:b/>
          <w:sz w:val="24"/>
        </w:rPr>
        <w:t xml:space="preserve">3.3.2.2 </w:t>
      </w:r>
      <w:r>
        <w:rPr>
          <w:rFonts w:hAnsiTheme="minorEastAsia" w:eastAsiaTheme="minorEastAsia"/>
          <w:b/>
          <w:sz w:val="24"/>
        </w:rPr>
        <w:t>运营期废水污染源核算</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本项目废水主要包括清舍时鸡舍冲洗废水、防尘间喷淋废水</w:t>
      </w:r>
      <w:r>
        <w:rPr>
          <w:rFonts w:hint="eastAsia" w:ascii="Times New Roman" w:hAnsi="Times New Roman" w:cs="Times New Roman"/>
          <w:kern w:val="0"/>
          <w:sz w:val="24"/>
          <w:lang w:val="en-US" w:eastAsia="zh-CN"/>
        </w:rPr>
        <w:t>和</w:t>
      </w:r>
      <w:r>
        <w:rPr>
          <w:rFonts w:hint="default" w:ascii="Times New Roman" w:hAnsi="Times New Roman" w:cs="Times New Roman"/>
          <w:kern w:val="0"/>
          <w:sz w:val="24"/>
        </w:rPr>
        <w:t>生活</w:t>
      </w:r>
      <w:r>
        <w:rPr>
          <w:rFonts w:hint="eastAsia" w:ascii="Times New Roman" w:hAnsi="Times New Roman" w:cs="Times New Roman"/>
          <w:kern w:val="0"/>
          <w:sz w:val="24"/>
          <w:lang w:val="en-US" w:eastAsia="zh-CN"/>
        </w:rPr>
        <w:t>污水</w:t>
      </w:r>
      <w:r>
        <w:rPr>
          <w:rFonts w:hint="default" w:ascii="Times New Roman" w:hAnsi="Times New Roman" w:cs="Times New Roman"/>
          <w:kern w:val="0"/>
          <w:sz w:val="24"/>
        </w:rPr>
        <w:t>，项目运营期年排水量为</w:t>
      </w:r>
      <w:r>
        <w:rPr>
          <w:rFonts w:hint="eastAsia" w:ascii="Times New Roman" w:hAnsi="Times New Roman" w:cs="Times New Roman"/>
          <w:sz w:val="24"/>
          <w:lang w:val="en-US" w:eastAsia="zh-CN"/>
        </w:rPr>
        <w:t>2286.59</w:t>
      </w:r>
      <w:r>
        <w:rPr>
          <w:rFonts w:ascii="Times New Roman" w:hAnsi="Times New Roman" w:cs="Times New Roman"/>
          <w:sz w:val="24"/>
        </w:rPr>
        <w:t>m</w:t>
      </w:r>
      <w:r>
        <w:rPr>
          <w:rFonts w:ascii="Times New Roman" w:hAnsi="Times New Roman" w:cs="Times New Roman"/>
          <w:sz w:val="24"/>
          <w:vertAlign w:val="superscript"/>
        </w:rPr>
        <w:t>3</w:t>
      </w:r>
      <w:r>
        <w:rPr>
          <w:rFonts w:hint="default" w:ascii="Times New Roman" w:hAnsi="Times New Roman" w:cs="Times New Roman"/>
          <w:kern w:val="0"/>
          <w:sz w:val="24"/>
        </w:rPr>
        <w:t>（其中生活废水：</w:t>
      </w:r>
      <w:r>
        <w:rPr>
          <w:rFonts w:hint="eastAsia" w:ascii="Times New Roman" w:hAnsi="Times New Roman" w:cs="Times New Roman"/>
          <w:kern w:val="0"/>
          <w:sz w:val="24"/>
          <w:lang w:val="en-US" w:eastAsia="zh-CN"/>
        </w:rPr>
        <w:t>1460</w:t>
      </w:r>
      <w:r>
        <w:rPr>
          <w:rFonts w:hint="default" w:ascii="Times New Roman" w:hAnsi="Times New Roman" w:cs="Times New Roman"/>
          <w:kern w:val="0"/>
          <w:sz w:val="24"/>
        </w:rPr>
        <w:t>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/a，生产废水：</w:t>
      </w:r>
      <w:r>
        <w:rPr>
          <w:rFonts w:hint="eastAsia" w:ascii="Times New Roman" w:hAnsi="Times New Roman" w:cs="Times New Roman"/>
          <w:kern w:val="0"/>
          <w:sz w:val="24"/>
          <w:lang w:val="en-US" w:eastAsia="zh-CN"/>
        </w:rPr>
        <w:t>826.59</w:t>
      </w:r>
      <w:r>
        <w:rPr>
          <w:rFonts w:hint="default" w:ascii="Times New Roman" w:hAnsi="Times New Roman" w:cs="Times New Roman"/>
          <w:kern w:val="0"/>
          <w:sz w:val="24"/>
        </w:rPr>
        <w:t>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/a）。</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养殖废水有机物浓度高、悬浮物多、氨氮含量高、臭味大，主要含有COD、BOD5、氨氮、SS、总磷、粪大肠菌群数等，属于高浓度有机废水，一般不含有毒物质。蛋鸡养殖废水产生量虽少，但含有大量的有机物，废水必须经处理后才能够</w:t>
      </w:r>
      <w:r>
        <w:rPr>
          <w:rFonts w:hint="eastAsia" w:cs="Times New Roman"/>
          <w:kern w:val="0"/>
          <w:sz w:val="24"/>
          <w:lang w:val="en-US" w:eastAsia="zh-CN"/>
        </w:rPr>
        <w:t>用于周边</w:t>
      </w:r>
      <w:r>
        <w:rPr>
          <w:rFonts w:hint="eastAsia"/>
          <w:kern w:val="0"/>
          <w:sz w:val="24"/>
        </w:rPr>
        <w:t>种植基地</w:t>
      </w:r>
      <w:r>
        <w:rPr>
          <w:rFonts w:hint="eastAsia"/>
          <w:kern w:val="0"/>
          <w:sz w:val="24"/>
          <w:lang w:val="en-US" w:eastAsia="zh-CN"/>
        </w:rPr>
        <w:t>灌溉</w:t>
      </w:r>
      <w:r>
        <w:rPr>
          <w:rFonts w:hint="default" w:ascii="Times New Roman" w:hAnsi="Times New Roman" w:cs="Times New Roman"/>
          <w:kern w:val="0"/>
          <w:sz w:val="24"/>
        </w:rPr>
        <w:t>。本项目拟采用厌氧发酵废水处理系统对废水进行处理，处理后的废水</w:t>
      </w:r>
      <w:r>
        <w:rPr>
          <w:rFonts w:hint="eastAsia" w:cs="Times New Roman"/>
          <w:kern w:val="0"/>
          <w:sz w:val="24"/>
          <w:lang w:val="en-US" w:eastAsia="zh-CN"/>
        </w:rPr>
        <w:t>用于周边</w:t>
      </w:r>
      <w:r>
        <w:rPr>
          <w:rFonts w:hint="eastAsia"/>
          <w:kern w:val="0"/>
          <w:sz w:val="24"/>
        </w:rPr>
        <w:t>种植基地</w:t>
      </w:r>
      <w:r>
        <w:rPr>
          <w:rFonts w:hint="eastAsia"/>
          <w:kern w:val="0"/>
          <w:sz w:val="24"/>
          <w:lang w:val="en-US" w:eastAsia="zh-CN"/>
        </w:rPr>
        <w:t>灌溉</w:t>
      </w:r>
      <w:r>
        <w:rPr>
          <w:rFonts w:hint="default" w:ascii="Times New Roman" w:hAnsi="Times New Roman" w:cs="Times New Roman"/>
          <w:kern w:val="0"/>
          <w:sz w:val="24"/>
        </w:rPr>
        <w:t>，不外排。</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根据《农业污染源产排污系统手册》（2009年2月，中国农业科学院农业环境与可持续发展研究所和环境保护部南京环境科学研究所编写）畜禽养殖产污系数及与同类畜禽养殖场的对比分析，鸡舍冲洗废水主要污染物浓度为COD：2500mg/L、BOD</w:t>
      </w:r>
      <w:r>
        <w:rPr>
          <w:rFonts w:hint="default" w:ascii="Times New Roman" w:hAnsi="Times New Roman" w:cs="Times New Roman"/>
          <w:kern w:val="0"/>
          <w:sz w:val="24"/>
          <w:vertAlign w:val="subscript"/>
        </w:rPr>
        <w:t>5</w:t>
      </w:r>
      <w:r>
        <w:rPr>
          <w:rFonts w:hint="default" w:ascii="Times New Roman" w:hAnsi="Times New Roman" w:cs="Times New Roman"/>
          <w:kern w:val="0"/>
          <w:sz w:val="24"/>
        </w:rPr>
        <w:t>：1500mg/L、氨氮：200mg/L、SS：1000mg/L。类比同类行业防尘间喷淋废水水质，防尘间喷淋废水的主要污染物的浓度为COD：1200mg/L、BOD：500mg/L、氨氮：300mg/L、SS：800mg/L。</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项目营运期养殖场废水污染物产生情况见下表：</w:t>
      </w:r>
    </w:p>
    <w:p>
      <w:pPr>
        <w:spacing w:beforeLines="50"/>
        <w:jc w:val="center"/>
        <w:rPr>
          <w:b/>
        </w:rPr>
      </w:pPr>
      <w:r>
        <w:rPr>
          <w:b/>
        </w:rPr>
        <w:t>表4.4-4  项目运营期废水产生情况一览表</w:t>
      </w:r>
    </w:p>
    <w:tbl>
      <w:tblPr>
        <w:tblStyle w:val="47"/>
        <w:tblW w:w="501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083"/>
        <w:gridCol w:w="2029"/>
        <w:gridCol w:w="1142"/>
        <w:gridCol w:w="1150"/>
        <w:gridCol w:w="983"/>
        <w:gridCol w:w="9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456" w:type="pct"/>
            <w:gridSpan w:val="2"/>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项目</w:t>
            </w:r>
          </w:p>
        </w:tc>
        <w:tc>
          <w:tcPr>
            <w:tcW w:w="682"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COD</w:t>
            </w:r>
          </w:p>
        </w:tc>
        <w:tc>
          <w:tcPr>
            <w:tcW w:w="687"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BOD</w:t>
            </w:r>
            <w:r>
              <w:rPr>
                <w:rFonts w:hint="default" w:ascii="Times New Roman" w:hAnsi="Times New Roman" w:cs="Times New Roman"/>
                <w:b/>
                <w:bCs/>
                <w:sz w:val="21"/>
                <w:szCs w:val="21"/>
                <w:vertAlign w:val="subscript"/>
              </w:rPr>
              <w:t>5</w:t>
            </w:r>
          </w:p>
        </w:tc>
        <w:tc>
          <w:tcPr>
            <w:tcW w:w="587"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氨氮</w:t>
            </w:r>
          </w:p>
        </w:tc>
        <w:tc>
          <w:tcPr>
            <w:tcW w:w="586"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SS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244" w:type="pct"/>
            <w:vMerge w:val="restar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生活废水</w:t>
            </w:r>
          </w:p>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1460</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/a</w:t>
            </w:r>
          </w:p>
        </w:tc>
        <w:tc>
          <w:tcPr>
            <w:tcW w:w="1212"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产生浓度（mg/L）</w:t>
            </w:r>
          </w:p>
        </w:tc>
        <w:tc>
          <w:tcPr>
            <w:tcW w:w="1142"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350</w:t>
            </w:r>
          </w:p>
        </w:tc>
        <w:tc>
          <w:tcPr>
            <w:tcW w:w="1150"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200</w:t>
            </w:r>
          </w:p>
        </w:tc>
        <w:tc>
          <w:tcPr>
            <w:tcW w:w="983"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35</w:t>
            </w:r>
          </w:p>
        </w:tc>
        <w:tc>
          <w:tcPr>
            <w:tcW w:w="982"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4" w:type="pct"/>
            <w:vMerge w:val="continue"/>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1212"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产生量（t/a）</w:t>
            </w:r>
          </w:p>
        </w:tc>
        <w:tc>
          <w:tcPr>
            <w:tcW w:w="1142"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0.511</w:t>
            </w:r>
          </w:p>
        </w:tc>
        <w:tc>
          <w:tcPr>
            <w:tcW w:w="1150"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0.292</w:t>
            </w:r>
          </w:p>
        </w:tc>
        <w:tc>
          <w:tcPr>
            <w:tcW w:w="983"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0.051</w:t>
            </w:r>
          </w:p>
        </w:tc>
        <w:tc>
          <w:tcPr>
            <w:tcW w:w="982"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0.321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4" w:type="pct"/>
            <w:vMerge w:val="restar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鸡舍冲洗废水</w:t>
            </w:r>
          </w:p>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195.87</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/a</w:t>
            </w:r>
          </w:p>
        </w:tc>
        <w:tc>
          <w:tcPr>
            <w:tcW w:w="1212"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产生浓度（mg/L）</w:t>
            </w:r>
          </w:p>
        </w:tc>
        <w:tc>
          <w:tcPr>
            <w:tcW w:w="1142"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2500</w:t>
            </w:r>
          </w:p>
        </w:tc>
        <w:tc>
          <w:tcPr>
            <w:tcW w:w="1150"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1500</w:t>
            </w:r>
          </w:p>
        </w:tc>
        <w:tc>
          <w:tcPr>
            <w:tcW w:w="983"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200</w:t>
            </w:r>
          </w:p>
        </w:tc>
        <w:tc>
          <w:tcPr>
            <w:tcW w:w="982"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4" w:type="pct"/>
            <w:vMerge w:val="continue"/>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1212"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产生量（t/a）</w:t>
            </w:r>
          </w:p>
        </w:tc>
        <w:tc>
          <w:tcPr>
            <w:tcW w:w="1142"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0.490</w:t>
            </w:r>
          </w:p>
        </w:tc>
        <w:tc>
          <w:tcPr>
            <w:tcW w:w="1150"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0.294</w:t>
            </w:r>
          </w:p>
        </w:tc>
        <w:tc>
          <w:tcPr>
            <w:tcW w:w="983"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0.039</w:t>
            </w:r>
          </w:p>
        </w:tc>
        <w:tc>
          <w:tcPr>
            <w:tcW w:w="982"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0.196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4" w:type="pct"/>
            <w:vMerge w:val="restar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防尘间喷淋废水</w:t>
            </w:r>
          </w:p>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630.72</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/a</w:t>
            </w:r>
          </w:p>
        </w:tc>
        <w:tc>
          <w:tcPr>
            <w:tcW w:w="1212"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产生浓度（mg/L）</w:t>
            </w:r>
          </w:p>
        </w:tc>
        <w:tc>
          <w:tcPr>
            <w:tcW w:w="1142"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1200</w:t>
            </w:r>
          </w:p>
        </w:tc>
        <w:tc>
          <w:tcPr>
            <w:tcW w:w="1150"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500</w:t>
            </w:r>
          </w:p>
        </w:tc>
        <w:tc>
          <w:tcPr>
            <w:tcW w:w="983"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300</w:t>
            </w:r>
          </w:p>
        </w:tc>
        <w:tc>
          <w:tcPr>
            <w:tcW w:w="982"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4" w:type="pct"/>
            <w:vMerge w:val="continue"/>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1212"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产生量（t/a）</w:t>
            </w:r>
          </w:p>
        </w:tc>
        <w:tc>
          <w:tcPr>
            <w:tcW w:w="1142"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0.757</w:t>
            </w:r>
          </w:p>
        </w:tc>
        <w:tc>
          <w:tcPr>
            <w:tcW w:w="1150"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0.315</w:t>
            </w:r>
          </w:p>
        </w:tc>
        <w:tc>
          <w:tcPr>
            <w:tcW w:w="983"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0.189</w:t>
            </w:r>
          </w:p>
        </w:tc>
        <w:tc>
          <w:tcPr>
            <w:tcW w:w="982"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0.505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4" w:type="pct"/>
            <w:vMerge w:val="restar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综合废水</w:t>
            </w:r>
          </w:p>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2286.59</w:t>
            </w: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/a</w:t>
            </w:r>
          </w:p>
        </w:tc>
        <w:tc>
          <w:tcPr>
            <w:tcW w:w="1212"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产生浓度（mg/L）</w:t>
            </w:r>
          </w:p>
        </w:tc>
        <w:tc>
          <w:tcPr>
            <w:tcW w:w="1142"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768.63</w:t>
            </w:r>
          </w:p>
        </w:tc>
        <w:tc>
          <w:tcPr>
            <w:tcW w:w="1150"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394.11</w:t>
            </w:r>
          </w:p>
        </w:tc>
        <w:tc>
          <w:tcPr>
            <w:tcW w:w="983"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122.23</w:t>
            </w:r>
          </w:p>
        </w:tc>
        <w:tc>
          <w:tcPr>
            <w:tcW w:w="982"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446.80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244" w:type="pct"/>
            <w:vMerge w:val="continue"/>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1212"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产生量（t/a）</w:t>
            </w:r>
          </w:p>
        </w:tc>
        <w:tc>
          <w:tcPr>
            <w:tcW w:w="1142"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1.758</w:t>
            </w:r>
          </w:p>
        </w:tc>
        <w:tc>
          <w:tcPr>
            <w:tcW w:w="1150"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0.901</w:t>
            </w:r>
          </w:p>
        </w:tc>
        <w:tc>
          <w:tcPr>
            <w:tcW w:w="983"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0.279</w:t>
            </w:r>
          </w:p>
        </w:tc>
        <w:tc>
          <w:tcPr>
            <w:tcW w:w="982" w:type="dxa"/>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1.022</w:t>
            </w:r>
          </w:p>
        </w:tc>
      </w:tr>
    </w:tbl>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本项目拟采用厌氧发酵废水处理系统，该设备采用的工艺是在断绝与空气接触的条件下，依赖兼性厌氧菌的生物化学作用，对有机物进行生物降解的过程。厌氧发酵废水处理系统对COD去除率为85%，BOD</w:t>
      </w:r>
      <w:r>
        <w:rPr>
          <w:rFonts w:hint="default" w:ascii="Times New Roman" w:hAnsi="Times New Roman" w:cs="Times New Roman"/>
          <w:kern w:val="0"/>
          <w:sz w:val="24"/>
          <w:vertAlign w:val="subscript"/>
        </w:rPr>
        <w:t>5</w:t>
      </w:r>
      <w:r>
        <w:rPr>
          <w:rFonts w:hint="default" w:ascii="Times New Roman" w:hAnsi="Times New Roman" w:cs="Times New Roman"/>
          <w:kern w:val="0"/>
          <w:sz w:val="24"/>
        </w:rPr>
        <w:t>去除率为85%，NH</w:t>
      </w:r>
      <w:r>
        <w:rPr>
          <w:rFonts w:hint="default" w:ascii="Times New Roman" w:hAnsi="Times New Roman" w:cs="Times New Roman"/>
          <w:kern w:val="0"/>
          <w:sz w:val="24"/>
          <w:vertAlign w:val="subscript"/>
        </w:rPr>
        <w:t>3</w:t>
      </w:r>
      <w:r>
        <w:rPr>
          <w:rFonts w:hint="default" w:ascii="Times New Roman" w:hAnsi="Times New Roman" w:cs="Times New Roman"/>
          <w:kern w:val="0"/>
          <w:sz w:val="24"/>
        </w:rPr>
        <w:t>-N去除率约80%，SS去除率为85%。</w:t>
      </w:r>
    </w:p>
    <w:p>
      <w:pPr>
        <w:spacing w:line="360" w:lineRule="auto"/>
        <w:ind w:firstLine="480" w:firstLineChars="200"/>
        <w:rPr>
          <w:rFonts w:hint="default" w:ascii="Times New Roman" w:hAnsi="Times New Roman" w:cs="Times New Roman"/>
          <w:kern w:val="0"/>
          <w:sz w:val="24"/>
        </w:rPr>
      </w:pPr>
      <w:r>
        <w:rPr>
          <w:rFonts w:hint="default" w:ascii="Times New Roman" w:hAnsi="Times New Roman" w:cs="Times New Roman"/>
          <w:kern w:val="0"/>
          <w:sz w:val="24"/>
        </w:rPr>
        <w:t>则本项目污水经厌氧发酵废水处理系统处理后，出水水质情况见下表。</w:t>
      </w:r>
    </w:p>
    <w:p>
      <w:pPr>
        <w:spacing w:beforeLines="50"/>
        <w:jc w:val="center"/>
        <w:rPr>
          <w:b/>
        </w:rPr>
      </w:pPr>
      <w:r>
        <w:rPr>
          <w:b/>
        </w:rPr>
        <w:t>表4.4-5  废水处理设施进出水水质情况一览表</w:t>
      </w:r>
    </w:p>
    <w:tbl>
      <w:tblPr>
        <w:tblStyle w:val="4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96"/>
        <w:gridCol w:w="1279"/>
        <w:gridCol w:w="1677"/>
        <w:gridCol w:w="950"/>
        <w:gridCol w:w="950"/>
        <w:gridCol w:w="950"/>
        <w:gridCol w:w="9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3" w:type="pct"/>
            <w:vMerge w:val="restar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项目</w:t>
            </w:r>
          </w:p>
        </w:tc>
        <w:tc>
          <w:tcPr>
            <w:tcW w:w="750" w:type="pct"/>
            <w:vMerge w:val="restar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污水量（m</w:t>
            </w:r>
            <w:r>
              <w:rPr>
                <w:rFonts w:hint="default" w:ascii="Times New Roman" w:hAnsi="Times New Roman" w:cs="Times New Roman"/>
                <w:b/>
                <w:bCs/>
                <w:sz w:val="21"/>
                <w:szCs w:val="21"/>
                <w:vertAlign w:val="superscript"/>
              </w:rPr>
              <w:t>3</w:t>
            </w:r>
            <w:r>
              <w:rPr>
                <w:rFonts w:hint="default" w:ascii="Times New Roman" w:hAnsi="Times New Roman" w:cs="Times New Roman"/>
                <w:b/>
                <w:bCs/>
                <w:sz w:val="21"/>
                <w:szCs w:val="21"/>
              </w:rPr>
              <w:t>/a）</w:t>
            </w:r>
          </w:p>
        </w:tc>
        <w:tc>
          <w:tcPr>
            <w:tcW w:w="983" w:type="pct"/>
            <w:vMerge w:val="restar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指标</w:t>
            </w:r>
          </w:p>
        </w:tc>
        <w:tc>
          <w:tcPr>
            <w:tcW w:w="2212" w:type="pct"/>
            <w:gridSpan w:val="4"/>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污染物名称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3" w:type="pct"/>
            <w:vMerge w:val="continue"/>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21"/>
                <w:szCs w:val="21"/>
              </w:rPr>
            </w:pPr>
          </w:p>
        </w:tc>
        <w:tc>
          <w:tcPr>
            <w:tcW w:w="750" w:type="pct"/>
            <w:vMerge w:val="continue"/>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21"/>
                <w:szCs w:val="21"/>
              </w:rPr>
            </w:pPr>
          </w:p>
        </w:tc>
        <w:tc>
          <w:tcPr>
            <w:tcW w:w="983" w:type="pct"/>
            <w:vMerge w:val="continue"/>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21"/>
                <w:szCs w:val="21"/>
              </w:rPr>
            </w:pPr>
          </w:p>
        </w:tc>
        <w:tc>
          <w:tcPr>
            <w:tcW w:w="557"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COD</w:t>
            </w:r>
          </w:p>
        </w:tc>
        <w:tc>
          <w:tcPr>
            <w:tcW w:w="557"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BOD</w:t>
            </w:r>
            <w:r>
              <w:rPr>
                <w:rFonts w:hint="default" w:ascii="Times New Roman" w:hAnsi="Times New Roman" w:cs="Times New Roman"/>
                <w:b/>
                <w:bCs/>
                <w:sz w:val="21"/>
                <w:szCs w:val="21"/>
                <w:vertAlign w:val="subscript"/>
              </w:rPr>
              <w:t>5</w:t>
            </w:r>
          </w:p>
        </w:tc>
        <w:tc>
          <w:tcPr>
            <w:tcW w:w="557"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氨氮</w:t>
            </w:r>
          </w:p>
        </w:tc>
        <w:tc>
          <w:tcPr>
            <w:tcW w:w="541"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SS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3" w:type="pct"/>
            <w:vMerge w:val="restar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污水处理站进口水质</w:t>
            </w:r>
          </w:p>
        </w:tc>
        <w:tc>
          <w:tcPr>
            <w:tcW w:w="750" w:type="pct"/>
            <w:vMerge w:val="restar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2286.59</w:t>
            </w:r>
          </w:p>
        </w:tc>
        <w:tc>
          <w:tcPr>
            <w:tcW w:w="983"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进水浓度（mg/L）</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768.63</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394.11</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122.23</w:t>
            </w:r>
          </w:p>
        </w:tc>
        <w:tc>
          <w:tcPr>
            <w:tcW w:w="541"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446.80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3" w:type="pct"/>
            <w:vMerge w:val="continue"/>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750" w:type="pct"/>
            <w:vMerge w:val="continue"/>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983"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产生量（t/a）</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1.758</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0.901</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0.279</w:t>
            </w:r>
          </w:p>
        </w:tc>
        <w:tc>
          <w:tcPr>
            <w:tcW w:w="541"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3" w:type="pct"/>
            <w:vMerge w:val="restar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污水处理站</w:t>
            </w:r>
          </w:p>
        </w:tc>
        <w:tc>
          <w:tcPr>
            <w:tcW w:w="750" w:type="pct"/>
            <w:vMerge w:val="restar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2286.59</w:t>
            </w:r>
          </w:p>
        </w:tc>
        <w:tc>
          <w:tcPr>
            <w:tcW w:w="983"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去除效率（%）</w:t>
            </w:r>
          </w:p>
        </w:tc>
        <w:tc>
          <w:tcPr>
            <w:tcW w:w="557"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85</w:t>
            </w:r>
          </w:p>
        </w:tc>
        <w:tc>
          <w:tcPr>
            <w:tcW w:w="557"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85</w:t>
            </w:r>
          </w:p>
        </w:tc>
        <w:tc>
          <w:tcPr>
            <w:tcW w:w="557"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80</w:t>
            </w:r>
          </w:p>
        </w:tc>
        <w:tc>
          <w:tcPr>
            <w:tcW w:w="541"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3" w:type="pct"/>
            <w:vMerge w:val="continue"/>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750" w:type="pct"/>
            <w:vMerge w:val="continue"/>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983"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削减量（t/a）</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1.494</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0.766</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0.223</w:t>
            </w:r>
          </w:p>
        </w:tc>
        <w:tc>
          <w:tcPr>
            <w:tcW w:w="541"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0.869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3" w:type="pct"/>
            <w:vMerge w:val="restar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污水处理站出口水质</w:t>
            </w:r>
          </w:p>
        </w:tc>
        <w:tc>
          <w:tcPr>
            <w:tcW w:w="750" w:type="pct"/>
            <w:vMerge w:val="restar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2286.59</w:t>
            </w:r>
          </w:p>
        </w:tc>
        <w:tc>
          <w:tcPr>
            <w:tcW w:w="983"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出水浓度（mg/L）</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115.32</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59.11</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24.40</w:t>
            </w:r>
          </w:p>
        </w:tc>
        <w:tc>
          <w:tcPr>
            <w:tcW w:w="541"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67.04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3" w:type="pct"/>
            <w:vMerge w:val="continue"/>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750" w:type="pct"/>
            <w:vMerge w:val="continue"/>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p>
        </w:tc>
        <w:tc>
          <w:tcPr>
            <w:tcW w:w="983"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排放量（t/a）</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0.264</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0.135</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0.056</w:t>
            </w:r>
          </w:p>
        </w:tc>
        <w:tc>
          <w:tcPr>
            <w:tcW w:w="541" w:type="pct"/>
            <w:noWrap w:val="0"/>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color w:val="000000"/>
                <w:kern w:val="0"/>
                <w:sz w:val="21"/>
                <w:szCs w:val="21"/>
                <w:u w:val="none"/>
                <w:lang w:val="en-US" w:eastAsia="zh-CN" w:bidi="ar"/>
              </w:rPr>
              <w:t>0.153</w:t>
            </w:r>
          </w:p>
        </w:tc>
      </w:tr>
    </w:tbl>
    <w:p>
      <w:pPr>
        <w:spacing w:line="360" w:lineRule="auto"/>
        <w:ind w:firstLine="480" w:firstLineChars="200"/>
        <w:rPr>
          <w:rFonts w:hint="eastAsia" w:hAnsiTheme="minorEastAsia" w:eastAsiaTheme="minorEastAsia"/>
          <w:kern w:val="0"/>
          <w:sz w:val="24"/>
          <w:lang w:eastAsia="zh-CN"/>
        </w:rPr>
      </w:pPr>
      <w:r>
        <w:rPr>
          <w:rFonts w:hint="eastAsia" w:hAnsiTheme="minorEastAsia" w:eastAsiaTheme="minorEastAsia"/>
          <w:kern w:val="0"/>
          <w:sz w:val="24"/>
          <w:lang w:val="en-US" w:eastAsia="zh-CN"/>
        </w:rPr>
        <w:t>本项目共设2座污水处理站，</w:t>
      </w:r>
      <w:r>
        <w:rPr>
          <w:rFonts w:hint="eastAsia" w:hAnsiTheme="minorEastAsia" w:eastAsiaTheme="minorEastAsia"/>
          <w:kern w:val="0"/>
          <w:sz w:val="24"/>
          <w:lang w:eastAsia="zh-CN"/>
        </w:rPr>
        <w:t>南场</w:t>
      </w:r>
      <w:r>
        <w:rPr>
          <w:rFonts w:hint="eastAsia" w:hAnsiTheme="minorEastAsia" w:eastAsiaTheme="minorEastAsia"/>
          <w:kern w:val="0"/>
          <w:sz w:val="24"/>
          <w:lang w:val="en-US" w:eastAsia="zh-CN"/>
        </w:rPr>
        <w:t>污水处理站</w:t>
      </w:r>
      <w:r>
        <w:rPr>
          <w:rFonts w:hint="default" w:hAnsiTheme="minorEastAsia" w:eastAsiaTheme="minorEastAsia"/>
          <w:kern w:val="0"/>
          <w:sz w:val="24"/>
        </w:rPr>
        <w:t>收集</w:t>
      </w:r>
      <w:r>
        <w:rPr>
          <w:rFonts w:hint="eastAsia" w:hAnsiTheme="minorEastAsia" w:eastAsiaTheme="minorEastAsia"/>
          <w:kern w:val="0"/>
          <w:sz w:val="24"/>
          <w:lang w:eastAsia="zh-CN"/>
        </w:rPr>
        <w:t>南部养殖区</w:t>
      </w:r>
      <w:r>
        <w:rPr>
          <w:rFonts w:hint="default" w:hAnsiTheme="minorEastAsia" w:eastAsiaTheme="minorEastAsia"/>
          <w:kern w:val="0"/>
          <w:sz w:val="24"/>
        </w:rPr>
        <w:t>鸡舍冲洗废水、防尘间喷淋废水和中部生活污水（隔油预处理）</w:t>
      </w:r>
      <w:r>
        <w:rPr>
          <w:rFonts w:hint="eastAsia" w:hAnsiTheme="minorEastAsia" w:eastAsiaTheme="minorEastAsia"/>
          <w:kern w:val="0"/>
          <w:sz w:val="24"/>
          <w:lang w:eastAsia="zh-CN"/>
        </w:rPr>
        <w:t>，东场</w:t>
      </w:r>
      <w:r>
        <w:rPr>
          <w:rFonts w:hint="eastAsia" w:hAnsiTheme="minorEastAsia" w:eastAsiaTheme="minorEastAsia"/>
          <w:kern w:val="0"/>
          <w:sz w:val="24"/>
          <w:lang w:val="en-US" w:eastAsia="zh-CN"/>
        </w:rPr>
        <w:t>污水处理站</w:t>
      </w:r>
      <w:r>
        <w:rPr>
          <w:rFonts w:hint="default" w:hAnsiTheme="minorEastAsia" w:eastAsiaTheme="minorEastAsia"/>
          <w:kern w:val="0"/>
          <w:sz w:val="24"/>
        </w:rPr>
        <w:t>收集东部养殖区鸡舍冲洗废水、防尘间喷淋废水和东部生活污水，废水经污水处理站处理后</w:t>
      </w:r>
      <w:r>
        <w:rPr>
          <w:rFonts w:hint="eastAsia" w:hAnsiTheme="minorEastAsia" w:eastAsiaTheme="minorEastAsia"/>
          <w:kern w:val="0"/>
          <w:sz w:val="24"/>
          <w:lang w:val="en-US" w:eastAsia="zh-CN"/>
        </w:rPr>
        <w:t>用于</w:t>
      </w:r>
      <w:r>
        <w:rPr>
          <w:rFonts w:hint="default" w:hAnsiTheme="minorEastAsia" w:eastAsiaTheme="minorEastAsia"/>
          <w:kern w:val="0"/>
          <w:sz w:val="24"/>
        </w:rPr>
        <w:t>周边种植基地灌溉，不外排</w:t>
      </w:r>
      <w:r>
        <w:rPr>
          <w:rFonts w:hint="eastAsia" w:hAnsiTheme="minorEastAsia" w:eastAsiaTheme="minorEastAsia"/>
          <w:kern w:val="0"/>
          <w:sz w:val="24"/>
          <w:lang w:eastAsia="zh-CN"/>
        </w:rPr>
        <w:t>。</w:t>
      </w:r>
    </w:p>
    <w:p>
      <w:pPr>
        <w:spacing w:line="360" w:lineRule="auto"/>
        <w:ind w:firstLine="482" w:firstLineChars="200"/>
        <w:outlineLvl w:val="3"/>
        <w:rPr>
          <w:rFonts w:eastAsiaTheme="minorEastAsia"/>
          <w:b/>
          <w:sz w:val="24"/>
        </w:rPr>
      </w:pPr>
      <w:r>
        <w:rPr>
          <w:rFonts w:hint="eastAsia" w:eastAsiaTheme="minorEastAsia"/>
          <w:b/>
          <w:sz w:val="24"/>
        </w:rPr>
        <w:t xml:space="preserve">3.3.2.3 </w:t>
      </w:r>
      <w:r>
        <w:rPr>
          <w:rFonts w:eastAsiaTheme="minorEastAsia"/>
          <w:b/>
          <w:sz w:val="24"/>
        </w:rPr>
        <w:t>运营期噪声污染源核算</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本项目噪声主要来自鸡舍的鸡群叫声、车辆运输噪声和鸡舍送料设备、清粪、风机、水泵等设备噪声，类比同类型项目，主要</w:t>
      </w:r>
      <w:r>
        <w:rPr>
          <w:rFonts w:hAnsiTheme="minorEastAsia" w:eastAsiaTheme="minorEastAsia"/>
          <w:kern w:val="0"/>
          <w:sz w:val="24"/>
        </w:rPr>
        <w:t>噪声源强见表</w:t>
      </w:r>
      <w:r>
        <w:rPr>
          <w:rFonts w:hint="eastAsia" w:hAnsiTheme="minorEastAsia" w:eastAsiaTheme="minorEastAsia"/>
          <w:kern w:val="0"/>
          <w:sz w:val="24"/>
        </w:rPr>
        <w:t>3</w:t>
      </w:r>
      <w:r>
        <w:rPr>
          <w:rFonts w:hAnsiTheme="minorEastAsia" w:eastAsiaTheme="minorEastAsia"/>
          <w:kern w:val="0"/>
          <w:sz w:val="24"/>
        </w:rPr>
        <w:t>.3-</w:t>
      </w:r>
      <w:r>
        <w:rPr>
          <w:rFonts w:hint="eastAsia" w:hAnsiTheme="minorEastAsia" w:eastAsiaTheme="minorEastAsia"/>
          <w:kern w:val="0"/>
          <w:sz w:val="24"/>
        </w:rPr>
        <w:t>8。</w:t>
      </w:r>
    </w:p>
    <w:p>
      <w:pPr>
        <w:spacing w:beforeLines="50"/>
        <w:jc w:val="center"/>
        <w:rPr>
          <w:b/>
        </w:rPr>
      </w:pPr>
      <w:r>
        <w:rPr>
          <w:rFonts w:hint="eastAsia"/>
          <w:b/>
        </w:rPr>
        <w:t>表3.3-8  项目主要噪声污染源设备及等效声级一览表</w:t>
      </w:r>
    </w:p>
    <w:tbl>
      <w:tblPr>
        <w:tblStyle w:val="4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75"/>
        <w:gridCol w:w="1863"/>
        <w:gridCol w:w="1490"/>
        <w:gridCol w:w="1490"/>
        <w:gridCol w:w="261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0" w:type="pct"/>
            <w:vAlign w:val="center"/>
          </w:tcPr>
          <w:p>
            <w:pPr>
              <w:jc w:val="center"/>
              <w:rPr>
                <w:b/>
              </w:rPr>
            </w:pPr>
            <w:r>
              <w:rPr>
                <w:rFonts w:hint="eastAsia"/>
                <w:b/>
              </w:rPr>
              <w:t>编号</w:t>
            </w:r>
          </w:p>
        </w:tc>
        <w:tc>
          <w:tcPr>
            <w:tcW w:w="1092" w:type="pct"/>
            <w:vAlign w:val="center"/>
          </w:tcPr>
          <w:p>
            <w:pPr>
              <w:jc w:val="center"/>
              <w:rPr>
                <w:b/>
              </w:rPr>
            </w:pPr>
            <w:r>
              <w:rPr>
                <w:b/>
              </w:rPr>
              <w:t>噪声源</w:t>
            </w:r>
          </w:p>
        </w:tc>
        <w:tc>
          <w:tcPr>
            <w:tcW w:w="873" w:type="pct"/>
            <w:vAlign w:val="center"/>
          </w:tcPr>
          <w:p>
            <w:pPr>
              <w:jc w:val="center"/>
              <w:rPr>
                <w:b/>
              </w:rPr>
            </w:pPr>
            <w:r>
              <w:rPr>
                <w:rFonts w:hint="eastAsia"/>
                <w:b/>
              </w:rPr>
              <w:t>污染物来源</w:t>
            </w:r>
          </w:p>
        </w:tc>
        <w:tc>
          <w:tcPr>
            <w:tcW w:w="873" w:type="pct"/>
            <w:vAlign w:val="center"/>
          </w:tcPr>
          <w:p>
            <w:pPr>
              <w:jc w:val="center"/>
              <w:rPr>
                <w:b/>
              </w:rPr>
            </w:pPr>
            <w:r>
              <w:rPr>
                <w:rFonts w:hint="eastAsia"/>
                <w:b/>
              </w:rPr>
              <w:t>产生方式</w:t>
            </w:r>
          </w:p>
        </w:tc>
        <w:tc>
          <w:tcPr>
            <w:tcW w:w="1530" w:type="pct"/>
            <w:vAlign w:val="center"/>
          </w:tcPr>
          <w:p>
            <w:pPr>
              <w:jc w:val="center"/>
              <w:rPr>
                <w:b/>
              </w:rPr>
            </w:pPr>
            <w:r>
              <w:rPr>
                <w:rFonts w:hint="eastAsia"/>
                <w:b/>
              </w:rPr>
              <w:t>噪声强度dB（A）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0" w:type="pct"/>
            <w:vAlign w:val="center"/>
          </w:tcPr>
          <w:p>
            <w:pPr>
              <w:jc w:val="center"/>
            </w:pPr>
            <w:r>
              <w:rPr>
                <w:rFonts w:hint="eastAsia"/>
              </w:rPr>
              <w:t>1</w:t>
            </w:r>
          </w:p>
        </w:tc>
        <w:tc>
          <w:tcPr>
            <w:tcW w:w="1092" w:type="pct"/>
            <w:vAlign w:val="center"/>
          </w:tcPr>
          <w:p>
            <w:pPr>
              <w:jc w:val="center"/>
            </w:pPr>
            <w:r>
              <w:t>鸡群叫声</w:t>
            </w:r>
          </w:p>
        </w:tc>
        <w:tc>
          <w:tcPr>
            <w:tcW w:w="873" w:type="pct"/>
            <w:vAlign w:val="center"/>
          </w:tcPr>
          <w:p>
            <w:pPr>
              <w:jc w:val="center"/>
            </w:pPr>
            <w:r>
              <w:rPr>
                <w:rFonts w:hint="eastAsia"/>
              </w:rPr>
              <w:t>所有鸡舍</w:t>
            </w:r>
          </w:p>
        </w:tc>
        <w:tc>
          <w:tcPr>
            <w:tcW w:w="873" w:type="pct"/>
            <w:vAlign w:val="center"/>
          </w:tcPr>
          <w:p>
            <w:pPr>
              <w:jc w:val="center"/>
            </w:pPr>
            <w:r>
              <w:rPr>
                <w:rFonts w:hint="eastAsia"/>
              </w:rPr>
              <w:t>间断</w:t>
            </w:r>
          </w:p>
        </w:tc>
        <w:tc>
          <w:tcPr>
            <w:tcW w:w="1530" w:type="pct"/>
            <w:vAlign w:val="center"/>
          </w:tcPr>
          <w:p>
            <w:pPr>
              <w:jc w:val="center"/>
            </w:pPr>
            <w:r>
              <w:rPr>
                <w:rFonts w:hint="eastAsia"/>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0" w:type="pct"/>
            <w:vAlign w:val="center"/>
          </w:tcPr>
          <w:p>
            <w:pPr>
              <w:jc w:val="center"/>
            </w:pPr>
            <w:r>
              <w:rPr>
                <w:rFonts w:hint="eastAsia"/>
              </w:rPr>
              <w:t>2</w:t>
            </w:r>
          </w:p>
        </w:tc>
        <w:tc>
          <w:tcPr>
            <w:tcW w:w="1092" w:type="pct"/>
            <w:vAlign w:val="center"/>
          </w:tcPr>
          <w:p>
            <w:pPr>
              <w:jc w:val="center"/>
            </w:pPr>
            <w:r>
              <w:t>送料设备</w:t>
            </w:r>
          </w:p>
        </w:tc>
        <w:tc>
          <w:tcPr>
            <w:tcW w:w="873" w:type="pct"/>
            <w:vAlign w:val="center"/>
          </w:tcPr>
          <w:p>
            <w:pPr>
              <w:jc w:val="center"/>
            </w:pPr>
            <w:r>
              <w:rPr>
                <w:rFonts w:hint="eastAsia"/>
              </w:rPr>
              <w:t>所有鸡舍</w:t>
            </w:r>
          </w:p>
        </w:tc>
        <w:tc>
          <w:tcPr>
            <w:tcW w:w="873" w:type="pct"/>
            <w:vAlign w:val="center"/>
          </w:tcPr>
          <w:p>
            <w:pPr>
              <w:jc w:val="center"/>
            </w:pPr>
            <w:r>
              <w:rPr>
                <w:rFonts w:hint="eastAsia"/>
              </w:rPr>
              <w:t>连续</w:t>
            </w:r>
          </w:p>
        </w:tc>
        <w:tc>
          <w:tcPr>
            <w:tcW w:w="1530" w:type="pct"/>
            <w:vAlign w:val="center"/>
          </w:tcPr>
          <w:p>
            <w:pPr>
              <w:jc w:val="center"/>
            </w:pPr>
            <w:r>
              <w:rPr>
                <w:rFonts w:hint="eastAsia"/>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0" w:type="pct"/>
            <w:vAlign w:val="center"/>
          </w:tcPr>
          <w:p>
            <w:pPr>
              <w:jc w:val="center"/>
            </w:pPr>
            <w:r>
              <w:rPr>
                <w:rFonts w:hint="eastAsia"/>
              </w:rPr>
              <w:t>3</w:t>
            </w:r>
          </w:p>
        </w:tc>
        <w:tc>
          <w:tcPr>
            <w:tcW w:w="1092" w:type="pct"/>
            <w:vAlign w:val="center"/>
          </w:tcPr>
          <w:p>
            <w:pPr>
              <w:jc w:val="center"/>
            </w:pPr>
            <w:r>
              <w:t>清粪设备</w:t>
            </w:r>
          </w:p>
        </w:tc>
        <w:tc>
          <w:tcPr>
            <w:tcW w:w="873" w:type="pct"/>
            <w:vAlign w:val="center"/>
          </w:tcPr>
          <w:p>
            <w:pPr>
              <w:jc w:val="center"/>
            </w:pPr>
            <w:r>
              <w:rPr>
                <w:rFonts w:hint="eastAsia"/>
              </w:rPr>
              <w:t>所有鸡舍</w:t>
            </w:r>
          </w:p>
        </w:tc>
        <w:tc>
          <w:tcPr>
            <w:tcW w:w="873" w:type="pct"/>
            <w:vAlign w:val="center"/>
          </w:tcPr>
          <w:p>
            <w:pPr>
              <w:jc w:val="center"/>
            </w:pPr>
            <w:r>
              <w:rPr>
                <w:rFonts w:hint="eastAsia"/>
              </w:rPr>
              <w:t>连续</w:t>
            </w:r>
          </w:p>
        </w:tc>
        <w:tc>
          <w:tcPr>
            <w:tcW w:w="1530" w:type="pct"/>
            <w:vAlign w:val="center"/>
          </w:tcPr>
          <w:p>
            <w:pPr>
              <w:jc w:val="center"/>
            </w:pPr>
            <w:r>
              <w:rPr>
                <w:rFonts w:hint="eastAsia"/>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0" w:type="pct"/>
            <w:vAlign w:val="center"/>
          </w:tcPr>
          <w:p>
            <w:pPr>
              <w:jc w:val="center"/>
            </w:pPr>
            <w:r>
              <w:rPr>
                <w:rFonts w:hint="eastAsia"/>
              </w:rPr>
              <w:t>4</w:t>
            </w:r>
          </w:p>
        </w:tc>
        <w:tc>
          <w:tcPr>
            <w:tcW w:w="1092" w:type="pct"/>
            <w:vAlign w:val="center"/>
          </w:tcPr>
          <w:p>
            <w:pPr>
              <w:jc w:val="center"/>
            </w:pPr>
            <w:r>
              <w:t>风机</w:t>
            </w:r>
          </w:p>
        </w:tc>
        <w:tc>
          <w:tcPr>
            <w:tcW w:w="873" w:type="pct"/>
            <w:vAlign w:val="center"/>
          </w:tcPr>
          <w:p>
            <w:pPr>
              <w:jc w:val="center"/>
            </w:pPr>
            <w:r>
              <w:rPr>
                <w:rFonts w:hint="eastAsia"/>
              </w:rPr>
              <w:t>所有鸡舍</w:t>
            </w:r>
          </w:p>
        </w:tc>
        <w:tc>
          <w:tcPr>
            <w:tcW w:w="873" w:type="pct"/>
            <w:vAlign w:val="center"/>
          </w:tcPr>
          <w:p>
            <w:pPr>
              <w:jc w:val="center"/>
            </w:pPr>
            <w:r>
              <w:rPr>
                <w:rFonts w:hint="eastAsia"/>
              </w:rPr>
              <w:t>连续</w:t>
            </w:r>
          </w:p>
        </w:tc>
        <w:tc>
          <w:tcPr>
            <w:tcW w:w="1530" w:type="pct"/>
            <w:vAlign w:val="center"/>
          </w:tcPr>
          <w:p>
            <w:pPr>
              <w:jc w:val="center"/>
            </w:pPr>
            <w:r>
              <w:rPr>
                <w:rFonts w:hint="eastAsia"/>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0" w:type="pct"/>
            <w:vAlign w:val="center"/>
          </w:tcPr>
          <w:p>
            <w:pPr>
              <w:jc w:val="center"/>
            </w:pPr>
            <w:r>
              <w:rPr>
                <w:rFonts w:hint="eastAsia"/>
              </w:rPr>
              <w:t>5</w:t>
            </w:r>
          </w:p>
        </w:tc>
        <w:tc>
          <w:tcPr>
            <w:tcW w:w="1092" w:type="pct"/>
            <w:vAlign w:val="center"/>
          </w:tcPr>
          <w:p>
            <w:pPr>
              <w:jc w:val="center"/>
            </w:pPr>
            <w:r>
              <w:t>水泵</w:t>
            </w:r>
          </w:p>
        </w:tc>
        <w:tc>
          <w:tcPr>
            <w:tcW w:w="873" w:type="pct"/>
            <w:vAlign w:val="center"/>
          </w:tcPr>
          <w:p>
            <w:pPr>
              <w:jc w:val="center"/>
            </w:pPr>
            <w:r>
              <w:t>泵房</w:t>
            </w:r>
          </w:p>
        </w:tc>
        <w:tc>
          <w:tcPr>
            <w:tcW w:w="873" w:type="pct"/>
            <w:vAlign w:val="center"/>
          </w:tcPr>
          <w:p>
            <w:pPr>
              <w:jc w:val="center"/>
            </w:pPr>
            <w:r>
              <w:rPr>
                <w:rFonts w:hint="eastAsia"/>
              </w:rPr>
              <w:t>连续</w:t>
            </w:r>
          </w:p>
        </w:tc>
        <w:tc>
          <w:tcPr>
            <w:tcW w:w="1530" w:type="pct"/>
            <w:vAlign w:val="center"/>
          </w:tcPr>
          <w:p>
            <w:pPr>
              <w:jc w:val="center"/>
            </w:pPr>
            <w:r>
              <w:rPr>
                <w:rFonts w:hint="eastAsia"/>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0" w:type="pct"/>
            <w:vAlign w:val="center"/>
          </w:tcPr>
          <w:p>
            <w:pPr>
              <w:jc w:val="center"/>
            </w:pPr>
            <w:r>
              <w:rPr>
                <w:rFonts w:hint="eastAsia"/>
              </w:rPr>
              <w:t>6</w:t>
            </w:r>
          </w:p>
        </w:tc>
        <w:tc>
          <w:tcPr>
            <w:tcW w:w="1092" w:type="pct"/>
            <w:vAlign w:val="center"/>
          </w:tcPr>
          <w:p>
            <w:pPr>
              <w:jc w:val="center"/>
            </w:pPr>
            <w:r>
              <w:t>鸡蛋清洗线</w:t>
            </w:r>
          </w:p>
        </w:tc>
        <w:tc>
          <w:tcPr>
            <w:tcW w:w="873" w:type="pct"/>
            <w:vAlign w:val="center"/>
          </w:tcPr>
          <w:p>
            <w:pPr>
              <w:jc w:val="center"/>
            </w:pPr>
            <w:r>
              <w:t>中央集蛋库</w:t>
            </w:r>
          </w:p>
        </w:tc>
        <w:tc>
          <w:tcPr>
            <w:tcW w:w="873" w:type="pct"/>
            <w:vAlign w:val="center"/>
          </w:tcPr>
          <w:p>
            <w:pPr>
              <w:jc w:val="center"/>
            </w:pPr>
            <w:r>
              <w:t>连续</w:t>
            </w:r>
          </w:p>
        </w:tc>
        <w:tc>
          <w:tcPr>
            <w:tcW w:w="1530" w:type="pct"/>
            <w:vAlign w:val="center"/>
          </w:tcPr>
          <w:p>
            <w:pPr>
              <w:jc w:val="center"/>
            </w:pPr>
            <w:r>
              <w:rPr>
                <w:rFonts w:hint="eastAsia"/>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0" w:type="pct"/>
            <w:vAlign w:val="center"/>
          </w:tcPr>
          <w:p>
            <w:pPr>
              <w:jc w:val="center"/>
            </w:pPr>
            <w:r>
              <w:rPr>
                <w:rFonts w:hint="eastAsia"/>
              </w:rPr>
              <w:t>7</w:t>
            </w:r>
          </w:p>
        </w:tc>
        <w:tc>
          <w:tcPr>
            <w:tcW w:w="1092" w:type="pct"/>
            <w:vAlign w:val="center"/>
          </w:tcPr>
          <w:p>
            <w:pPr>
              <w:jc w:val="center"/>
            </w:pPr>
            <w:r>
              <w:t>鸡蛋分选设备</w:t>
            </w:r>
          </w:p>
        </w:tc>
        <w:tc>
          <w:tcPr>
            <w:tcW w:w="873" w:type="pct"/>
            <w:vAlign w:val="center"/>
          </w:tcPr>
          <w:p>
            <w:pPr>
              <w:jc w:val="center"/>
            </w:pPr>
            <w:r>
              <w:t>中央集蛋库</w:t>
            </w:r>
          </w:p>
        </w:tc>
        <w:tc>
          <w:tcPr>
            <w:tcW w:w="873" w:type="pct"/>
            <w:vAlign w:val="center"/>
          </w:tcPr>
          <w:p>
            <w:pPr>
              <w:jc w:val="center"/>
            </w:pPr>
            <w:r>
              <w:t>连续</w:t>
            </w:r>
          </w:p>
        </w:tc>
        <w:tc>
          <w:tcPr>
            <w:tcW w:w="1530" w:type="pct"/>
            <w:vAlign w:val="center"/>
          </w:tcPr>
          <w:p>
            <w:pPr>
              <w:jc w:val="center"/>
            </w:pPr>
            <w:r>
              <w:rPr>
                <w:rFonts w:hint="eastAsia"/>
              </w:rPr>
              <w:t>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30" w:type="pct"/>
            <w:vAlign w:val="center"/>
          </w:tcPr>
          <w:p>
            <w:pPr>
              <w:jc w:val="center"/>
              <w:rPr>
                <w:rFonts w:ascii="Times New Roman" w:hAnsi="Times New Roman" w:eastAsia="宋体" w:cs="Times New Roman"/>
                <w:kern w:val="2"/>
                <w:sz w:val="21"/>
                <w:szCs w:val="24"/>
                <w:lang w:val="en-US" w:eastAsia="zh-CN" w:bidi="ar-SA"/>
              </w:rPr>
            </w:pPr>
            <w:r>
              <w:rPr>
                <w:rFonts w:hint="eastAsia"/>
              </w:rPr>
              <w:t>9</w:t>
            </w:r>
          </w:p>
        </w:tc>
        <w:tc>
          <w:tcPr>
            <w:tcW w:w="1092" w:type="pct"/>
            <w:vAlign w:val="center"/>
          </w:tcPr>
          <w:p>
            <w:pPr>
              <w:jc w:val="center"/>
              <w:rPr>
                <w:rFonts w:ascii="Times New Roman" w:hAnsi="Times New Roman" w:eastAsia="宋体" w:cs="Times New Roman"/>
                <w:kern w:val="2"/>
                <w:sz w:val="21"/>
                <w:szCs w:val="24"/>
                <w:lang w:val="en-US" w:eastAsia="zh-CN" w:bidi="ar-SA"/>
              </w:rPr>
            </w:pPr>
            <w:r>
              <w:t>汽车噪声</w:t>
            </w:r>
          </w:p>
        </w:tc>
        <w:tc>
          <w:tcPr>
            <w:tcW w:w="873" w:type="pct"/>
            <w:vAlign w:val="center"/>
          </w:tcPr>
          <w:p>
            <w:pPr>
              <w:jc w:val="center"/>
              <w:rPr>
                <w:rFonts w:ascii="Times New Roman" w:hAnsi="Times New Roman" w:eastAsia="宋体" w:cs="Times New Roman"/>
                <w:kern w:val="2"/>
                <w:sz w:val="21"/>
                <w:szCs w:val="24"/>
                <w:lang w:val="en-US" w:eastAsia="zh-CN" w:bidi="ar-SA"/>
              </w:rPr>
            </w:pPr>
            <w:r>
              <w:t>场内道路</w:t>
            </w:r>
          </w:p>
        </w:tc>
        <w:tc>
          <w:tcPr>
            <w:tcW w:w="873" w:type="pct"/>
            <w:vAlign w:val="center"/>
          </w:tcPr>
          <w:p>
            <w:pPr>
              <w:jc w:val="center"/>
              <w:rPr>
                <w:rFonts w:ascii="Times New Roman" w:hAnsi="Times New Roman" w:eastAsia="宋体" w:cs="Times New Roman"/>
                <w:kern w:val="2"/>
                <w:sz w:val="21"/>
                <w:szCs w:val="24"/>
                <w:lang w:val="en-US" w:eastAsia="zh-CN" w:bidi="ar-SA"/>
              </w:rPr>
            </w:pPr>
            <w:r>
              <w:t>间断</w:t>
            </w:r>
          </w:p>
        </w:tc>
        <w:tc>
          <w:tcPr>
            <w:tcW w:w="1530" w:type="pct"/>
            <w:vAlign w:val="center"/>
          </w:tcPr>
          <w:p>
            <w:pPr>
              <w:jc w:val="center"/>
              <w:rPr>
                <w:rFonts w:ascii="Times New Roman" w:hAnsi="Times New Roman" w:eastAsia="宋体" w:cs="Times New Roman"/>
                <w:kern w:val="2"/>
                <w:sz w:val="21"/>
                <w:szCs w:val="24"/>
                <w:lang w:val="en-US" w:eastAsia="zh-CN" w:bidi="ar-SA"/>
              </w:rPr>
            </w:pPr>
            <w:r>
              <w:rPr>
                <w:rFonts w:hint="eastAsia"/>
              </w:rPr>
              <w:t>70</w:t>
            </w:r>
          </w:p>
        </w:tc>
      </w:tr>
    </w:tbl>
    <w:p>
      <w:pPr>
        <w:spacing w:line="360" w:lineRule="auto"/>
        <w:ind w:firstLine="482" w:firstLineChars="200"/>
        <w:outlineLvl w:val="3"/>
        <w:rPr>
          <w:rFonts w:eastAsiaTheme="minorEastAsia"/>
          <w:b/>
          <w:sz w:val="24"/>
        </w:rPr>
      </w:pPr>
      <w:r>
        <w:rPr>
          <w:rFonts w:hint="eastAsia" w:eastAsiaTheme="minorEastAsia"/>
          <w:b/>
          <w:sz w:val="24"/>
        </w:rPr>
        <w:t xml:space="preserve">3.3.2.4 </w:t>
      </w:r>
      <w:r>
        <w:rPr>
          <w:rFonts w:eastAsiaTheme="minorEastAsia"/>
          <w:b/>
          <w:sz w:val="24"/>
        </w:rPr>
        <w:t>运营期固废污染源核算</w:t>
      </w:r>
    </w:p>
    <w:p>
      <w:pPr>
        <w:autoSpaceDE w:val="0"/>
        <w:autoSpaceDN w:val="0"/>
        <w:adjustRightInd w:val="0"/>
        <w:spacing w:line="360" w:lineRule="auto"/>
        <w:ind w:firstLine="482" w:firstLineChars="200"/>
        <w:rPr>
          <w:b/>
          <w:sz w:val="24"/>
        </w:rPr>
      </w:pPr>
      <w:r>
        <w:rPr>
          <w:rFonts w:hint="eastAsia"/>
          <w:b/>
          <w:sz w:val="24"/>
        </w:rPr>
        <w:t>1、固体废物属性判定</w:t>
      </w:r>
    </w:p>
    <w:p>
      <w:pPr>
        <w:autoSpaceDE w:val="0"/>
        <w:autoSpaceDN w:val="0"/>
        <w:adjustRightInd w:val="0"/>
        <w:spacing w:line="360" w:lineRule="auto"/>
        <w:ind w:firstLine="480" w:firstLineChars="200"/>
        <w:rPr>
          <w:sz w:val="24"/>
        </w:rPr>
      </w:pPr>
      <w:r>
        <w:rPr>
          <w:rFonts w:hint="eastAsia"/>
          <w:sz w:val="24"/>
        </w:rPr>
        <w:t>项目固体废物主要包括鸡粪、病死鸡、废包装物料、不合格蛋、饲料渣及脱落的羽毛、医疗废物和员工办公生活垃圾等。</w:t>
      </w:r>
    </w:p>
    <w:p>
      <w:pPr>
        <w:autoSpaceDE w:val="0"/>
        <w:autoSpaceDN w:val="0"/>
        <w:adjustRightInd w:val="0"/>
        <w:spacing w:line="360" w:lineRule="auto"/>
        <w:ind w:firstLine="480" w:firstLineChars="200"/>
        <w:rPr>
          <w:sz w:val="24"/>
        </w:rPr>
      </w:pPr>
      <w:r>
        <w:rPr>
          <w:rFonts w:hint="eastAsia"/>
          <w:sz w:val="24"/>
        </w:rPr>
        <w:t>本评价根据《中华人民共和国固体废物污染环境防治法》、《固体废物鉴别标准通则》（GB34330-2017）、《危险废物鉴别标准通则》（GB 5085.7-2019）及《国家危险废物名录》（2021年）等的规定，首先对项目产生的固废进行属性判断见表3.3-9。</w:t>
      </w:r>
    </w:p>
    <w:p>
      <w:pPr>
        <w:adjustRightInd w:val="0"/>
        <w:snapToGrid w:val="0"/>
        <w:spacing w:beforeLines="50"/>
        <w:jc w:val="center"/>
        <w:rPr>
          <w:b/>
          <w:kern w:val="0"/>
          <w:szCs w:val="21"/>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adjustRightInd w:val="0"/>
        <w:snapToGrid w:val="0"/>
        <w:spacing w:beforeLines="50"/>
        <w:jc w:val="center"/>
        <w:rPr>
          <w:b/>
          <w:kern w:val="0"/>
          <w:szCs w:val="21"/>
        </w:rPr>
      </w:pPr>
      <w:r>
        <w:rPr>
          <w:b/>
          <w:kern w:val="0"/>
          <w:szCs w:val="21"/>
        </w:rPr>
        <w:t>表</w:t>
      </w:r>
      <w:r>
        <w:rPr>
          <w:rFonts w:hint="eastAsia"/>
          <w:b/>
          <w:kern w:val="0"/>
          <w:szCs w:val="21"/>
        </w:rPr>
        <w:t>3.3-9  运营期固体废物产生情况汇总表</w:t>
      </w:r>
    </w:p>
    <w:tbl>
      <w:tblPr>
        <w:tblStyle w:val="47"/>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768"/>
        <w:gridCol w:w="1188"/>
        <w:gridCol w:w="1412"/>
        <w:gridCol w:w="992"/>
        <w:gridCol w:w="1701"/>
        <w:gridCol w:w="1417"/>
        <w:gridCol w:w="1276"/>
        <w:gridCol w:w="1276"/>
        <w:gridCol w:w="414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cantSplit/>
          <w:trHeight w:val="397" w:hRule="atLeast"/>
          <w:jc w:val="center"/>
        </w:trPr>
        <w:tc>
          <w:tcPr>
            <w:tcW w:w="271" w:type="pct"/>
            <w:vMerge w:val="restart"/>
            <w:vAlign w:val="center"/>
          </w:tcPr>
          <w:p>
            <w:pPr>
              <w:jc w:val="center"/>
              <w:rPr>
                <w:rFonts w:eastAsiaTheme="minorEastAsia"/>
                <w:b/>
                <w:szCs w:val="21"/>
              </w:rPr>
            </w:pPr>
            <w:r>
              <w:rPr>
                <w:rFonts w:hAnsiTheme="minorEastAsia" w:eastAsiaTheme="minorEastAsia"/>
                <w:b/>
                <w:szCs w:val="21"/>
              </w:rPr>
              <w:t>序号</w:t>
            </w:r>
          </w:p>
        </w:tc>
        <w:tc>
          <w:tcPr>
            <w:tcW w:w="419" w:type="pct"/>
            <w:vMerge w:val="restart"/>
            <w:vAlign w:val="center"/>
          </w:tcPr>
          <w:p>
            <w:pPr>
              <w:jc w:val="center"/>
              <w:rPr>
                <w:rFonts w:eastAsiaTheme="minorEastAsia"/>
                <w:b/>
                <w:szCs w:val="21"/>
              </w:rPr>
            </w:pPr>
            <w:r>
              <w:rPr>
                <w:rFonts w:hAnsiTheme="minorEastAsia" w:eastAsiaTheme="minorEastAsia"/>
                <w:b/>
                <w:szCs w:val="21"/>
              </w:rPr>
              <w:t>固废来源</w:t>
            </w:r>
          </w:p>
        </w:tc>
        <w:tc>
          <w:tcPr>
            <w:tcW w:w="498" w:type="pct"/>
            <w:vMerge w:val="restart"/>
            <w:vAlign w:val="center"/>
          </w:tcPr>
          <w:p>
            <w:pPr>
              <w:jc w:val="center"/>
              <w:rPr>
                <w:rFonts w:eastAsiaTheme="minorEastAsia"/>
                <w:b/>
                <w:szCs w:val="21"/>
              </w:rPr>
            </w:pPr>
            <w:r>
              <w:rPr>
                <w:rFonts w:hAnsiTheme="minorEastAsia" w:eastAsiaTheme="minorEastAsia"/>
                <w:b/>
                <w:szCs w:val="21"/>
              </w:rPr>
              <w:t>产生工序</w:t>
            </w:r>
          </w:p>
        </w:tc>
        <w:tc>
          <w:tcPr>
            <w:tcW w:w="350" w:type="pct"/>
            <w:vMerge w:val="restart"/>
            <w:vAlign w:val="center"/>
          </w:tcPr>
          <w:p>
            <w:pPr>
              <w:jc w:val="center"/>
              <w:rPr>
                <w:rFonts w:eastAsiaTheme="minorEastAsia"/>
                <w:b/>
                <w:szCs w:val="21"/>
              </w:rPr>
            </w:pPr>
            <w:r>
              <w:rPr>
                <w:rFonts w:hAnsiTheme="minorEastAsia" w:eastAsiaTheme="minorEastAsia"/>
                <w:b/>
                <w:szCs w:val="21"/>
              </w:rPr>
              <w:t>形态</w:t>
            </w:r>
          </w:p>
        </w:tc>
        <w:tc>
          <w:tcPr>
            <w:tcW w:w="600" w:type="pct"/>
            <w:vMerge w:val="restart"/>
            <w:vAlign w:val="center"/>
          </w:tcPr>
          <w:p>
            <w:pPr>
              <w:jc w:val="center"/>
              <w:rPr>
                <w:rFonts w:eastAsiaTheme="minorEastAsia"/>
                <w:b/>
                <w:szCs w:val="21"/>
              </w:rPr>
            </w:pPr>
            <w:r>
              <w:rPr>
                <w:rFonts w:hAnsiTheme="minorEastAsia" w:eastAsiaTheme="minorEastAsia"/>
                <w:b/>
                <w:szCs w:val="21"/>
              </w:rPr>
              <w:t>主要成分</w:t>
            </w:r>
          </w:p>
        </w:tc>
        <w:tc>
          <w:tcPr>
            <w:tcW w:w="500" w:type="pct"/>
            <w:vMerge w:val="restart"/>
            <w:vAlign w:val="center"/>
          </w:tcPr>
          <w:p>
            <w:pPr>
              <w:jc w:val="center"/>
              <w:rPr>
                <w:rFonts w:eastAsiaTheme="minorEastAsia"/>
                <w:b/>
                <w:szCs w:val="21"/>
              </w:rPr>
            </w:pPr>
            <w:r>
              <w:rPr>
                <w:rFonts w:hAnsiTheme="minorEastAsia" w:eastAsiaTheme="minorEastAsia"/>
                <w:b/>
                <w:szCs w:val="21"/>
              </w:rPr>
              <w:t>产生量（</w:t>
            </w:r>
            <w:r>
              <w:rPr>
                <w:rFonts w:eastAsiaTheme="minorEastAsia"/>
                <w:b/>
                <w:szCs w:val="21"/>
              </w:rPr>
              <w:t>t/a</w:t>
            </w:r>
            <w:r>
              <w:rPr>
                <w:rFonts w:hAnsiTheme="minorEastAsia" w:eastAsiaTheme="minorEastAsia"/>
                <w:b/>
                <w:szCs w:val="21"/>
              </w:rPr>
              <w:t>）</w:t>
            </w:r>
          </w:p>
        </w:tc>
        <w:tc>
          <w:tcPr>
            <w:tcW w:w="2362" w:type="pct"/>
            <w:gridSpan w:val="3"/>
            <w:vAlign w:val="center"/>
          </w:tcPr>
          <w:p>
            <w:pPr>
              <w:jc w:val="center"/>
              <w:rPr>
                <w:rFonts w:eastAsiaTheme="minorEastAsia"/>
                <w:b/>
                <w:szCs w:val="21"/>
              </w:rPr>
            </w:pPr>
            <w:r>
              <w:rPr>
                <w:rFonts w:hAnsiTheme="minorEastAsia" w:eastAsiaTheme="minorEastAsia"/>
                <w:b/>
                <w:szCs w:val="21"/>
              </w:rPr>
              <w:t>种类判别</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271" w:type="pct"/>
            <w:vMerge w:val="continue"/>
            <w:vAlign w:val="center"/>
          </w:tcPr>
          <w:p>
            <w:pPr>
              <w:jc w:val="center"/>
              <w:rPr>
                <w:rFonts w:eastAsiaTheme="minorEastAsia"/>
                <w:b/>
                <w:szCs w:val="21"/>
              </w:rPr>
            </w:pPr>
          </w:p>
        </w:tc>
        <w:tc>
          <w:tcPr>
            <w:tcW w:w="419" w:type="pct"/>
            <w:vMerge w:val="continue"/>
            <w:vAlign w:val="center"/>
          </w:tcPr>
          <w:p>
            <w:pPr>
              <w:jc w:val="center"/>
              <w:rPr>
                <w:rFonts w:eastAsiaTheme="minorEastAsia"/>
                <w:b/>
                <w:szCs w:val="21"/>
              </w:rPr>
            </w:pPr>
          </w:p>
        </w:tc>
        <w:tc>
          <w:tcPr>
            <w:tcW w:w="498" w:type="pct"/>
            <w:vMerge w:val="continue"/>
            <w:vAlign w:val="center"/>
          </w:tcPr>
          <w:p>
            <w:pPr>
              <w:jc w:val="center"/>
              <w:rPr>
                <w:rFonts w:eastAsiaTheme="minorEastAsia"/>
                <w:b/>
                <w:szCs w:val="21"/>
              </w:rPr>
            </w:pPr>
          </w:p>
        </w:tc>
        <w:tc>
          <w:tcPr>
            <w:tcW w:w="350" w:type="pct"/>
            <w:vMerge w:val="continue"/>
            <w:vAlign w:val="center"/>
          </w:tcPr>
          <w:p>
            <w:pPr>
              <w:jc w:val="center"/>
              <w:rPr>
                <w:rFonts w:eastAsiaTheme="minorEastAsia"/>
                <w:b/>
                <w:szCs w:val="21"/>
              </w:rPr>
            </w:pPr>
          </w:p>
        </w:tc>
        <w:tc>
          <w:tcPr>
            <w:tcW w:w="600" w:type="pct"/>
            <w:vMerge w:val="continue"/>
            <w:vAlign w:val="center"/>
          </w:tcPr>
          <w:p>
            <w:pPr>
              <w:jc w:val="center"/>
              <w:rPr>
                <w:rFonts w:eastAsiaTheme="minorEastAsia"/>
                <w:b/>
                <w:szCs w:val="21"/>
              </w:rPr>
            </w:pPr>
          </w:p>
        </w:tc>
        <w:tc>
          <w:tcPr>
            <w:tcW w:w="500" w:type="pct"/>
            <w:vMerge w:val="continue"/>
            <w:vAlign w:val="center"/>
          </w:tcPr>
          <w:p>
            <w:pPr>
              <w:jc w:val="center"/>
              <w:rPr>
                <w:rFonts w:eastAsiaTheme="minorEastAsia"/>
                <w:b/>
                <w:szCs w:val="21"/>
              </w:rPr>
            </w:pPr>
          </w:p>
        </w:tc>
        <w:tc>
          <w:tcPr>
            <w:tcW w:w="450" w:type="pct"/>
            <w:vAlign w:val="center"/>
          </w:tcPr>
          <w:p>
            <w:pPr>
              <w:jc w:val="center"/>
              <w:rPr>
                <w:rFonts w:eastAsiaTheme="minorEastAsia"/>
                <w:b/>
                <w:szCs w:val="21"/>
              </w:rPr>
            </w:pPr>
            <w:r>
              <w:rPr>
                <w:rFonts w:hAnsiTheme="minorEastAsia" w:eastAsiaTheme="minorEastAsia"/>
                <w:b/>
                <w:szCs w:val="21"/>
              </w:rPr>
              <w:t>固体废物</w:t>
            </w:r>
          </w:p>
        </w:tc>
        <w:tc>
          <w:tcPr>
            <w:tcW w:w="450" w:type="pct"/>
            <w:vAlign w:val="center"/>
          </w:tcPr>
          <w:p>
            <w:pPr>
              <w:jc w:val="center"/>
              <w:rPr>
                <w:rFonts w:eastAsiaTheme="minorEastAsia"/>
                <w:b/>
                <w:szCs w:val="21"/>
              </w:rPr>
            </w:pPr>
            <w:r>
              <w:rPr>
                <w:rFonts w:hAnsiTheme="minorEastAsia" w:eastAsiaTheme="minorEastAsia"/>
                <w:b/>
                <w:szCs w:val="21"/>
              </w:rPr>
              <w:t>副产品</w:t>
            </w:r>
          </w:p>
        </w:tc>
        <w:tc>
          <w:tcPr>
            <w:tcW w:w="1462" w:type="pct"/>
            <w:vAlign w:val="center"/>
          </w:tcPr>
          <w:p>
            <w:pPr>
              <w:jc w:val="center"/>
              <w:rPr>
                <w:rFonts w:eastAsiaTheme="minorEastAsia"/>
                <w:b/>
                <w:szCs w:val="21"/>
              </w:rPr>
            </w:pPr>
            <w:r>
              <w:rPr>
                <w:rFonts w:hAnsiTheme="minorEastAsia" w:eastAsiaTheme="minorEastAsia"/>
                <w:b/>
                <w:szCs w:val="21"/>
              </w:rPr>
              <w:t>判定依据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271" w:type="pct"/>
            <w:vAlign w:val="center"/>
          </w:tcPr>
          <w:p>
            <w:pPr>
              <w:jc w:val="center"/>
              <w:rPr>
                <w:rFonts w:eastAsiaTheme="minorEastAsia"/>
                <w:szCs w:val="21"/>
              </w:rPr>
            </w:pPr>
            <w:r>
              <w:rPr>
                <w:rFonts w:eastAsiaTheme="minorEastAsia"/>
                <w:szCs w:val="21"/>
              </w:rPr>
              <w:t>1</w:t>
            </w:r>
          </w:p>
        </w:tc>
        <w:tc>
          <w:tcPr>
            <w:tcW w:w="419" w:type="pct"/>
            <w:vAlign w:val="center"/>
          </w:tcPr>
          <w:p>
            <w:pPr>
              <w:jc w:val="center"/>
              <w:rPr>
                <w:rFonts w:eastAsiaTheme="minorEastAsia"/>
                <w:szCs w:val="21"/>
              </w:rPr>
            </w:pPr>
            <w:r>
              <w:rPr>
                <w:rFonts w:hAnsiTheme="minorEastAsia" w:eastAsiaTheme="minorEastAsia"/>
                <w:szCs w:val="21"/>
              </w:rPr>
              <w:t>鸡粪</w:t>
            </w:r>
          </w:p>
        </w:tc>
        <w:tc>
          <w:tcPr>
            <w:tcW w:w="498" w:type="pct"/>
            <w:vAlign w:val="center"/>
          </w:tcPr>
          <w:p>
            <w:pPr>
              <w:jc w:val="center"/>
              <w:rPr>
                <w:rFonts w:eastAsiaTheme="minorEastAsia"/>
                <w:szCs w:val="21"/>
              </w:rPr>
            </w:pPr>
            <w:r>
              <w:rPr>
                <w:rFonts w:hAnsiTheme="minorEastAsia" w:eastAsiaTheme="minorEastAsia"/>
                <w:szCs w:val="21"/>
              </w:rPr>
              <w:t>蛋鸡养殖</w:t>
            </w:r>
          </w:p>
        </w:tc>
        <w:tc>
          <w:tcPr>
            <w:tcW w:w="350" w:type="pct"/>
            <w:vAlign w:val="center"/>
          </w:tcPr>
          <w:p>
            <w:pPr>
              <w:jc w:val="center"/>
              <w:rPr>
                <w:rFonts w:eastAsiaTheme="minorEastAsia"/>
                <w:szCs w:val="21"/>
              </w:rPr>
            </w:pPr>
            <w:r>
              <w:rPr>
                <w:rFonts w:hAnsiTheme="minorEastAsia" w:eastAsiaTheme="minorEastAsia"/>
                <w:szCs w:val="21"/>
              </w:rPr>
              <w:t>固态</w:t>
            </w:r>
          </w:p>
        </w:tc>
        <w:tc>
          <w:tcPr>
            <w:tcW w:w="600" w:type="pct"/>
            <w:vAlign w:val="center"/>
          </w:tcPr>
          <w:p>
            <w:pPr>
              <w:jc w:val="center"/>
              <w:rPr>
                <w:rFonts w:eastAsiaTheme="minorEastAsia"/>
                <w:szCs w:val="21"/>
              </w:rPr>
            </w:pPr>
            <w:r>
              <w:rPr>
                <w:rFonts w:hAnsiTheme="minorEastAsia" w:eastAsiaTheme="minorEastAsia"/>
                <w:szCs w:val="21"/>
              </w:rPr>
              <w:t>鸡粪、水</w:t>
            </w:r>
          </w:p>
        </w:tc>
        <w:tc>
          <w:tcPr>
            <w:tcW w:w="500" w:type="pct"/>
            <w:vAlign w:val="center"/>
          </w:tcPr>
          <w:p>
            <w:pPr>
              <w:jc w:val="center"/>
              <w:rPr>
                <w:rFonts w:eastAsiaTheme="minorEastAsia"/>
                <w:szCs w:val="21"/>
              </w:rPr>
            </w:pPr>
            <w:r>
              <w:rPr>
                <w:rFonts w:eastAsiaTheme="minorEastAsia"/>
                <w:szCs w:val="21"/>
              </w:rPr>
              <w:t>28470</w:t>
            </w:r>
          </w:p>
        </w:tc>
        <w:tc>
          <w:tcPr>
            <w:tcW w:w="450" w:type="pct"/>
            <w:vAlign w:val="center"/>
          </w:tcPr>
          <w:p>
            <w:pPr>
              <w:jc w:val="center"/>
              <w:rPr>
                <w:rFonts w:eastAsiaTheme="minorEastAsia"/>
                <w:szCs w:val="21"/>
              </w:rPr>
            </w:pPr>
            <w:r>
              <w:rPr>
                <w:rFonts w:eastAsiaTheme="minorEastAsia"/>
                <w:kern w:val="0"/>
                <w:szCs w:val="21"/>
              </w:rPr>
              <w:t>√</w:t>
            </w:r>
          </w:p>
        </w:tc>
        <w:tc>
          <w:tcPr>
            <w:tcW w:w="450" w:type="pct"/>
            <w:vAlign w:val="center"/>
          </w:tcPr>
          <w:p>
            <w:pPr>
              <w:jc w:val="center"/>
              <w:rPr>
                <w:rFonts w:eastAsiaTheme="minorEastAsia"/>
                <w:szCs w:val="21"/>
              </w:rPr>
            </w:pPr>
            <w:r>
              <w:rPr>
                <w:rFonts w:eastAsiaTheme="minorEastAsia"/>
                <w:szCs w:val="21"/>
              </w:rPr>
              <w:t>/</w:t>
            </w:r>
          </w:p>
        </w:tc>
        <w:tc>
          <w:tcPr>
            <w:tcW w:w="1462" w:type="pct"/>
            <w:vAlign w:val="center"/>
          </w:tcPr>
          <w:p>
            <w:pPr>
              <w:autoSpaceDE w:val="0"/>
              <w:autoSpaceDN w:val="0"/>
              <w:adjustRightInd w:val="0"/>
              <w:jc w:val="center"/>
              <w:rPr>
                <w:rFonts w:eastAsiaTheme="minorEastAsia"/>
                <w:szCs w:val="21"/>
              </w:rPr>
            </w:pPr>
            <w:r>
              <w:rPr>
                <w:rFonts w:eastAsiaTheme="minorEastAsia"/>
                <w:szCs w:val="21"/>
              </w:rPr>
              <w:t>GB34330-2017</w:t>
            </w:r>
            <w:r>
              <w:rPr>
                <w:rFonts w:hAnsiTheme="minorEastAsia" w:eastAsiaTheme="minorEastAsia"/>
                <w:szCs w:val="21"/>
              </w:rPr>
              <w:t>，</w:t>
            </w:r>
            <w:r>
              <w:rPr>
                <w:rFonts w:eastAsiaTheme="minorEastAsia"/>
                <w:szCs w:val="21"/>
              </w:rPr>
              <w:t>4.2</w:t>
            </w:r>
            <w:r>
              <w:rPr>
                <w:rFonts w:hAnsiTheme="minorEastAsia" w:eastAsiaTheme="minorEastAsia"/>
                <w:szCs w:val="21"/>
              </w:rPr>
              <w:t>，</w:t>
            </w:r>
            <w:r>
              <w:rPr>
                <w:rFonts w:eastAsiaTheme="minorEastAsia"/>
                <w:szCs w:val="21"/>
              </w:rPr>
              <w:t>j</w:t>
            </w:r>
            <w:r>
              <w:rPr>
                <w:rFonts w:hAnsiTheme="minorEastAsia" w:eastAsiaTheme="minorEastAsia"/>
                <w:szCs w:val="21"/>
              </w:rPr>
              <w:t>）畜禽和水产养殖过程中产生的动物粪便、病害动物尸体等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271" w:type="pct"/>
            <w:vAlign w:val="center"/>
          </w:tcPr>
          <w:p>
            <w:pPr>
              <w:jc w:val="center"/>
              <w:rPr>
                <w:rFonts w:eastAsiaTheme="minorEastAsia"/>
                <w:szCs w:val="21"/>
              </w:rPr>
            </w:pPr>
            <w:r>
              <w:rPr>
                <w:rFonts w:eastAsiaTheme="minorEastAsia"/>
                <w:szCs w:val="21"/>
              </w:rPr>
              <w:t>2</w:t>
            </w:r>
          </w:p>
        </w:tc>
        <w:tc>
          <w:tcPr>
            <w:tcW w:w="419" w:type="pct"/>
            <w:vAlign w:val="center"/>
          </w:tcPr>
          <w:p>
            <w:pPr>
              <w:jc w:val="center"/>
              <w:rPr>
                <w:rFonts w:eastAsiaTheme="minorEastAsia"/>
                <w:szCs w:val="21"/>
              </w:rPr>
            </w:pPr>
            <w:r>
              <w:rPr>
                <w:rFonts w:hAnsiTheme="minorEastAsia" w:eastAsiaTheme="minorEastAsia"/>
                <w:szCs w:val="21"/>
              </w:rPr>
              <w:t>病死鸡</w:t>
            </w:r>
          </w:p>
        </w:tc>
        <w:tc>
          <w:tcPr>
            <w:tcW w:w="498" w:type="pct"/>
            <w:vAlign w:val="center"/>
          </w:tcPr>
          <w:p>
            <w:pPr>
              <w:jc w:val="center"/>
              <w:rPr>
                <w:rFonts w:eastAsiaTheme="minorEastAsia"/>
                <w:szCs w:val="21"/>
              </w:rPr>
            </w:pPr>
            <w:r>
              <w:rPr>
                <w:rFonts w:hAnsiTheme="minorEastAsia" w:eastAsiaTheme="minorEastAsia"/>
                <w:szCs w:val="21"/>
              </w:rPr>
              <w:t>蛋鸡养殖</w:t>
            </w:r>
          </w:p>
        </w:tc>
        <w:tc>
          <w:tcPr>
            <w:tcW w:w="350" w:type="pct"/>
            <w:vAlign w:val="center"/>
          </w:tcPr>
          <w:p>
            <w:pPr>
              <w:jc w:val="center"/>
              <w:rPr>
                <w:rFonts w:eastAsiaTheme="minorEastAsia"/>
                <w:szCs w:val="21"/>
              </w:rPr>
            </w:pPr>
            <w:r>
              <w:rPr>
                <w:rFonts w:hAnsiTheme="minorEastAsia" w:eastAsiaTheme="minorEastAsia"/>
                <w:szCs w:val="21"/>
              </w:rPr>
              <w:t>固态</w:t>
            </w:r>
          </w:p>
        </w:tc>
        <w:tc>
          <w:tcPr>
            <w:tcW w:w="600" w:type="pct"/>
            <w:vAlign w:val="center"/>
          </w:tcPr>
          <w:p>
            <w:pPr>
              <w:jc w:val="center"/>
              <w:rPr>
                <w:rFonts w:eastAsiaTheme="minorEastAsia"/>
                <w:szCs w:val="21"/>
              </w:rPr>
            </w:pPr>
            <w:r>
              <w:rPr>
                <w:rFonts w:hAnsiTheme="minorEastAsia" w:eastAsiaTheme="minorEastAsia"/>
                <w:szCs w:val="21"/>
              </w:rPr>
              <w:t>病死鸡</w:t>
            </w:r>
          </w:p>
        </w:tc>
        <w:tc>
          <w:tcPr>
            <w:tcW w:w="500" w:type="pct"/>
            <w:vAlign w:val="center"/>
          </w:tcPr>
          <w:p>
            <w:pPr>
              <w:jc w:val="center"/>
              <w:rPr>
                <w:rFonts w:eastAsiaTheme="minorEastAsia"/>
                <w:szCs w:val="21"/>
              </w:rPr>
            </w:pPr>
            <w:r>
              <w:rPr>
                <w:rFonts w:hint="eastAsia" w:eastAsiaTheme="minorEastAsia"/>
                <w:szCs w:val="21"/>
              </w:rPr>
              <w:t>64.8</w:t>
            </w:r>
          </w:p>
        </w:tc>
        <w:tc>
          <w:tcPr>
            <w:tcW w:w="450" w:type="pct"/>
            <w:vAlign w:val="center"/>
          </w:tcPr>
          <w:p>
            <w:pPr>
              <w:jc w:val="center"/>
              <w:rPr>
                <w:rFonts w:eastAsiaTheme="minorEastAsia"/>
                <w:szCs w:val="21"/>
              </w:rPr>
            </w:pPr>
            <w:r>
              <w:rPr>
                <w:rFonts w:eastAsiaTheme="minorEastAsia"/>
                <w:kern w:val="0"/>
                <w:szCs w:val="21"/>
              </w:rPr>
              <w:t>√</w:t>
            </w:r>
          </w:p>
        </w:tc>
        <w:tc>
          <w:tcPr>
            <w:tcW w:w="450" w:type="pct"/>
            <w:vAlign w:val="center"/>
          </w:tcPr>
          <w:p>
            <w:pPr>
              <w:jc w:val="center"/>
              <w:rPr>
                <w:rFonts w:eastAsiaTheme="minorEastAsia"/>
                <w:szCs w:val="21"/>
              </w:rPr>
            </w:pPr>
            <w:r>
              <w:rPr>
                <w:rFonts w:eastAsiaTheme="minorEastAsia"/>
                <w:szCs w:val="21"/>
              </w:rPr>
              <w:t>/</w:t>
            </w:r>
          </w:p>
        </w:tc>
        <w:tc>
          <w:tcPr>
            <w:tcW w:w="1462" w:type="pct"/>
            <w:vAlign w:val="center"/>
          </w:tcPr>
          <w:p>
            <w:pPr>
              <w:autoSpaceDE w:val="0"/>
              <w:autoSpaceDN w:val="0"/>
              <w:adjustRightInd w:val="0"/>
              <w:jc w:val="center"/>
              <w:rPr>
                <w:rFonts w:eastAsiaTheme="minorEastAsia"/>
                <w:szCs w:val="21"/>
              </w:rPr>
            </w:pPr>
            <w:r>
              <w:rPr>
                <w:rFonts w:eastAsiaTheme="minorEastAsia"/>
                <w:kern w:val="0"/>
                <w:szCs w:val="21"/>
              </w:rPr>
              <w:t>GB34330-2017</w:t>
            </w:r>
            <w:r>
              <w:rPr>
                <w:rFonts w:hAnsiTheme="minorEastAsia" w:eastAsiaTheme="minorEastAsia"/>
                <w:kern w:val="0"/>
                <w:szCs w:val="21"/>
              </w:rPr>
              <w:t>，</w:t>
            </w:r>
            <w:r>
              <w:rPr>
                <w:rFonts w:eastAsiaTheme="minorEastAsia"/>
                <w:kern w:val="0"/>
                <w:szCs w:val="21"/>
              </w:rPr>
              <w:t>4.2</w:t>
            </w:r>
            <w:r>
              <w:rPr>
                <w:rFonts w:hAnsiTheme="minorEastAsia" w:eastAsiaTheme="minorEastAsia"/>
                <w:kern w:val="0"/>
                <w:szCs w:val="21"/>
              </w:rPr>
              <w:t>，</w:t>
            </w:r>
            <w:r>
              <w:rPr>
                <w:rFonts w:eastAsiaTheme="minorEastAsia"/>
                <w:kern w:val="0"/>
                <w:szCs w:val="21"/>
              </w:rPr>
              <w:t>j</w:t>
            </w:r>
            <w:r>
              <w:rPr>
                <w:rFonts w:hAnsiTheme="minorEastAsia" w:eastAsiaTheme="minorEastAsia"/>
                <w:kern w:val="0"/>
                <w:szCs w:val="21"/>
              </w:rPr>
              <w:t>）畜禽和水产养殖过程中产生的动物粪便、病害动物尸体等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271" w:type="pct"/>
            <w:vAlign w:val="center"/>
          </w:tcPr>
          <w:p>
            <w:pPr>
              <w:jc w:val="center"/>
              <w:rPr>
                <w:rFonts w:eastAsiaTheme="minorEastAsia"/>
                <w:szCs w:val="21"/>
              </w:rPr>
            </w:pPr>
            <w:r>
              <w:rPr>
                <w:rFonts w:eastAsiaTheme="minorEastAsia"/>
                <w:szCs w:val="21"/>
              </w:rPr>
              <w:t>3</w:t>
            </w:r>
          </w:p>
        </w:tc>
        <w:tc>
          <w:tcPr>
            <w:tcW w:w="419" w:type="pct"/>
            <w:vAlign w:val="center"/>
          </w:tcPr>
          <w:p>
            <w:pPr>
              <w:jc w:val="center"/>
              <w:rPr>
                <w:rFonts w:eastAsiaTheme="minorEastAsia"/>
                <w:szCs w:val="21"/>
              </w:rPr>
            </w:pPr>
            <w:r>
              <w:rPr>
                <w:rFonts w:hAnsiTheme="minorEastAsia" w:eastAsiaTheme="minorEastAsia"/>
                <w:szCs w:val="21"/>
              </w:rPr>
              <w:t>废包装袋</w:t>
            </w:r>
          </w:p>
        </w:tc>
        <w:tc>
          <w:tcPr>
            <w:tcW w:w="498" w:type="pct"/>
            <w:vAlign w:val="center"/>
          </w:tcPr>
          <w:p>
            <w:pPr>
              <w:jc w:val="center"/>
              <w:rPr>
                <w:rFonts w:eastAsiaTheme="minorEastAsia"/>
                <w:szCs w:val="21"/>
              </w:rPr>
            </w:pPr>
            <w:r>
              <w:rPr>
                <w:rFonts w:hAnsiTheme="minorEastAsia" w:eastAsiaTheme="minorEastAsia"/>
                <w:szCs w:val="21"/>
              </w:rPr>
              <w:t>饲料使用、包装使用</w:t>
            </w:r>
          </w:p>
        </w:tc>
        <w:tc>
          <w:tcPr>
            <w:tcW w:w="350" w:type="pct"/>
            <w:vAlign w:val="center"/>
          </w:tcPr>
          <w:p>
            <w:pPr>
              <w:jc w:val="center"/>
              <w:rPr>
                <w:rFonts w:eastAsiaTheme="minorEastAsia"/>
                <w:szCs w:val="21"/>
              </w:rPr>
            </w:pPr>
            <w:r>
              <w:rPr>
                <w:rFonts w:hAnsiTheme="minorEastAsia" w:eastAsiaTheme="minorEastAsia"/>
                <w:szCs w:val="21"/>
              </w:rPr>
              <w:t>固态</w:t>
            </w:r>
          </w:p>
        </w:tc>
        <w:tc>
          <w:tcPr>
            <w:tcW w:w="600" w:type="pct"/>
            <w:vAlign w:val="center"/>
          </w:tcPr>
          <w:p>
            <w:pPr>
              <w:jc w:val="center"/>
              <w:rPr>
                <w:rFonts w:eastAsiaTheme="minorEastAsia"/>
                <w:szCs w:val="21"/>
              </w:rPr>
            </w:pPr>
            <w:r>
              <w:rPr>
                <w:rFonts w:hAnsiTheme="minorEastAsia" w:eastAsiaTheme="minorEastAsia"/>
                <w:szCs w:val="21"/>
              </w:rPr>
              <w:t>塑料、编织袋、纸箱等</w:t>
            </w:r>
          </w:p>
        </w:tc>
        <w:tc>
          <w:tcPr>
            <w:tcW w:w="500" w:type="pct"/>
            <w:vAlign w:val="center"/>
          </w:tcPr>
          <w:p>
            <w:pPr>
              <w:jc w:val="center"/>
              <w:rPr>
                <w:rFonts w:eastAsiaTheme="minorEastAsia"/>
                <w:szCs w:val="21"/>
              </w:rPr>
            </w:pPr>
            <w:r>
              <w:rPr>
                <w:rFonts w:hint="eastAsia" w:eastAsiaTheme="minorEastAsia"/>
                <w:szCs w:val="21"/>
              </w:rPr>
              <w:t>1.0</w:t>
            </w:r>
          </w:p>
        </w:tc>
        <w:tc>
          <w:tcPr>
            <w:tcW w:w="450" w:type="pct"/>
            <w:vAlign w:val="center"/>
          </w:tcPr>
          <w:p>
            <w:pPr>
              <w:jc w:val="center"/>
              <w:rPr>
                <w:rFonts w:eastAsiaTheme="minorEastAsia"/>
                <w:szCs w:val="21"/>
              </w:rPr>
            </w:pPr>
            <w:r>
              <w:rPr>
                <w:rFonts w:eastAsiaTheme="minorEastAsia"/>
                <w:kern w:val="0"/>
                <w:szCs w:val="21"/>
              </w:rPr>
              <w:t>√</w:t>
            </w:r>
          </w:p>
        </w:tc>
        <w:tc>
          <w:tcPr>
            <w:tcW w:w="450" w:type="pct"/>
            <w:vAlign w:val="center"/>
          </w:tcPr>
          <w:p>
            <w:pPr>
              <w:jc w:val="center"/>
              <w:rPr>
                <w:rFonts w:eastAsiaTheme="minorEastAsia"/>
                <w:szCs w:val="21"/>
              </w:rPr>
            </w:pPr>
            <w:r>
              <w:rPr>
                <w:rFonts w:eastAsiaTheme="minorEastAsia"/>
                <w:szCs w:val="21"/>
              </w:rPr>
              <w:t>/</w:t>
            </w:r>
          </w:p>
        </w:tc>
        <w:tc>
          <w:tcPr>
            <w:tcW w:w="1462" w:type="pct"/>
            <w:vAlign w:val="center"/>
          </w:tcPr>
          <w:p>
            <w:pPr>
              <w:autoSpaceDE w:val="0"/>
              <w:autoSpaceDN w:val="0"/>
              <w:adjustRightInd w:val="0"/>
              <w:jc w:val="center"/>
              <w:rPr>
                <w:rFonts w:eastAsiaTheme="minorEastAsia"/>
                <w:szCs w:val="21"/>
              </w:rPr>
            </w:pPr>
            <w:r>
              <w:rPr>
                <w:rFonts w:eastAsiaTheme="minorEastAsia"/>
                <w:kern w:val="0"/>
                <w:szCs w:val="21"/>
              </w:rPr>
              <w:t>GB34330-2017</w:t>
            </w:r>
            <w:r>
              <w:rPr>
                <w:rFonts w:hAnsiTheme="minorEastAsia" w:eastAsiaTheme="minorEastAsia"/>
                <w:kern w:val="0"/>
                <w:szCs w:val="21"/>
              </w:rPr>
              <w:t>，</w:t>
            </w:r>
            <w:r>
              <w:rPr>
                <w:rFonts w:eastAsiaTheme="minorEastAsia"/>
                <w:kern w:val="0"/>
                <w:szCs w:val="21"/>
              </w:rPr>
              <w:t>4.1</w:t>
            </w:r>
            <w:r>
              <w:rPr>
                <w:rFonts w:hAnsiTheme="minorEastAsia" w:eastAsiaTheme="minorEastAsia"/>
                <w:kern w:val="0"/>
                <w:szCs w:val="21"/>
              </w:rPr>
              <w:t>，</w:t>
            </w:r>
            <w:r>
              <w:rPr>
                <w:rFonts w:eastAsiaTheme="minorEastAsia"/>
                <w:kern w:val="0"/>
                <w:szCs w:val="21"/>
              </w:rPr>
              <w:t>c</w:t>
            </w:r>
            <w:r>
              <w:rPr>
                <w:rFonts w:hAnsiTheme="minorEastAsia" w:eastAsiaTheme="minorEastAsia"/>
                <w:kern w:val="0"/>
                <w:szCs w:val="21"/>
              </w:rPr>
              <w:t>）因为沾染、掺入、混杂无用或有害物质使其质量无法满足使用需求，而不能在市场出售、流通或者不能按照原用途使用的物质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271" w:type="pct"/>
            <w:vAlign w:val="center"/>
          </w:tcPr>
          <w:p>
            <w:pPr>
              <w:jc w:val="center"/>
              <w:rPr>
                <w:rFonts w:eastAsiaTheme="minorEastAsia"/>
                <w:szCs w:val="21"/>
              </w:rPr>
            </w:pPr>
            <w:r>
              <w:rPr>
                <w:rFonts w:eastAsiaTheme="minorEastAsia"/>
                <w:szCs w:val="21"/>
              </w:rPr>
              <w:t>4</w:t>
            </w:r>
          </w:p>
        </w:tc>
        <w:tc>
          <w:tcPr>
            <w:tcW w:w="419" w:type="pct"/>
            <w:vAlign w:val="center"/>
          </w:tcPr>
          <w:p>
            <w:pPr>
              <w:jc w:val="center"/>
              <w:rPr>
                <w:rFonts w:eastAsiaTheme="minorEastAsia"/>
                <w:szCs w:val="21"/>
              </w:rPr>
            </w:pPr>
            <w:r>
              <w:rPr>
                <w:rFonts w:eastAsiaTheme="minorEastAsia"/>
                <w:szCs w:val="21"/>
              </w:rPr>
              <w:t>不合格蛋</w:t>
            </w:r>
          </w:p>
        </w:tc>
        <w:tc>
          <w:tcPr>
            <w:tcW w:w="498" w:type="pct"/>
            <w:vAlign w:val="center"/>
          </w:tcPr>
          <w:p>
            <w:pPr>
              <w:jc w:val="center"/>
              <w:rPr>
                <w:rFonts w:eastAsiaTheme="minorEastAsia"/>
                <w:szCs w:val="21"/>
              </w:rPr>
            </w:pPr>
            <w:r>
              <w:rPr>
                <w:rFonts w:hAnsiTheme="minorEastAsia" w:eastAsiaTheme="minorEastAsia"/>
                <w:szCs w:val="21"/>
              </w:rPr>
              <w:t>蛋鸡养殖</w:t>
            </w:r>
          </w:p>
        </w:tc>
        <w:tc>
          <w:tcPr>
            <w:tcW w:w="350" w:type="pct"/>
            <w:vAlign w:val="center"/>
          </w:tcPr>
          <w:p>
            <w:pPr>
              <w:jc w:val="center"/>
              <w:rPr>
                <w:rFonts w:eastAsiaTheme="minorEastAsia"/>
                <w:szCs w:val="21"/>
              </w:rPr>
            </w:pPr>
            <w:r>
              <w:rPr>
                <w:rFonts w:hAnsiTheme="minorEastAsia" w:eastAsiaTheme="minorEastAsia"/>
                <w:szCs w:val="21"/>
              </w:rPr>
              <w:t>固态</w:t>
            </w:r>
          </w:p>
        </w:tc>
        <w:tc>
          <w:tcPr>
            <w:tcW w:w="600" w:type="pct"/>
            <w:vAlign w:val="center"/>
          </w:tcPr>
          <w:p>
            <w:pPr>
              <w:jc w:val="center"/>
              <w:rPr>
                <w:rFonts w:eastAsiaTheme="minorEastAsia"/>
                <w:szCs w:val="21"/>
              </w:rPr>
            </w:pPr>
            <w:r>
              <w:rPr>
                <w:rFonts w:eastAsiaTheme="minorEastAsia"/>
                <w:szCs w:val="21"/>
              </w:rPr>
              <w:t>蛋壳、蛋液等</w:t>
            </w:r>
          </w:p>
        </w:tc>
        <w:tc>
          <w:tcPr>
            <w:tcW w:w="500" w:type="pct"/>
            <w:vAlign w:val="center"/>
          </w:tcPr>
          <w:p>
            <w:pPr>
              <w:jc w:val="center"/>
              <w:rPr>
                <w:rFonts w:eastAsiaTheme="minorEastAsia"/>
                <w:szCs w:val="21"/>
              </w:rPr>
            </w:pPr>
            <w:r>
              <w:rPr>
                <w:rFonts w:hint="eastAsia" w:eastAsiaTheme="minorEastAsia"/>
                <w:szCs w:val="21"/>
              </w:rPr>
              <w:t>115.80</w:t>
            </w:r>
          </w:p>
        </w:tc>
        <w:tc>
          <w:tcPr>
            <w:tcW w:w="450" w:type="pct"/>
            <w:vAlign w:val="center"/>
          </w:tcPr>
          <w:p>
            <w:pPr>
              <w:jc w:val="center"/>
              <w:rPr>
                <w:rFonts w:eastAsiaTheme="minorEastAsia"/>
                <w:szCs w:val="21"/>
              </w:rPr>
            </w:pPr>
            <w:r>
              <w:rPr>
                <w:rFonts w:eastAsiaTheme="minorEastAsia"/>
                <w:kern w:val="0"/>
                <w:szCs w:val="21"/>
              </w:rPr>
              <w:t>√</w:t>
            </w:r>
          </w:p>
        </w:tc>
        <w:tc>
          <w:tcPr>
            <w:tcW w:w="450" w:type="pct"/>
            <w:vAlign w:val="center"/>
          </w:tcPr>
          <w:p>
            <w:pPr>
              <w:jc w:val="center"/>
              <w:rPr>
                <w:rFonts w:eastAsiaTheme="minorEastAsia"/>
                <w:szCs w:val="21"/>
              </w:rPr>
            </w:pPr>
            <w:r>
              <w:rPr>
                <w:rFonts w:eastAsiaTheme="minorEastAsia"/>
                <w:szCs w:val="21"/>
              </w:rPr>
              <w:t>/</w:t>
            </w:r>
          </w:p>
        </w:tc>
        <w:tc>
          <w:tcPr>
            <w:tcW w:w="1462" w:type="pct"/>
            <w:vAlign w:val="center"/>
          </w:tcPr>
          <w:p>
            <w:pPr>
              <w:jc w:val="center"/>
              <w:rPr>
                <w:rFonts w:eastAsiaTheme="minorEastAsia"/>
                <w:szCs w:val="21"/>
              </w:rPr>
            </w:pPr>
            <w:r>
              <w:rPr>
                <w:rFonts w:eastAsiaTheme="minorEastAsia"/>
                <w:kern w:val="0"/>
                <w:szCs w:val="21"/>
              </w:rPr>
              <w:t>GB34330-2017</w:t>
            </w:r>
            <w:r>
              <w:rPr>
                <w:rFonts w:hAnsiTheme="minorEastAsia" w:eastAsiaTheme="minorEastAsia"/>
                <w:kern w:val="0"/>
                <w:szCs w:val="21"/>
              </w:rPr>
              <w:t>，</w:t>
            </w:r>
            <w:r>
              <w:rPr>
                <w:rFonts w:eastAsiaTheme="minorEastAsia"/>
                <w:kern w:val="0"/>
                <w:szCs w:val="21"/>
              </w:rPr>
              <w:t>4.1</w:t>
            </w:r>
            <w:r>
              <w:rPr>
                <w:rFonts w:hAnsiTheme="minorEastAsia" w:eastAsiaTheme="minorEastAsia"/>
                <w:kern w:val="0"/>
                <w:szCs w:val="21"/>
              </w:rPr>
              <w:t>，a）</w:t>
            </w:r>
            <w:r>
              <w:rPr>
                <w:rFonts w:hint="eastAsia" w:hAnsiTheme="minorEastAsia" w:eastAsiaTheme="minorEastAsia"/>
                <w:kern w:val="0"/>
                <w:szCs w:val="21"/>
              </w:rPr>
              <w:t>GB34330-2017，4.1，c）因为沾染、掺入、混杂无用或有害物质使其质量无法满足使用需求，而不能在市场出售、流通或者不能按照原用途使用的物质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271" w:type="pct"/>
            <w:vAlign w:val="center"/>
          </w:tcPr>
          <w:p>
            <w:pPr>
              <w:jc w:val="center"/>
              <w:rPr>
                <w:rFonts w:eastAsiaTheme="minorEastAsia"/>
                <w:szCs w:val="21"/>
              </w:rPr>
            </w:pPr>
            <w:r>
              <w:rPr>
                <w:rFonts w:eastAsiaTheme="minorEastAsia"/>
                <w:szCs w:val="21"/>
              </w:rPr>
              <w:t>5</w:t>
            </w:r>
          </w:p>
        </w:tc>
        <w:tc>
          <w:tcPr>
            <w:tcW w:w="419" w:type="pct"/>
            <w:vAlign w:val="center"/>
          </w:tcPr>
          <w:p>
            <w:pPr>
              <w:jc w:val="center"/>
              <w:rPr>
                <w:rFonts w:eastAsiaTheme="minorEastAsia"/>
                <w:szCs w:val="21"/>
              </w:rPr>
            </w:pPr>
            <w:r>
              <w:rPr>
                <w:rFonts w:hint="eastAsia" w:eastAsiaTheme="minorEastAsia"/>
                <w:szCs w:val="21"/>
              </w:rPr>
              <w:t>饲料渣和脱落的羽毛</w:t>
            </w:r>
          </w:p>
        </w:tc>
        <w:tc>
          <w:tcPr>
            <w:tcW w:w="498" w:type="pct"/>
            <w:vAlign w:val="center"/>
          </w:tcPr>
          <w:p>
            <w:pPr>
              <w:jc w:val="center"/>
              <w:rPr>
                <w:rFonts w:eastAsiaTheme="minorEastAsia"/>
                <w:szCs w:val="21"/>
              </w:rPr>
            </w:pPr>
            <w:r>
              <w:rPr>
                <w:rFonts w:hAnsiTheme="minorEastAsia" w:eastAsiaTheme="minorEastAsia"/>
                <w:szCs w:val="21"/>
              </w:rPr>
              <w:t>蛋鸡养殖</w:t>
            </w:r>
          </w:p>
        </w:tc>
        <w:tc>
          <w:tcPr>
            <w:tcW w:w="350" w:type="pct"/>
            <w:vAlign w:val="center"/>
          </w:tcPr>
          <w:p>
            <w:pPr>
              <w:jc w:val="center"/>
              <w:rPr>
                <w:rFonts w:eastAsiaTheme="minorEastAsia"/>
                <w:szCs w:val="21"/>
              </w:rPr>
            </w:pPr>
            <w:r>
              <w:rPr>
                <w:rFonts w:hAnsiTheme="minorEastAsia" w:eastAsiaTheme="minorEastAsia"/>
                <w:szCs w:val="21"/>
              </w:rPr>
              <w:t>固态</w:t>
            </w:r>
          </w:p>
        </w:tc>
        <w:tc>
          <w:tcPr>
            <w:tcW w:w="600" w:type="pct"/>
            <w:vAlign w:val="center"/>
          </w:tcPr>
          <w:p>
            <w:pPr>
              <w:jc w:val="center"/>
              <w:rPr>
                <w:rFonts w:eastAsiaTheme="minorEastAsia"/>
                <w:szCs w:val="21"/>
              </w:rPr>
            </w:pPr>
            <w:r>
              <w:rPr>
                <w:rFonts w:hint="eastAsia" w:eastAsiaTheme="minorEastAsia"/>
                <w:szCs w:val="21"/>
              </w:rPr>
              <w:t>饲料渣、毛羽</w:t>
            </w:r>
          </w:p>
        </w:tc>
        <w:tc>
          <w:tcPr>
            <w:tcW w:w="500" w:type="pct"/>
            <w:vAlign w:val="center"/>
          </w:tcPr>
          <w:p>
            <w:pPr>
              <w:jc w:val="center"/>
              <w:rPr>
                <w:rFonts w:eastAsiaTheme="minorEastAsia"/>
                <w:szCs w:val="21"/>
              </w:rPr>
            </w:pPr>
            <w:r>
              <w:rPr>
                <w:rFonts w:hint="eastAsia" w:eastAsiaTheme="minorEastAsia"/>
                <w:szCs w:val="21"/>
              </w:rPr>
              <w:t>3.285</w:t>
            </w:r>
          </w:p>
        </w:tc>
        <w:tc>
          <w:tcPr>
            <w:tcW w:w="450" w:type="pct"/>
            <w:vAlign w:val="center"/>
          </w:tcPr>
          <w:p>
            <w:pPr>
              <w:jc w:val="center"/>
              <w:rPr>
                <w:rFonts w:eastAsiaTheme="minorEastAsia"/>
                <w:szCs w:val="21"/>
              </w:rPr>
            </w:pPr>
            <w:r>
              <w:rPr>
                <w:rFonts w:eastAsiaTheme="minorEastAsia"/>
                <w:kern w:val="0"/>
                <w:szCs w:val="21"/>
              </w:rPr>
              <w:t>√</w:t>
            </w:r>
          </w:p>
        </w:tc>
        <w:tc>
          <w:tcPr>
            <w:tcW w:w="450" w:type="pct"/>
            <w:vAlign w:val="center"/>
          </w:tcPr>
          <w:p>
            <w:pPr>
              <w:jc w:val="center"/>
              <w:rPr>
                <w:rFonts w:eastAsiaTheme="minorEastAsia"/>
                <w:szCs w:val="21"/>
              </w:rPr>
            </w:pPr>
            <w:r>
              <w:rPr>
                <w:rFonts w:eastAsiaTheme="minorEastAsia"/>
                <w:szCs w:val="21"/>
              </w:rPr>
              <w:t>/</w:t>
            </w:r>
          </w:p>
        </w:tc>
        <w:tc>
          <w:tcPr>
            <w:tcW w:w="1462" w:type="pct"/>
            <w:vAlign w:val="center"/>
          </w:tcPr>
          <w:p>
            <w:pPr>
              <w:jc w:val="center"/>
              <w:rPr>
                <w:rFonts w:eastAsiaTheme="minorEastAsia"/>
                <w:szCs w:val="21"/>
              </w:rPr>
            </w:pPr>
            <w:r>
              <w:rPr>
                <w:rFonts w:eastAsiaTheme="minorEastAsia"/>
                <w:kern w:val="0"/>
                <w:szCs w:val="21"/>
              </w:rPr>
              <w:t>GB34330-2017</w:t>
            </w:r>
            <w:r>
              <w:rPr>
                <w:rFonts w:hAnsiTheme="minorEastAsia" w:eastAsiaTheme="minorEastAsia"/>
                <w:kern w:val="0"/>
                <w:szCs w:val="21"/>
              </w:rPr>
              <w:t>，</w:t>
            </w:r>
            <w:r>
              <w:rPr>
                <w:rFonts w:eastAsiaTheme="minorEastAsia"/>
                <w:kern w:val="0"/>
                <w:szCs w:val="21"/>
              </w:rPr>
              <w:t>4.2</w:t>
            </w:r>
            <w:r>
              <w:rPr>
                <w:rFonts w:hAnsiTheme="minorEastAsia" w:eastAsiaTheme="minorEastAsia"/>
                <w:kern w:val="0"/>
                <w:szCs w:val="21"/>
              </w:rPr>
              <w:t>，</w:t>
            </w:r>
            <w:r>
              <w:rPr>
                <w:rFonts w:eastAsiaTheme="minorEastAsia"/>
                <w:kern w:val="0"/>
                <w:szCs w:val="21"/>
              </w:rPr>
              <w:t>j</w:t>
            </w:r>
            <w:r>
              <w:rPr>
                <w:rFonts w:hAnsiTheme="minorEastAsia" w:eastAsiaTheme="minorEastAsia"/>
                <w:kern w:val="0"/>
                <w:szCs w:val="21"/>
              </w:rPr>
              <w:t>）畜禽和水产养殖过程中产生的动物粪便、病害动物尸体等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271" w:type="pct"/>
            <w:vAlign w:val="center"/>
          </w:tcPr>
          <w:p>
            <w:pPr>
              <w:jc w:val="center"/>
              <w:rPr>
                <w:rFonts w:eastAsiaTheme="minorEastAsia"/>
                <w:szCs w:val="21"/>
              </w:rPr>
            </w:pPr>
            <w:r>
              <w:rPr>
                <w:rFonts w:eastAsiaTheme="minorEastAsia"/>
                <w:szCs w:val="21"/>
              </w:rPr>
              <w:t>6</w:t>
            </w:r>
          </w:p>
        </w:tc>
        <w:tc>
          <w:tcPr>
            <w:tcW w:w="419" w:type="pct"/>
            <w:vAlign w:val="center"/>
          </w:tcPr>
          <w:p>
            <w:pPr>
              <w:jc w:val="center"/>
              <w:rPr>
                <w:rFonts w:eastAsiaTheme="minorEastAsia"/>
                <w:szCs w:val="21"/>
              </w:rPr>
            </w:pPr>
            <w:r>
              <w:rPr>
                <w:rFonts w:hAnsiTheme="minorEastAsia" w:eastAsiaTheme="minorEastAsia"/>
                <w:szCs w:val="21"/>
              </w:rPr>
              <w:t>医疗废物</w:t>
            </w:r>
          </w:p>
        </w:tc>
        <w:tc>
          <w:tcPr>
            <w:tcW w:w="498" w:type="pct"/>
            <w:vAlign w:val="center"/>
          </w:tcPr>
          <w:p>
            <w:pPr>
              <w:jc w:val="center"/>
              <w:rPr>
                <w:rFonts w:eastAsiaTheme="minorEastAsia"/>
                <w:szCs w:val="21"/>
              </w:rPr>
            </w:pPr>
            <w:r>
              <w:rPr>
                <w:rFonts w:hint="eastAsia" w:hAnsiTheme="minorEastAsia" w:eastAsiaTheme="minorEastAsia"/>
                <w:szCs w:val="21"/>
              </w:rPr>
              <w:t>防疫</w:t>
            </w:r>
          </w:p>
        </w:tc>
        <w:tc>
          <w:tcPr>
            <w:tcW w:w="350" w:type="pct"/>
            <w:vAlign w:val="center"/>
          </w:tcPr>
          <w:p>
            <w:pPr>
              <w:jc w:val="center"/>
              <w:rPr>
                <w:rFonts w:eastAsiaTheme="minorEastAsia"/>
                <w:szCs w:val="21"/>
              </w:rPr>
            </w:pPr>
            <w:r>
              <w:rPr>
                <w:rFonts w:hAnsiTheme="minorEastAsia" w:eastAsiaTheme="minorEastAsia"/>
                <w:szCs w:val="21"/>
              </w:rPr>
              <w:t>固态</w:t>
            </w:r>
          </w:p>
        </w:tc>
        <w:tc>
          <w:tcPr>
            <w:tcW w:w="600" w:type="pct"/>
            <w:vAlign w:val="center"/>
          </w:tcPr>
          <w:p>
            <w:pPr>
              <w:jc w:val="center"/>
              <w:rPr>
                <w:rFonts w:eastAsiaTheme="minorEastAsia"/>
                <w:szCs w:val="21"/>
              </w:rPr>
            </w:pPr>
            <w:r>
              <w:rPr>
                <w:rFonts w:hAnsiTheme="minorEastAsia" w:eastAsiaTheme="minorEastAsia"/>
                <w:szCs w:val="21"/>
              </w:rPr>
              <w:t>针管等</w:t>
            </w:r>
          </w:p>
        </w:tc>
        <w:tc>
          <w:tcPr>
            <w:tcW w:w="500" w:type="pct"/>
            <w:vAlign w:val="center"/>
          </w:tcPr>
          <w:p>
            <w:pPr>
              <w:jc w:val="center"/>
              <w:rPr>
                <w:rFonts w:eastAsiaTheme="minorEastAsia"/>
                <w:szCs w:val="21"/>
              </w:rPr>
            </w:pPr>
            <w:r>
              <w:rPr>
                <w:rFonts w:eastAsiaTheme="minorEastAsia"/>
                <w:szCs w:val="21"/>
              </w:rPr>
              <w:t>0.2</w:t>
            </w:r>
          </w:p>
        </w:tc>
        <w:tc>
          <w:tcPr>
            <w:tcW w:w="450" w:type="pct"/>
            <w:vAlign w:val="center"/>
          </w:tcPr>
          <w:p>
            <w:pPr>
              <w:jc w:val="center"/>
              <w:rPr>
                <w:rFonts w:eastAsiaTheme="minorEastAsia"/>
                <w:szCs w:val="21"/>
              </w:rPr>
            </w:pPr>
            <w:r>
              <w:rPr>
                <w:rFonts w:eastAsiaTheme="minorEastAsia"/>
                <w:kern w:val="0"/>
                <w:szCs w:val="21"/>
              </w:rPr>
              <w:t>√</w:t>
            </w:r>
          </w:p>
        </w:tc>
        <w:tc>
          <w:tcPr>
            <w:tcW w:w="450" w:type="pct"/>
            <w:vAlign w:val="center"/>
          </w:tcPr>
          <w:p>
            <w:pPr>
              <w:jc w:val="center"/>
              <w:rPr>
                <w:rFonts w:eastAsiaTheme="minorEastAsia"/>
                <w:szCs w:val="21"/>
              </w:rPr>
            </w:pPr>
            <w:r>
              <w:rPr>
                <w:rFonts w:eastAsiaTheme="minorEastAsia"/>
                <w:szCs w:val="21"/>
              </w:rPr>
              <w:t>/</w:t>
            </w:r>
          </w:p>
        </w:tc>
        <w:tc>
          <w:tcPr>
            <w:tcW w:w="1462" w:type="pct"/>
            <w:vAlign w:val="center"/>
          </w:tcPr>
          <w:p>
            <w:pPr>
              <w:autoSpaceDE w:val="0"/>
              <w:autoSpaceDN w:val="0"/>
              <w:adjustRightInd w:val="0"/>
              <w:jc w:val="center"/>
              <w:rPr>
                <w:rFonts w:eastAsiaTheme="minorEastAsia"/>
                <w:szCs w:val="21"/>
              </w:rPr>
            </w:pPr>
            <w:r>
              <w:rPr>
                <w:rFonts w:eastAsiaTheme="minorEastAsia"/>
                <w:kern w:val="0"/>
                <w:szCs w:val="21"/>
              </w:rPr>
              <w:t>GB34330-2017</w:t>
            </w:r>
            <w:r>
              <w:rPr>
                <w:rFonts w:hAnsiTheme="minorEastAsia" w:eastAsiaTheme="minorEastAsia"/>
                <w:kern w:val="0"/>
                <w:szCs w:val="21"/>
              </w:rPr>
              <w:t>，</w:t>
            </w:r>
            <w:r>
              <w:rPr>
                <w:rFonts w:eastAsiaTheme="minorEastAsia"/>
                <w:kern w:val="0"/>
                <w:szCs w:val="21"/>
              </w:rPr>
              <w:t>4.1</w:t>
            </w:r>
            <w:r>
              <w:rPr>
                <w:rFonts w:hAnsiTheme="minorEastAsia" w:eastAsiaTheme="minorEastAsia"/>
                <w:kern w:val="0"/>
                <w:szCs w:val="21"/>
              </w:rPr>
              <w:t>，</w:t>
            </w:r>
            <w:r>
              <w:rPr>
                <w:rFonts w:eastAsiaTheme="minorEastAsia"/>
                <w:kern w:val="0"/>
                <w:szCs w:val="21"/>
              </w:rPr>
              <w:t>h</w:t>
            </w:r>
            <w:r>
              <w:rPr>
                <w:rFonts w:hAnsiTheme="minorEastAsia" w:eastAsiaTheme="minorEastAsia"/>
                <w:kern w:val="0"/>
                <w:szCs w:val="21"/>
              </w:rPr>
              <w:t>）因丧失原有功能而无法继续使用的物质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271" w:type="pct"/>
            <w:vAlign w:val="center"/>
          </w:tcPr>
          <w:p>
            <w:pPr>
              <w:jc w:val="center"/>
              <w:rPr>
                <w:rFonts w:eastAsiaTheme="minorEastAsia"/>
                <w:szCs w:val="21"/>
              </w:rPr>
            </w:pPr>
            <w:r>
              <w:rPr>
                <w:rFonts w:eastAsiaTheme="minorEastAsia"/>
                <w:szCs w:val="21"/>
              </w:rPr>
              <w:t>7</w:t>
            </w:r>
          </w:p>
        </w:tc>
        <w:tc>
          <w:tcPr>
            <w:tcW w:w="419" w:type="pct"/>
            <w:vAlign w:val="center"/>
          </w:tcPr>
          <w:p>
            <w:pPr>
              <w:jc w:val="center"/>
              <w:rPr>
                <w:rFonts w:eastAsiaTheme="minorEastAsia"/>
                <w:szCs w:val="21"/>
              </w:rPr>
            </w:pPr>
            <w:r>
              <w:rPr>
                <w:rFonts w:hAnsiTheme="minorEastAsia" w:eastAsiaTheme="minorEastAsia"/>
                <w:szCs w:val="21"/>
              </w:rPr>
              <w:t>生活垃圾</w:t>
            </w:r>
          </w:p>
        </w:tc>
        <w:tc>
          <w:tcPr>
            <w:tcW w:w="498" w:type="pct"/>
            <w:vAlign w:val="center"/>
          </w:tcPr>
          <w:p>
            <w:pPr>
              <w:jc w:val="center"/>
              <w:rPr>
                <w:rFonts w:eastAsiaTheme="minorEastAsia"/>
                <w:szCs w:val="21"/>
              </w:rPr>
            </w:pPr>
            <w:r>
              <w:rPr>
                <w:rFonts w:hAnsiTheme="minorEastAsia" w:eastAsiaTheme="minorEastAsia"/>
                <w:szCs w:val="21"/>
              </w:rPr>
              <w:t>员工生活</w:t>
            </w:r>
          </w:p>
        </w:tc>
        <w:tc>
          <w:tcPr>
            <w:tcW w:w="350" w:type="pct"/>
            <w:vAlign w:val="center"/>
          </w:tcPr>
          <w:p>
            <w:pPr>
              <w:jc w:val="center"/>
              <w:rPr>
                <w:rFonts w:eastAsiaTheme="minorEastAsia"/>
                <w:szCs w:val="21"/>
              </w:rPr>
            </w:pPr>
            <w:r>
              <w:rPr>
                <w:rFonts w:hAnsiTheme="minorEastAsia" w:eastAsiaTheme="minorEastAsia"/>
                <w:szCs w:val="21"/>
              </w:rPr>
              <w:t>固态</w:t>
            </w:r>
          </w:p>
        </w:tc>
        <w:tc>
          <w:tcPr>
            <w:tcW w:w="600" w:type="pct"/>
            <w:vAlign w:val="center"/>
          </w:tcPr>
          <w:p>
            <w:pPr>
              <w:jc w:val="center"/>
              <w:rPr>
                <w:rFonts w:eastAsiaTheme="minorEastAsia"/>
                <w:szCs w:val="21"/>
              </w:rPr>
            </w:pPr>
            <w:r>
              <w:rPr>
                <w:rFonts w:hAnsiTheme="minorEastAsia" w:eastAsiaTheme="minorEastAsia"/>
                <w:szCs w:val="21"/>
              </w:rPr>
              <w:t>纸等</w:t>
            </w:r>
          </w:p>
        </w:tc>
        <w:tc>
          <w:tcPr>
            <w:tcW w:w="500" w:type="pct"/>
            <w:vAlign w:val="center"/>
          </w:tcPr>
          <w:p>
            <w:pPr>
              <w:jc w:val="center"/>
              <w:rPr>
                <w:rFonts w:eastAsiaTheme="minorEastAsia"/>
                <w:szCs w:val="21"/>
              </w:rPr>
            </w:pPr>
            <w:r>
              <w:rPr>
                <w:rFonts w:hint="eastAsia" w:eastAsiaTheme="minorEastAsia"/>
                <w:szCs w:val="21"/>
              </w:rPr>
              <w:t>14.6</w:t>
            </w:r>
          </w:p>
        </w:tc>
        <w:tc>
          <w:tcPr>
            <w:tcW w:w="450" w:type="pct"/>
            <w:vAlign w:val="center"/>
          </w:tcPr>
          <w:p>
            <w:pPr>
              <w:jc w:val="center"/>
              <w:rPr>
                <w:rFonts w:eastAsiaTheme="minorEastAsia"/>
                <w:szCs w:val="21"/>
              </w:rPr>
            </w:pPr>
            <w:r>
              <w:rPr>
                <w:rFonts w:eastAsiaTheme="minorEastAsia"/>
                <w:kern w:val="0"/>
                <w:szCs w:val="21"/>
              </w:rPr>
              <w:t>√</w:t>
            </w:r>
          </w:p>
        </w:tc>
        <w:tc>
          <w:tcPr>
            <w:tcW w:w="450" w:type="pct"/>
            <w:vAlign w:val="center"/>
          </w:tcPr>
          <w:p>
            <w:pPr>
              <w:jc w:val="center"/>
              <w:rPr>
                <w:rFonts w:eastAsiaTheme="minorEastAsia"/>
                <w:szCs w:val="21"/>
              </w:rPr>
            </w:pPr>
            <w:r>
              <w:rPr>
                <w:rFonts w:eastAsiaTheme="minorEastAsia"/>
                <w:szCs w:val="21"/>
              </w:rPr>
              <w:t>/</w:t>
            </w:r>
          </w:p>
        </w:tc>
        <w:tc>
          <w:tcPr>
            <w:tcW w:w="1462" w:type="pct"/>
            <w:vAlign w:val="center"/>
          </w:tcPr>
          <w:p>
            <w:pPr>
              <w:autoSpaceDE w:val="0"/>
              <w:autoSpaceDN w:val="0"/>
              <w:adjustRightInd w:val="0"/>
              <w:jc w:val="center"/>
              <w:rPr>
                <w:rFonts w:eastAsiaTheme="minorEastAsia"/>
                <w:szCs w:val="21"/>
              </w:rPr>
            </w:pPr>
            <w:r>
              <w:rPr>
                <w:rFonts w:eastAsiaTheme="minorEastAsia"/>
                <w:kern w:val="0"/>
                <w:szCs w:val="21"/>
              </w:rPr>
              <w:t>GB34330-2017</w:t>
            </w:r>
            <w:r>
              <w:rPr>
                <w:rFonts w:hAnsiTheme="minorEastAsia" w:eastAsiaTheme="minorEastAsia"/>
                <w:kern w:val="0"/>
                <w:szCs w:val="21"/>
              </w:rPr>
              <w:t>，</w:t>
            </w:r>
            <w:r>
              <w:rPr>
                <w:rFonts w:eastAsiaTheme="minorEastAsia"/>
                <w:kern w:val="0"/>
                <w:szCs w:val="21"/>
              </w:rPr>
              <w:t>4.1</w:t>
            </w:r>
            <w:r>
              <w:rPr>
                <w:rFonts w:hAnsiTheme="minorEastAsia" w:eastAsiaTheme="minorEastAsia"/>
                <w:kern w:val="0"/>
                <w:szCs w:val="21"/>
              </w:rPr>
              <w:t>，</w:t>
            </w:r>
            <w:r>
              <w:rPr>
                <w:rFonts w:eastAsiaTheme="minorEastAsia"/>
                <w:kern w:val="0"/>
                <w:szCs w:val="21"/>
              </w:rPr>
              <w:t>h</w:t>
            </w:r>
            <w:r>
              <w:rPr>
                <w:rFonts w:hAnsiTheme="minorEastAsia" w:eastAsiaTheme="minorEastAsia"/>
                <w:kern w:val="0"/>
                <w:szCs w:val="21"/>
              </w:rPr>
              <w:t>）因丧失原有功能而无法继续使用的物质</w:t>
            </w:r>
          </w:p>
        </w:tc>
      </w:tr>
    </w:tbl>
    <w:p>
      <w:pPr>
        <w:adjustRightInd w:val="0"/>
        <w:snapToGrid w:val="0"/>
        <w:spacing w:beforeLines="50"/>
        <w:jc w:val="center"/>
        <w:rPr>
          <w:b/>
          <w:kern w:val="0"/>
          <w:szCs w:val="21"/>
        </w:rPr>
      </w:pPr>
      <w:r>
        <w:rPr>
          <w:b/>
          <w:kern w:val="0"/>
          <w:szCs w:val="21"/>
        </w:rPr>
        <w:t>表</w:t>
      </w:r>
      <w:r>
        <w:rPr>
          <w:rFonts w:hint="eastAsia"/>
          <w:b/>
          <w:kern w:val="0"/>
          <w:szCs w:val="21"/>
        </w:rPr>
        <w:t>3.3-10  运营期固体废物分析结果汇总表</w:t>
      </w:r>
    </w:p>
    <w:tbl>
      <w:tblPr>
        <w:tblStyle w:val="47"/>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542"/>
        <w:gridCol w:w="910"/>
        <w:gridCol w:w="766"/>
        <w:gridCol w:w="1696"/>
        <w:gridCol w:w="1131"/>
        <w:gridCol w:w="768"/>
        <w:gridCol w:w="1205"/>
        <w:gridCol w:w="1131"/>
        <w:gridCol w:w="1197"/>
        <w:gridCol w:w="1111"/>
        <w:gridCol w:w="1276"/>
        <w:gridCol w:w="244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91" w:type="pct"/>
            <w:vAlign w:val="center"/>
          </w:tcPr>
          <w:p>
            <w:pPr>
              <w:jc w:val="center"/>
              <w:rPr>
                <w:rFonts w:eastAsiaTheme="minorEastAsia"/>
                <w:b/>
                <w:szCs w:val="21"/>
              </w:rPr>
            </w:pPr>
            <w:r>
              <w:rPr>
                <w:rFonts w:eastAsiaTheme="minorEastAsia"/>
                <w:b/>
                <w:szCs w:val="21"/>
              </w:rPr>
              <w:t>序号</w:t>
            </w:r>
          </w:p>
        </w:tc>
        <w:tc>
          <w:tcPr>
            <w:tcW w:w="321" w:type="pct"/>
            <w:vAlign w:val="center"/>
          </w:tcPr>
          <w:p>
            <w:pPr>
              <w:jc w:val="center"/>
              <w:rPr>
                <w:rFonts w:eastAsiaTheme="minorEastAsia"/>
                <w:b/>
                <w:szCs w:val="21"/>
              </w:rPr>
            </w:pPr>
            <w:r>
              <w:rPr>
                <w:rFonts w:eastAsiaTheme="minorEastAsia"/>
                <w:b/>
                <w:szCs w:val="21"/>
              </w:rPr>
              <w:t>固废来源</w:t>
            </w:r>
          </w:p>
        </w:tc>
        <w:tc>
          <w:tcPr>
            <w:tcW w:w="270" w:type="pct"/>
            <w:vAlign w:val="center"/>
          </w:tcPr>
          <w:p>
            <w:pPr>
              <w:jc w:val="center"/>
              <w:rPr>
                <w:rFonts w:hAnsiTheme="minorEastAsia" w:eastAsiaTheme="minorEastAsia"/>
                <w:b/>
                <w:szCs w:val="21"/>
              </w:rPr>
            </w:pPr>
            <w:r>
              <w:rPr>
                <w:rFonts w:hAnsiTheme="minorEastAsia" w:eastAsiaTheme="minorEastAsia"/>
                <w:b/>
                <w:szCs w:val="21"/>
              </w:rPr>
              <w:t>固废性质</w:t>
            </w:r>
          </w:p>
        </w:tc>
        <w:tc>
          <w:tcPr>
            <w:tcW w:w="598" w:type="pct"/>
            <w:vAlign w:val="center"/>
          </w:tcPr>
          <w:p>
            <w:pPr>
              <w:jc w:val="center"/>
              <w:rPr>
                <w:rFonts w:eastAsiaTheme="minorEastAsia"/>
                <w:b/>
                <w:szCs w:val="21"/>
              </w:rPr>
            </w:pPr>
            <w:r>
              <w:rPr>
                <w:rFonts w:eastAsiaTheme="minorEastAsia"/>
                <w:b/>
                <w:szCs w:val="21"/>
              </w:rPr>
              <w:t>判定依据</w:t>
            </w:r>
          </w:p>
        </w:tc>
        <w:tc>
          <w:tcPr>
            <w:tcW w:w="399" w:type="pct"/>
            <w:vAlign w:val="center"/>
          </w:tcPr>
          <w:p>
            <w:pPr>
              <w:jc w:val="center"/>
              <w:rPr>
                <w:rFonts w:hAnsiTheme="minorEastAsia" w:eastAsiaTheme="minorEastAsia"/>
                <w:b/>
                <w:szCs w:val="21"/>
              </w:rPr>
            </w:pPr>
            <w:r>
              <w:rPr>
                <w:rFonts w:hAnsiTheme="minorEastAsia" w:eastAsiaTheme="minorEastAsia"/>
                <w:b/>
                <w:szCs w:val="21"/>
              </w:rPr>
              <w:t>产生工序</w:t>
            </w:r>
          </w:p>
        </w:tc>
        <w:tc>
          <w:tcPr>
            <w:tcW w:w="271" w:type="pct"/>
            <w:vAlign w:val="center"/>
          </w:tcPr>
          <w:p>
            <w:pPr>
              <w:jc w:val="center"/>
              <w:rPr>
                <w:rFonts w:hAnsiTheme="minorEastAsia" w:eastAsiaTheme="minorEastAsia"/>
                <w:b/>
                <w:szCs w:val="21"/>
              </w:rPr>
            </w:pPr>
            <w:r>
              <w:rPr>
                <w:rFonts w:hAnsiTheme="minorEastAsia" w:eastAsiaTheme="minorEastAsia"/>
                <w:b/>
                <w:szCs w:val="21"/>
              </w:rPr>
              <w:t>形态</w:t>
            </w:r>
          </w:p>
        </w:tc>
        <w:tc>
          <w:tcPr>
            <w:tcW w:w="425" w:type="pct"/>
            <w:vAlign w:val="center"/>
          </w:tcPr>
          <w:p>
            <w:pPr>
              <w:jc w:val="center"/>
              <w:rPr>
                <w:rFonts w:hAnsiTheme="minorEastAsia" w:eastAsiaTheme="minorEastAsia"/>
                <w:b/>
                <w:szCs w:val="21"/>
              </w:rPr>
            </w:pPr>
            <w:r>
              <w:rPr>
                <w:rFonts w:hAnsiTheme="minorEastAsia" w:eastAsiaTheme="minorEastAsia"/>
                <w:b/>
                <w:szCs w:val="21"/>
              </w:rPr>
              <w:t>主要成分</w:t>
            </w:r>
          </w:p>
        </w:tc>
        <w:tc>
          <w:tcPr>
            <w:tcW w:w="399" w:type="pct"/>
            <w:vAlign w:val="center"/>
          </w:tcPr>
          <w:p>
            <w:pPr>
              <w:jc w:val="center"/>
              <w:rPr>
                <w:rFonts w:eastAsiaTheme="minorEastAsia"/>
                <w:b/>
                <w:szCs w:val="21"/>
              </w:rPr>
            </w:pPr>
            <w:r>
              <w:rPr>
                <w:rFonts w:eastAsiaTheme="minorEastAsia"/>
                <w:b/>
                <w:szCs w:val="21"/>
              </w:rPr>
              <w:t>废物类别</w:t>
            </w:r>
          </w:p>
        </w:tc>
        <w:tc>
          <w:tcPr>
            <w:tcW w:w="422" w:type="pct"/>
            <w:vAlign w:val="center"/>
          </w:tcPr>
          <w:p>
            <w:pPr>
              <w:jc w:val="center"/>
              <w:rPr>
                <w:rFonts w:eastAsiaTheme="minorEastAsia"/>
                <w:b/>
                <w:szCs w:val="21"/>
              </w:rPr>
            </w:pPr>
            <w:r>
              <w:rPr>
                <w:rFonts w:eastAsiaTheme="minorEastAsia"/>
                <w:b/>
                <w:szCs w:val="21"/>
              </w:rPr>
              <w:t>废物代码</w:t>
            </w:r>
          </w:p>
        </w:tc>
        <w:tc>
          <w:tcPr>
            <w:tcW w:w="392" w:type="pct"/>
            <w:vAlign w:val="center"/>
          </w:tcPr>
          <w:p>
            <w:pPr>
              <w:jc w:val="center"/>
              <w:rPr>
                <w:rFonts w:eastAsiaTheme="minorEastAsia"/>
                <w:b/>
                <w:szCs w:val="21"/>
              </w:rPr>
            </w:pPr>
            <w:r>
              <w:rPr>
                <w:rFonts w:eastAsiaTheme="minorEastAsia"/>
                <w:b/>
                <w:szCs w:val="21"/>
              </w:rPr>
              <w:t>危险特性</w:t>
            </w:r>
          </w:p>
        </w:tc>
        <w:tc>
          <w:tcPr>
            <w:tcW w:w="450" w:type="pct"/>
            <w:vAlign w:val="center"/>
          </w:tcPr>
          <w:p>
            <w:pPr>
              <w:jc w:val="center"/>
              <w:rPr>
                <w:rFonts w:eastAsiaTheme="minorEastAsia"/>
                <w:b/>
                <w:szCs w:val="21"/>
              </w:rPr>
            </w:pPr>
            <w:r>
              <w:rPr>
                <w:rFonts w:eastAsiaTheme="minorEastAsia"/>
                <w:b/>
                <w:szCs w:val="21"/>
              </w:rPr>
              <w:t>产生量（</w:t>
            </w:r>
            <w:r>
              <w:rPr>
                <w:rFonts w:hint="eastAsia" w:eastAsiaTheme="minorEastAsia"/>
                <w:b/>
                <w:szCs w:val="21"/>
              </w:rPr>
              <w:t>t/a</w:t>
            </w:r>
            <w:r>
              <w:rPr>
                <w:rFonts w:eastAsiaTheme="minorEastAsia"/>
                <w:b/>
                <w:szCs w:val="21"/>
              </w:rPr>
              <w:t>）</w:t>
            </w:r>
          </w:p>
        </w:tc>
        <w:tc>
          <w:tcPr>
            <w:tcW w:w="861" w:type="pct"/>
            <w:vAlign w:val="center"/>
          </w:tcPr>
          <w:p>
            <w:pPr>
              <w:jc w:val="center"/>
              <w:rPr>
                <w:rFonts w:hAnsiTheme="minorEastAsia" w:eastAsiaTheme="minorEastAsia"/>
                <w:b/>
                <w:szCs w:val="21"/>
              </w:rPr>
            </w:pPr>
            <w:r>
              <w:rPr>
                <w:rFonts w:hint="eastAsia" w:hAnsiTheme="minorEastAsia" w:eastAsiaTheme="minorEastAsia"/>
                <w:b/>
                <w:szCs w:val="21"/>
              </w:rPr>
              <w:t>排放</w:t>
            </w:r>
            <w:r>
              <w:rPr>
                <w:rFonts w:hAnsiTheme="minorEastAsia" w:eastAsiaTheme="minorEastAsia"/>
                <w:b/>
                <w:szCs w:val="21"/>
              </w:rPr>
              <w:t>去向</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91" w:type="pct"/>
            <w:vAlign w:val="center"/>
          </w:tcPr>
          <w:p>
            <w:pPr>
              <w:jc w:val="center"/>
              <w:rPr>
                <w:rFonts w:eastAsiaTheme="minorEastAsia"/>
                <w:szCs w:val="21"/>
              </w:rPr>
            </w:pPr>
            <w:r>
              <w:rPr>
                <w:rFonts w:hint="eastAsia" w:eastAsiaTheme="minorEastAsia"/>
                <w:szCs w:val="21"/>
              </w:rPr>
              <w:t>1</w:t>
            </w:r>
          </w:p>
        </w:tc>
        <w:tc>
          <w:tcPr>
            <w:tcW w:w="321" w:type="pct"/>
            <w:vAlign w:val="center"/>
          </w:tcPr>
          <w:p>
            <w:pPr>
              <w:jc w:val="center"/>
              <w:rPr>
                <w:szCs w:val="21"/>
              </w:rPr>
            </w:pPr>
            <w:r>
              <w:rPr>
                <w:rFonts w:hAnsiTheme="minorEastAsia" w:eastAsiaTheme="minorEastAsia"/>
                <w:szCs w:val="21"/>
              </w:rPr>
              <w:t>鸡粪</w:t>
            </w:r>
          </w:p>
        </w:tc>
        <w:tc>
          <w:tcPr>
            <w:tcW w:w="270" w:type="pct"/>
            <w:vAlign w:val="center"/>
          </w:tcPr>
          <w:p>
            <w:pPr>
              <w:jc w:val="center"/>
              <w:rPr>
                <w:szCs w:val="21"/>
              </w:rPr>
            </w:pPr>
            <w:r>
              <w:rPr>
                <w:szCs w:val="21"/>
              </w:rPr>
              <w:t>一般固废</w:t>
            </w:r>
          </w:p>
        </w:tc>
        <w:tc>
          <w:tcPr>
            <w:tcW w:w="598" w:type="pct"/>
            <w:vMerge w:val="restart"/>
            <w:vAlign w:val="center"/>
          </w:tcPr>
          <w:p>
            <w:pPr>
              <w:autoSpaceDE w:val="0"/>
              <w:autoSpaceDN w:val="0"/>
              <w:adjustRightInd w:val="0"/>
              <w:jc w:val="center"/>
              <w:rPr>
                <w:szCs w:val="21"/>
              </w:rPr>
            </w:pPr>
            <w:r>
              <w:rPr>
                <w:rFonts w:hint="eastAsia" w:ascii="宋体" w:cs="宋体" w:hAnsiTheme="minorHAnsi"/>
                <w:kern w:val="0"/>
                <w:szCs w:val="21"/>
              </w:rPr>
              <w:t>《固体废物鉴别标准通则》</w:t>
            </w:r>
          </w:p>
        </w:tc>
        <w:tc>
          <w:tcPr>
            <w:tcW w:w="399" w:type="pct"/>
            <w:vAlign w:val="center"/>
          </w:tcPr>
          <w:p>
            <w:pPr>
              <w:jc w:val="center"/>
              <w:rPr>
                <w:szCs w:val="21"/>
              </w:rPr>
            </w:pPr>
            <w:r>
              <w:rPr>
                <w:rFonts w:hAnsiTheme="minorEastAsia" w:eastAsiaTheme="minorEastAsia"/>
                <w:szCs w:val="21"/>
              </w:rPr>
              <w:t>蛋鸡养殖</w:t>
            </w:r>
          </w:p>
        </w:tc>
        <w:tc>
          <w:tcPr>
            <w:tcW w:w="271" w:type="pct"/>
            <w:vAlign w:val="center"/>
          </w:tcPr>
          <w:p>
            <w:pPr>
              <w:jc w:val="center"/>
              <w:rPr>
                <w:szCs w:val="21"/>
              </w:rPr>
            </w:pPr>
            <w:r>
              <w:rPr>
                <w:szCs w:val="21"/>
              </w:rPr>
              <w:t>固态</w:t>
            </w:r>
          </w:p>
        </w:tc>
        <w:tc>
          <w:tcPr>
            <w:tcW w:w="425" w:type="pct"/>
            <w:vAlign w:val="center"/>
          </w:tcPr>
          <w:p>
            <w:pPr>
              <w:jc w:val="center"/>
              <w:rPr>
                <w:szCs w:val="21"/>
              </w:rPr>
            </w:pPr>
            <w:r>
              <w:rPr>
                <w:rFonts w:hAnsiTheme="minorEastAsia" w:eastAsiaTheme="minorEastAsia"/>
                <w:szCs w:val="21"/>
              </w:rPr>
              <w:t>鸡粪、水</w:t>
            </w:r>
          </w:p>
        </w:tc>
        <w:tc>
          <w:tcPr>
            <w:tcW w:w="399" w:type="pct"/>
            <w:vAlign w:val="center"/>
          </w:tcPr>
          <w:p>
            <w:pPr>
              <w:jc w:val="center"/>
              <w:rPr>
                <w:szCs w:val="21"/>
              </w:rPr>
            </w:pPr>
            <w:r>
              <w:rPr>
                <w:rFonts w:hint="eastAsia"/>
                <w:szCs w:val="21"/>
              </w:rPr>
              <w:t>/</w:t>
            </w:r>
          </w:p>
        </w:tc>
        <w:tc>
          <w:tcPr>
            <w:tcW w:w="422" w:type="pct"/>
            <w:vAlign w:val="center"/>
          </w:tcPr>
          <w:p>
            <w:pPr>
              <w:jc w:val="center"/>
              <w:rPr>
                <w:szCs w:val="21"/>
              </w:rPr>
            </w:pPr>
            <w:r>
              <w:rPr>
                <w:rFonts w:hint="eastAsia"/>
                <w:szCs w:val="21"/>
              </w:rPr>
              <w:t>/</w:t>
            </w:r>
          </w:p>
        </w:tc>
        <w:tc>
          <w:tcPr>
            <w:tcW w:w="392" w:type="pct"/>
            <w:vAlign w:val="center"/>
          </w:tcPr>
          <w:p>
            <w:pPr>
              <w:jc w:val="center"/>
              <w:rPr>
                <w:szCs w:val="21"/>
              </w:rPr>
            </w:pPr>
            <w:r>
              <w:rPr>
                <w:rFonts w:hint="eastAsia"/>
                <w:szCs w:val="21"/>
              </w:rPr>
              <w:t>/</w:t>
            </w:r>
          </w:p>
        </w:tc>
        <w:tc>
          <w:tcPr>
            <w:tcW w:w="450" w:type="pct"/>
            <w:vAlign w:val="center"/>
          </w:tcPr>
          <w:p>
            <w:pPr>
              <w:jc w:val="center"/>
              <w:rPr>
                <w:szCs w:val="21"/>
              </w:rPr>
            </w:pPr>
            <w:r>
              <w:rPr>
                <w:rFonts w:hint="eastAsia"/>
                <w:szCs w:val="21"/>
              </w:rPr>
              <w:t>28470</w:t>
            </w:r>
          </w:p>
        </w:tc>
        <w:tc>
          <w:tcPr>
            <w:tcW w:w="861" w:type="pct"/>
            <w:vAlign w:val="center"/>
          </w:tcPr>
          <w:p>
            <w:pPr>
              <w:jc w:val="center"/>
              <w:rPr>
                <w:szCs w:val="21"/>
              </w:rPr>
            </w:pPr>
            <w:r>
              <w:rPr>
                <w:rFonts w:hint="eastAsia"/>
                <w:szCs w:val="21"/>
              </w:rPr>
              <w:t>部分直接拉走依托台源蛋鸡养殖一场好氧发酵罐制有机肥；剩余部分则直接拉走外售衡阳县沛科生态科技有限责任公司制有机肥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91" w:type="pct"/>
            <w:vAlign w:val="center"/>
          </w:tcPr>
          <w:p>
            <w:pPr>
              <w:jc w:val="center"/>
              <w:rPr>
                <w:rFonts w:eastAsiaTheme="minorEastAsia"/>
                <w:szCs w:val="21"/>
              </w:rPr>
            </w:pPr>
            <w:r>
              <w:rPr>
                <w:rFonts w:eastAsiaTheme="minorEastAsia"/>
                <w:szCs w:val="21"/>
              </w:rPr>
              <w:t>2</w:t>
            </w:r>
          </w:p>
        </w:tc>
        <w:tc>
          <w:tcPr>
            <w:tcW w:w="321" w:type="pct"/>
            <w:vAlign w:val="center"/>
          </w:tcPr>
          <w:p>
            <w:pPr>
              <w:jc w:val="center"/>
              <w:rPr>
                <w:rFonts w:eastAsiaTheme="minorEastAsia"/>
                <w:szCs w:val="21"/>
              </w:rPr>
            </w:pPr>
            <w:r>
              <w:rPr>
                <w:rFonts w:hAnsiTheme="minorEastAsia" w:eastAsiaTheme="minorEastAsia"/>
                <w:szCs w:val="21"/>
              </w:rPr>
              <w:t>病死鸡</w:t>
            </w:r>
          </w:p>
        </w:tc>
        <w:tc>
          <w:tcPr>
            <w:tcW w:w="270" w:type="pct"/>
            <w:vAlign w:val="center"/>
          </w:tcPr>
          <w:p>
            <w:pPr>
              <w:jc w:val="center"/>
              <w:rPr>
                <w:szCs w:val="21"/>
              </w:rPr>
            </w:pPr>
            <w:r>
              <w:rPr>
                <w:szCs w:val="21"/>
              </w:rPr>
              <w:t>一般固废</w:t>
            </w:r>
          </w:p>
        </w:tc>
        <w:tc>
          <w:tcPr>
            <w:tcW w:w="598" w:type="pct"/>
            <w:vMerge w:val="continue"/>
            <w:vAlign w:val="center"/>
          </w:tcPr>
          <w:p>
            <w:pPr>
              <w:jc w:val="center"/>
              <w:rPr>
                <w:szCs w:val="21"/>
              </w:rPr>
            </w:pPr>
          </w:p>
        </w:tc>
        <w:tc>
          <w:tcPr>
            <w:tcW w:w="399" w:type="pct"/>
            <w:vAlign w:val="center"/>
          </w:tcPr>
          <w:p>
            <w:pPr>
              <w:jc w:val="center"/>
              <w:rPr>
                <w:rFonts w:eastAsiaTheme="minorEastAsia"/>
                <w:szCs w:val="21"/>
              </w:rPr>
            </w:pPr>
            <w:r>
              <w:rPr>
                <w:rFonts w:hAnsiTheme="minorEastAsia" w:eastAsiaTheme="minorEastAsia"/>
                <w:szCs w:val="21"/>
              </w:rPr>
              <w:t>蛋鸡养殖</w:t>
            </w:r>
          </w:p>
        </w:tc>
        <w:tc>
          <w:tcPr>
            <w:tcW w:w="271" w:type="pct"/>
            <w:vAlign w:val="center"/>
          </w:tcPr>
          <w:p>
            <w:pPr>
              <w:jc w:val="center"/>
              <w:rPr>
                <w:rFonts w:eastAsiaTheme="minorEastAsia"/>
                <w:szCs w:val="21"/>
              </w:rPr>
            </w:pPr>
            <w:r>
              <w:rPr>
                <w:rFonts w:hAnsiTheme="minorEastAsia" w:eastAsiaTheme="minorEastAsia"/>
                <w:szCs w:val="21"/>
              </w:rPr>
              <w:t>固态</w:t>
            </w:r>
          </w:p>
        </w:tc>
        <w:tc>
          <w:tcPr>
            <w:tcW w:w="425" w:type="pct"/>
            <w:vAlign w:val="center"/>
          </w:tcPr>
          <w:p>
            <w:pPr>
              <w:jc w:val="center"/>
              <w:rPr>
                <w:rFonts w:eastAsiaTheme="minorEastAsia"/>
                <w:szCs w:val="21"/>
              </w:rPr>
            </w:pPr>
            <w:r>
              <w:rPr>
                <w:rFonts w:hAnsiTheme="minorEastAsia" w:eastAsiaTheme="minorEastAsia"/>
                <w:szCs w:val="21"/>
              </w:rPr>
              <w:t>病死鸡</w:t>
            </w:r>
          </w:p>
        </w:tc>
        <w:tc>
          <w:tcPr>
            <w:tcW w:w="399" w:type="pct"/>
            <w:vAlign w:val="center"/>
          </w:tcPr>
          <w:p>
            <w:pPr>
              <w:jc w:val="center"/>
              <w:rPr>
                <w:szCs w:val="21"/>
              </w:rPr>
            </w:pPr>
            <w:r>
              <w:rPr>
                <w:rFonts w:hint="eastAsia"/>
                <w:szCs w:val="21"/>
              </w:rPr>
              <w:t>/</w:t>
            </w:r>
          </w:p>
        </w:tc>
        <w:tc>
          <w:tcPr>
            <w:tcW w:w="422" w:type="pct"/>
            <w:vAlign w:val="center"/>
          </w:tcPr>
          <w:p>
            <w:pPr>
              <w:jc w:val="center"/>
              <w:rPr>
                <w:szCs w:val="21"/>
              </w:rPr>
            </w:pPr>
            <w:r>
              <w:rPr>
                <w:rFonts w:hint="eastAsia"/>
                <w:szCs w:val="21"/>
              </w:rPr>
              <w:t>/</w:t>
            </w:r>
          </w:p>
        </w:tc>
        <w:tc>
          <w:tcPr>
            <w:tcW w:w="392" w:type="pct"/>
            <w:vAlign w:val="center"/>
          </w:tcPr>
          <w:p>
            <w:pPr>
              <w:jc w:val="center"/>
              <w:rPr>
                <w:szCs w:val="21"/>
              </w:rPr>
            </w:pPr>
            <w:r>
              <w:rPr>
                <w:rFonts w:hint="eastAsia"/>
                <w:szCs w:val="21"/>
              </w:rPr>
              <w:t>/</w:t>
            </w:r>
          </w:p>
        </w:tc>
        <w:tc>
          <w:tcPr>
            <w:tcW w:w="450" w:type="pct"/>
            <w:vAlign w:val="center"/>
          </w:tcPr>
          <w:p>
            <w:pPr>
              <w:jc w:val="center"/>
              <w:rPr>
                <w:rFonts w:eastAsiaTheme="minorEastAsia"/>
                <w:szCs w:val="21"/>
              </w:rPr>
            </w:pPr>
            <w:r>
              <w:rPr>
                <w:rFonts w:hint="eastAsia" w:eastAsiaTheme="minorEastAsia"/>
                <w:szCs w:val="21"/>
              </w:rPr>
              <w:t>64.8</w:t>
            </w:r>
          </w:p>
        </w:tc>
        <w:tc>
          <w:tcPr>
            <w:tcW w:w="861" w:type="pct"/>
            <w:vAlign w:val="center"/>
          </w:tcPr>
          <w:p>
            <w:pPr>
              <w:jc w:val="center"/>
              <w:rPr>
                <w:szCs w:val="21"/>
              </w:rPr>
            </w:pPr>
            <w:r>
              <w:rPr>
                <w:rFonts w:hint="eastAsia"/>
                <w:szCs w:val="21"/>
              </w:rPr>
              <w:t>冷柜暂存后定期交由病死畜禽无害化单位处理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91" w:type="pct"/>
            <w:vAlign w:val="center"/>
          </w:tcPr>
          <w:p>
            <w:pPr>
              <w:jc w:val="center"/>
              <w:rPr>
                <w:rFonts w:eastAsiaTheme="minorEastAsia"/>
                <w:szCs w:val="21"/>
              </w:rPr>
            </w:pPr>
            <w:r>
              <w:rPr>
                <w:rFonts w:eastAsiaTheme="minorEastAsia"/>
                <w:szCs w:val="21"/>
              </w:rPr>
              <w:t>3</w:t>
            </w:r>
          </w:p>
        </w:tc>
        <w:tc>
          <w:tcPr>
            <w:tcW w:w="321" w:type="pct"/>
            <w:vAlign w:val="center"/>
          </w:tcPr>
          <w:p>
            <w:pPr>
              <w:jc w:val="center"/>
              <w:rPr>
                <w:rFonts w:eastAsiaTheme="minorEastAsia"/>
                <w:szCs w:val="21"/>
              </w:rPr>
            </w:pPr>
            <w:r>
              <w:rPr>
                <w:rFonts w:hAnsiTheme="minorEastAsia" w:eastAsiaTheme="minorEastAsia"/>
                <w:szCs w:val="21"/>
              </w:rPr>
              <w:t>废包装袋</w:t>
            </w:r>
          </w:p>
        </w:tc>
        <w:tc>
          <w:tcPr>
            <w:tcW w:w="270" w:type="pct"/>
            <w:vAlign w:val="center"/>
          </w:tcPr>
          <w:p>
            <w:pPr>
              <w:jc w:val="center"/>
              <w:rPr>
                <w:szCs w:val="21"/>
              </w:rPr>
            </w:pPr>
            <w:r>
              <w:rPr>
                <w:szCs w:val="21"/>
              </w:rPr>
              <w:t>一般固废</w:t>
            </w:r>
          </w:p>
        </w:tc>
        <w:tc>
          <w:tcPr>
            <w:tcW w:w="598" w:type="pct"/>
            <w:vMerge w:val="continue"/>
            <w:vAlign w:val="center"/>
          </w:tcPr>
          <w:p>
            <w:pPr>
              <w:jc w:val="center"/>
              <w:rPr>
                <w:szCs w:val="21"/>
              </w:rPr>
            </w:pPr>
          </w:p>
        </w:tc>
        <w:tc>
          <w:tcPr>
            <w:tcW w:w="399" w:type="pct"/>
            <w:vAlign w:val="center"/>
          </w:tcPr>
          <w:p>
            <w:pPr>
              <w:jc w:val="center"/>
              <w:rPr>
                <w:rFonts w:eastAsiaTheme="minorEastAsia"/>
                <w:szCs w:val="21"/>
              </w:rPr>
            </w:pPr>
            <w:r>
              <w:rPr>
                <w:rFonts w:hAnsiTheme="minorEastAsia" w:eastAsiaTheme="minorEastAsia"/>
                <w:szCs w:val="21"/>
              </w:rPr>
              <w:t>饲料使用、包装使用</w:t>
            </w:r>
          </w:p>
        </w:tc>
        <w:tc>
          <w:tcPr>
            <w:tcW w:w="271" w:type="pct"/>
            <w:vAlign w:val="center"/>
          </w:tcPr>
          <w:p>
            <w:pPr>
              <w:jc w:val="center"/>
              <w:rPr>
                <w:rFonts w:eastAsiaTheme="minorEastAsia"/>
                <w:szCs w:val="21"/>
              </w:rPr>
            </w:pPr>
            <w:r>
              <w:rPr>
                <w:rFonts w:hAnsiTheme="minorEastAsia" w:eastAsiaTheme="minorEastAsia"/>
                <w:szCs w:val="21"/>
              </w:rPr>
              <w:t>固态</w:t>
            </w:r>
          </w:p>
        </w:tc>
        <w:tc>
          <w:tcPr>
            <w:tcW w:w="425" w:type="pct"/>
            <w:vAlign w:val="center"/>
          </w:tcPr>
          <w:p>
            <w:pPr>
              <w:jc w:val="center"/>
              <w:rPr>
                <w:rFonts w:eastAsiaTheme="minorEastAsia"/>
                <w:szCs w:val="21"/>
              </w:rPr>
            </w:pPr>
            <w:r>
              <w:rPr>
                <w:rFonts w:hAnsiTheme="minorEastAsia" w:eastAsiaTheme="minorEastAsia"/>
                <w:szCs w:val="21"/>
              </w:rPr>
              <w:t>塑料、编织袋、纸箱等</w:t>
            </w:r>
          </w:p>
        </w:tc>
        <w:tc>
          <w:tcPr>
            <w:tcW w:w="399" w:type="pct"/>
            <w:vAlign w:val="center"/>
          </w:tcPr>
          <w:p>
            <w:pPr>
              <w:jc w:val="center"/>
              <w:rPr>
                <w:szCs w:val="21"/>
              </w:rPr>
            </w:pPr>
            <w:r>
              <w:rPr>
                <w:rFonts w:hint="eastAsia"/>
                <w:szCs w:val="21"/>
              </w:rPr>
              <w:t>/</w:t>
            </w:r>
          </w:p>
        </w:tc>
        <w:tc>
          <w:tcPr>
            <w:tcW w:w="422" w:type="pct"/>
            <w:vAlign w:val="center"/>
          </w:tcPr>
          <w:p>
            <w:pPr>
              <w:jc w:val="center"/>
              <w:rPr>
                <w:szCs w:val="21"/>
              </w:rPr>
            </w:pPr>
            <w:r>
              <w:rPr>
                <w:rFonts w:hint="eastAsia"/>
                <w:szCs w:val="21"/>
              </w:rPr>
              <w:t>/</w:t>
            </w:r>
          </w:p>
        </w:tc>
        <w:tc>
          <w:tcPr>
            <w:tcW w:w="392" w:type="pct"/>
            <w:vAlign w:val="center"/>
          </w:tcPr>
          <w:p>
            <w:pPr>
              <w:jc w:val="center"/>
              <w:rPr>
                <w:szCs w:val="21"/>
              </w:rPr>
            </w:pPr>
            <w:r>
              <w:rPr>
                <w:rFonts w:hint="eastAsia"/>
                <w:szCs w:val="21"/>
              </w:rPr>
              <w:t>/</w:t>
            </w:r>
          </w:p>
        </w:tc>
        <w:tc>
          <w:tcPr>
            <w:tcW w:w="450" w:type="pct"/>
            <w:vAlign w:val="center"/>
          </w:tcPr>
          <w:p>
            <w:pPr>
              <w:jc w:val="center"/>
              <w:rPr>
                <w:rFonts w:eastAsiaTheme="minorEastAsia"/>
                <w:szCs w:val="21"/>
              </w:rPr>
            </w:pPr>
            <w:r>
              <w:rPr>
                <w:rFonts w:hint="eastAsia" w:eastAsiaTheme="minorEastAsia"/>
                <w:szCs w:val="21"/>
              </w:rPr>
              <w:t>1.0</w:t>
            </w:r>
          </w:p>
        </w:tc>
        <w:tc>
          <w:tcPr>
            <w:tcW w:w="861" w:type="pct"/>
            <w:vAlign w:val="center"/>
          </w:tcPr>
          <w:p>
            <w:pPr>
              <w:jc w:val="center"/>
              <w:rPr>
                <w:szCs w:val="21"/>
              </w:rPr>
            </w:pPr>
            <w:r>
              <w:rPr>
                <w:rFonts w:hint="eastAsia"/>
                <w:szCs w:val="21"/>
              </w:rPr>
              <w:t>外售废品回收站</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91" w:type="pct"/>
            <w:vAlign w:val="center"/>
          </w:tcPr>
          <w:p>
            <w:pPr>
              <w:jc w:val="center"/>
              <w:rPr>
                <w:rFonts w:eastAsiaTheme="minorEastAsia"/>
                <w:szCs w:val="21"/>
              </w:rPr>
            </w:pPr>
            <w:r>
              <w:rPr>
                <w:rFonts w:eastAsiaTheme="minorEastAsia"/>
                <w:szCs w:val="21"/>
              </w:rPr>
              <w:t>4</w:t>
            </w:r>
          </w:p>
        </w:tc>
        <w:tc>
          <w:tcPr>
            <w:tcW w:w="321" w:type="pct"/>
            <w:vAlign w:val="center"/>
          </w:tcPr>
          <w:p>
            <w:pPr>
              <w:jc w:val="center"/>
              <w:rPr>
                <w:rFonts w:eastAsiaTheme="minorEastAsia"/>
                <w:szCs w:val="21"/>
              </w:rPr>
            </w:pPr>
            <w:r>
              <w:rPr>
                <w:rFonts w:eastAsiaTheme="minorEastAsia"/>
                <w:szCs w:val="21"/>
              </w:rPr>
              <w:t>不合格蛋</w:t>
            </w:r>
          </w:p>
        </w:tc>
        <w:tc>
          <w:tcPr>
            <w:tcW w:w="270" w:type="pct"/>
            <w:vAlign w:val="center"/>
          </w:tcPr>
          <w:p>
            <w:pPr>
              <w:jc w:val="center"/>
              <w:rPr>
                <w:szCs w:val="21"/>
              </w:rPr>
            </w:pPr>
            <w:r>
              <w:rPr>
                <w:szCs w:val="21"/>
              </w:rPr>
              <w:t>一般固废</w:t>
            </w:r>
          </w:p>
        </w:tc>
        <w:tc>
          <w:tcPr>
            <w:tcW w:w="598" w:type="pct"/>
            <w:vMerge w:val="continue"/>
            <w:vAlign w:val="center"/>
          </w:tcPr>
          <w:p>
            <w:pPr>
              <w:jc w:val="center"/>
              <w:rPr>
                <w:szCs w:val="21"/>
              </w:rPr>
            </w:pPr>
          </w:p>
        </w:tc>
        <w:tc>
          <w:tcPr>
            <w:tcW w:w="399" w:type="pct"/>
            <w:vAlign w:val="center"/>
          </w:tcPr>
          <w:p>
            <w:pPr>
              <w:jc w:val="center"/>
              <w:rPr>
                <w:rFonts w:eastAsiaTheme="minorEastAsia"/>
                <w:szCs w:val="21"/>
              </w:rPr>
            </w:pPr>
            <w:r>
              <w:rPr>
                <w:rFonts w:hAnsiTheme="minorEastAsia" w:eastAsiaTheme="minorEastAsia"/>
                <w:szCs w:val="21"/>
              </w:rPr>
              <w:t>蛋鸡养殖</w:t>
            </w:r>
          </w:p>
        </w:tc>
        <w:tc>
          <w:tcPr>
            <w:tcW w:w="271" w:type="pct"/>
            <w:vAlign w:val="center"/>
          </w:tcPr>
          <w:p>
            <w:pPr>
              <w:jc w:val="center"/>
              <w:rPr>
                <w:rFonts w:eastAsiaTheme="minorEastAsia"/>
                <w:szCs w:val="21"/>
              </w:rPr>
            </w:pPr>
            <w:r>
              <w:rPr>
                <w:rFonts w:hAnsiTheme="minorEastAsia" w:eastAsiaTheme="minorEastAsia"/>
                <w:szCs w:val="21"/>
              </w:rPr>
              <w:t>固态</w:t>
            </w:r>
          </w:p>
        </w:tc>
        <w:tc>
          <w:tcPr>
            <w:tcW w:w="425" w:type="pct"/>
            <w:vAlign w:val="center"/>
          </w:tcPr>
          <w:p>
            <w:pPr>
              <w:jc w:val="center"/>
              <w:rPr>
                <w:rFonts w:eastAsiaTheme="minorEastAsia"/>
                <w:szCs w:val="21"/>
              </w:rPr>
            </w:pPr>
            <w:r>
              <w:rPr>
                <w:rFonts w:eastAsiaTheme="minorEastAsia"/>
                <w:szCs w:val="21"/>
              </w:rPr>
              <w:t>蛋壳、蛋液等</w:t>
            </w:r>
          </w:p>
        </w:tc>
        <w:tc>
          <w:tcPr>
            <w:tcW w:w="399" w:type="pct"/>
            <w:vAlign w:val="center"/>
          </w:tcPr>
          <w:p>
            <w:pPr>
              <w:jc w:val="center"/>
              <w:rPr>
                <w:szCs w:val="21"/>
              </w:rPr>
            </w:pPr>
            <w:r>
              <w:rPr>
                <w:rFonts w:hint="eastAsia"/>
                <w:szCs w:val="21"/>
              </w:rPr>
              <w:t>/</w:t>
            </w:r>
          </w:p>
        </w:tc>
        <w:tc>
          <w:tcPr>
            <w:tcW w:w="422" w:type="pct"/>
            <w:vAlign w:val="center"/>
          </w:tcPr>
          <w:p>
            <w:pPr>
              <w:jc w:val="center"/>
              <w:rPr>
                <w:szCs w:val="21"/>
              </w:rPr>
            </w:pPr>
            <w:r>
              <w:rPr>
                <w:rFonts w:hint="eastAsia"/>
                <w:szCs w:val="21"/>
              </w:rPr>
              <w:t>/</w:t>
            </w:r>
          </w:p>
        </w:tc>
        <w:tc>
          <w:tcPr>
            <w:tcW w:w="392" w:type="pct"/>
            <w:vAlign w:val="center"/>
          </w:tcPr>
          <w:p>
            <w:pPr>
              <w:jc w:val="center"/>
              <w:rPr>
                <w:szCs w:val="21"/>
              </w:rPr>
            </w:pPr>
            <w:r>
              <w:rPr>
                <w:rFonts w:hint="eastAsia"/>
                <w:szCs w:val="21"/>
              </w:rPr>
              <w:t>/</w:t>
            </w:r>
          </w:p>
        </w:tc>
        <w:tc>
          <w:tcPr>
            <w:tcW w:w="450" w:type="pct"/>
            <w:vAlign w:val="center"/>
          </w:tcPr>
          <w:p>
            <w:pPr>
              <w:jc w:val="center"/>
              <w:rPr>
                <w:rFonts w:eastAsiaTheme="minorEastAsia"/>
                <w:szCs w:val="21"/>
              </w:rPr>
            </w:pPr>
            <w:r>
              <w:rPr>
                <w:rFonts w:hint="eastAsia" w:eastAsiaTheme="minorEastAsia"/>
                <w:szCs w:val="21"/>
              </w:rPr>
              <w:t>115.80</w:t>
            </w:r>
          </w:p>
        </w:tc>
        <w:tc>
          <w:tcPr>
            <w:tcW w:w="861" w:type="pct"/>
            <w:vAlign w:val="center"/>
          </w:tcPr>
          <w:p>
            <w:pPr>
              <w:jc w:val="center"/>
              <w:rPr>
                <w:szCs w:val="21"/>
              </w:rPr>
            </w:pPr>
            <w:r>
              <w:rPr>
                <w:rFonts w:hint="eastAsia"/>
                <w:szCs w:val="21"/>
              </w:rPr>
              <w:t>用作企业自养甲鱼饲料</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91" w:type="pct"/>
            <w:vAlign w:val="center"/>
          </w:tcPr>
          <w:p>
            <w:pPr>
              <w:jc w:val="center"/>
              <w:rPr>
                <w:rFonts w:eastAsiaTheme="minorEastAsia"/>
                <w:szCs w:val="21"/>
              </w:rPr>
            </w:pPr>
            <w:r>
              <w:rPr>
                <w:rFonts w:eastAsiaTheme="minorEastAsia"/>
                <w:szCs w:val="21"/>
              </w:rPr>
              <w:t>5</w:t>
            </w:r>
          </w:p>
        </w:tc>
        <w:tc>
          <w:tcPr>
            <w:tcW w:w="321" w:type="pct"/>
            <w:vAlign w:val="center"/>
          </w:tcPr>
          <w:p>
            <w:pPr>
              <w:jc w:val="center"/>
              <w:rPr>
                <w:rFonts w:eastAsiaTheme="minorEastAsia"/>
                <w:szCs w:val="21"/>
              </w:rPr>
            </w:pPr>
            <w:r>
              <w:rPr>
                <w:rFonts w:hint="eastAsia" w:eastAsiaTheme="minorEastAsia"/>
                <w:szCs w:val="21"/>
              </w:rPr>
              <w:t>饲料渣和脱落的羽毛</w:t>
            </w:r>
          </w:p>
        </w:tc>
        <w:tc>
          <w:tcPr>
            <w:tcW w:w="270" w:type="pct"/>
            <w:vAlign w:val="center"/>
          </w:tcPr>
          <w:p>
            <w:pPr>
              <w:jc w:val="center"/>
              <w:rPr>
                <w:szCs w:val="21"/>
              </w:rPr>
            </w:pPr>
            <w:r>
              <w:rPr>
                <w:szCs w:val="21"/>
              </w:rPr>
              <w:t>一般固废</w:t>
            </w:r>
          </w:p>
        </w:tc>
        <w:tc>
          <w:tcPr>
            <w:tcW w:w="598" w:type="pct"/>
            <w:vMerge w:val="continue"/>
            <w:vAlign w:val="center"/>
          </w:tcPr>
          <w:p>
            <w:pPr>
              <w:jc w:val="center"/>
              <w:rPr>
                <w:szCs w:val="21"/>
              </w:rPr>
            </w:pPr>
          </w:p>
        </w:tc>
        <w:tc>
          <w:tcPr>
            <w:tcW w:w="399" w:type="pct"/>
            <w:vAlign w:val="center"/>
          </w:tcPr>
          <w:p>
            <w:pPr>
              <w:jc w:val="center"/>
              <w:rPr>
                <w:rFonts w:eastAsiaTheme="minorEastAsia"/>
                <w:szCs w:val="21"/>
              </w:rPr>
            </w:pPr>
            <w:r>
              <w:rPr>
                <w:rFonts w:hAnsiTheme="minorEastAsia" w:eastAsiaTheme="minorEastAsia"/>
                <w:szCs w:val="21"/>
              </w:rPr>
              <w:t>蛋鸡养殖</w:t>
            </w:r>
          </w:p>
        </w:tc>
        <w:tc>
          <w:tcPr>
            <w:tcW w:w="271" w:type="pct"/>
            <w:vAlign w:val="center"/>
          </w:tcPr>
          <w:p>
            <w:pPr>
              <w:jc w:val="center"/>
              <w:rPr>
                <w:rFonts w:eastAsiaTheme="minorEastAsia"/>
                <w:szCs w:val="21"/>
              </w:rPr>
            </w:pPr>
            <w:r>
              <w:rPr>
                <w:rFonts w:hAnsiTheme="minorEastAsia" w:eastAsiaTheme="minorEastAsia"/>
                <w:szCs w:val="21"/>
              </w:rPr>
              <w:t>固态</w:t>
            </w:r>
          </w:p>
        </w:tc>
        <w:tc>
          <w:tcPr>
            <w:tcW w:w="425" w:type="pct"/>
            <w:vAlign w:val="center"/>
          </w:tcPr>
          <w:p>
            <w:pPr>
              <w:jc w:val="center"/>
              <w:rPr>
                <w:rFonts w:eastAsiaTheme="minorEastAsia"/>
                <w:szCs w:val="21"/>
              </w:rPr>
            </w:pPr>
            <w:r>
              <w:rPr>
                <w:rFonts w:hint="eastAsia" w:eastAsiaTheme="minorEastAsia"/>
                <w:szCs w:val="21"/>
              </w:rPr>
              <w:t>饲料渣、毛羽</w:t>
            </w:r>
          </w:p>
        </w:tc>
        <w:tc>
          <w:tcPr>
            <w:tcW w:w="399" w:type="pct"/>
            <w:vAlign w:val="center"/>
          </w:tcPr>
          <w:p>
            <w:pPr>
              <w:jc w:val="center"/>
              <w:rPr>
                <w:szCs w:val="21"/>
              </w:rPr>
            </w:pPr>
            <w:r>
              <w:rPr>
                <w:rFonts w:hint="eastAsia"/>
                <w:szCs w:val="21"/>
              </w:rPr>
              <w:t>/</w:t>
            </w:r>
          </w:p>
        </w:tc>
        <w:tc>
          <w:tcPr>
            <w:tcW w:w="422" w:type="pct"/>
            <w:vAlign w:val="center"/>
          </w:tcPr>
          <w:p>
            <w:pPr>
              <w:jc w:val="center"/>
              <w:rPr>
                <w:szCs w:val="21"/>
              </w:rPr>
            </w:pPr>
            <w:r>
              <w:rPr>
                <w:rFonts w:hint="eastAsia"/>
                <w:szCs w:val="21"/>
              </w:rPr>
              <w:t>/</w:t>
            </w:r>
          </w:p>
        </w:tc>
        <w:tc>
          <w:tcPr>
            <w:tcW w:w="392" w:type="pct"/>
            <w:vAlign w:val="center"/>
          </w:tcPr>
          <w:p>
            <w:pPr>
              <w:jc w:val="center"/>
              <w:rPr>
                <w:szCs w:val="21"/>
              </w:rPr>
            </w:pPr>
            <w:r>
              <w:rPr>
                <w:rFonts w:hint="eastAsia"/>
                <w:szCs w:val="21"/>
              </w:rPr>
              <w:t>/</w:t>
            </w:r>
          </w:p>
        </w:tc>
        <w:tc>
          <w:tcPr>
            <w:tcW w:w="450" w:type="pct"/>
            <w:vAlign w:val="center"/>
          </w:tcPr>
          <w:p>
            <w:pPr>
              <w:jc w:val="center"/>
              <w:rPr>
                <w:rFonts w:eastAsiaTheme="minorEastAsia"/>
                <w:szCs w:val="21"/>
              </w:rPr>
            </w:pPr>
            <w:r>
              <w:rPr>
                <w:rFonts w:hint="eastAsia" w:eastAsiaTheme="minorEastAsia"/>
                <w:szCs w:val="21"/>
              </w:rPr>
              <w:t>3.285</w:t>
            </w:r>
          </w:p>
        </w:tc>
        <w:tc>
          <w:tcPr>
            <w:tcW w:w="861" w:type="pct"/>
            <w:vAlign w:val="center"/>
          </w:tcPr>
          <w:p>
            <w:pPr>
              <w:jc w:val="center"/>
              <w:rPr>
                <w:szCs w:val="21"/>
              </w:rPr>
            </w:pPr>
            <w:r>
              <w:rPr>
                <w:rFonts w:hint="eastAsia"/>
                <w:szCs w:val="21"/>
              </w:rPr>
              <w:t>经收集后交由当地环卫部门处理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191" w:type="pct"/>
            <w:vAlign w:val="center"/>
          </w:tcPr>
          <w:p>
            <w:pPr>
              <w:jc w:val="center"/>
              <w:rPr>
                <w:rFonts w:eastAsiaTheme="minorEastAsia"/>
                <w:szCs w:val="21"/>
              </w:rPr>
            </w:pPr>
            <w:r>
              <w:rPr>
                <w:rFonts w:eastAsiaTheme="minorEastAsia"/>
                <w:szCs w:val="21"/>
              </w:rPr>
              <w:t>6</w:t>
            </w:r>
          </w:p>
        </w:tc>
        <w:tc>
          <w:tcPr>
            <w:tcW w:w="321" w:type="pct"/>
            <w:vAlign w:val="center"/>
          </w:tcPr>
          <w:p>
            <w:pPr>
              <w:jc w:val="center"/>
              <w:rPr>
                <w:rFonts w:eastAsiaTheme="minorEastAsia"/>
                <w:szCs w:val="21"/>
              </w:rPr>
            </w:pPr>
            <w:r>
              <w:rPr>
                <w:rFonts w:hAnsiTheme="minorEastAsia" w:eastAsiaTheme="minorEastAsia"/>
                <w:szCs w:val="21"/>
              </w:rPr>
              <w:t>医疗废物</w:t>
            </w:r>
          </w:p>
        </w:tc>
        <w:tc>
          <w:tcPr>
            <w:tcW w:w="270" w:type="pct"/>
            <w:vAlign w:val="center"/>
          </w:tcPr>
          <w:p>
            <w:pPr>
              <w:jc w:val="center"/>
              <w:rPr>
                <w:szCs w:val="21"/>
              </w:rPr>
            </w:pPr>
            <w:r>
              <w:rPr>
                <w:szCs w:val="21"/>
              </w:rPr>
              <w:t>危险废物</w:t>
            </w:r>
          </w:p>
        </w:tc>
        <w:tc>
          <w:tcPr>
            <w:tcW w:w="598" w:type="pct"/>
            <w:vAlign w:val="center"/>
          </w:tcPr>
          <w:p>
            <w:pPr>
              <w:autoSpaceDE w:val="0"/>
              <w:autoSpaceDN w:val="0"/>
              <w:adjustRightInd w:val="0"/>
              <w:jc w:val="center"/>
              <w:rPr>
                <w:szCs w:val="21"/>
              </w:rPr>
            </w:pPr>
            <w:r>
              <w:rPr>
                <w:rFonts w:hint="eastAsia" w:ascii="宋体" w:cs="宋体" w:hAnsiTheme="minorHAnsi"/>
                <w:kern w:val="0"/>
                <w:szCs w:val="21"/>
              </w:rPr>
              <w:t>《国家危险废物名录》（</w:t>
            </w:r>
            <w:r>
              <w:rPr>
                <w:rFonts w:ascii="TimesNewRomanPSMT" w:eastAsia="TimesNewRomanPSMT" w:cs="TimesNewRomanPSMT" w:hAnsiTheme="minorHAnsi"/>
                <w:kern w:val="0"/>
                <w:szCs w:val="21"/>
              </w:rPr>
              <w:t>2021</w:t>
            </w:r>
            <w:r>
              <w:rPr>
                <w:rFonts w:hint="eastAsia" w:ascii="宋体" w:cs="宋体" w:hAnsiTheme="minorHAnsi"/>
                <w:kern w:val="0"/>
                <w:szCs w:val="21"/>
              </w:rPr>
              <w:t>年版）</w:t>
            </w:r>
          </w:p>
        </w:tc>
        <w:tc>
          <w:tcPr>
            <w:tcW w:w="399" w:type="pct"/>
            <w:vAlign w:val="center"/>
          </w:tcPr>
          <w:p>
            <w:pPr>
              <w:jc w:val="center"/>
              <w:rPr>
                <w:rFonts w:eastAsiaTheme="minorEastAsia"/>
                <w:szCs w:val="21"/>
              </w:rPr>
            </w:pPr>
            <w:r>
              <w:rPr>
                <w:rFonts w:hint="eastAsia" w:hAnsiTheme="minorEastAsia" w:eastAsiaTheme="minorEastAsia"/>
                <w:szCs w:val="21"/>
              </w:rPr>
              <w:t>防疫</w:t>
            </w:r>
          </w:p>
        </w:tc>
        <w:tc>
          <w:tcPr>
            <w:tcW w:w="271" w:type="pct"/>
            <w:vAlign w:val="center"/>
          </w:tcPr>
          <w:p>
            <w:pPr>
              <w:jc w:val="center"/>
              <w:rPr>
                <w:rFonts w:eastAsiaTheme="minorEastAsia"/>
                <w:szCs w:val="21"/>
              </w:rPr>
            </w:pPr>
            <w:r>
              <w:rPr>
                <w:rFonts w:hAnsiTheme="minorEastAsia" w:eastAsiaTheme="minorEastAsia"/>
                <w:szCs w:val="21"/>
              </w:rPr>
              <w:t>固态</w:t>
            </w:r>
          </w:p>
        </w:tc>
        <w:tc>
          <w:tcPr>
            <w:tcW w:w="425" w:type="pct"/>
            <w:vAlign w:val="center"/>
          </w:tcPr>
          <w:p>
            <w:pPr>
              <w:jc w:val="center"/>
              <w:rPr>
                <w:rFonts w:eastAsiaTheme="minorEastAsia"/>
                <w:szCs w:val="21"/>
              </w:rPr>
            </w:pPr>
            <w:r>
              <w:rPr>
                <w:rFonts w:hAnsiTheme="minorEastAsia" w:eastAsiaTheme="minorEastAsia"/>
                <w:szCs w:val="21"/>
              </w:rPr>
              <w:t>针管等</w:t>
            </w:r>
          </w:p>
        </w:tc>
        <w:tc>
          <w:tcPr>
            <w:tcW w:w="399" w:type="pct"/>
            <w:vAlign w:val="center"/>
          </w:tcPr>
          <w:p>
            <w:pPr>
              <w:jc w:val="center"/>
              <w:rPr>
                <w:szCs w:val="21"/>
              </w:rPr>
            </w:pPr>
            <w:r>
              <w:rPr>
                <w:rFonts w:hint="eastAsia"/>
                <w:szCs w:val="21"/>
              </w:rPr>
              <w:t>HW01</w:t>
            </w:r>
          </w:p>
        </w:tc>
        <w:tc>
          <w:tcPr>
            <w:tcW w:w="422" w:type="pct"/>
            <w:vAlign w:val="center"/>
          </w:tcPr>
          <w:p>
            <w:pPr>
              <w:jc w:val="center"/>
              <w:rPr>
                <w:szCs w:val="21"/>
              </w:rPr>
            </w:pPr>
            <w:r>
              <w:rPr>
                <w:rFonts w:hint="eastAsia"/>
                <w:szCs w:val="21"/>
              </w:rPr>
              <w:t>841-005-01</w:t>
            </w:r>
          </w:p>
        </w:tc>
        <w:tc>
          <w:tcPr>
            <w:tcW w:w="392" w:type="pct"/>
            <w:vAlign w:val="center"/>
          </w:tcPr>
          <w:p>
            <w:pPr>
              <w:jc w:val="center"/>
              <w:rPr>
                <w:szCs w:val="21"/>
              </w:rPr>
            </w:pPr>
            <w:r>
              <w:rPr>
                <w:rFonts w:hint="eastAsia"/>
                <w:szCs w:val="21"/>
              </w:rPr>
              <w:t>T</w:t>
            </w:r>
          </w:p>
        </w:tc>
        <w:tc>
          <w:tcPr>
            <w:tcW w:w="450" w:type="pct"/>
            <w:vAlign w:val="center"/>
          </w:tcPr>
          <w:p>
            <w:pPr>
              <w:jc w:val="center"/>
              <w:rPr>
                <w:rFonts w:eastAsiaTheme="minorEastAsia"/>
                <w:szCs w:val="21"/>
              </w:rPr>
            </w:pPr>
            <w:r>
              <w:rPr>
                <w:rFonts w:eastAsiaTheme="minorEastAsia"/>
                <w:szCs w:val="21"/>
              </w:rPr>
              <w:t>0.2</w:t>
            </w:r>
          </w:p>
        </w:tc>
        <w:tc>
          <w:tcPr>
            <w:tcW w:w="861" w:type="pct"/>
            <w:vAlign w:val="center"/>
          </w:tcPr>
          <w:p>
            <w:pPr>
              <w:jc w:val="center"/>
              <w:rPr>
                <w:szCs w:val="21"/>
              </w:rPr>
            </w:pPr>
            <w:r>
              <w:rPr>
                <w:rFonts w:hint="eastAsia"/>
                <w:szCs w:val="21"/>
              </w:rPr>
              <w:t>委托有处理资质的单位代为处置</w:t>
            </w:r>
          </w:p>
        </w:tc>
      </w:tr>
    </w:tbl>
    <w:p>
      <w:pPr>
        <w:autoSpaceDE w:val="0"/>
        <w:autoSpaceDN w:val="0"/>
        <w:adjustRightInd w:val="0"/>
        <w:spacing w:line="360" w:lineRule="auto"/>
        <w:ind w:firstLine="422" w:firstLineChars="200"/>
        <w:rPr>
          <w:b/>
          <w:szCs w:val="21"/>
        </w:rPr>
      </w:pPr>
    </w:p>
    <w:p>
      <w:pPr>
        <w:autoSpaceDE w:val="0"/>
        <w:autoSpaceDN w:val="0"/>
        <w:adjustRightInd w:val="0"/>
        <w:spacing w:line="360" w:lineRule="auto"/>
        <w:ind w:firstLine="422" w:firstLineChars="200"/>
        <w:rPr>
          <w:b/>
          <w:szCs w:val="21"/>
        </w:rPr>
      </w:pPr>
    </w:p>
    <w:p>
      <w:pPr>
        <w:autoSpaceDE w:val="0"/>
        <w:autoSpaceDN w:val="0"/>
        <w:adjustRightInd w:val="0"/>
        <w:spacing w:line="360" w:lineRule="auto"/>
        <w:ind w:firstLine="422" w:firstLineChars="200"/>
        <w:rPr>
          <w:b/>
          <w:szCs w:val="21"/>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12" w:charSpace="0"/>
        </w:sectPr>
      </w:pPr>
    </w:p>
    <w:p>
      <w:pPr>
        <w:autoSpaceDE w:val="0"/>
        <w:autoSpaceDN w:val="0"/>
        <w:adjustRightInd w:val="0"/>
        <w:spacing w:line="360" w:lineRule="auto"/>
        <w:ind w:firstLine="482" w:firstLineChars="200"/>
        <w:rPr>
          <w:b/>
          <w:sz w:val="24"/>
        </w:rPr>
      </w:pPr>
      <w:r>
        <w:rPr>
          <w:rFonts w:hint="eastAsia"/>
          <w:b/>
          <w:sz w:val="24"/>
        </w:rPr>
        <w:t>2、项目固体废物产生量核算</w:t>
      </w:r>
    </w:p>
    <w:p>
      <w:pPr>
        <w:autoSpaceDE w:val="0"/>
        <w:autoSpaceDN w:val="0"/>
        <w:adjustRightInd w:val="0"/>
        <w:spacing w:line="360" w:lineRule="auto"/>
        <w:ind w:firstLine="482" w:firstLineChars="200"/>
        <w:rPr>
          <w:b/>
          <w:sz w:val="24"/>
        </w:rPr>
      </w:pPr>
      <w:r>
        <w:rPr>
          <w:rFonts w:hint="eastAsia"/>
          <w:b/>
          <w:sz w:val="24"/>
        </w:rPr>
        <w:t>（1）鸡粪</w:t>
      </w:r>
    </w:p>
    <w:p>
      <w:pPr>
        <w:autoSpaceDE w:val="0"/>
        <w:autoSpaceDN w:val="0"/>
        <w:adjustRightInd w:val="0"/>
        <w:spacing w:line="360" w:lineRule="auto"/>
        <w:ind w:firstLine="480" w:firstLineChars="200"/>
        <w:rPr>
          <w:sz w:val="24"/>
        </w:rPr>
      </w:pPr>
      <w:r>
        <w:rPr>
          <w:rFonts w:hint="eastAsia"/>
          <w:sz w:val="24"/>
        </w:rPr>
        <w:t>鸡粪产生情况：根据《排污许可证申请与核发技术规范 畜禽养殖行业》（HJ1029-2019）表9中的数据，产蛋鸡鸡粪产生量为每只0.13kg/d，本项目蛋鸡存栏量为60万羽，则鸡粪产生量为28470t/a（</w:t>
      </w:r>
      <w:r>
        <w:rPr>
          <w:rFonts w:hint="eastAsia"/>
          <w:kern w:val="0"/>
          <w:sz w:val="24"/>
        </w:rPr>
        <w:t>含水率70%</w:t>
      </w:r>
      <w:r>
        <w:rPr>
          <w:rFonts w:hint="eastAsia"/>
          <w:sz w:val="24"/>
        </w:rPr>
        <w:t>）。</w:t>
      </w:r>
    </w:p>
    <w:p>
      <w:pPr>
        <w:autoSpaceDE w:val="0"/>
        <w:autoSpaceDN w:val="0"/>
        <w:adjustRightInd w:val="0"/>
        <w:spacing w:line="360" w:lineRule="auto"/>
        <w:ind w:firstLine="480" w:firstLineChars="200"/>
        <w:rPr>
          <w:color w:val="FF0000"/>
          <w:sz w:val="24"/>
          <w:u w:val="wave"/>
        </w:rPr>
      </w:pPr>
      <w:r>
        <w:rPr>
          <w:rFonts w:hint="eastAsia"/>
          <w:color w:val="FF0000"/>
          <w:sz w:val="24"/>
          <w:u w:val="wave"/>
        </w:rPr>
        <w:t>未经处理的鸡粪属于高污染致病污染物集合体。本项目鸡舍中设置自动清粪系统，鸡粪日产日清。项目每栋鸡舍自动化清粪，鸡粪不落地，并配套建设鸡粪收集室作为鸡粪临时贮存场所，正常情况下，鸡粪采用自动干清粪清掏排出鸡舍后，部分直接拉走依托台源蛋鸡养殖一场好氧发酵罐制有机肥；剩余部分则直接拉走外售衡阳县沛科生态科技有限责任公司制有机肥，在衡阳县沛科生态科技有限责任公司进行发酵预处理，不在本厂区进行预处理，在鸡粪收集室内堆存时间很短</w:t>
      </w:r>
      <w:r>
        <w:rPr>
          <w:color w:val="FF0000"/>
          <w:sz w:val="24"/>
          <w:u w:val="wave"/>
        </w:rPr>
        <w:t>。</w:t>
      </w:r>
    </w:p>
    <w:p>
      <w:pPr>
        <w:autoSpaceDE w:val="0"/>
        <w:autoSpaceDN w:val="0"/>
        <w:adjustRightInd w:val="0"/>
        <w:spacing w:line="360" w:lineRule="auto"/>
        <w:ind w:firstLine="482" w:firstLineChars="200"/>
        <w:rPr>
          <w:b/>
          <w:sz w:val="24"/>
        </w:rPr>
      </w:pPr>
      <w:r>
        <w:rPr>
          <w:rFonts w:hint="eastAsia"/>
          <w:b/>
          <w:sz w:val="24"/>
        </w:rPr>
        <w:t>（2）病死鸡</w:t>
      </w:r>
    </w:p>
    <w:p>
      <w:pPr>
        <w:spacing w:line="360" w:lineRule="auto"/>
        <w:ind w:firstLine="480" w:firstLineChars="200"/>
        <w:rPr>
          <w:sz w:val="24"/>
        </w:rPr>
      </w:pPr>
      <w:r>
        <w:rPr>
          <w:rFonts w:hint="eastAsia"/>
          <w:sz w:val="24"/>
        </w:rPr>
        <w:t>病死鸡的产生量与养殖场的饲养管理和疫病防治水平有关，本环评取蛋鸡存活率94%，则鸡病死数约为36000羽，均重约为1.8kg/羽。则项目病死鸡产生量为64.8t/a，经收集后暂存于</w:t>
      </w:r>
      <w:r>
        <w:rPr>
          <w:rFonts w:hint="eastAsia"/>
          <w:sz w:val="24"/>
          <w:lang w:eastAsia="zh-CN"/>
        </w:rPr>
        <w:t>冷柜</w:t>
      </w:r>
      <w:r>
        <w:rPr>
          <w:rFonts w:hint="eastAsia"/>
          <w:sz w:val="24"/>
        </w:rPr>
        <w:t>中，定期交由病死畜禽无害化单位处理。环评要求严禁随意丢弃病死鸡，严禁出售或作为饲料再利用，严禁食用病死鸡</w:t>
      </w:r>
      <w:r>
        <w:rPr>
          <w:sz w:val="24"/>
        </w:rPr>
        <w:t>。</w:t>
      </w:r>
    </w:p>
    <w:p>
      <w:pPr>
        <w:autoSpaceDE w:val="0"/>
        <w:autoSpaceDN w:val="0"/>
        <w:adjustRightInd w:val="0"/>
        <w:spacing w:line="360" w:lineRule="auto"/>
        <w:ind w:firstLine="482" w:firstLineChars="200"/>
        <w:rPr>
          <w:b/>
          <w:sz w:val="24"/>
        </w:rPr>
      </w:pPr>
      <w:r>
        <w:rPr>
          <w:rFonts w:hint="eastAsia"/>
          <w:b/>
          <w:sz w:val="24"/>
        </w:rPr>
        <w:t>（3）废包装料</w:t>
      </w:r>
    </w:p>
    <w:p>
      <w:pPr>
        <w:autoSpaceDE w:val="0"/>
        <w:autoSpaceDN w:val="0"/>
        <w:adjustRightInd w:val="0"/>
        <w:spacing w:line="360" w:lineRule="auto"/>
        <w:ind w:firstLine="480" w:firstLineChars="200"/>
        <w:rPr>
          <w:sz w:val="24"/>
        </w:rPr>
      </w:pPr>
      <w:r>
        <w:rPr>
          <w:rFonts w:hint="eastAsia"/>
          <w:sz w:val="24"/>
        </w:rPr>
        <w:t>项目产生的废塑料袋、废纸箱等各种原辅材料的废弃包装料，类比同类型项目，废包装料产生量约为1.0t/a，收集后外售废品回收站</w:t>
      </w:r>
      <w:r>
        <w:rPr>
          <w:sz w:val="24"/>
        </w:rPr>
        <w:t>。</w:t>
      </w:r>
    </w:p>
    <w:p>
      <w:pPr>
        <w:autoSpaceDE w:val="0"/>
        <w:autoSpaceDN w:val="0"/>
        <w:adjustRightInd w:val="0"/>
        <w:spacing w:line="360" w:lineRule="auto"/>
        <w:ind w:firstLine="482" w:firstLineChars="200"/>
        <w:rPr>
          <w:b/>
          <w:sz w:val="24"/>
        </w:rPr>
      </w:pPr>
      <w:r>
        <w:rPr>
          <w:rFonts w:hint="eastAsia"/>
          <w:b/>
          <w:sz w:val="24"/>
        </w:rPr>
        <w:t>（4）不合格蛋</w:t>
      </w:r>
    </w:p>
    <w:p>
      <w:pPr>
        <w:autoSpaceDE w:val="0"/>
        <w:autoSpaceDN w:val="0"/>
        <w:adjustRightInd w:val="0"/>
        <w:spacing w:line="360" w:lineRule="auto"/>
        <w:ind w:firstLine="480" w:firstLineChars="200"/>
        <w:rPr>
          <w:sz w:val="24"/>
        </w:rPr>
      </w:pPr>
      <w:r>
        <w:rPr>
          <w:rFonts w:hint="eastAsia"/>
          <w:sz w:val="24"/>
        </w:rPr>
        <w:t>鸡蛋在通过鸡蛋</w:t>
      </w:r>
      <w:r>
        <w:rPr>
          <w:rFonts w:hint="eastAsia"/>
          <w:sz w:val="24"/>
          <w:lang w:val="en-US" w:eastAsia="zh-CN"/>
        </w:rPr>
        <w:t>清洁</w:t>
      </w:r>
      <w:r>
        <w:rPr>
          <w:rFonts w:hint="eastAsia"/>
          <w:sz w:val="24"/>
        </w:rPr>
        <w:t>线上LED灯照射时，可发现鸡蛋是否有裂纹、发霉、黑心等情况，裂纹、发霉、黑心等鸡蛋为不合格蛋，本项目蛋鸡饲养过程存活率为92-94%，平均产蛋率90%（每日鸡蛋产量/蛋鸡数量），不合格蛋率1-1.5%，本环评取蛋鸡存活率94%，不合格蛋率1%计算，不合格鸡蛋年产量=60万×94%×90%×365×1%=185.274万枚，鸡蛋平均重量62.5g/枚，则不合格蛋产生量为115.80t/a，不合格蛋收集后</w:t>
      </w:r>
      <w:r>
        <w:rPr>
          <w:rFonts w:hint="eastAsia" w:eastAsiaTheme="minorEastAsia"/>
          <w:sz w:val="24"/>
        </w:rPr>
        <w:t>用作</w:t>
      </w:r>
      <w:r>
        <w:rPr>
          <w:rFonts w:eastAsiaTheme="minorEastAsia"/>
          <w:sz w:val="24"/>
        </w:rPr>
        <w:t>企业自养甲鱼饲料</w:t>
      </w:r>
      <w:r>
        <w:rPr>
          <w:rFonts w:hint="eastAsia"/>
          <w:sz w:val="24"/>
        </w:rPr>
        <w:t>。</w:t>
      </w:r>
    </w:p>
    <w:p>
      <w:pPr>
        <w:autoSpaceDE w:val="0"/>
        <w:autoSpaceDN w:val="0"/>
        <w:adjustRightInd w:val="0"/>
        <w:spacing w:line="360" w:lineRule="auto"/>
        <w:ind w:firstLine="482" w:firstLineChars="200"/>
        <w:rPr>
          <w:b/>
          <w:sz w:val="24"/>
        </w:rPr>
      </w:pPr>
      <w:r>
        <w:rPr>
          <w:rFonts w:hint="eastAsia"/>
          <w:b/>
          <w:sz w:val="24"/>
        </w:rPr>
        <w:t>（5）饲料渣和脱落的羽毛</w:t>
      </w:r>
    </w:p>
    <w:p>
      <w:pPr>
        <w:autoSpaceDE w:val="0"/>
        <w:autoSpaceDN w:val="0"/>
        <w:adjustRightInd w:val="0"/>
        <w:spacing w:line="360" w:lineRule="auto"/>
        <w:ind w:firstLine="480" w:firstLineChars="200"/>
        <w:rPr>
          <w:sz w:val="24"/>
        </w:rPr>
      </w:pPr>
      <w:r>
        <w:rPr>
          <w:rFonts w:hint="eastAsia"/>
          <w:sz w:val="24"/>
        </w:rPr>
        <w:t>类比同类型项目，鸡舍日常清扫过程收集的饲料渣和鸡只脱落的羽毛量按1.5kg/10万羽·天计，则饲料渣和鸡只脱落的羽毛量为9kg/d，3.285t/a，经收集后交由当地环卫部门处理。</w:t>
      </w:r>
    </w:p>
    <w:p>
      <w:pPr>
        <w:autoSpaceDE w:val="0"/>
        <w:autoSpaceDN w:val="0"/>
        <w:adjustRightInd w:val="0"/>
        <w:spacing w:line="360" w:lineRule="auto"/>
        <w:ind w:firstLine="482" w:firstLineChars="200"/>
        <w:rPr>
          <w:b/>
          <w:sz w:val="24"/>
        </w:rPr>
      </w:pPr>
      <w:r>
        <w:rPr>
          <w:rFonts w:hint="eastAsia"/>
          <w:b/>
          <w:sz w:val="24"/>
        </w:rPr>
        <w:t>（6）医疗废物</w:t>
      </w:r>
    </w:p>
    <w:p>
      <w:pPr>
        <w:autoSpaceDE w:val="0"/>
        <w:autoSpaceDN w:val="0"/>
        <w:adjustRightInd w:val="0"/>
        <w:spacing w:line="360" w:lineRule="auto"/>
        <w:ind w:firstLine="480" w:firstLineChars="200"/>
        <w:rPr>
          <w:color w:val="000000" w:themeColor="text1"/>
          <w:sz w:val="24"/>
        </w:rPr>
      </w:pPr>
      <w:r>
        <w:rPr>
          <w:rFonts w:hint="eastAsia"/>
          <w:color w:val="000000" w:themeColor="text1"/>
          <w:sz w:val="24"/>
        </w:rPr>
        <w:t>鸡在养殖过程中需要注射一些疫苗，因此会产生废弃兽药及防疫防病医疗废物。类比同类型项目，医疗废物产生量约为0.2t/a，经查《国家危险废物名录》（2021年版），该部分固废属于危险废物，废物代码为841-001-01，此部分废物存于危废暂存间后，定期交由有资质单位处置。</w:t>
      </w:r>
    </w:p>
    <w:p>
      <w:pPr>
        <w:autoSpaceDE w:val="0"/>
        <w:autoSpaceDN w:val="0"/>
        <w:adjustRightInd w:val="0"/>
        <w:spacing w:line="360" w:lineRule="auto"/>
        <w:ind w:firstLine="482" w:firstLineChars="200"/>
        <w:rPr>
          <w:b/>
          <w:sz w:val="24"/>
        </w:rPr>
      </w:pPr>
      <w:r>
        <w:rPr>
          <w:rFonts w:hint="eastAsia"/>
          <w:b/>
          <w:sz w:val="24"/>
        </w:rPr>
        <w:t>（7）生活垃圾</w:t>
      </w:r>
    </w:p>
    <w:p>
      <w:pPr>
        <w:autoSpaceDE w:val="0"/>
        <w:autoSpaceDN w:val="0"/>
        <w:adjustRightInd w:val="0"/>
        <w:spacing w:line="360" w:lineRule="auto"/>
        <w:ind w:firstLine="480" w:firstLineChars="200"/>
        <w:rPr>
          <w:sz w:val="24"/>
        </w:rPr>
      </w:pPr>
      <w:r>
        <w:rPr>
          <w:rFonts w:hint="eastAsia"/>
          <w:sz w:val="24"/>
        </w:rPr>
        <w:t>项目劳动定员50人</w:t>
      </w:r>
      <w:r>
        <w:rPr>
          <w:rFonts w:eastAsiaTheme="majorEastAsia"/>
          <w:kern w:val="0"/>
          <w:sz w:val="24"/>
        </w:rPr>
        <w:t>，</w:t>
      </w:r>
      <w:r>
        <w:rPr>
          <w:rFonts w:hint="eastAsia"/>
          <w:spacing w:val="-6"/>
          <w:sz w:val="24"/>
        </w:rPr>
        <w:t>25人食宿在场内，25人未住宿</w:t>
      </w:r>
      <w:r>
        <w:rPr>
          <w:sz w:val="24"/>
        </w:rPr>
        <w:t>，</w:t>
      </w:r>
      <w:r>
        <w:rPr>
          <w:rFonts w:hint="eastAsia"/>
          <w:sz w:val="24"/>
        </w:rPr>
        <w:t>按人均产生垃圾0.8kg/d计，生活垃圾产生总量为0.04t/d（14.6t/a），项目生活垃圾委托当地环卫部门清运处理。</w:t>
      </w:r>
    </w:p>
    <w:p>
      <w:pPr>
        <w:spacing w:line="360" w:lineRule="auto"/>
        <w:ind w:firstLine="482" w:firstLineChars="200"/>
        <w:outlineLvl w:val="3"/>
        <w:rPr>
          <w:rFonts w:eastAsiaTheme="minorEastAsia"/>
          <w:b/>
          <w:sz w:val="24"/>
        </w:rPr>
      </w:pPr>
      <w:r>
        <w:rPr>
          <w:rFonts w:hint="eastAsia" w:eastAsiaTheme="minorEastAsia"/>
          <w:b/>
          <w:sz w:val="24"/>
        </w:rPr>
        <w:t>3.3.2.5 运营期污染物排放量汇总</w:t>
      </w:r>
    </w:p>
    <w:p>
      <w:pPr>
        <w:pStyle w:val="146"/>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本项目各污染物排放总量控制情况见表</w:t>
      </w:r>
      <w:r>
        <w:rPr>
          <w:rFonts w:ascii="Times New Roman" w:cs="Times New Roman" w:eastAsiaTheme="minorEastAsia"/>
          <w:color w:val="auto"/>
        </w:rPr>
        <w:t>3.3-1</w:t>
      </w:r>
      <w:r>
        <w:rPr>
          <w:rFonts w:hint="eastAsia" w:ascii="Times New Roman" w:cs="Times New Roman" w:eastAsiaTheme="minorEastAsia"/>
          <w:color w:val="auto"/>
        </w:rPr>
        <w:t>1</w:t>
      </w:r>
      <w:r>
        <w:rPr>
          <w:rFonts w:ascii="Times New Roman" w:cs="Times New Roman" w:hAnsiTheme="minorEastAsia" w:eastAsiaTheme="minorEastAsia"/>
          <w:color w:val="auto"/>
        </w:rPr>
        <w:t>。</w:t>
      </w:r>
    </w:p>
    <w:p>
      <w:pPr>
        <w:adjustRightInd w:val="0"/>
        <w:snapToGrid w:val="0"/>
        <w:spacing w:beforeLines="50"/>
        <w:jc w:val="center"/>
        <w:rPr>
          <w:b/>
          <w:kern w:val="0"/>
          <w:szCs w:val="21"/>
        </w:rPr>
      </w:pPr>
      <w:r>
        <w:rPr>
          <w:b/>
          <w:kern w:val="0"/>
          <w:szCs w:val="21"/>
        </w:rPr>
        <w:t>表</w:t>
      </w:r>
      <w:r>
        <w:rPr>
          <w:rFonts w:hint="eastAsia"/>
          <w:b/>
          <w:kern w:val="0"/>
          <w:szCs w:val="21"/>
        </w:rPr>
        <w:t>3.3-11  项目污染</w:t>
      </w:r>
      <w:r>
        <w:rPr>
          <w:b/>
          <w:kern w:val="0"/>
          <w:szCs w:val="21"/>
        </w:rPr>
        <w:t>物排放总量控制表</w:t>
      </w:r>
      <w:r>
        <w:rPr>
          <w:rFonts w:hint="eastAsia"/>
          <w:b/>
          <w:kern w:val="0"/>
          <w:szCs w:val="21"/>
        </w:rPr>
        <w:t xml:space="preserve">  单位：t/a</w:t>
      </w:r>
    </w:p>
    <w:tbl>
      <w:tblPr>
        <w:tblStyle w:val="4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49"/>
        <w:gridCol w:w="853"/>
        <w:gridCol w:w="851"/>
        <w:gridCol w:w="1223"/>
        <w:gridCol w:w="1155"/>
        <w:gridCol w:w="1007"/>
        <w:gridCol w:w="26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Align w:val="center"/>
          </w:tcPr>
          <w:p>
            <w:pPr>
              <w:pStyle w:val="146"/>
              <w:jc w:val="center"/>
              <w:rPr>
                <w:rFonts w:ascii="Times New Roman" w:cs="Times New Roman" w:eastAsiaTheme="minorEastAsia"/>
                <w:b/>
                <w:color w:val="auto"/>
                <w:sz w:val="21"/>
                <w:szCs w:val="21"/>
              </w:rPr>
            </w:pPr>
            <w:r>
              <w:rPr>
                <w:rFonts w:ascii="Times New Roman" w:cs="Times New Roman" w:hAnsiTheme="minorEastAsia" w:eastAsiaTheme="minorEastAsia"/>
                <w:b/>
                <w:color w:val="auto"/>
                <w:sz w:val="21"/>
                <w:szCs w:val="21"/>
              </w:rPr>
              <w:t>种类</w:t>
            </w:r>
          </w:p>
        </w:tc>
        <w:tc>
          <w:tcPr>
            <w:tcW w:w="999" w:type="pct"/>
            <w:gridSpan w:val="2"/>
            <w:vAlign w:val="center"/>
          </w:tcPr>
          <w:p>
            <w:pPr>
              <w:pStyle w:val="146"/>
              <w:jc w:val="center"/>
              <w:rPr>
                <w:rFonts w:ascii="Times New Roman" w:cs="Times New Roman" w:eastAsiaTheme="minorEastAsia"/>
                <w:b/>
                <w:color w:val="auto"/>
                <w:sz w:val="21"/>
                <w:szCs w:val="21"/>
              </w:rPr>
            </w:pPr>
            <w:r>
              <w:rPr>
                <w:rFonts w:ascii="Times New Roman" w:cs="Times New Roman" w:hAnsiTheme="minorEastAsia" w:eastAsiaTheme="minorEastAsia"/>
                <w:b/>
                <w:color w:val="auto"/>
                <w:sz w:val="21"/>
                <w:szCs w:val="21"/>
              </w:rPr>
              <w:t>污染物名称</w:t>
            </w:r>
          </w:p>
        </w:tc>
        <w:tc>
          <w:tcPr>
            <w:tcW w:w="717" w:type="pct"/>
            <w:vAlign w:val="center"/>
          </w:tcPr>
          <w:p>
            <w:pPr>
              <w:pStyle w:val="146"/>
              <w:jc w:val="center"/>
              <w:rPr>
                <w:rFonts w:ascii="Times New Roman" w:cs="Times New Roman" w:eastAsiaTheme="minorEastAsia"/>
                <w:b/>
                <w:color w:val="auto"/>
                <w:sz w:val="21"/>
                <w:szCs w:val="21"/>
              </w:rPr>
            </w:pPr>
            <w:r>
              <w:rPr>
                <w:rFonts w:ascii="Times New Roman" w:cs="Times New Roman" w:hAnsiTheme="minorEastAsia" w:eastAsiaTheme="minorEastAsia"/>
                <w:b/>
                <w:color w:val="auto"/>
                <w:sz w:val="21"/>
                <w:szCs w:val="21"/>
              </w:rPr>
              <w:t>产生量</w:t>
            </w:r>
          </w:p>
        </w:tc>
        <w:tc>
          <w:tcPr>
            <w:tcW w:w="677" w:type="pct"/>
            <w:vAlign w:val="center"/>
          </w:tcPr>
          <w:p>
            <w:pPr>
              <w:pStyle w:val="146"/>
              <w:jc w:val="center"/>
              <w:rPr>
                <w:rFonts w:ascii="Times New Roman" w:cs="Times New Roman" w:eastAsiaTheme="minorEastAsia"/>
                <w:b/>
                <w:color w:val="auto"/>
                <w:sz w:val="21"/>
                <w:szCs w:val="21"/>
              </w:rPr>
            </w:pPr>
            <w:r>
              <w:rPr>
                <w:rFonts w:ascii="Times New Roman" w:cs="Times New Roman" w:hAnsiTheme="minorEastAsia" w:eastAsiaTheme="minorEastAsia"/>
                <w:b/>
                <w:color w:val="auto"/>
                <w:sz w:val="21"/>
                <w:szCs w:val="21"/>
              </w:rPr>
              <w:t>削减量</w:t>
            </w:r>
          </w:p>
        </w:tc>
        <w:tc>
          <w:tcPr>
            <w:tcW w:w="590" w:type="pct"/>
            <w:vAlign w:val="center"/>
          </w:tcPr>
          <w:p>
            <w:pPr>
              <w:pStyle w:val="146"/>
              <w:jc w:val="center"/>
              <w:rPr>
                <w:rFonts w:ascii="Times New Roman" w:cs="Times New Roman" w:eastAsiaTheme="minorEastAsia"/>
                <w:b/>
                <w:color w:val="auto"/>
                <w:sz w:val="21"/>
                <w:szCs w:val="21"/>
              </w:rPr>
            </w:pPr>
            <w:r>
              <w:rPr>
                <w:rFonts w:ascii="Times New Roman" w:cs="Times New Roman" w:hAnsiTheme="minorEastAsia" w:eastAsiaTheme="minorEastAsia"/>
                <w:b/>
                <w:color w:val="auto"/>
                <w:sz w:val="21"/>
                <w:szCs w:val="21"/>
              </w:rPr>
              <w:t>排放量</w:t>
            </w:r>
          </w:p>
        </w:tc>
        <w:tc>
          <w:tcPr>
            <w:tcW w:w="1577" w:type="pct"/>
            <w:vAlign w:val="center"/>
          </w:tcPr>
          <w:p>
            <w:pPr>
              <w:pStyle w:val="146"/>
              <w:jc w:val="center"/>
              <w:rPr>
                <w:rFonts w:ascii="Times New Roman" w:cs="Times New Roman" w:hAnsiTheme="minorEastAsia" w:eastAsiaTheme="minorEastAsia"/>
                <w:b/>
                <w:color w:val="auto"/>
                <w:sz w:val="21"/>
                <w:szCs w:val="21"/>
              </w:rPr>
            </w:pPr>
            <w:r>
              <w:rPr>
                <w:rFonts w:ascii="Times New Roman" w:cs="Times New Roman" w:hAnsiTheme="minorEastAsia" w:eastAsiaTheme="minorEastAsia"/>
                <w:b/>
                <w:color w:val="auto"/>
                <w:sz w:val="21"/>
                <w:szCs w:val="21"/>
              </w:rPr>
              <w:t>治理措施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439" w:type="pct"/>
            <w:vMerge w:val="restart"/>
            <w:vAlign w:val="center"/>
          </w:tcPr>
          <w:p>
            <w:pPr>
              <w:pStyle w:val="146"/>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废水</w:t>
            </w:r>
          </w:p>
        </w:tc>
        <w:tc>
          <w:tcPr>
            <w:tcW w:w="999" w:type="pct"/>
            <w:gridSpan w:val="2"/>
            <w:vAlign w:val="center"/>
          </w:tcPr>
          <w:p>
            <w:pPr>
              <w:pStyle w:val="146"/>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废水量</w:t>
            </w:r>
          </w:p>
        </w:tc>
        <w:tc>
          <w:tcPr>
            <w:tcW w:w="717" w:type="pct"/>
            <w:vAlign w:val="center"/>
          </w:tcPr>
          <w:p>
            <w:pPr>
              <w:jc w:val="center"/>
              <w:rPr>
                <w:rFonts w:hint="default" w:eastAsia="宋体"/>
                <w:sz w:val="21"/>
                <w:szCs w:val="21"/>
                <w:lang w:val="en-US" w:eastAsia="zh-CN"/>
              </w:rPr>
            </w:pPr>
            <w:r>
              <w:rPr>
                <w:rFonts w:hint="eastAsia"/>
                <w:sz w:val="21"/>
                <w:szCs w:val="21"/>
                <w:lang w:val="en-US" w:eastAsia="zh-CN"/>
              </w:rPr>
              <w:t>2286.59</w:t>
            </w:r>
          </w:p>
        </w:tc>
        <w:tc>
          <w:tcPr>
            <w:tcW w:w="677" w:type="pct"/>
            <w:vAlign w:val="center"/>
          </w:tcPr>
          <w:p>
            <w:pPr>
              <w:jc w:val="center"/>
              <w:rPr>
                <w:rFonts w:hint="default" w:eastAsia="宋体"/>
                <w:sz w:val="21"/>
                <w:szCs w:val="21"/>
                <w:lang w:val="en-US" w:eastAsia="zh-CN"/>
              </w:rPr>
            </w:pPr>
            <w:r>
              <w:rPr>
                <w:rFonts w:hint="eastAsia"/>
                <w:sz w:val="21"/>
                <w:szCs w:val="21"/>
                <w:lang w:val="en-US" w:eastAsia="zh-CN"/>
              </w:rPr>
              <w:t>2286.59</w:t>
            </w:r>
          </w:p>
        </w:tc>
        <w:tc>
          <w:tcPr>
            <w:tcW w:w="590" w:type="pct"/>
            <w:vAlign w:val="center"/>
          </w:tcPr>
          <w:p>
            <w:pPr>
              <w:jc w:val="center"/>
              <w:rPr>
                <w:sz w:val="21"/>
                <w:szCs w:val="21"/>
              </w:rPr>
            </w:pPr>
            <w:r>
              <w:rPr>
                <w:rFonts w:hint="eastAsia"/>
                <w:sz w:val="21"/>
                <w:szCs w:val="21"/>
              </w:rPr>
              <w:t>0</w:t>
            </w:r>
          </w:p>
        </w:tc>
        <w:tc>
          <w:tcPr>
            <w:tcW w:w="1577" w:type="pct"/>
            <w:vMerge w:val="restart"/>
            <w:vAlign w:val="center"/>
          </w:tcPr>
          <w:p>
            <w:pPr>
              <w:pStyle w:val="146"/>
              <w:jc w:val="center"/>
              <w:rPr>
                <w:rFonts w:ascii="Times New Roman" w:cs="Times New Roman" w:eastAsiaTheme="minorEastAsia"/>
                <w:color w:val="auto"/>
                <w:sz w:val="21"/>
                <w:szCs w:val="21"/>
              </w:rPr>
            </w:pPr>
            <w:r>
              <w:rPr>
                <w:rFonts w:hint="eastAsia" w:ascii="Times New Roman" w:cs="Times New Roman" w:eastAsiaTheme="minorEastAsia"/>
                <w:color w:val="auto"/>
                <w:sz w:val="21"/>
                <w:szCs w:val="21"/>
              </w:rPr>
              <w:t>废水经污水处理站处理后用于周边种植基地灌溉，不外排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439" w:type="pct"/>
            <w:vMerge w:val="continue"/>
            <w:vAlign w:val="center"/>
          </w:tcPr>
          <w:p>
            <w:pPr>
              <w:pStyle w:val="146"/>
              <w:jc w:val="center"/>
              <w:rPr>
                <w:rFonts w:ascii="Times New Roman" w:cs="Times New Roman" w:eastAsiaTheme="minorEastAsia"/>
                <w:color w:val="auto"/>
                <w:sz w:val="21"/>
                <w:szCs w:val="21"/>
              </w:rPr>
            </w:pPr>
          </w:p>
        </w:tc>
        <w:tc>
          <w:tcPr>
            <w:tcW w:w="999" w:type="pct"/>
            <w:gridSpan w:val="2"/>
            <w:vAlign w:val="center"/>
          </w:tcPr>
          <w:p>
            <w:pPr>
              <w:jc w:val="center"/>
              <w:rPr>
                <w:sz w:val="21"/>
                <w:szCs w:val="21"/>
              </w:rPr>
            </w:pPr>
            <w:r>
              <w:rPr>
                <w:rFonts w:hint="eastAsia"/>
                <w:sz w:val="21"/>
                <w:szCs w:val="21"/>
              </w:rPr>
              <w:t>COD</w:t>
            </w:r>
            <w:r>
              <w:rPr>
                <w:rFonts w:hint="eastAsia"/>
                <w:sz w:val="21"/>
                <w:szCs w:val="21"/>
                <w:vertAlign w:val="subscript"/>
              </w:rPr>
              <w:t>Cr</w:t>
            </w:r>
          </w:p>
        </w:tc>
        <w:tc>
          <w:tcPr>
            <w:tcW w:w="717" w:type="pct"/>
            <w:vAlign w:val="center"/>
          </w:tcPr>
          <w:p>
            <w:pPr>
              <w:jc w:val="center"/>
              <w:rPr>
                <w:rFonts w:hint="default" w:eastAsia="宋体"/>
                <w:sz w:val="21"/>
                <w:szCs w:val="21"/>
                <w:lang w:val="en-US" w:eastAsia="zh-CN"/>
              </w:rPr>
            </w:pPr>
            <w:r>
              <w:rPr>
                <w:rFonts w:hint="eastAsia"/>
                <w:sz w:val="21"/>
                <w:szCs w:val="21"/>
                <w:lang w:val="en-US" w:eastAsia="zh-CN"/>
              </w:rPr>
              <w:t>1.758</w:t>
            </w:r>
          </w:p>
        </w:tc>
        <w:tc>
          <w:tcPr>
            <w:tcW w:w="677" w:type="pct"/>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1.758</w:t>
            </w:r>
          </w:p>
        </w:tc>
        <w:tc>
          <w:tcPr>
            <w:tcW w:w="590" w:type="pct"/>
            <w:vAlign w:val="center"/>
          </w:tcPr>
          <w:p>
            <w:pPr>
              <w:jc w:val="center"/>
              <w:rPr>
                <w:sz w:val="21"/>
                <w:szCs w:val="21"/>
              </w:rPr>
            </w:pPr>
            <w:r>
              <w:rPr>
                <w:rFonts w:hint="eastAsia"/>
                <w:sz w:val="21"/>
                <w:szCs w:val="21"/>
              </w:rPr>
              <w:t>0</w:t>
            </w:r>
          </w:p>
        </w:tc>
        <w:tc>
          <w:tcPr>
            <w:tcW w:w="1577" w:type="pct"/>
            <w:vMerge w:val="continue"/>
            <w:vAlign w:val="center"/>
          </w:tcPr>
          <w:p>
            <w:pPr>
              <w:pStyle w:val="146"/>
              <w:jc w:val="center"/>
              <w:rPr>
                <w:rFonts w:ascii="Times New Roman" w:cs="Times New Roman" w:eastAsiaTheme="minor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439" w:type="pct"/>
            <w:vMerge w:val="continue"/>
            <w:vAlign w:val="center"/>
          </w:tcPr>
          <w:p>
            <w:pPr>
              <w:pStyle w:val="146"/>
              <w:jc w:val="center"/>
              <w:rPr>
                <w:rFonts w:ascii="Times New Roman" w:cs="Times New Roman" w:eastAsiaTheme="minorEastAsia"/>
                <w:color w:val="auto"/>
                <w:sz w:val="21"/>
                <w:szCs w:val="21"/>
              </w:rPr>
            </w:pPr>
          </w:p>
        </w:tc>
        <w:tc>
          <w:tcPr>
            <w:tcW w:w="999" w:type="pct"/>
            <w:gridSpan w:val="2"/>
            <w:vAlign w:val="center"/>
          </w:tcPr>
          <w:p>
            <w:pPr>
              <w:jc w:val="center"/>
              <w:rPr>
                <w:sz w:val="21"/>
                <w:szCs w:val="21"/>
              </w:rPr>
            </w:pPr>
            <w:r>
              <w:rPr>
                <w:rFonts w:hint="eastAsia"/>
                <w:sz w:val="21"/>
                <w:szCs w:val="21"/>
              </w:rPr>
              <w:t>BOD</w:t>
            </w:r>
            <w:r>
              <w:rPr>
                <w:rFonts w:hint="eastAsia"/>
                <w:sz w:val="21"/>
                <w:szCs w:val="21"/>
                <w:vertAlign w:val="subscript"/>
              </w:rPr>
              <w:t>5</w:t>
            </w:r>
          </w:p>
        </w:tc>
        <w:tc>
          <w:tcPr>
            <w:tcW w:w="717" w:type="pct"/>
            <w:vAlign w:val="center"/>
          </w:tcPr>
          <w:p>
            <w:pPr>
              <w:jc w:val="center"/>
              <w:rPr>
                <w:rFonts w:hint="default" w:eastAsia="宋体"/>
                <w:sz w:val="21"/>
                <w:szCs w:val="21"/>
                <w:lang w:val="en-US" w:eastAsia="zh-CN"/>
              </w:rPr>
            </w:pPr>
            <w:r>
              <w:rPr>
                <w:rFonts w:hint="eastAsia"/>
                <w:sz w:val="21"/>
                <w:szCs w:val="21"/>
                <w:lang w:val="en-US" w:eastAsia="zh-CN"/>
              </w:rPr>
              <w:t>0.901</w:t>
            </w:r>
          </w:p>
        </w:tc>
        <w:tc>
          <w:tcPr>
            <w:tcW w:w="677" w:type="pct"/>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0.901</w:t>
            </w:r>
          </w:p>
        </w:tc>
        <w:tc>
          <w:tcPr>
            <w:tcW w:w="590" w:type="pct"/>
            <w:vAlign w:val="center"/>
          </w:tcPr>
          <w:p>
            <w:pPr>
              <w:jc w:val="center"/>
              <w:rPr>
                <w:sz w:val="21"/>
                <w:szCs w:val="21"/>
              </w:rPr>
            </w:pPr>
            <w:r>
              <w:rPr>
                <w:rFonts w:hint="eastAsia"/>
                <w:sz w:val="21"/>
                <w:szCs w:val="21"/>
              </w:rPr>
              <w:t>0</w:t>
            </w:r>
          </w:p>
        </w:tc>
        <w:tc>
          <w:tcPr>
            <w:tcW w:w="1577" w:type="pct"/>
            <w:vMerge w:val="continue"/>
            <w:vAlign w:val="center"/>
          </w:tcPr>
          <w:p>
            <w:pPr>
              <w:pStyle w:val="146"/>
              <w:jc w:val="center"/>
              <w:rPr>
                <w:rFonts w:ascii="Times New Roman" w:cs="Times New Roman" w:eastAsiaTheme="minor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continue"/>
            <w:vAlign w:val="center"/>
          </w:tcPr>
          <w:p>
            <w:pPr>
              <w:pStyle w:val="146"/>
              <w:jc w:val="center"/>
              <w:rPr>
                <w:rFonts w:ascii="Times New Roman" w:cs="Times New Roman" w:eastAsiaTheme="minorEastAsia"/>
                <w:color w:val="auto"/>
                <w:sz w:val="21"/>
                <w:szCs w:val="21"/>
              </w:rPr>
            </w:pPr>
          </w:p>
        </w:tc>
        <w:tc>
          <w:tcPr>
            <w:tcW w:w="999" w:type="pct"/>
            <w:gridSpan w:val="2"/>
            <w:vAlign w:val="center"/>
          </w:tcPr>
          <w:p>
            <w:pPr>
              <w:jc w:val="center"/>
              <w:rPr>
                <w:sz w:val="21"/>
                <w:szCs w:val="21"/>
              </w:rPr>
            </w:pPr>
            <w:r>
              <w:rPr>
                <w:rFonts w:hint="eastAsia"/>
                <w:sz w:val="21"/>
                <w:szCs w:val="21"/>
              </w:rPr>
              <w:t>SS</w:t>
            </w:r>
          </w:p>
        </w:tc>
        <w:tc>
          <w:tcPr>
            <w:tcW w:w="717" w:type="pct"/>
            <w:vAlign w:val="center"/>
          </w:tcPr>
          <w:p>
            <w:pPr>
              <w:jc w:val="center"/>
              <w:rPr>
                <w:rFonts w:hint="default" w:eastAsia="宋体"/>
                <w:sz w:val="21"/>
                <w:szCs w:val="21"/>
                <w:lang w:val="en-US" w:eastAsia="zh-CN"/>
              </w:rPr>
            </w:pPr>
            <w:r>
              <w:rPr>
                <w:rFonts w:hint="eastAsia"/>
                <w:sz w:val="21"/>
                <w:szCs w:val="21"/>
                <w:lang w:val="en-US" w:eastAsia="zh-CN"/>
              </w:rPr>
              <w:t>1.022</w:t>
            </w:r>
          </w:p>
        </w:tc>
        <w:tc>
          <w:tcPr>
            <w:tcW w:w="677" w:type="pct"/>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1.022</w:t>
            </w:r>
          </w:p>
        </w:tc>
        <w:tc>
          <w:tcPr>
            <w:tcW w:w="590" w:type="pct"/>
            <w:vAlign w:val="center"/>
          </w:tcPr>
          <w:p>
            <w:pPr>
              <w:jc w:val="center"/>
              <w:rPr>
                <w:sz w:val="21"/>
                <w:szCs w:val="21"/>
              </w:rPr>
            </w:pPr>
            <w:r>
              <w:rPr>
                <w:rFonts w:hint="eastAsia"/>
                <w:sz w:val="21"/>
                <w:szCs w:val="21"/>
              </w:rPr>
              <w:t>0</w:t>
            </w:r>
          </w:p>
        </w:tc>
        <w:tc>
          <w:tcPr>
            <w:tcW w:w="1577" w:type="pct"/>
            <w:vMerge w:val="continue"/>
            <w:vAlign w:val="center"/>
          </w:tcPr>
          <w:p>
            <w:pPr>
              <w:pStyle w:val="146"/>
              <w:jc w:val="center"/>
              <w:rPr>
                <w:rFonts w:ascii="Times New Roman" w:cs="Times New Roman" w:eastAsiaTheme="minor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continue"/>
            <w:vAlign w:val="center"/>
          </w:tcPr>
          <w:p>
            <w:pPr>
              <w:pStyle w:val="146"/>
              <w:jc w:val="center"/>
              <w:rPr>
                <w:rFonts w:ascii="Times New Roman" w:cs="Times New Roman" w:eastAsiaTheme="minorEastAsia"/>
                <w:color w:val="auto"/>
                <w:sz w:val="21"/>
                <w:szCs w:val="21"/>
              </w:rPr>
            </w:pPr>
          </w:p>
        </w:tc>
        <w:tc>
          <w:tcPr>
            <w:tcW w:w="999" w:type="pct"/>
            <w:gridSpan w:val="2"/>
            <w:vAlign w:val="center"/>
          </w:tcPr>
          <w:p>
            <w:pPr>
              <w:jc w:val="center"/>
              <w:rPr>
                <w:sz w:val="21"/>
                <w:szCs w:val="21"/>
              </w:rPr>
            </w:pPr>
            <w:r>
              <w:rPr>
                <w:sz w:val="21"/>
                <w:szCs w:val="21"/>
              </w:rPr>
              <w:t>氨氮</w:t>
            </w:r>
          </w:p>
        </w:tc>
        <w:tc>
          <w:tcPr>
            <w:tcW w:w="717" w:type="pct"/>
            <w:vAlign w:val="center"/>
          </w:tcPr>
          <w:p>
            <w:pPr>
              <w:jc w:val="center"/>
              <w:rPr>
                <w:rFonts w:hint="default" w:eastAsia="宋体"/>
                <w:sz w:val="21"/>
                <w:szCs w:val="21"/>
                <w:lang w:val="en-US" w:eastAsia="zh-CN"/>
              </w:rPr>
            </w:pPr>
            <w:r>
              <w:rPr>
                <w:rFonts w:hint="eastAsia"/>
                <w:sz w:val="21"/>
                <w:szCs w:val="21"/>
                <w:lang w:val="en-US" w:eastAsia="zh-CN"/>
              </w:rPr>
              <w:t>0.279</w:t>
            </w:r>
          </w:p>
        </w:tc>
        <w:tc>
          <w:tcPr>
            <w:tcW w:w="677" w:type="pct"/>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0.279</w:t>
            </w:r>
          </w:p>
        </w:tc>
        <w:tc>
          <w:tcPr>
            <w:tcW w:w="590" w:type="pct"/>
            <w:vAlign w:val="center"/>
          </w:tcPr>
          <w:p>
            <w:pPr>
              <w:jc w:val="center"/>
              <w:rPr>
                <w:sz w:val="21"/>
                <w:szCs w:val="21"/>
              </w:rPr>
            </w:pPr>
            <w:r>
              <w:rPr>
                <w:rFonts w:hint="eastAsia"/>
                <w:sz w:val="21"/>
                <w:szCs w:val="21"/>
              </w:rPr>
              <w:t>0</w:t>
            </w:r>
          </w:p>
        </w:tc>
        <w:tc>
          <w:tcPr>
            <w:tcW w:w="1577" w:type="pct"/>
            <w:vMerge w:val="continue"/>
            <w:vAlign w:val="center"/>
          </w:tcPr>
          <w:p>
            <w:pPr>
              <w:pStyle w:val="146"/>
              <w:jc w:val="center"/>
              <w:rPr>
                <w:rFonts w:ascii="Times New Roman" w:cs="Times New Roman" w:eastAsiaTheme="minor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restart"/>
            <w:vAlign w:val="center"/>
          </w:tcPr>
          <w:p>
            <w:pPr>
              <w:pStyle w:val="146"/>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废气</w:t>
            </w:r>
          </w:p>
        </w:tc>
        <w:tc>
          <w:tcPr>
            <w:tcW w:w="500" w:type="pct"/>
            <w:vMerge w:val="restart"/>
            <w:vAlign w:val="center"/>
          </w:tcPr>
          <w:p>
            <w:pPr>
              <w:jc w:val="center"/>
              <w:rPr>
                <w:sz w:val="21"/>
                <w:szCs w:val="21"/>
              </w:rPr>
            </w:pPr>
            <w:r>
              <w:rPr>
                <w:sz w:val="21"/>
                <w:szCs w:val="21"/>
              </w:rPr>
              <w:t>鸡舍恶臭</w:t>
            </w:r>
          </w:p>
        </w:tc>
        <w:tc>
          <w:tcPr>
            <w:tcW w:w="498" w:type="pct"/>
            <w:vAlign w:val="center"/>
          </w:tcPr>
          <w:p>
            <w:pPr>
              <w:tabs>
                <w:tab w:val="left" w:pos="360"/>
              </w:tabs>
              <w:jc w:val="center"/>
              <w:rPr>
                <w:sz w:val="21"/>
                <w:szCs w:val="21"/>
              </w:rPr>
            </w:pPr>
            <w:r>
              <w:rPr>
                <w:rFonts w:hint="eastAsia"/>
                <w:sz w:val="21"/>
                <w:szCs w:val="21"/>
              </w:rPr>
              <w:t>NH</w:t>
            </w:r>
            <w:r>
              <w:rPr>
                <w:rFonts w:hint="eastAsia"/>
                <w:sz w:val="21"/>
                <w:szCs w:val="21"/>
                <w:vertAlign w:val="subscript"/>
              </w:rPr>
              <w:t>3</w:t>
            </w:r>
          </w:p>
        </w:tc>
        <w:tc>
          <w:tcPr>
            <w:tcW w:w="717" w:type="pct"/>
            <w:vAlign w:val="center"/>
          </w:tcPr>
          <w:p>
            <w:pPr>
              <w:jc w:val="center"/>
              <w:rPr>
                <w:rFonts w:hint="default" w:eastAsiaTheme="minorEastAsia"/>
                <w:sz w:val="21"/>
                <w:szCs w:val="21"/>
                <w:lang w:val="en-US" w:eastAsia="zh-CN"/>
              </w:rPr>
            </w:pPr>
            <w:r>
              <w:rPr>
                <w:rFonts w:hint="eastAsia" w:eastAsiaTheme="minorEastAsia"/>
                <w:szCs w:val="21"/>
              </w:rPr>
              <w:t>0.438</w:t>
            </w:r>
          </w:p>
        </w:tc>
        <w:tc>
          <w:tcPr>
            <w:tcW w:w="677" w:type="pct"/>
            <w:vAlign w:val="center"/>
          </w:tcPr>
          <w:p>
            <w:pPr>
              <w:pStyle w:val="146"/>
              <w:jc w:val="center"/>
              <w:rPr>
                <w:rFonts w:hint="default" w:ascii="Times New Roman" w:cs="Times New Roman" w:eastAsiaTheme="minorEastAsia"/>
                <w:color w:val="auto"/>
                <w:sz w:val="21"/>
                <w:szCs w:val="21"/>
                <w:lang w:val="en-US" w:eastAsia="zh-CN"/>
              </w:rPr>
            </w:pPr>
            <w:r>
              <w:rPr>
                <w:rFonts w:hint="eastAsia" w:ascii="Times New Roman" w:cs="Times New Roman" w:eastAsiaTheme="minorEastAsia"/>
                <w:color w:val="auto"/>
                <w:sz w:val="21"/>
                <w:szCs w:val="21"/>
              </w:rPr>
              <w:t>0.2</w:t>
            </w:r>
            <w:r>
              <w:rPr>
                <w:rFonts w:hint="eastAsia" w:ascii="Times New Roman" w:cs="Times New Roman" w:eastAsiaTheme="minorEastAsia"/>
                <w:color w:val="auto"/>
                <w:sz w:val="21"/>
                <w:szCs w:val="21"/>
                <w:lang w:val="en-US" w:eastAsia="zh-CN"/>
              </w:rPr>
              <w:t>628</w:t>
            </w:r>
          </w:p>
        </w:tc>
        <w:tc>
          <w:tcPr>
            <w:tcW w:w="590" w:type="pct"/>
            <w:vAlign w:val="center"/>
          </w:tcPr>
          <w:p>
            <w:pPr>
              <w:pStyle w:val="146"/>
              <w:jc w:val="center"/>
              <w:rPr>
                <w:rFonts w:hint="default" w:ascii="Times New Roman" w:cs="Times New Roman" w:eastAsiaTheme="minorEastAsia"/>
                <w:color w:val="auto"/>
                <w:sz w:val="21"/>
                <w:szCs w:val="21"/>
                <w:lang w:val="en-US" w:eastAsia="zh-CN"/>
              </w:rPr>
            </w:pPr>
            <w:r>
              <w:rPr>
                <w:rFonts w:hint="eastAsia" w:ascii="Times New Roman" w:cs="Times New Roman" w:eastAsiaTheme="minorEastAsia"/>
                <w:color w:val="auto"/>
                <w:sz w:val="21"/>
                <w:szCs w:val="21"/>
              </w:rPr>
              <w:t>0.1</w:t>
            </w:r>
            <w:r>
              <w:rPr>
                <w:rFonts w:hint="eastAsia" w:ascii="Times New Roman" w:cs="Times New Roman" w:eastAsiaTheme="minorEastAsia"/>
                <w:color w:val="auto"/>
                <w:sz w:val="21"/>
                <w:szCs w:val="21"/>
                <w:lang w:val="en-US" w:eastAsia="zh-CN"/>
              </w:rPr>
              <w:t>75</w:t>
            </w:r>
            <w:r>
              <w:rPr>
                <w:rFonts w:hint="eastAsia" w:ascii="Times New Roman" w:cs="Times New Roman" w:eastAsiaTheme="minorEastAsia"/>
                <w:color w:val="auto"/>
                <w:sz w:val="21"/>
                <w:szCs w:val="21"/>
              </w:rPr>
              <w:t>2</w:t>
            </w:r>
          </w:p>
        </w:tc>
        <w:tc>
          <w:tcPr>
            <w:tcW w:w="1577" w:type="pct"/>
            <w:vMerge w:val="restart"/>
            <w:vAlign w:val="center"/>
          </w:tcPr>
          <w:p>
            <w:pPr>
              <w:pStyle w:val="146"/>
              <w:jc w:val="center"/>
              <w:rPr>
                <w:rFonts w:ascii="Times New Roman" w:cs="Times New Roman" w:eastAsiaTheme="minorEastAsia"/>
                <w:color w:val="auto"/>
                <w:sz w:val="21"/>
                <w:szCs w:val="21"/>
              </w:rPr>
            </w:pPr>
            <w:r>
              <w:rPr>
                <w:rFonts w:hint="eastAsia" w:ascii="Times New Roman" w:cs="Times New Roman" w:eastAsiaTheme="minorEastAsia"/>
                <w:color w:val="auto"/>
                <w:sz w:val="21"/>
                <w:szCs w:val="21"/>
              </w:rPr>
              <w:t>采用干清粪方式、日产日清，在日粮中添加EM菌，在鸡舍定期喷洒微生物制剂、酶制剂和植物提取液等活性物质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439" w:type="pct"/>
            <w:vMerge w:val="continue"/>
            <w:vAlign w:val="center"/>
          </w:tcPr>
          <w:p>
            <w:pPr>
              <w:pStyle w:val="146"/>
              <w:jc w:val="center"/>
              <w:rPr>
                <w:rFonts w:ascii="Times New Roman" w:cs="Times New Roman" w:hAnsiTheme="minorEastAsia" w:eastAsiaTheme="minorEastAsia"/>
                <w:color w:val="auto"/>
                <w:sz w:val="21"/>
                <w:szCs w:val="21"/>
              </w:rPr>
            </w:pPr>
          </w:p>
        </w:tc>
        <w:tc>
          <w:tcPr>
            <w:tcW w:w="500" w:type="pct"/>
            <w:vMerge w:val="continue"/>
            <w:vAlign w:val="center"/>
          </w:tcPr>
          <w:p>
            <w:pPr>
              <w:jc w:val="center"/>
              <w:rPr>
                <w:sz w:val="21"/>
                <w:szCs w:val="21"/>
              </w:rPr>
            </w:pPr>
          </w:p>
        </w:tc>
        <w:tc>
          <w:tcPr>
            <w:tcW w:w="498" w:type="pct"/>
            <w:vAlign w:val="center"/>
          </w:tcPr>
          <w:p>
            <w:pPr>
              <w:tabs>
                <w:tab w:val="left" w:pos="360"/>
              </w:tabs>
              <w:jc w:val="center"/>
              <w:rPr>
                <w:rFonts w:hint="eastAsia"/>
                <w:sz w:val="21"/>
                <w:szCs w:val="21"/>
              </w:rPr>
            </w:pPr>
            <w:r>
              <w:rPr>
                <w:rFonts w:hint="eastAsia"/>
                <w:sz w:val="21"/>
                <w:szCs w:val="21"/>
              </w:rPr>
              <w:t>H</w:t>
            </w:r>
            <w:r>
              <w:rPr>
                <w:rFonts w:hint="eastAsia"/>
                <w:sz w:val="21"/>
                <w:szCs w:val="21"/>
                <w:vertAlign w:val="subscript"/>
              </w:rPr>
              <w:t>2</w:t>
            </w:r>
            <w:r>
              <w:rPr>
                <w:rFonts w:hint="eastAsia"/>
                <w:sz w:val="21"/>
                <w:szCs w:val="21"/>
              </w:rPr>
              <w:t>S</w:t>
            </w:r>
          </w:p>
        </w:tc>
        <w:tc>
          <w:tcPr>
            <w:tcW w:w="717" w:type="pct"/>
            <w:vAlign w:val="center"/>
          </w:tcPr>
          <w:p>
            <w:pPr>
              <w:jc w:val="center"/>
              <w:rPr>
                <w:rFonts w:hint="default" w:eastAsiaTheme="minorEastAsia"/>
                <w:sz w:val="21"/>
                <w:szCs w:val="21"/>
                <w:lang w:val="en-US" w:eastAsia="zh-CN"/>
              </w:rPr>
            </w:pPr>
            <w:r>
              <w:rPr>
                <w:rFonts w:hint="eastAsia" w:eastAsiaTheme="minorEastAsia"/>
                <w:szCs w:val="21"/>
              </w:rPr>
              <w:t>0.0438</w:t>
            </w:r>
          </w:p>
        </w:tc>
        <w:tc>
          <w:tcPr>
            <w:tcW w:w="677" w:type="pct"/>
            <w:vAlign w:val="center"/>
          </w:tcPr>
          <w:p>
            <w:pPr>
              <w:pStyle w:val="146"/>
              <w:jc w:val="center"/>
              <w:rPr>
                <w:rFonts w:hint="default" w:ascii="Times New Roman" w:cs="Times New Roman" w:eastAsiaTheme="minorEastAsia"/>
                <w:color w:val="auto"/>
                <w:sz w:val="21"/>
                <w:szCs w:val="21"/>
                <w:lang w:val="en-US" w:eastAsia="zh-CN"/>
              </w:rPr>
            </w:pPr>
            <w:r>
              <w:rPr>
                <w:rFonts w:hint="eastAsia" w:ascii="Times New Roman" w:cs="Times New Roman" w:eastAsiaTheme="minorEastAsia"/>
                <w:color w:val="auto"/>
                <w:sz w:val="21"/>
                <w:szCs w:val="21"/>
              </w:rPr>
              <w:t>0.02</w:t>
            </w:r>
            <w:r>
              <w:rPr>
                <w:rFonts w:hint="eastAsia" w:ascii="Times New Roman" w:cs="Times New Roman" w:eastAsiaTheme="minorEastAsia"/>
                <w:color w:val="auto"/>
                <w:sz w:val="21"/>
                <w:szCs w:val="21"/>
                <w:lang w:val="en-US" w:eastAsia="zh-CN"/>
              </w:rPr>
              <w:t>628</w:t>
            </w:r>
          </w:p>
        </w:tc>
        <w:tc>
          <w:tcPr>
            <w:tcW w:w="590" w:type="pct"/>
            <w:vAlign w:val="center"/>
          </w:tcPr>
          <w:p>
            <w:pPr>
              <w:pStyle w:val="146"/>
              <w:jc w:val="center"/>
              <w:rPr>
                <w:rFonts w:hint="default" w:ascii="Times New Roman" w:cs="Times New Roman" w:eastAsiaTheme="minorEastAsia"/>
                <w:color w:val="auto"/>
                <w:sz w:val="21"/>
                <w:szCs w:val="21"/>
                <w:lang w:val="en-US" w:eastAsia="zh-CN"/>
              </w:rPr>
            </w:pPr>
            <w:r>
              <w:rPr>
                <w:rFonts w:hint="eastAsia" w:ascii="Times New Roman" w:cs="Times New Roman" w:eastAsiaTheme="minorEastAsia"/>
                <w:color w:val="auto"/>
                <w:sz w:val="21"/>
                <w:szCs w:val="21"/>
              </w:rPr>
              <w:t>0.01</w:t>
            </w:r>
            <w:r>
              <w:rPr>
                <w:rFonts w:hint="eastAsia" w:ascii="Times New Roman" w:cs="Times New Roman" w:eastAsiaTheme="minorEastAsia"/>
                <w:color w:val="auto"/>
                <w:sz w:val="21"/>
                <w:szCs w:val="21"/>
                <w:lang w:val="en-US" w:eastAsia="zh-CN"/>
              </w:rPr>
              <w:t>75</w:t>
            </w:r>
            <w:r>
              <w:rPr>
                <w:rFonts w:hint="eastAsia" w:ascii="Times New Roman" w:cs="Times New Roman" w:eastAsiaTheme="minorEastAsia"/>
                <w:color w:val="auto"/>
                <w:sz w:val="21"/>
                <w:szCs w:val="21"/>
              </w:rPr>
              <w:t>2</w:t>
            </w:r>
          </w:p>
        </w:tc>
        <w:tc>
          <w:tcPr>
            <w:tcW w:w="1577" w:type="pct"/>
            <w:vMerge w:val="continue"/>
            <w:vAlign w:val="center"/>
          </w:tcPr>
          <w:p>
            <w:pPr>
              <w:pStyle w:val="146"/>
              <w:jc w:val="center"/>
              <w:rPr>
                <w:rFonts w:hint="eastAsia" w:ascii="Times New Roman" w:eastAsia="宋体"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continue"/>
            <w:vAlign w:val="center"/>
          </w:tcPr>
          <w:p>
            <w:pPr>
              <w:pStyle w:val="146"/>
              <w:jc w:val="center"/>
              <w:rPr>
                <w:rFonts w:ascii="Times New Roman" w:cs="Times New Roman" w:eastAsiaTheme="minorEastAsia"/>
                <w:color w:val="auto"/>
                <w:sz w:val="21"/>
                <w:szCs w:val="21"/>
              </w:rPr>
            </w:pPr>
          </w:p>
        </w:tc>
        <w:tc>
          <w:tcPr>
            <w:tcW w:w="500" w:type="pct"/>
            <w:vAlign w:val="center"/>
          </w:tcPr>
          <w:p>
            <w:pPr>
              <w:jc w:val="center"/>
              <w:rPr>
                <w:rFonts w:hint="eastAsia" w:eastAsia="宋体"/>
                <w:sz w:val="21"/>
                <w:szCs w:val="21"/>
                <w:lang w:val="en-US" w:eastAsia="zh-CN"/>
              </w:rPr>
            </w:pPr>
            <w:r>
              <w:rPr>
                <w:rFonts w:hint="eastAsia"/>
                <w:sz w:val="21"/>
                <w:szCs w:val="21"/>
                <w:lang w:val="en-US" w:eastAsia="zh-CN"/>
              </w:rPr>
              <w:t>鸡舍</w:t>
            </w:r>
          </w:p>
        </w:tc>
        <w:tc>
          <w:tcPr>
            <w:tcW w:w="498" w:type="pct"/>
            <w:vAlign w:val="center"/>
          </w:tcPr>
          <w:p>
            <w:pPr>
              <w:tabs>
                <w:tab w:val="left" w:pos="360"/>
              </w:tabs>
              <w:jc w:val="center"/>
              <w:rPr>
                <w:rFonts w:hint="eastAsia" w:eastAsia="宋体"/>
                <w:sz w:val="21"/>
                <w:szCs w:val="21"/>
                <w:lang w:val="en-US" w:eastAsia="zh-CN"/>
              </w:rPr>
            </w:pPr>
            <w:r>
              <w:rPr>
                <w:rFonts w:hint="eastAsia"/>
                <w:sz w:val="21"/>
                <w:szCs w:val="21"/>
                <w:lang w:val="en-US" w:eastAsia="zh-CN"/>
              </w:rPr>
              <w:t>粉尘</w:t>
            </w:r>
          </w:p>
        </w:tc>
        <w:tc>
          <w:tcPr>
            <w:tcW w:w="717" w:type="pct"/>
            <w:vAlign w:val="center"/>
          </w:tcPr>
          <w:p>
            <w:pPr>
              <w:jc w:val="center"/>
              <w:rPr>
                <w:rFonts w:hint="default" w:eastAsiaTheme="minorEastAsia"/>
                <w:sz w:val="21"/>
                <w:szCs w:val="21"/>
                <w:lang w:val="en-US" w:eastAsia="zh-CN"/>
              </w:rPr>
            </w:pPr>
            <w:r>
              <w:rPr>
                <w:rFonts w:hint="eastAsia" w:eastAsiaTheme="minorEastAsia"/>
                <w:sz w:val="21"/>
                <w:szCs w:val="21"/>
                <w:lang w:val="en-US" w:eastAsia="zh-CN"/>
              </w:rPr>
              <w:t>8.830</w:t>
            </w:r>
          </w:p>
        </w:tc>
        <w:tc>
          <w:tcPr>
            <w:tcW w:w="677" w:type="pct"/>
            <w:vAlign w:val="center"/>
          </w:tcPr>
          <w:p>
            <w:pPr>
              <w:keepNext w:val="0"/>
              <w:keepLines w:val="0"/>
              <w:widowControl/>
              <w:suppressLineNumbers w:val="0"/>
              <w:jc w:val="center"/>
              <w:textAlignment w:val="center"/>
              <w:rPr>
                <w:rFonts w:hint="default" w:ascii="Times New Roman" w:cs="Times New Roman" w:eastAsiaTheme="minorEastAsia"/>
                <w:color w:val="auto"/>
                <w:sz w:val="21"/>
                <w:szCs w:val="21"/>
                <w:lang w:val="en-US"/>
              </w:rPr>
            </w:pPr>
            <w:r>
              <w:rPr>
                <w:rFonts w:hint="default" w:ascii="Times New Roman" w:hAnsi="Times New Roman" w:eastAsia="宋体" w:cs="Times New Roman"/>
                <w:i w:val="0"/>
                <w:color w:val="000000"/>
                <w:kern w:val="0"/>
                <w:sz w:val="21"/>
                <w:szCs w:val="21"/>
                <w:u w:val="none"/>
                <w:lang w:val="en-US" w:eastAsia="zh-CN" w:bidi="ar"/>
              </w:rPr>
              <w:t>7.0</w:t>
            </w:r>
            <w:r>
              <w:rPr>
                <w:rFonts w:hint="eastAsia" w:cs="Times New Roman"/>
                <w:i w:val="0"/>
                <w:color w:val="000000"/>
                <w:kern w:val="0"/>
                <w:sz w:val="21"/>
                <w:szCs w:val="21"/>
                <w:u w:val="none"/>
                <w:lang w:val="en-US" w:eastAsia="zh-CN" w:bidi="ar"/>
              </w:rPr>
              <w:t>6</w:t>
            </w:r>
          </w:p>
        </w:tc>
        <w:tc>
          <w:tcPr>
            <w:tcW w:w="590" w:type="pct"/>
            <w:vAlign w:val="center"/>
          </w:tcPr>
          <w:p>
            <w:pPr>
              <w:pStyle w:val="146"/>
              <w:jc w:val="center"/>
              <w:rPr>
                <w:rFonts w:hint="default" w:ascii="Times New Roman" w:cs="Times New Roman" w:eastAsiaTheme="minorEastAsia"/>
                <w:color w:val="auto"/>
                <w:sz w:val="21"/>
                <w:szCs w:val="21"/>
                <w:lang w:val="en-US" w:eastAsia="zh-CN"/>
              </w:rPr>
            </w:pPr>
            <w:r>
              <w:rPr>
                <w:rFonts w:hint="eastAsia" w:ascii="Times New Roman" w:cs="Times New Roman" w:eastAsiaTheme="minorEastAsia"/>
                <w:color w:val="auto"/>
                <w:sz w:val="21"/>
                <w:szCs w:val="21"/>
                <w:lang w:val="en-US" w:eastAsia="zh-CN"/>
              </w:rPr>
              <w:t>1.770</w:t>
            </w:r>
          </w:p>
        </w:tc>
        <w:tc>
          <w:tcPr>
            <w:tcW w:w="1577" w:type="pct"/>
            <w:vAlign w:val="center"/>
          </w:tcPr>
          <w:p>
            <w:pPr>
              <w:pStyle w:val="146"/>
              <w:jc w:val="center"/>
              <w:rPr>
                <w:rFonts w:hint="default" w:ascii="Times New Roman" w:cs="Times New Roman" w:eastAsiaTheme="minorEastAsia"/>
                <w:color w:val="auto"/>
                <w:sz w:val="21"/>
                <w:szCs w:val="21"/>
                <w:lang w:val="en-US" w:eastAsia="zh-CN"/>
              </w:rPr>
            </w:pPr>
            <w:r>
              <w:rPr>
                <w:rFonts w:hint="eastAsia" w:ascii="Times New Roman" w:hAnsi="Times New Roman" w:cs="Times New Roman" w:eastAsiaTheme="minorEastAsia"/>
                <w:color w:val="000000"/>
                <w:kern w:val="2"/>
                <w:sz w:val="21"/>
                <w:szCs w:val="21"/>
                <w:lang w:val="en-US" w:eastAsia="zh-CN" w:bidi="ar-SA"/>
              </w:rPr>
              <w:t>鸡舍地面每日打扫，鸡舍排风尾端设置防尘间封闭，并在排放口上部布置防尘网，设置水雾喷淋系统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continue"/>
            <w:vAlign w:val="center"/>
          </w:tcPr>
          <w:p>
            <w:pPr>
              <w:pStyle w:val="146"/>
              <w:jc w:val="center"/>
              <w:rPr>
                <w:rFonts w:ascii="Times New Roman" w:cs="Times New Roman" w:eastAsiaTheme="minorEastAsia"/>
                <w:color w:val="auto"/>
                <w:sz w:val="21"/>
                <w:szCs w:val="21"/>
              </w:rPr>
            </w:pPr>
          </w:p>
        </w:tc>
        <w:tc>
          <w:tcPr>
            <w:tcW w:w="500" w:type="pct"/>
            <w:vMerge w:val="restart"/>
            <w:vAlign w:val="center"/>
          </w:tcPr>
          <w:p>
            <w:pPr>
              <w:jc w:val="center"/>
              <w:rPr>
                <w:sz w:val="21"/>
                <w:szCs w:val="21"/>
              </w:rPr>
            </w:pPr>
            <w:r>
              <w:rPr>
                <w:sz w:val="21"/>
                <w:szCs w:val="21"/>
              </w:rPr>
              <w:t>鸡粪室外输送恶臭</w:t>
            </w:r>
          </w:p>
        </w:tc>
        <w:tc>
          <w:tcPr>
            <w:tcW w:w="498" w:type="pct"/>
            <w:vAlign w:val="center"/>
          </w:tcPr>
          <w:p>
            <w:pPr>
              <w:tabs>
                <w:tab w:val="left" w:pos="360"/>
              </w:tabs>
              <w:jc w:val="center"/>
              <w:rPr>
                <w:sz w:val="21"/>
                <w:szCs w:val="21"/>
              </w:rPr>
            </w:pPr>
            <w:r>
              <w:rPr>
                <w:rFonts w:hint="eastAsia"/>
                <w:sz w:val="21"/>
                <w:szCs w:val="21"/>
              </w:rPr>
              <w:t>NH</w:t>
            </w:r>
            <w:r>
              <w:rPr>
                <w:rFonts w:hint="eastAsia"/>
                <w:sz w:val="21"/>
                <w:szCs w:val="21"/>
                <w:vertAlign w:val="subscript"/>
              </w:rPr>
              <w:t>3</w:t>
            </w:r>
          </w:p>
        </w:tc>
        <w:tc>
          <w:tcPr>
            <w:tcW w:w="717" w:type="pct"/>
            <w:vAlign w:val="center"/>
          </w:tcPr>
          <w:p>
            <w:pPr>
              <w:autoSpaceDE w:val="0"/>
              <w:autoSpaceDN w:val="0"/>
              <w:adjustRightInd w:val="0"/>
              <w:jc w:val="center"/>
              <w:rPr>
                <w:rFonts w:hint="default" w:eastAsia="宋体"/>
                <w:sz w:val="21"/>
                <w:szCs w:val="21"/>
                <w:lang w:val="en-US" w:eastAsia="zh-CN"/>
              </w:rPr>
            </w:pPr>
            <w:r>
              <w:rPr>
                <w:rFonts w:hint="eastAsia" w:eastAsia="TimesNewRomanPSMT"/>
                <w:szCs w:val="21"/>
              </w:rPr>
              <w:t>0.022</w:t>
            </w:r>
          </w:p>
        </w:tc>
        <w:tc>
          <w:tcPr>
            <w:tcW w:w="677" w:type="pct"/>
            <w:vAlign w:val="center"/>
          </w:tcPr>
          <w:p>
            <w:pPr>
              <w:pStyle w:val="146"/>
              <w:jc w:val="center"/>
              <w:rPr>
                <w:rFonts w:ascii="Times New Roman" w:cs="Times New Roman" w:eastAsiaTheme="minorEastAsia"/>
                <w:color w:val="auto"/>
                <w:sz w:val="21"/>
                <w:szCs w:val="21"/>
              </w:rPr>
            </w:pPr>
            <w:r>
              <w:rPr>
                <w:rFonts w:hint="eastAsia" w:ascii="Times New Roman" w:cs="Times New Roman" w:eastAsiaTheme="minorEastAsia"/>
                <w:color w:val="auto"/>
                <w:sz w:val="21"/>
                <w:szCs w:val="21"/>
              </w:rPr>
              <w:t>0.0088</w:t>
            </w:r>
          </w:p>
        </w:tc>
        <w:tc>
          <w:tcPr>
            <w:tcW w:w="590" w:type="pct"/>
            <w:vAlign w:val="center"/>
          </w:tcPr>
          <w:p>
            <w:pPr>
              <w:autoSpaceDE w:val="0"/>
              <w:autoSpaceDN w:val="0"/>
              <w:adjustRightInd w:val="0"/>
              <w:jc w:val="center"/>
              <w:rPr>
                <w:rFonts w:hint="default" w:eastAsia="宋体"/>
                <w:sz w:val="21"/>
                <w:szCs w:val="21"/>
                <w:lang w:val="en-US" w:eastAsia="zh-CN"/>
              </w:rPr>
            </w:pPr>
            <w:r>
              <w:rPr>
                <w:rFonts w:hint="eastAsia" w:eastAsia="TimesNewRomanPSMT"/>
                <w:szCs w:val="21"/>
              </w:rPr>
              <w:t>0.0132</w:t>
            </w:r>
          </w:p>
        </w:tc>
        <w:tc>
          <w:tcPr>
            <w:tcW w:w="1577" w:type="pct"/>
            <w:vMerge w:val="restart"/>
            <w:vAlign w:val="center"/>
          </w:tcPr>
          <w:p>
            <w:pPr>
              <w:pStyle w:val="146"/>
              <w:jc w:val="center"/>
              <w:rPr>
                <w:rFonts w:ascii="Times New Roman" w:cs="Times New Roman" w:eastAsiaTheme="minorEastAsia"/>
                <w:color w:val="auto"/>
                <w:sz w:val="21"/>
                <w:szCs w:val="21"/>
              </w:rPr>
            </w:pPr>
            <w:r>
              <w:rPr>
                <w:rFonts w:hint="eastAsia" w:ascii="Times New Roman" w:cs="Times New Roman" w:eastAsiaTheme="minorEastAsia"/>
                <w:color w:val="auto"/>
                <w:sz w:val="21"/>
                <w:szCs w:val="21"/>
              </w:rPr>
              <w:t>设置密封输送廊道、喷雾除臭、加强周边绿化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continue"/>
            <w:vAlign w:val="center"/>
          </w:tcPr>
          <w:p>
            <w:pPr>
              <w:pStyle w:val="146"/>
              <w:jc w:val="center"/>
              <w:rPr>
                <w:rFonts w:ascii="Times New Roman" w:cs="Times New Roman" w:eastAsiaTheme="minorEastAsia"/>
                <w:color w:val="auto"/>
                <w:sz w:val="21"/>
                <w:szCs w:val="21"/>
              </w:rPr>
            </w:pPr>
          </w:p>
        </w:tc>
        <w:tc>
          <w:tcPr>
            <w:tcW w:w="500" w:type="pct"/>
            <w:vMerge w:val="continue"/>
            <w:vAlign w:val="center"/>
          </w:tcPr>
          <w:p>
            <w:pPr>
              <w:jc w:val="center"/>
              <w:rPr>
                <w:sz w:val="21"/>
                <w:szCs w:val="21"/>
              </w:rPr>
            </w:pPr>
          </w:p>
        </w:tc>
        <w:tc>
          <w:tcPr>
            <w:tcW w:w="498" w:type="pct"/>
            <w:vAlign w:val="center"/>
          </w:tcPr>
          <w:p>
            <w:pPr>
              <w:tabs>
                <w:tab w:val="left" w:pos="360"/>
              </w:tabs>
              <w:jc w:val="center"/>
              <w:rPr>
                <w:sz w:val="21"/>
                <w:szCs w:val="21"/>
              </w:rPr>
            </w:pPr>
            <w:r>
              <w:rPr>
                <w:rFonts w:hint="eastAsia"/>
                <w:sz w:val="21"/>
                <w:szCs w:val="21"/>
              </w:rPr>
              <w:t>H</w:t>
            </w:r>
            <w:r>
              <w:rPr>
                <w:rFonts w:hint="eastAsia"/>
                <w:sz w:val="21"/>
                <w:szCs w:val="21"/>
                <w:vertAlign w:val="subscript"/>
              </w:rPr>
              <w:t>2</w:t>
            </w:r>
            <w:r>
              <w:rPr>
                <w:rFonts w:hint="eastAsia"/>
                <w:sz w:val="21"/>
                <w:szCs w:val="21"/>
              </w:rPr>
              <w:t>S</w:t>
            </w:r>
          </w:p>
        </w:tc>
        <w:tc>
          <w:tcPr>
            <w:tcW w:w="717" w:type="pct"/>
            <w:vAlign w:val="center"/>
          </w:tcPr>
          <w:p>
            <w:pPr>
              <w:autoSpaceDE w:val="0"/>
              <w:autoSpaceDN w:val="0"/>
              <w:adjustRightInd w:val="0"/>
              <w:jc w:val="center"/>
              <w:rPr>
                <w:rFonts w:hint="default" w:eastAsia="宋体"/>
                <w:sz w:val="21"/>
                <w:szCs w:val="21"/>
                <w:lang w:val="en-US" w:eastAsia="zh-CN"/>
              </w:rPr>
            </w:pPr>
            <w:r>
              <w:rPr>
                <w:rFonts w:hint="eastAsia" w:eastAsia="TimesNewRomanPSMT"/>
                <w:szCs w:val="21"/>
              </w:rPr>
              <w:t>0.0022</w:t>
            </w:r>
          </w:p>
        </w:tc>
        <w:tc>
          <w:tcPr>
            <w:tcW w:w="677" w:type="pct"/>
            <w:vAlign w:val="center"/>
          </w:tcPr>
          <w:p>
            <w:pPr>
              <w:pStyle w:val="146"/>
              <w:jc w:val="center"/>
              <w:rPr>
                <w:rFonts w:ascii="Times New Roman" w:cs="Times New Roman" w:eastAsiaTheme="minorEastAsia"/>
                <w:color w:val="auto"/>
                <w:sz w:val="21"/>
                <w:szCs w:val="21"/>
              </w:rPr>
            </w:pPr>
            <w:r>
              <w:rPr>
                <w:rFonts w:hint="eastAsia" w:ascii="Times New Roman" w:cs="Times New Roman" w:eastAsiaTheme="minorEastAsia"/>
                <w:color w:val="auto"/>
                <w:sz w:val="21"/>
                <w:szCs w:val="21"/>
              </w:rPr>
              <w:t>0.0009</w:t>
            </w:r>
          </w:p>
        </w:tc>
        <w:tc>
          <w:tcPr>
            <w:tcW w:w="590" w:type="pct"/>
            <w:vAlign w:val="center"/>
          </w:tcPr>
          <w:p>
            <w:pPr>
              <w:autoSpaceDE w:val="0"/>
              <w:autoSpaceDN w:val="0"/>
              <w:adjustRightInd w:val="0"/>
              <w:jc w:val="center"/>
              <w:rPr>
                <w:rFonts w:hint="default" w:eastAsia="宋体"/>
                <w:sz w:val="21"/>
                <w:szCs w:val="21"/>
                <w:lang w:val="en-US" w:eastAsia="zh-CN"/>
              </w:rPr>
            </w:pPr>
            <w:r>
              <w:rPr>
                <w:rFonts w:hint="eastAsia" w:eastAsia="TimesNewRomanPSMT"/>
                <w:szCs w:val="21"/>
              </w:rPr>
              <w:t>0.0013</w:t>
            </w:r>
          </w:p>
        </w:tc>
        <w:tc>
          <w:tcPr>
            <w:tcW w:w="1577" w:type="pct"/>
            <w:vMerge w:val="continue"/>
            <w:vAlign w:val="center"/>
          </w:tcPr>
          <w:p>
            <w:pPr>
              <w:pStyle w:val="146"/>
              <w:jc w:val="center"/>
              <w:rPr>
                <w:rFonts w:ascii="Times New Roman" w:cs="Times New Roman" w:eastAsiaTheme="minor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continue"/>
            <w:vAlign w:val="center"/>
          </w:tcPr>
          <w:p>
            <w:pPr>
              <w:pStyle w:val="146"/>
              <w:jc w:val="center"/>
              <w:rPr>
                <w:rFonts w:ascii="Times New Roman" w:cs="Times New Roman" w:eastAsiaTheme="minorEastAsia"/>
                <w:color w:val="auto"/>
                <w:sz w:val="21"/>
                <w:szCs w:val="21"/>
              </w:rPr>
            </w:pPr>
          </w:p>
        </w:tc>
        <w:tc>
          <w:tcPr>
            <w:tcW w:w="999" w:type="pct"/>
            <w:gridSpan w:val="2"/>
            <w:vAlign w:val="center"/>
          </w:tcPr>
          <w:p>
            <w:pPr>
              <w:jc w:val="center"/>
              <w:rPr>
                <w:sz w:val="21"/>
                <w:szCs w:val="21"/>
              </w:rPr>
            </w:pPr>
            <w:r>
              <w:rPr>
                <w:sz w:val="21"/>
                <w:szCs w:val="21"/>
              </w:rPr>
              <w:t>食堂油烟</w:t>
            </w:r>
          </w:p>
        </w:tc>
        <w:tc>
          <w:tcPr>
            <w:tcW w:w="717" w:type="pct"/>
            <w:vAlign w:val="center"/>
          </w:tcPr>
          <w:p>
            <w:pPr>
              <w:pStyle w:val="146"/>
              <w:jc w:val="center"/>
              <w:rPr>
                <w:rFonts w:ascii="Times New Roman" w:cs="Times New Roman" w:eastAsiaTheme="minorEastAsia"/>
                <w:color w:val="auto"/>
                <w:sz w:val="21"/>
                <w:szCs w:val="21"/>
              </w:rPr>
            </w:pPr>
            <w:r>
              <w:rPr>
                <w:rFonts w:hint="eastAsia" w:ascii="Times New Roman" w:cs="Times New Roman" w:eastAsiaTheme="minorEastAsia"/>
                <w:color w:val="auto"/>
                <w:sz w:val="21"/>
                <w:szCs w:val="21"/>
              </w:rPr>
              <w:t>16.425kg</w:t>
            </w:r>
          </w:p>
        </w:tc>
        <w:tc>
          <w:tcPr>
            <w:tcW w:w="677" w:type="pct"/>
            <w:vAlign w:val="center"/>
          </w:tcPr>
          <w:p>
            <w:pPr>
              <w:pStyle w:val="146"/>
              <w:jc w:val="center"/>
              <w:rPr>
                <w:rFonts w:ascii="Times New Roman" w:cs="Times New Roman" w:eastAsiaTheme="minorEastAsia"/>
                <w:color w:val="auto"/>
                <w:sz w:val="21"/>
                <w:szCs w:val="21"/>
              </w:rPr>
            </w:pPr>
            <w:r>
              <w:rPr>
                <w:rFonts w:hint="eastAsia" w:ascii="Times New Roman" w:cs="Times New Roman" w:eastAsiaTheme="minorEastAsia"/>
                <w:color w:val="auto"/>
                <w:sz w:val="21"/>
                <w:szCs w:val="21"/>
              </w:rPr>
              <w:t>9.855kg</w:t>
            </w:r>
          </w:p>
        </w:tc>
        <w:tc>
          <w:tcPr>
            <w:tcW w:w="590" w:type="pct"/>
            <w:vAlign w:val="center"/>
          </w:tcPr>
          <w:p>
            <w:pPr>
              <w:pStyle w:val="146"/>
              <w:jc w:val="center"/>
              <w:rPr>
                <w:rFonts w:ascii="Times New Roman" w:cs="Times New Roman" w:eastAsiaTheme="minorEastAsia"/>
                <w:color w:val="auto"/>
                <w:sz w:val="21"/>
                <w:szCs w:val="21"/>
              </w:rPr>
            </w:pPr>
            <w:r>
              <w:rPr>
                <w:rFonts w:hint="eastAsia" w:ascii="Times New Roman" w:cs="Times New Roman" w:eastAsiaTheme="minorEastAsia"/>
                <w:color w:val="auto"/>
                <w:sz w:val="21"/>
                <w:szCs w:val="21"/>
              </w:rPr>
              <w:t>6.57kg</w:t>
            </w:r>
          </w:p>
        </w:tc>
        <w:tc>
          <w:tcPr>
            <w:tcW w:w="1577" w:type="pct"/>
            <w:vAlign w:val="center"/>
          </w:tcPr>
          <w:p>
            <w:pPr>
              <w:pStyle w:val="146"/>
              <w:jc w:val="center"/>
              <w:rPr>
                <w:rFonts w:ascii="Times New Roman" w:cs="Times New Roman" w:eastAsiaTheme="minorEastAsia"/>
                <w:color w:val="auto"/>
                <w:sz w:val="21"/>
                <w:szCs w:val="21"/>
              </w:rPr>
            </w:pPr>
            <w:r>
              <w:rPr>
                <w:rFonts w:hint="eastAsia" w:ascii="Times New Roman" w:cs="Times New Roman" w:eastAsiaTheme="minorEastAsia"/>
                <w:color w:val="auto"/>
                <w:sz w:val="21"/>
                <w:szCs w:val="21"/>
              </w:rPr>
              <w:t>经油烟净化器处理后引至屋顶排放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restart"/>
            <w:vAlign w:val="center"/>
          </w:tcPr>
          <w:p>
            <w:pPr>
              <w:pStyle w:val="146"/>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固体废物</w:t>
            </w:r>
          </w:p>
        </w:tc>
        <w:tc>
          <w:tcPr>
            <w:tcW w:w="999" w:type="pct"/>
            <w:gridSpan w:val="2"/>
            <w:vAlign w:val="center"/>
          </w:tcPr>
          <w:p>
            <w:pPr>
              <w:jc w:val="center"/>
              <w:rPr>
                <w:sz w:val="21"/>
                <w:szCs w:val="21"/>
              </w:rPr>
            </w:pPr>
            <w:r>
              <w:rPr>
                <w:rFonts w:hAnsiTheme="minorEastAsia" w:eastAsiaTheme="minorEastAsia"/>
                <w:sz w:val="21"/>
                <w:szCs w:val="21"/>
              </w:rPr>
              <w:t>鸡粪</w:t>
            </w:r>
          </w:p>
        </w:tc>
        <w:tc>
          <w:tcPr>
            <w:tcW w:w="717" w:type="pct"/>
            <w:vAlign w:val="center"/>
          </w:tcPr>
          <w:p>
            <w:pPr>
              <w:jc w:val="center"/>
              <w:rPr>
                <w:sz w:val="21"/>
                <w:szCs w:val="21"/>
              </w:rPr>
            </w:pPr>
            <w:r>
              <w:rPr>
                <w:rFonts w:hint="eastAsia"/>
                <w:sz w:val="21"/>
                <w:szCs w:val="21"/>
              </w:rPr>
              <w:t>28470</w:t>
            </w:r>
          </w:p>
        </w:tc>
        <w:tc>
          <w:tcPr>
            <w:tcW w:w="677" w:type="pct"/>
            <w:vAlign w:val="center"/>
          </w:tcPr>
          <w:p>
            <w:pPr>
              <w:jc w:val="center"/>
              <w:rPr>
                <w:sz w:val="21"/>
                <w:szCs w:val="21"/>
              </w:rPr>
            </w:pPr>
            <w:r>
              <w:rPr>
                <w:rFonts w:hint="eastAsia"/>
                <w:sz w:val="21"/>
                <w:szCs w:val="21"/>
              </w:rPr>
              <w:t>28470</w:t>
            </w:r>
          </w:p>
        </w:tc>
        <w:tc>
          <w:tcPr>
            <w:tcW w:w="590" w:type="pct"/>
            <w:vAlign w:val="center"/>
          </w:tcPr>
          <w:p>
            <w:pPr>
              <w:pStyle w:val="146"/>
              <w:jc w:val="center"/>
              <w:rPr>
                <w:rFonts w:ascii="Times New Roman" w:cs="Times New Roman" w:eastAsiaTheme="minorEastAsia"/>
                <w:color w:val="auto"/>
                <w:sz w:val="21"/>
                <w:szCs w:val="21"/>
              </w:rPr>
            </w:pPr>
            <w:r>
              <w:rPr>
                <w:rFonts w:hint="eastAsia" w:ascii="Times New Roman" w:cs="Times New Roman" w:eastAsiaTheme="minorEastAsia"/>
                <w:color w:val="auto"/>
                <w:sz w:val="21"/>
                <w:szCs w:val="21"/>
              </w:rPr>
              <w:t>0</w:t>
            </w:r>
          </w:p>
        </w:tc>
        <w:tc>
          <w:tcPr>
            <w:tcW w:w="1577" w:type="pct"/>
            <w:vAlign w:val="center"/>
          </w:tcPr>
          <w:p>
            <w:pPr>
              <w:jc w:val="center"/>
              <w:rPr>
                <w:sz w:val="21"/>
                <w:szCs w:val="21"/>
              </w:rPr>
            </w:pPr>
            <w:r>
              <w:rPr>
                <w:rFonts w:hint="eastAsia"/>
                <w:szCs w:val="21"/>
              </w:rPr>
              <w:t>部分直接拉走依托台源蛋鸡养殖一场好氧发酵罐制有机肥；剩余部分则直接拉走外售衡阳县沛科生态科技有限责任公司制有机肥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continue"/>
            <w:vAlign w:val="center"/>
          </w:tcPr>
          <w:p>
            <w:pPr>
              <w:pStyle w:val="146"/>
              <w:jc w:val="center"/>
              <w:rPr>
                <w:rFonts w:ascii="Times New Roman" w:cs="Times New Roman" w:eastAsiaTheme="minorEastAsia"/>
                <w:color w:val="auto"/>
                <w:sz w:val="21"/>
                <w:szCs w:val="21"/>
              </w:rPr>
            </w:pPr>
          </w:p>
        </w:tc>
        <w:tc>
          <w:tcPr>
            <w:tcW w:w="999" w:type="pct"/>
            <w:gridSpan w:val="2"/>
            <w:vAlign w:val="center"/>
          </w:tcPr>
          <w:p>
            <w:pPr>
              <w:jc w:val="center"/>
              <w:rPr>
                <w:rFonts w:eastAsiaTheme="minorEastAsia"/>
                <w:sz w:val="21"/>
                <w:szCs w:val="21"/>
              </w:rPr>
            </w:pPr>
            <w:r>
              <w:rPr>
                <w:rFonts w:hAnsiTheme="minorEastAsia" w:eastAsiaTheme="minorEastAsia"/>
                <w:sz w:val="21"/>
                <w:szCs w:val="21"/>
              </w:rPr>
              <w:t>病死鸡</w:t>
            </w:r>
          </w:p>
        </w:tc>
        <w:tc>
          <w:tcPr>
            <w:tcW w:w="717" w:type="pct"/>
            <w:vAlign w:val="center"/>
          </w:tcPr>
          <w:p>
            <w:pPr>
              <w:jc w:val="center"/>
              <w:rPr>
                <w:rFonts w:eastAsiaTheme="minorEastAsia"/>
                <w:sz w:val="21"/>
                <w:szCs w:val="21"/>
              </w:rPr>
            </w:pPr>
            <w:r>
              <w:rPr>
                <w:rFonts w:hint="eastAsia" w:eastAsiaTheme="minorEastAsia"/>
                <w:sz w:val="21"/>
                <w:szCs w:val="21"/>
              </w:rPr>
              <w:t>64.8</w:t>
            </w:r>
          </w:p>
        </w:tc>
        <w:tc>
          <w:tcPr>
            <w:tcW w:w="677" w:type="pct"/>
            <w:vAlign w:val="center"/>
          </w:tcPr>
          <w:p>
            <w:pPr>
              <w:jc w:val="center"/>
              <w:rPr>
                <w:rFonts w:eastAsiaTheme="minorEastAsia"/>
                <w:sz w:val="21"/>
                <w:szCs w:val="21"/>
              </w:rPr>
            </w:pPr>
            <w:r>
              <w:rPr>
                <w:rFonts w:hint="eastAsia" w:eastAsiaTheme="minorEastAsia"/>
                <w:sz w:val="21"/>
                <w:szCs w:val="21"/>
              </w:rPr>
              <w:t>64.8</w:t>
            </w:r>
          </w:p>
        </w:tc>
        <w:tc>
          <w:tcPr>
            <w:tcW w:w="590" w:type="pct"/>
            <w:vAlign w:val="center"/>
          </w:tcPr>
          <w:p>
            <w:pPr>
              <w:pStyle w:val="146"/>
              <w:jc w:val="center"/>
              <w:rPr>
                <w:rFonts w:ascii="Times New Roman" w:cs="Times New Roman" w:eastAsiaTheme="minorEastAsia"/>
                <w:color w:val="auto"/>
                <w:sz w:val="21"/>
                <w:szCs w:val="21"/>
              </w:rPr>
            </w:pPr>
            <w:r>
              <w:rPr>
                <w:rFonts w:hint="eastAsia" w:ascii="Times New Roman" w:cs="Times New Roman" w:eastAsiaTheme="minorEastAsia"/>
                <w:color w:val="auto"/>
                <w:sz w:val="21"/>
                <w:szCs w:val="21"/>
              </w:rPr>
              <w:t>0</w:t>
            </w:r>
          </w:p>
        </w:tc>
        <w:tc>
          <w:tcPr>
            <w:tcW w:w="1577" w:type="pct"/>
            <w:vAlign w:val="center"/>
          </w:tcPr>
          <w:p>
            <w:pPr>
              <w:jc w:val="center"/>
              <w:rPr>
                <w:sz w:val="21"/>
                <w:szCs w:val="21"/>
              </w:rPr>
            </w:pPr>
            <w:r>
              <w:rPr>
                <w:rFonts w:hint="eastAsia"/>
                <w:sz w:val="21"/>
                <w:szCs w:val="21"/>
              </w:rPr>
              <w:t>冷柜暂存后定期交由病死畜禽无害化单位处理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continue"/>
            <w:vAlign w:val="center"/>
          </w:tcPr>
          <w:p>
            <w:pPr>
              <w:pStyle w:val="146"/>
              <w:jc w:val="center"/>
              <w:rPr>
                <w:rFonts w:ascii="Times New Roman" w:cs="Times New Roman" w:eastAsiaTheme="minorEastAsia"/>
                <w:color w:val="auto"/>
                <w:sz w:val="21"/>
                <w:szCs w:val="21"/>
              </w:rPr>
            </w:pPr>
          </w:p>
        </w:tc>
        <w:tc>
          <w:tcPr>
            <w:tcW w:w="999" w:type="pct"/>
            <w:gridSpan w:val="2"/>
            <w:vAlign w:val="center"/>
          </w:tcPr>
          <w:p>
            <w:pPr>
              <w:jc w:val="center"/>
              <w:rPr>
                <w:rFonts w:eastAsiaTheme="minorEastAsia"/>
                <w:sz w:val="21"/>
                <w:szCs w:val="21"/>
              </w:rPr>
            </w:pPr>
            <w:r>
              <w:rPr>
                <w:rFonts w:hAnsiTheme="minorEastAsia" w:eastAsiaTheme="minorEastAsia"/>
                <w:sz w:val="21"/>
                <w:szCs w:val="21"/>
              </w:rPr>
              <w:t>废包装袋</w:t>
            </w:r>
          </w:p>
        </w:tc>
        <w:tc>
          <w:tcPr>
            <w:tcW w:w="717" w:type="pct"/>
            <w:vAlign w:val="center"/>
          </w:tcPr>
          <w:p>
            <w:pPr>
              <w:jc w:val="center"/>
              <w:rPr>
                <w:rFonts w:eastAsiaTheme="minorEastAsia"/>
                <w:sz w:val="21"/>
                <w:szCs w:val="21"/>
              </w:rPr>
            </w:pPr>
            <w:r>
              <w:rPr>
                <w:rFonts w:hint="eastAsia" w:eastAsiaTheme="minorEastAsia"/>
                <w:sz w:val="21"/>
                <w:szCs w:val="21"/>
              </w:rPr>
              <w:t>1.0</w:t>
            </w:r>
          </w:p>
        </w:tc>
        <w:tc>
          <w:tcPr>
            <w:tcW w:w="677" w:type="pct"/>
            <w:vAlign w:val="center"/>
          </w:tcPr>
          <w:p>
            <w:pPr>
              <w:jc w:val="center"/>
              <w:rPr>
                <w:rFonts w:eastAsiaTheme="minorEastAsia"/>
                <w:sz w:val="21"/>
                <w:szCs w:val="21"/>
              </w:rPr>
            </w:pPr>
            <w:r>
              <w:rPr>
                <w:rFonts w:hint="eastAsia" w:eastAsiaTheme="minorEastAsia"/>
                <w:sz w:val="21"/>
                <w:szCs w:val="21"/>
              </w:rPr>
              <w:t>1.0</w:t>
            </w:r>
          </w:p>
        </w:tc>
        <w:tc>
          <w:tcPr>
            <w:tcW w:w="590" w:type="pct"/>
            <w:vAlign w:val="center"/>
          </w:tcPr>
          <w:p>
            <w:pPr>
              <w:pStyle w:val="146"/>
              <w:jc w:val="center"/>
              <w:rPr>
                <w:rFonts w:ascii="Times New Roman" w:cs="Times New Roman" w:eastAsiaTheme="minorEastAsia"/>
                <w:color w:val="auto"/>
                <w:sz w:val="21"/>
                <w:szCs w:val="21"/>
              </w:rPr>
            </w:pPr>
            <w:r>
              <w:rPr>
                <w:rFonts w:hint="eastAsia" w:ascii="Times New Roman" w:cs="Times New Roman" w:eastAsiaTheme="minorEastAsia"/>
                <w:color w:val="auto"/>
                <w:sz w:val="21"/>
                <w:szCs w:val="21"/>
              </w:rPr>
              <w:t>0</w:t>
            </w:r>
          </w:p>
        </w:tc>
        <w:tc>
          <w:tcPr>
            <w:tcW w:w="1577" w:type="pct"/>
            <w:vAlign w:val="center"/>
          </w:tcPr>
          <w:p>
            <w:pPr>
              <w:jc w:val="center"/>
              <w:rPr>
                <w:sz w:val="21"/>
                <w:szCs w:val="21"/>
              </w:rPr>
            </w:pPr>
            <w:r>
              <w:rPr>
                <w:rFonts w:hint="eastAsia"/>
                <w:sz w:val="21"/>
                <w:szCs w:val="21"/>
              </w:rPr>
              <w:t>外售废品回收站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continue"/>
            <w:vAlign w:val="center"/>
          </w:tcPr>
          <w:p>
            <w:pPr>
              <w:pStyle w:val="146"/>
              <w:jc w:val="center"/>
              <w:rPr>
                <w:rFonts w:ascii="Times New Roman" w:cs="Times New Roman" w:eastAsiaTheme="minorEastAsia"/>
                <w:color w:val="auto"/>
                <w:sz w:val="21"/>
                <w:szCs w:val="21"/>
              </w:rPr>
            </w:pPr>
          </w:p>
        </w:tc>
        <w:tc>
          <w:tcPr>
            <w:tcW w:w="999" w:type="pct"/>
            <w:gridSpan w:val="2"/>
            <w:vAlign w:val="center"/>
          </w:tcPr>
          <w:p>
            <w:pPr>
              <w:jc w:val="center"/>
              <w:rPr>
                <w:rFonts w:eastAsiaTheme="minorEastAsia"/>
                <w:sz w:val="21"/>
                <w:szCs w:val="21"/>
              </w:rPr>
            </w:pPr>
            <w:r>
              <w:rPr>
                <w:rFonts w:eastAsiaTheme="minorEastAsia"/>
                <w:sz w:val="21"/>
                <w:szCs w:val="21"/>
              </w:rPr>
              <w:t>不合格蛋</w:t>
            </w:r>
          </w:p>
        </w:tc>
        <w:tc>
          <w:tcPr>
            <w:tcW w:w="717" w:type="pct"/>
            <w:vAlign w:val="center"/>
          </w:tcPr>
          <w:p>
            <w:pPr>
              <w:jc w:val="center"/>
              <w:rPr>
                <w:rFonts w:eastAsiaTheme="minorEastAsia"/>
                <w:sz w:val="21"/>
                <w:szCs w:val="21"/>
              </w:rPr>
            </w:pPr>
            <w:r>
              <w:rPr>
                <w:rFonts w:hint="eastAsia" w:eastAsiaTheme="minorEastAsia"/>
                <w:sz w:val="21"/>
                <w:szCs w:val="21"/>
              </w:rPr>
              <w:t>115.80</w:t>
            </w:r>
          </w:p>
        </w:tc>
        <w:tc>
          <w:tcPr>
            <w:tcW w:w="677" w:type="pct"/>
            <w:vAlign w:val="center"/>
          </w:tcPr>
          <w:p>
            <w:pPr>
              <w:jc w:val="center"/>
              <w:rPr>
                <w:rFonts w:eastAsiaTheme="minorEastAsia"/>
                <w:sz w:val="21"/>
                <w:szCs w:val="21"/>
              </w:rPr>
            </w:pPr>
            <w:r>
              <w:rPr>
                <w:rFonts w:hint="eastAsia" w:eastAsiaTheme="minorEastAsia"/>
                <w:sz w:val="21"/>
                <w:szCs w:val="21"/>
              </w:rPr>
              <w:t>115.80</w:t>
            </w:r>
          </w:p>
        </w:tc>
        <w:tc>
          <w:tcPr>
            <w:tcW w:w="590" w:type="pct"/>
            <w:vAlign w:val="center"/>
          </w:tcPr>
          <w:p>
            <w:pPr>
              <w:pStyle w:val="146"/>
              <w:jc w:val="center"/>
              <w:rPr>
                <w:rFonts w:ascii="Times New Roman" w:cs="Times New Roman" w:eastAsiaTheme="minorEastAsia"/>
                <w:color w:val="auto"/>
                <w:sz w:val="21"/>
                <w:szCs w:val="21"/>
              </w:rPr>
            </w:pPr>
            <w:r>
              <w:rPr>
                <w:rFonts w:hint="eastAsia" w:ascii="Times New Roman" w:cs="Times New Roman" w:eastAsiaTheme="minorEastAsia"/>
                <w:color w:val="auto"/>
                <w:sz w:val="21"/>
                <w:szCs w:val="21"/>
              </w:rPr>
              <w:t>0</w:t>
            </w:r>
          </w:p>
        </w:tc>
        <w:tc>
          <w:tcPr>
            <w:tcW w:w="1577" w:type="pct"/>
            <w:vAlign w:val="center"/>
          </w:tcPr>
          <w:p>
            <w:pPr>
              <w:jc w:val="center"/>
              <w:rPr>
                <w:sz w:val="21"/>
                <w:szCs w:val="21"/>
              </w:rPr>
            </w:pPr>
            <w:r>
              <w:rPr>
                <w:rFonts w:hint="eastAsia"/>
                <w:sz w:val="21"/>
                <w:szCs w:val="21"/>
              </w:rPr>
              <w:t>用作企业自养甲鱼饲料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continue"/>
            <w:vAlign w:val="center"/>
          </w:tcPr>
          <w:p>
            <w:pPr>
              <w:pStyle w:val="146"/>
              <w:jc w:val="center"/>
              <w:rPr>
                <w:rFonts w:ascii="Times New Roman" w:cs="Times New Roman" w:eastAsiaTheme="minorEastAsia"/>
                <w:color w:val="auto"/>
                <w:sz w:val="21"/>
                <w:szCs w:val="21"/>
              </w:rPr>
            </w:pPr>
          </w:p>
        </w:tc>
        <w:tc>
          <w:tcPr>
            <w:tcW w:w="999" w:type="pct"/>
            <w:gridSpan w:val="2"/>
            <w:vAlign w:val="center"/>
          </w:tcPr>
          <w:p>
            <w:pPr>
              <w:jc w:val="center"/>
              <w:rPr>
                <w:rFonts w:eastAsiaTheme="minorEastAsia"/>
                <w:sz w:val="21"/>
                <w:szCs w:val="21"/>
              </w:rPr>
            </w:pPr>
            <w:r>
              <w:rPr>
                <w:rFonts w:hint="eastAsia" w:eastAsiaTheme="minorEastAsia"/>
                <w:sz w:val="21"/>
                <w:szCs w:val="21"/>
              </w:rPr>
              <w:t>饲料渣和脱落的羽毛</w:t>
            </w:r>
          </w:p>
        </w:tc>
        <w:tc>
          <w:tcPr>
            <w:tcW w:w="717" w:type="pct"/>
            <w:vAlign w:val="center"/>
          </w:tcPr>
          <w:p>
            <w:pPr>
              <w:jc w:val="center"/>
              <w:rPr>
                <w:rFonts w:eastAsiaTheme="minorEastAsia"/>
                <w:sz w:val="21"/>
                <w:szCs w:val="21"/>
              </w:rPr>
            </w:pPr>
            <w:r>
              <w:rPr>
                <w:rFonts w:hint="eastAsia" w:eastAsiaTheme="minorEastAsia"/>
                <w:sz w:val="21"/>
                <w:szCs w:val="21"/>
              </w:rPr>
              <w:t>3.285</w:t>
            </w:r>
          </w:p>
        </w:tc>
        <w:tc>
          <w:tcPr>
            <w:tcW w:w="677" w:type="pct"/>
            <w:vAlign w:val="center"/>
          </w:tcPr>
          <w:p>
            <w:pPr>
              <w:jc w:val="center"/>
              <w:rPr>
                <w:rFonts w:eastAsiaTheme="minorEastAsia"/>
                <w:sz w:val="21"/>
                <w:szCs w:val="21"/>
              </w:rPr>
            </w:pPr>
            <w:r>
              <w:rPr>
                <w:rFonts w:hint="eastAsia" w:eastAsiaTheme="minorEastAsia"/>
                <w:sz w:val="21"/>
                <w:szCs w:val="21"/>
              </w:rPr>
              <w:t>3.285</w:t>
            </w:r>
          </w:p>
        </w:tc>
        <w:tc>
          <w:tcPr>
            <w:tcW w:w="590" w:type="pct"/>
            <w:vAlign w:val="center"/>
          </w:tcPr>
          <w:p>
            <w:pPr>
              <w:pStyle w:val="146"/>
              <w:jc w:val="center"/>
              <w:rPr>
                <w:rFonts w:ascii="Times New Roman" w:cs="Times New Roman" w:eastAsiaTheme="minorEastAsia"/>
                <w:color w:val="auto"/>
                <w:sz w:val="21"/>
                <w:szCs w:val="21"/>
              </w:rPr>
            </w:pPr>
            <w:r>
              <w:rPr>
                <w:rFonts w:hint="eastAsia" w:ascii="Times New Roman" w:cs="Times New Roman" w:eastAsiaTheme="minorEastAsia"/>
                <w:color w:val="auto"/>
                <w:sz w:val="21"/>
                <w:szCs w:val="21"/>
              </w:rPr>
              <w:t>0</w:t>
            </w:r>
          </w:p>
        </w:tc>
        <w:tc>
          <w:tcPr>
            <w:tcW w:w="1577" w:type="pct"/>
            <w:vAlign w:val="center"/>
          </w:tcPr>
          <w:p>
            <w:pPr>
              <w:jc w:val="center"/>
              <w:rPr>
                <w:sz w:val="21"/>
                <w:szCs w:val="21"/>
              </w:rPr>
            </w:pPr>
            <w:r>
              <w:rPr>
                <w:rFonts w:hint="eastAsia"/>
                <w:sz w:val="21"/>
                <w:szCs w:val="21"/>
              </w:rPr>
              <w:t>经收集后交由当地环卫部门处理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439" w:type="pct"/>
            <w:vMerge w:val="continue"/>
            <w:vAlign w:val="center"/>
          </w:tcPr>
          <w:p>
            <w:pPr>
              <w:pStyle w:val="146"/>
              <w:jc w:val="center"/>
              <w:rPr>
                <w:rFonts w:ascii="Times New Roman" w:cs="Times New Roman" w:eastAsiaTheme="minorEastAsia"/>
                <w:color w:val="auto"/>
                <w:sz w:val="21"/>
                <w:szCs w:val="21"/>
              </w:rPr>
            </w:pPr>
          </w:p>
        </w:tc>
        <w:tc>
          <w:tcPr>
            <w:tcW w:w="999" w:type="pct"/>
            <w:gridSpan w:val="2"/>
            <w:vAlign w:val="center"/>
          </w:tcPr>
          <w:p>
            <w:pPr>
              <w:jc w:val="center"/>
              <w:rPr>
                <w:rFonts w:eastAsiaTheme="minorEastAsia"/>
                <w:sz w:val="21"/>
                <w:szCs w:val="21"/>
              </w:rPr>
            </w:pPr>
            <w:r>
              <w:rPr>
                <w:rFonts w:hAnsiTheme="minorEastAsia" w:eastAsiaTheme="minorEastAsia"/>
                <w:sz w:val="21"/>
                <w:szCs w:val="21"/>
              </w:rPr>
              <w:t>医疗废物</w:t>
            </w:r>
          </w:p>
        </w:tc>
        <w:tc>
          <w:tcPr>
            <w:tcW w:w="717" w:type="pct"/>
            <w:vAlign w:val="center"/>
          </w:tcPr>
          <w:p>
            <w:pPr>
              <w:jc w:val="center"/>
              <w:rPr>
                <w:rFonts w:eastAsiaTheme="minorEastAsia"/>
                <w:sz w:val="21"/>
                <w:szCs w:val="21"/>
              </w:rPr>
            </w:pPr>
            <w:r>
              <w:rPr>
                <w:rFonts w:eastAsiaTheme="minorEastAsia"/>
                <w:sz w:val="21"/>
                <w:szCs w:val="21"/>
              </w:rPr>
              <w:t>0.2</w:t>
            </w:r>
          </w:p>
        </w:tc>
        <w:tc>
          <w:tcPr>
            <w:tcW w:w="677" w:type="pct"/>
            <w:vAlign w:val="center"/>
          </w:tcPr>
          <w:p>
            <w:pPr>
              <w:jc w:val="center"/>
              <w:rPr>
                <w:rFonts w:eastAsiaTheme="minorEastAsia"/>
                <w:sz w:val="21"/>
                <w:szCs w:val="21"/>
              </w:rPr>
            </w:pPr>
            <w:r>
              <w:rPr>
                <w:rFonts w:eastAsiaTheme="minorEastAsia"/>
                <w:sz w:val="21"/>
                <w:szCs w:val="21"/>
              </w:rPr>
              <w:t>0.2</w:t>
            </w:r>
          </w:p>
        </w:tc>
        <w:tc>
          <w:tcPr>
            <w:tcW w:w="590" w:type="pct"/>
            <w:vAlign w:val="center"/>
          </w:tcPr>
          <w:p>
            <w:pPr>
              <w:pStyle w:val="146"/>
              <w:jc w:val="center"/>
              <w:rPr>
                <w:rFonts w:ascii="Times New Roman" w:cs="Times New Roman" w:eastAsiaTheme="minorEastAsia"/>
                <w:color w:val="auto"/>
                <w:sz w:val="21"/>
                <w:szCs w:val="21"/>
              </w:rPr>
            </w:pPr>
            <w:r>
              <w:rPr>
                <w:rFonts w:hint="eastAsia" w:ascii="Times New Roman" w:cs="Times New Roman" w:eastAsiaTheme="minorEastAsia"/>
                <w:color w:val="auto"/>
                <w:sz w:val="21"/>
                <w:szCs w:val="21"/>
              </w:rPr>
              <w:t>0</w:t>
            </w:r>
          </w:p>
        </w:tc>
        <w:tc>
          <w:tcPr>
            <w:tcW w:w="1577" w:type="pct"/>
            <w:vAlign w:val="center"/>
          </w:tcPr>
          <w:p>
            <w:pPr>
              <w:jc w:val="center"/>
              <w:rPr>
                <w:sz w:val="21"/>
                <w:szCs w:val="21"/>
              </w:rPr>
            </w:pPr>
            <w:r>
              <w:rPr>
                <w:rFonts w:hint="eastAsia"/>
                <w:sz w:val="21"/>
                <w:szCs w:val="21"/>
              </w:rPr>
              <w:t>委托有处理资质的单位代为处置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39" w:type="pct"/>
            <w:vMerge w:val="continue"/>
            <w:vAlign w:val="center"/>
          </w:tcPr>
          <w:p>
            <w:pPr>
              <w:pStyle w:val="146"/>
              <w:jc w:val="center"/>
              <w:rPr>
                <w:rFonts w:ascii="Times New Roman" w:cs="Times New Roman" w:eastAsiaTheme="minorEastAsia"/>
                <w:color w:val="auto"/>
                <w:sz w:val="21"/>
                <w:szCs w:val="21"/>
              </w:rPr>
            </w:pPr>
          </w:p>
        </w:tc>
        <w:tc>
          <w:tcPr>
            <w:tcW w:w="999" w:type="pct"/>
            <w:gridSpan w:val="2"/>
            <w:vAlign w:val="center"/>
          </w:tcPr>
          <w:p>
            <w:pPr>
              <w:jc w:val="center"/>
              <w:rPr>
                <w:sz w:val="21"/>
                <w:szCs w:val="21"/>
              </w:rPr>
            </w:pPr>
            <w:r>
              <w:rPr>
                <w:sz w:val="21"/>
                <w:szCs w:val="21"/>
              </w:rPr>
              <w:t>生活垃圾</w:t>
            </w:r>
          </w:p>
        </w:tc>
        <w:tc>
          <w:tcPr>
            <w:tcW w:w="717" w:type="pct"/>
            <w:vAlign w:val="center"/>
          </w:tcPr>
          <w:p>
            <w:pPr>
              <w:jc w:val="center"/>
              <w:rPr>
                <w:sz w:val="21"/>
                <w:szCs w:val="21"/>
              </w:rPr>
            </w:pPr>
            <w:r>
              <w:rPr>
                <w:rFonts w:hint="eastAsia"/>
                <w:sz w:val="21"/>
                <w:szCs w:val="21"/>
              </w:rPr>
              <w:t>14.6</w:t>
            </w:r>
          </w:p>
        </w:tc>
        <w:tc>
          <w:tcPr>
            <w:tcW w:w="677" w:type="pct"/>
            <w:vAlign w:val="center"/>
          </w:tcPr>
          <w:p>
            <w:pPr>
              <w:jc w:val="center"/>
              <w:rPr>
                <w:sz w:val="21"/>
                <w:szCs w:val="21"/>
              </w:rPr>
            </w:pPr>
            <w:r>
              <w:rPr>
                <w:rFonts w:hint="eastAsia"/>
                <w:sz w:val="21"/>
                <w:szCs w:val="21"/>
              </w:rPr>
              <w:t>14.6</w:t>
            </w:r>
          </w:p>
        </w:tc>
        <w:tc>
          <w:tcPr>
            <w:tcW w:w="590" w:type="pct"/>
            <w:vAlign w:val="center"/>
          </w:tcPr>
          <w:p>
            <w:pPr>
              <w:pStyle w:val="146"/>
              <w:jc w:val="center"/>
              <w:rPr>
                <w:rFonts w:ascii="Times New Roman" w:cs="Times New Roman" w:eastAsiaTheme="minorEastAsia"/>
                <w:color w:val="auto"/>
                <w:sz w:val="21"/>
                <w:szCs w:val="21"/>
              </w:rPr>
            </w:pPr>
            <w:r>
              <w:rPr>
                <w:rFonts w:hint="eastAsia" w:ascii="Times New Roman" w:cs="Times New Roman" w:eastAsiaTheme="minorEastAsia"/>
                <w:color w:val="auto"/>
                <w:sz w:val="21"/>
                <w:szCs w:val="21"/>
              </w:rPr>
              <w:t>0</w:t>
            </w:r>
          </w:p>
        </w:tc>
        <w:tc>
          <w:tcPr>
            <w:tcW w:w="1577" w:type="pct"/>
            <w:vAlign w:val="center"/>
          </w:tcPr>
          <w:p>
            <w:pPr>
              <w:jc w:val="center"/>
              <w:rPr>
                <w:sz w:val="21"/>
                <w:szCs w:val="21"/>
              </w:rPr>
            </w:pPr>
            <w:r>
              <w:rPr>
                <w:rFonts w:hint="eastAsia"/>
                <w:sz w:val="21"/>
                <w:szCs w:val="21"/>
              </w:rPr>
              <w:t>集中收集后委托当地环卫部门清运处理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439" w:type="pct"/>
            <w:vAlign w:val="center"/>
          </w:tcPr>
          <w:p>
            <w:pPr>
              <w:pStyle w:val="146"/>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噪声</w:t>
            </w:r>
          </w:p>
        </w:tc>
        <w:tc>
          <w:tcPr>
            <w:tcW w:w="4560" w:type="pct"/>
            <w:gridSpan w:val="6"/>
            <w:vAlign w:val="center"/>
          </w:tcPr>
          <w:p>
            <w:pPr>
              <w:jc w:val="center"/>
              <w:rPr>
                <w:sz w:val="21"/>
                <w:szCs w:val="21"/>
              </w:rPr>
            </w:pPr>
            <w:r>
              <w:rPr>
                <w:sz w:val="21"/>
                <w:szCs w:val="21"/>
              </w:rPr>
              <w:t>主要包括猪舍内猪叫声、水泵风机等设备运行噪声，噪声源强</w:t>
            </w:r>
            <w:r>
              <w:rPr>
                <w:rFonts w:hint="eastAsia"/>
                <w:sz w:val="21"/>
                <w:szCs w:val="21"/>
              </w:rPr>
              <w:t>70~80dB（A），采取厂房隔声和基础减振等降噪措施后，噪声源强可降低20~30dB（A）。</w:t>
            </w:r>
          </w:p>
        </w:tc>
      </w:tr>
    </w:tbl>
    <w:p>
      <w:pPr>
        <w:pStyle w:val="6"/>
        <w:numPr>
          <w:ilvl w:val="0"/>
          <w:numId w:val="0"/>
        </w:numPr>
        <w:spacing w:before="0" w:after="0" w:line="360" w:lineRule="auto"/>
        <w:rPr>
          <w:rFonts w:ascii="Times New Roman" w:hAnsi="Times New Roman" w:eastAsia="宋体"/>
          <w:szCs w:val="30"/>
        </w:rPr>
      </w:pPr>
      <w:bookmarkStart w:id="186" w:name="_Toc123886406"/>
      <w:r>
        <w:rPr>
          <w:rFonts w:hint="eastAsia" w:ascii="Times New Roman" w:hAnsi="Times New Roman" w:eastAsia="宋体"/>
          <w:szCs w:val="30"/>
        </w:rPr>
        <w:t>3.4</w:t>
      </w:r>
      <w:r>
        <w:rPr>
          <w:rFonts w:ascii="Times New Roman" w:hAnsi="Times New Roman" w:eastAsia="宋体"/>
          <w:szCs w:val="30"/>
        </w:rPr>
        <w:t xml:space="preserve"> 环境风险</w:t>
      </w:r>
      <w:bookmarkEnd w:id="186"/>
    </w:p>
    <w:p>
      <w:pPr>
        <w:pStyle w:val="7"/>
        <w:adjustRightInd w:val="0"/>
        <w:snapToGrid w:val="0"/>
        <w:spacing w:before="0" w:after="0" w:line="360" w:lineRule="auto"/>
        <w:jc w:val="left"/>
        <w:rPr>
          <w:sz w:val="24"/>
          <w:szCs w:val="24"/>
        </w:rPr>
      </w:pPr>
      <w:r>
        <w:rPr>
          <w:rFonts w:hint="eastAsia"/>
          <w:sz w:val="24"/>
          <w:szCs w:val="24"/>
        </w:rPr>
        <w:t>3.4.1 概述</w:t>
      </w:r>
    </w:p>
    <w:p>
      <w:pPr>
        <w:spacing w:line="360" w:lineRule="auto"/>
        <w:ind w:firstLine="480" w:firstLineChars="200"/>
        <w:rPr>
          <w:sz w:val="24"/>
        </w:rPr>
      </w:pPr>
      <w:r>
        <w:rPr>
          <w:rFonts w:hint="eastAsia"/>
          <w:sz w:val="24"/>
        </w:rPr>
        <w:t>环境风险是指突发性灾难事故造成重大环境污染的事件，它具有危害性大、影响范围广等特点，同时风险发生又有很大的不确定性，一旦发生，其破坏性极强，对生态环境会产生严重破坏。</w:t>
      </w:r>
    </w:p>
    <w:p>
      <w:pPr>
        <w:spacing w:line="360" w:lineRule="auto"/>
        <w:ind w:firstLine="480" w:firstLineChars="200"/>
        <w:rPr>
          <w:sz w:val="24"/>
        </w:rPr>
      </w:pPr>
      <w:r>
        <w:rPr>
          <w:rFonts w:hint="eastAsia"/>
          <w:sz w:val="24"/>
        </w:rPr>
        <w:t>环境风险评价的目的是分析和预测建设项目存在的潜在危险、有害因素，建设项目建设和营运期可能发生的突发性事件或事故，引起有毒有害和易燃易爆等物质的泄漏，所造成的人身安全与环境影响和损害程度，提出合理可行的防范、应急与减缓措施，以使建设项目事故率、损失和环境影响达到可接受的水平。</w:t>
      </w:r>
    </w:p>
    <w:p>
      <w:pPr>
        <w:pStyle w:val="7"/>
        <w:adjustRightInd w:val="0"/>
        <w:snapToGrid w:val="0"/>
        <w:spacing w:before="0" w:after="0" w:line="360" w:lineRule="auto"/>
        <w:jc w:val="left"/>
        <w:rPr>
          <w:sz w:val="24"/>
          <w:szCs w:val="24"/>
        </w:rPr>
      </w:pPr>
      <w:r>
        <w:rPr>
          <w:rFonts w:hint="eastAsia"/>
          <w:sz w:val="24"/>
          <w:szCs w:val="24"/>
        </w:rPr>
        <w:t>3.4.2 评价依据</w:t>
      </w:r>
    </w:p>
    <w:p>
      <w:pPr>
        <w:pStyle w:val="46"/>
        <w:spacing w:after="0" w:line="360" w:lineRule="auto"/>
        <w:ind w:left="0" w:leftChars="0" w:firstLine="482"/>
        <w:rPr>
          <w:b/>
          <w:sz w:val="24"/>
        </w:rPr>
      </w:pPr>
      <w:r>
        <w:rPr>
          <w:rFonts w:hint="eastAsia"/>
          <w:b/>
          <w:sz w:val="24"/>
        </w:rPr>
        <w:t>1、风险调查</w:t>
      </w:r>
    </w:p>
    <w:p>
      <w:pPr>
        <w:spacing w:line="360" w:lineRule="auto"/>
        <w:ind w:firstLine="480" w:firstLineChars="200"/>
        <w:rPr>
          <w:sz w:val="24"/>
        </w:rPr>
      </w:pPr>
      <w:r>
        <w:rPr>
          <w:rFonts w:hint="eastAsia"/>
          <w:sz w:val="24"/>
        </w:rPr>
        <w:t>对照《建设项目环境风险评价技术导则》（HJ169-2018）中附录B 对本项目涉及的风险物质进行识别。经对照，本项目涉及的风险物质为柴油。</w:t>
      </w:r>
    </w:p>
    <w:p>
      <w:pPr>
        <w:spacing w:line="360" w:lineRule="auto"/>
        <w:ind w:firstLine="480" w:firstLineChars="200"/>
        <w:rPr>
          <w:sz w:val="24"/>
        </w:rPr>
      </w:pPr>
      <w:r>
        <w:rPr>
          <w:rFonts w:hint="eastAsia"/>
          <w:sz w:val="24"/>
        </w:rPr>
        <w:t>本项目重点关注柴油的泄漏及发生火灾事故伴生的次生污染物对环境的影响；同时关注污水处理单元内的污水泄漏对环境的影响：</w:t>
      </w:r>
    </w:p>
    <w:p>
      <w:pPr>
        <w:pStyle w:val="46"/>
        <w:spacing w:after="0" w:line="360" w:lineRule="auto"/>
        <w:ind w:left="0" w:leftChars="0" w:firstLine="482"/>
        <w:rPr>
          <w:b/>
          <w:sz w:val="24"/>
        </w:rPr>
      </w:pPr>
      <w:r>
        <w:rPr>
          <w:rFonts w:hint="eastAsia"/>
          <w:b/>
          <w:sz w:val="24"/>
        </w:rPr>
        <w:t>2、环境风险潜势初判及评价等级</w:t>
      </w:r>
    </w:p>
    <w:p>
      <w:pPr>
        <w:autoSpaceDE w:val="0"/>
        <w:autoSpaceDN w:val="0"/>
        <w:adjustRightInd w:val="0"/>
        <w:spacing w:line="360" w:lineRule="auto"/>
        <w:ind w:firstLine="480" w:firstLineChars="200"/>
        <w:rPr>
          <w:rFonts w:eastAsiaTheme="majorEastAsia"/>
          <w:sz w:val="24"/>
        </w:rPr>
      </w:pPr>
      <w:r>
        <w:rPr>
          <w:rFonts w:hint="eastAsia" w:eastAsiaTheme="majorEastAsia"/>
          <w:sz w:val="24"/>
        </w:rPr>
        <w:t>根据环境风险评价技术导则，需要计算所涉及的每种危险物质在厂界内的最大存在总量与其在附录B中对应临界量的比值Q。</w:t>
      </w:r>
    </w:p>
    <w:p>
      <w:pPr>
        <w:autoSpaceDE w:val="0"/>
        <w:autoSpaceDN w:val="0"/>
        <w:adjustRightInd w:val="0"/>
        <w:spacing w:line="360" w:lineRule="auto"/>
        <w:ind w:firstLine="480" w:firstLineChars="200"/>
        <w:rPr>
          <w:rFonts w:eastAsiaTheme="majorEastAsia"/>
          <w:sz w:val="24"/>
        </w:rPr>
      </w:pPr>
      <w:r>
        <w:rPr>
          <w:rFonts w:hint="eastAsia" w:eastAsiaTheme="majorEastAsia"/>
          <w:sz w:val="24"/>
        </w:rPr>
        <w:t>当只涉及一种危险物质时，计算该物质的总量与其临界量比值，即为Q；</w:t>
      </w:r>
    </w:p>
    <w:p>
      <w:pPr>
        <w:autoSpaceDE w:val="0"/>
        <w:autoSpaceDN w:val="0"/>
        <w:adjustRightInd w:val="0"/>
        <w:spacing w:line="360" w:lineRule="auto"/>
        <w:ind w:firstLine="480" w:firstLineChars="200"/>
        <w:jc w:val="center"/>
        <w:rPr>
          <w:rFonts w:eastAsiaTheme="majorEastAsia"/>
          <w:sz w:val="24"/>
        </w:rPr>
      </w:pPr>
      <w:r>
        <w:rPr>
          <w:rFonts w:hint="eastAsia" w:eastAsiaTheme="majorEastAsia"/>
          <w:sz w:val="24"/>
        </w:rPr>
        <w:t>当存在多种危险物质时，则按下述公式计算物质总量与其临界量比值（Q）：</w:t>
      </w:r>
      <w:r>
        <w:rPr>
          <w:rFonts w:eastAsiaTheme="majorEastAsia"/>
          <w:sz w:val="24"/>
        </w:rPr>
        <w:drawing>
          <wp:inline distT="0" distB="0" distL="0" distR="0">
            <wp:extent cx="1733550" cy="485775"/>
            <wp:effectExtent l="1905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noChangeArrowheads="1"/>
                    </pic:cNvPicPr>
                  </pic:nvPicPr>
                  <pic:blipFill>
                    <a:blip r:embed="rId20" cstate="print"/>
                    <a:srcRect/>
                    <a:stretch>
                      <a:fillRect/>
                    </a:stretch>
                  </pic:blipFill>
                  <pic:spPr>
                    <a:xfrm>
                      <a:off x="0" y="0"/>
                      <a:ext cx="1733550" cy="485775"/>
                    </a:xfrm>
                    <a:prstGeom prst="rect">
                      <a:avLst/>
                    </a:prstGeom>
                    <a:noFill/>
                    <a:ln w="9525">
                      <a:noFill/>
                      <a:miter lim="800000"/>
                      <a:headEnd/>
                      <a:tailEnd/>
                    </a:ln>
                  </pic:spPr>
                </pic:pic>
              </a:graphicData>
            </a:graphic>
          </wp:inline>
        </w:drawing>
      </w:r>
    </w:p>
    <w:p>
      <w:pPr>
        <w:autoSpaceDE w:val="0"/>
        <w:autoSpaceDN w:val="0"/>
        <w:adjustRightInd w:val="0"/>
        <w:spacing w:line="360" w:lineRule="auto"/>
        <w:ind w:firstLine="480" w:firstLineChars="200"/>
        <w:rPr>
          <w:rFonts w:eastAsiaTheme="majorEastAsia"/>
          <w:sz w:val="24"/>
        </w:rPr>
      </w:pPr>
      <w:r>
        <w:rPr>
          <w:rFonts w:hint="eastAsia" w:eastAsiaTheme="majorEastAsia"/>
          <w:sz w:val="24"/>
        </w:rPr>
        <w:t>式中：q</w:t>
      </w:r>
      <w:r>
        <w:rPr>
          <w:rFonts w:hint="eastAsia" w:eastAsiaTheme="majorEastAsia"/>
          <w:sz w:val="24"/>
          <w:vertAlign w:val="subscript"/>
        </w:rPr>
        <w:t>1</w:t>
      </w:r>
      <w:r>
        <w:rPr>
          <w:rFonts w:hint="eastAsia" w:eastAsiaTheme="majorEastAsia"/>
          <w:sz w:val="24"/>
        </w:rPr>
        <w:t>，q</w:t>
      </w:r>
      <w:r>
        <w:rPr>
          <w:rFonts w:hint="eastAsia" w:eastAsiaTheme="majorEastAsia"/>
          <w:sz w:val="24"/>
          <w:vertAlign w:val="subscript"/>
        </w:rPr>
        <w:t>2</w:t>
      </w:r>
      <w:r>
        <w:rPr>
          <w:rFonts w:hint="eastAsia" w:eastAsiaTheme="majorEastAsia"/>
          <w:sz w:val="24"/>
        </w:rPr>
        <w:t>，q</w:t>
      </w:r>
      <w:r>
        <w:rPr>
          <w:rFonts w:hint="eastAsia" w:eastAsiaTheme="majorEastAsia"/>
          <w:sz w:val="24"/>
          <w:vertAlign w:val="subscript"/>
        </w:rPr>
        <w:t>3</w:t>
      </w:r>
      <w:r>
        <w:rPr>
          <w:rFonts w:hint="eastAsia" w:eastAsiaTheme="majorEastAsia"/>
          <w:sz w:val="24"/>
        </w:rPr>
        <w:t>……q</w:t>
      </w:r>
      <w:r>
        <w:rPr>
          <w:rFonts w:hint="eastAsia" w:eastAsiaTheme="majorEastAsia"/>
          <w:sz w:val="24"/>
          <w:vertAlign w:val="subscript"/>
        </w:rPr>
        <w:t>n</w:t>
      </w:r>
      <w:r>
        <w:rPr>
          <w:rFonts w:hint="eastAsia" w:eastAsiaTheme="majorEastAsia"/>
          <w:sz w:val="24"/>
        </w:rPr>
        <w:t>——每种危险物质的最大存在量，t；</w:t>
      </w:r>
    </w:p>
    <w:p>
      <w:pPr>
        <w:autoSpaceDE w:val="0"/>
        <w:autoSpaceDN w:val="0"/>
        <w:adjustRightInd w:val="0"/>
        <w:spacing w:line="360" w:lineRule="auto"/>
        <w:ind w:firstLine="1200" w:firstLineChars="500"/>
        <w:rPr>
          <w:rFonts w:eastAsiaTheme="majorEastAsia"/>
          <w:sz w:val="24"/>
        </w:rPr>
      </w:pPr>
      <w:r>
        <w:rPr>
          <w:rFonts w:hint="eastAsia" w:eastAsiaTheme="majorEastAsia"/>
          <w:sz w:val="24"/>
        </w:rPr>
        <w:t>Q</w:t>
      </w:r>
      <w:r>
        <w:rPr>
          <w:rFonts w:hint="eastAsia" w:eastAsiaTheme="majorEastAsia"/>
          <w:sz w:val="24"/>
          <w:vertAlign w:val="subscript"/>
        </w:rPr>
        <w:t>1</w:t>
      </w:r>
      <w:r>
        <w:rPr>
          <w:rFonts w:hint="eastAsia" w:eastAsiaTheme="majorEastAsia"/>
          <w:sz w:val="24"/>
        </w:rPr>
        <w:t>，Q</w:t>
      </w:r>
      <w:r>
        <w:rPr>
          <w:rFonts w:hint="eastAsia" w:eastAsiaTheme="majorEastAsia"/>
          <w:sz w:val="24"/>
          <w:vertAlign w:val="subscript"/>
        </w:rPr>
        <w:t>2</w:t>
      </w:r>
      <w:r>
        <w:rPr>
          <w:rFonts w:hint="eastAsia" w:eastAsiaTheme="majorEastAsia"/>
          <w:sz w:val="24"/>
        </w:rPr>
        <w:t>，Q</w:t>
      </w:r>
      <w:r>
        <w:rPr>
          <w:rFonts w:hint="eastAsia" w:eastAsiaTheme="majorEastAsia"/>
          <w:sz w:val="24"/>
          <w:vertAlign w:val="subscript"/>
        </w:rPr>
        <w:t>3</w:t>
      </w:r>
      <w:r>
        <w:rPr>
          <w:rFonts w:hint="eastAsia" w:eastAsiaTheme="majorEastAsia"/>
          <w:sz w:val="24"/>
        </w:rPr>
        <w:t>……Q</w:t>
      </w:r>
      <w:r>
        <w:rPr>
          <w:rFonts w:hint="eastAsia" w:eastAsiaTheme="majorEastAsia"/>
          <w:sz w:val="24"/>
          <w:vertAlign w:val="subscript"/>
        </w:rPr>
        <w:t>n</w:t>
      </w:r>
      <w:r>
        <w:rPr>
          <w:rFonts w:hint="eastAsia" w:eastAsiaTheme="majorEastAsia"/>
          <w:sz w:val="24"/>
        </w:rPr>
        <w:t>——每种危险物质的临界量，t；</w:t>
      </w:r>
    </w:p>
    <w:p>
      <w:pPr>
        <w:autoSpaceDE w:val="0"/>
        <w:autoSpaceDN w:val="0"/>
        <w:adjustRightInd w:val="0"/>
        <w:spacing w:line="360" w:lineRule="auto"/>
        <w:ind w:firstLine="1200" w:firstLineChars="500"/>
        <w:rPr>
          <w:rFonts w:eastAsiaTheme="majorEastAsia"/>
          <w:sz w:val="24"/>
        </w:rPr>
      </w:pPr>
      <w:r>
        <w:rPr>
          <w:rFonts w:hint="eastAsia" w:eastAsiaTheme="majorEastAsia"/>
          <w:sz w:val="24"/>
        </w:rPr>
        <w:t>当Q＜1时，该项目环境风险潜势为</w:t>
      </w:r>
      <w:r>
        <w:rPr>
          <w:rFonts w:hint="eastAsia" w:asciiTheme="majorEastAsia" w:hAnsiTheme="majorEastAsia" w:eastAsiaTheme="majorEastAsia"/>
          <w:sz w:val="24"/>
        </w:rPr>
        <w:t>Ⅰ</w:t>
      </w:r>
      <w:r>
        <w:rPr>
          <w:rFonts w:hint="eastAsia" w:eastAsiaTheme="majorEastAsia"/>
          <w:sz w:val="24"/>
        </w:rPr>
        <w:t>。</w:t>
      </w:r>
    </w:p>
    <w:p>
      <w:pPr>
        <w:autoSpaceDE w:val="0"/>
        <w:autoSpaceDN w:val="0"/>
        <w:adjustRightInd w:val="0"/>
        <w:spacing w:line="360" w:lineRule="auto"/>
        <w:ind w:firstLine="1200" w:firstLineChars="500"/>
        <w:rPr>
          <w:rFonts w:eastAsiaTheme="majorEastAsia"/>
          <w:sz w:val="24"/>
        </w:rPr>
      </w:pPr>
      <w:r>
        <w:rPr>
          <w:rFonts w:hint="eastAsia" w:eastAsiaTheme="majorEastAsia"/>
          <w:sz w:val="24"/>
        </w:rPr>
        <w:t>当Q≥1时，将Q值划分为：（1）1≤Q＜10；（2）10≤Q＜100；（3）Q≥100。</w:t>
      </w:r>
    </w:p>
    <w:p>
      <w:pPr>
        <w:pStyle w:val="17"/>
        <w:spacing w:beforeLines="50"/>
        <w:rPr>
          <w:rFonts w:ascii="Times New Roman" w:hAnsi="Times New Roman" w:cs="Times New Roman"/>
          <w:color w:val="auto"/>
          <w:sz w:val="21"/>
        </w:rPr>
      </w:pPr>
      <w:r>
        <w:rPr>
          <w:rFonts w:hint="eastAsia" w:ascii="Times New Roman" w:hAnsi="Times New Roman" w:cs="Times New Roman"/>
          <w:color w:val="auto"/>
          <w:sz w:val="21"/>
        </w:rPr>
        <w:t>表3.4-1  项目危险物质数量与临界量的比值（Q）</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1"/>
        <w:gridCol w:w="1810"/>
        <w:gridCol w:w="2035"/>
        <w:gridCol w:w="1489"/>
        <w:gridCol w:w="7"/>
        <w:gridCol w:w="1006"/>
        <w:gridCol w:w="13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8" w:hRule="atLeast"/>
          <w:jc w:val="center"/>
        </w:trPr>
        <w:tc>
          <w:tcPr>
            <w:tcW w:w="499" w:type="pct"/>
            <w:vAlign w:val="center"/>
          </w:tcPr>
          <w:p>
            <w:pPr>
              <w:pStyle w:val="146"/>
              <w:ind w:left="-105"/>
              <w:jc w:val="center"/>
              <w:rPr>
                <w:rFonts w:ascii="Times New Roman" w:eastAsia="宋体" w:cs="Times New Roman"/>
                <w:b/>
                <w:bCs/>
                <w:color w:val="auto"/>
                <w:kern w:val="2"/>
                <w:sz w:val="21"/>
                <w:szCs w:val="21"/>
              </w:rPr>
            </w:pPr>
            <w:r>
              <w:rPr>
                <w:rFonts w:hint="eastAsia" w:ascii="Times New Roman" w:eastAsia="宋体" w:cs="Times New Roman"/>
                <w:b/>
                <w:bCs/>
                <w:color w:val="auto"/>
                <w:kern w:val="2"/>
                <w:sz w:val="21"/>
                <w:szCs w:val="21"/>
              </w:rPr>
              <w:t>序号</w:t>
            </w:r>
          </w:p>
        </w:tc>
        <w:tc>
          <w:tcPr>
            <w:tcW w:w="1061" w:type="pct"/>
            <w:vAlign w:val="center"/>
          </w:tcPr>
          <w:p>
            <w:pPr>
              <w:pStyle w:val="146"/>
              <w:ind w:left="-105"/>
              <w:jc w:val="center"/>
              <w:rPr>
                <w:rFonts w:ascii="Times New Roman" w:eastAsia="宋体" w:cs="Times New Roman"/>
                <w:b/>
                <w:bCs/>
                <w:color w:val="auto"/>
                <w:kern w:val="2"/>
                <w:sz w:val="21"/>
                <w:szCs w:val="21"/>
              </w:rPr>
            </w:pPr>
            <w:r>
              <w:rPr>
                <w:rFonts w:ascii="Times New Roman" w:eastAsia="宋体" w:cs="Times New Roman"/>
                <w:b/>
                <w:bCs/>
                <w:color w:val="auto"/>
                <w:kern w:val="2"/>
                <w:sz w:val="21"/>
                <w:szCs w:val="21"/>
              </w:rPr>
              <w:t>危险</w:t>
            </w:r>
            <w:r>
              <w:rPr>
                <w:rFonts w:hint="eastAsia" w:ascii="Times New Roman" w:eastAsia="宋体" w:cs="Times New Roman"/>
                <w:b/>
                <w:bCs/>
                <w:color w:val="auto"/>
                <w:kern w:val="2"/>
                <w:sz w:val="21"/>
                <w:szCs w:val="21"/>
              </w:rPr>
              <w:t>物质</w:t>
            </w:r>
            <w:r>
              <w:rPr>
                <w:rFonts w:ascii="Times New Roman" w:eastAsia="宋体" w:cs="Times New Roman"/>
                <w:b/>
                <w:bCs/>
                <w:color w:val="auto"/>
                <w:kern w:val="2"/>
                <w:sz w:val="21"/>
                <w:szCs w:val="21"/>
              </w:rPr>
              <w:t>类别</w:t>
            </w:r>
          </w:p>
        </w:tc>
        <w:tc>
          <w:tcPr>
            <w:tcW w:w="1193" w:type="pct"/>
            <w:vAlign w:val="center"/>
          </w:tcPr>
          <w:p>
            <w:pPr>
              <w:pStyle w:val="146"/>
              <w:ind w:left="-105"/>
              <w:jc w:val="center"/>
              <w:rPr>
                <w:rFonts w:ascii="Times New Roman" w:eastAsia="宋体" w:cs="Times New Roman"/>
                <w:b/>
                <w:bCs/>
                <w:color w:val="auto"/>
                <w:kern w:val="2"/>
                <w:sz w:val="21"/>
                <w:szCs w:val="21"/>
              </w:rPr>
            </w:pPr>
            <w:r>
              <w:rPr>
                <w:rFonts w:hint="eastAsia" w:ascii="Times New Roman" w:eastAsia="宋体" w:cs="Times New Roman"/>
                <w:b/>
                <w:bCs/>
                <w:color w:val="auto"/>
                <w:kern w:val="2"/>
                <w:sz w:val="21"/>
                <w:szCs w:val="21"/>
              </w:rPr>
              <w:t>CAS号</w:t>
            </w:r>
          </w:p>
        </w:tc>
        <w:tc>
          <w:tcPr>
            <w:tcW w:w="873" w:type="pct"/>
            <w:vAlign w:val="center"/>
          </w:tcPr>
          <w:p>
            <w:pPr>
              <w:pStyle w:val="146"/>
              <w:ind w:left="-105"/>
              <w:jc w:val="center"/>
              <w:rPr>
                <w:rFonts w:ascii="Times New Roman" w:eastAsia="宋体" w:cs="Times New Roman"/>
                <w:b/>
                <w:bCs/>
                <w:color w:val="auto"/>
                <w:kern w:val="2"/>
                <w:sz w:val="21"/>
                <w:szCs w:val="21"/>
              </w:rPr>
            </w:pPr>
            <w:r>
              <w:rPr>
                <w:rFonts w:hint="eastAsia" w:ascii="Times New Roman" w:eastAsia="宋体" w:cs="Times New Roman"/>
                <w:b/>
                <w:bCs/>
                <w:color w:val="auto"/>
                <w:kern w:val="2"/>
                <w:sz w:val="21"/>
                <w:szCs w:val="21"/>
              </w:rPr>
              <w:t>最大存在总量q</w:t>
            </w:r>
            <w:r>
              <w:rPr>
                <w:rFonts w:hint="eastAsia" w:ascii="Times New Roman" w:eastAsia="宋体" w:cs="Times New Roman"/>
                <w:b/>
                <w:bCs/>
                <w:color w:val="auto"/>
                <w:kern w:val="2"/>
                <w:sz w:val="21"/>
                <w:szCs w:val="21"/>
                <w:vertAlign w:val="subscript"/>
              </w:rPr>
              <w:t>n</w:t>
            </w:r>
            <w:r>
              <w:rPr>
                <w:rFonts w:hint="eastAsia" w:ascii="Times New Roman" w:eastAsia="宋体" w:cs="Times New Roman"/>
                <w:b/>
                <w:bCs/>
                <w:color w:val="auto"/>
                <w:kern w:val="2"/>
                <w:sz w:val="21"/>
                <w:szCs w:val="21"/>
              </w:rPr>
              <w:t>/</w:t>
            </w:r>
            <w:r>
              <w:rPr>
                <w:rFonts w:ascii="Times New Roman" w:eastAsia="宋体" w:cs="Times New Roman"/>
                <w:b/>
                <w:bCs/>
                <w:color w:val="auto"/>
                <w:kern w:val="2"/>
                <w:sz w:val="21"/>
                <w:szCs w:val="21"/>
              </w:rPr>
              <w:t>t</w:t>
            </w:r>
          </w:p>
        </w:tc>
        <w:tc>
          <w:tcPr>
            <w:tcW w:w="594" w:type="pct"/>
            <w:gridSpan w:val="2"/>
            <w:vAlign w:val="center"/>
          </w:tcPr>
          <w:p>
            <w:pPr>
              <w:pStyle w:val="146"/>
              <w:ind w:left="-105"/>
              <w:jc w:val="center"/>
              <w:rPr>
                <w:rFonts w:ascii="Times New Roman" w:eastAsia="宋体" w:cs="Times New Roman"/>
                <w:b/>
                <w:bCs/>
                <w:color w:val="auto"/>
                <w:kern w:val="2"/>
                <w:sz w:val="21"/>
                <w:szCs w:val="21"/>
              </w:rPr>
            </w:pPr>
            <w:r>
              <w:rPr>
                <w:rFonts w:hint="eastAsia" w:ascii="Times New Roman" w:eastAsia="宋体" w:cs="Times New Roman"/>
                <w:b/>
                <w:bCs/>
                <w:color w:val="auto"/>
                <w:kern w:val="2"/>
                <w:sz w:val="21"/>
                <w:szCs w:val="21"/>
              </w:rPr>
              <w:t>临界量Q</w:t>
            </w:r>
            <w:r>
              <w:rPr>
                <w:rFonts w:hint="eastAsia" w:ascii="Times New Roman" w:eastAsia="宋体" w:cs="Times New Roman"/>
                <w:b/>
                <w:bCs/>
                <w:color w:val="auto"/>
                <w:kern w:val="2"/>
                <w:sz w:val="21"/>
                <w:szCs w:val="21"/>
                <w:vertAlign w:val="subscript"/>
              </w:rPr>
              <w:t>n</w:t>
            </w:r>
            <w:r>
              <w:rPr>
                <w:rFonts w:hint="eastAsia" w:ascii="Times New Roman" w:eastAsia="宋体" w:cs="Times New Roman"/>
                <w:b/>
                <w:bCs/>
                <w:color w:val="auto"/>
                <w:kern w:val="2"/>
                <w:sz w:val="21"/>
                <w:szCs w:val="21"/>
              </w:rPr>
              <w:t>/</w:t>
            </w:r>
            <w:r>
              <w:rPr>
                <w:rFonts w:ascii="Times New Roman" w:eastAsia="宋体" w:cs="Times New Roman"/>
                <w:b/>
                <w:bCs/>
                <w:color w:val="auto"/>
                <w:kern w:val="2"/>
                <w:sz w:val="21"/>
                <w:szCs w:val="21"/>
              </w:rPr>
              <w:t>t</w:t>
            </w:r>
          </w:p>
        </w:tc>
        <w:tc>
          <w:tcPr>
            <w:tcW w:w="780" w:type="pct"/>
            <w:vAlign w:val="center"/>
          </w:tcPr>
          <w:p>
            <w:pPr>
              <w:pStyle w:val="146"/>
              <w:ind w:left="-105"/>
              <w:jc w:val="center"/>
              <w:rPr>
                <w:rFonts w:ascii="Times New Roman" w:eastAsia="宋体" w:cs="Times New Roman"/>
                <w:b/>
                <w:bCs/>
                <w:color w:val="auto"/>
                <w:kern w:val="2"/>
                <w:sz w:val="21"/>
                <w:szCs w:val="21"/>
              </w:rPr>
            </w:pPr>
            <w:r>
              <w:rPr>
                <w:rFonts w:hint="eastAsia" w:ascii="Times New Roman" w:eastAsia="宋体" w:cs="Times New Roman"/>
                <w:b/>
                <w:bCs/>
                <w:color w:val="auto"/>
                <w:kern w:val="2"/>
                <w:sz w:val="21"/>
                <w:szCs w:val="21"/>
              </w:rPr>
              <w:t>该种危险物质</w:t>
            </w:r>
            <w:r>
              <w:rPr>
                <w:rFonts w:ascii="Times New Roman" w:eastAsia="宋体" w:cs="Times New Roman"/>
                <w:b/>
                <w:bCs/>
                <w:color w:val="auto"/>
                <w:kern w:val="2"/>
                <w:sz w:val="21"/>
                <w:szCs w:val="21"/>
              </w:rPr>
              <w:t>Q</w:t>
            </w:r>
            <w:r>
              <w:rPr>
                <w:rFonts w:hint="eastAsia" w:ascii="Times New Roman" w:eastAsia="宋体" w:cs="Times New Roman"/>
                <w:b/>
                <w:bCs/>
                <w:color w:val="auto"/>
                <w:kern w:val="2"/>
                <w:sz w:val="21"/>
                <w:szCs w:val="21"/>
              </w:rPr>
              <w:t>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499" w:type="pct"/>
            <w:vAlign w:val="center"/>
          </w:tcPr>
          <w:p>
            <w:pPr>
              <w:pStyle w:val="146"/>
              <w:ind w:left="-105"/>
              <w:jc w:val="center"/>
              <w:rPr>
                <w:rFonts w:ascii="Times New Roman" w:eastAsia="宋体" w:cs="Times New Roman"/>
                <w:color w:val="auto"/>
                <w:kern w:val="2"/>
                <w:sz w:val="21"/>
                <w:szCs w:val="21"/>
              </w:rPr>
            </w:pPr>
            <w:r>
              <w:rPr>
                <w:rFonts w:hint="eastAsia" w:ascii="Times New Roman" w:eastAsia="宋体" w:cs="Times New Roman"/>
                <w:color w:val="auto"/>
                <w:kern w:val="2"/>
                <w:sz w:val="21"/>
                <w:szCs w:val="21"/>
              </w:rPr>
              <w:t>1</w:t>
            </w:r>
          </w:p>
        </w:tc>
        <w:tc>
          <w:tcPr>
            <w:tcW w:w="1061" w:type="pct"/>
            <w:vAlign w:val="center"/>
          </w:tcPr>
          <w:p>
            <w:pPr>
              <w:pStyle w:val="146"/>
              <w:ind w:left="-105"/>
              <w:jc w:val="center"/>
              <w:rPr>
                <w:rFonts w:ascii="Times New Roman" w:eastAsia="宋体" w:cs="Times New Roman"/>
                <w:color w:val="auto"/>
                <w:kern w:val="2"/>
                <w:sz w:val="21"/>
                <w:szCs w:val="21"/>
              </w:rPr>
            </w:pPr>
            <w:r>
              <w:rPr>
                <w:rFonts w:ascii="Times New Roman" w:eastAsia="宋体" w:cs="Times New Roman"/>
                <w:color w:val="auto"/>
                <w:kern w:val="2"/>
                <w:sz w:val="21"/>
                <w:szCs w:val="21"/>
              </w:rPr>
              <w:t>柴油</w:t>
            </w:r>
          </w:p>
        </w:tc>
        <w:tc>
          <w:tcPr>
            <w:tcW w:w="1193" w:type="pct"/>
            <w:vAlign w:val="center"/>
          </w:tcPr>
          <w:p>
            <w:pPr>
              <w:pStyle w:val="146"/>
              <w:ind w:left="-105"/>
              <w:jc w:val="center"/>
              <w:rPr>
                <w:rFonts w:ascii="Times New Roman" w:eastAsia="宋体" w:cs="Times New Roman"/>
                <w:color w:val="auto"/>
                <w:kern w:val="2"/>
                <w:sz w:val="21"/>
                <w:szCs w:val="21"/>
              </w:rPr>
            </w:pPr>
            <w:r>
              <w:rPr>
                <w:rFonts w:hint="eastAsia" w:ascii="Times New Roman" w:eastAsia="宋体" w:cs="Times New Roman"/>
                <w:color w:val="auto"/>
                <w:kern w:val="2"/>
                <w:sz w:val="21"/>
                <w:szCs w:val="21"/>
              </w:rPr>
              <w:t>/</w:t>
            </w:r>
          </w:p>
        </w:tc>
        <w:tc>
          <w:tcPr>
            <w:tcW w:w="873" w:type="pct"/>
            <w:vAlign w:val="center"/>
          </w:tcPr>
          <w:p>
            <w:pPr>
              <w:pStyle w:val="146"/>
              <w:ind w:left="-105"/>
              <w:jc w:val="center"/>
              <w:rPr>
                <w:rFonts w:ascii="Times New Roman" w:eastAsia="宋体" w:cs="Times New Roman"/>
                <w:color w:val="auto"/>
                <w:kern w:val="2"/>
                <w:sz w:val="21"/>
                <w:szCs w:val="21"/>
              </w:rPr>
            </w:pPr>
            <w:r>
              <w:rPr>
                <w:rFonts w:hint="eastAsia" w:ascii="Times New Roman" w:eastAsia="宋体" w:cs="Times New Roman"/>
                <w:color w:val="auto"/>
                <w:kern w:val="2"/>
                <w:sz w:val="21"/>
                <w:szCs w:val="21"/>
              </w:rPr>
              <w:t>0.17</w:t>
            </w:r>
          </w:p>
        </w:tc>
        <w:tc>
          <w:tcPr>
            <w:tcW w:w="594" w:type="pct"/>
            <w:gridSpan w:val="2"/>
            <w:vAlign w:val="center"/>
          </w:tcPr>
          <w:p>
            <w:pPr>
              <w:pStyle w:val="146"/>
              <w:ind w:left="-105"/>
              <w:jc w:val="center"/>
              <w:rPr>
                <w:rFonts w:ascii="Times New Roman" w:eastAsia="宋体" w:cs="Times New Roman"/>
                <w:color w:val="auto"/>
                <w:kern w:val="2"/>
                <w:sz w:val="21"/>
                <w:szCs w:val="21"/>
              </w:rPr>
            </w:pPr>
            <w:r>
              <w:rPr>
                <w:rFonts w:hint="eastAsia" w:ascii="Times New Roman" w:eastAsia="宋体" w:cs="Times New Roman"/>
                <w:color w:val="auto"/>
                <w:kern w:val="2"/>
                <w:sz w:val="21"/>
                <w:szCs w:val="21"/>
              </w:rPr>
              <w:t>2500</w:t>
            </w:r>
          </w:p>
        </w:tc>
        <w:tc>
          <w:tcPr>
            <w:tcW w:w="780" w:type="pct"/>
            <w:vAlign w:val="center"/>
          </w:tcPr>
          <w:p>
            <w:pPr>
              <w:pStyle w:val="146"/>
              <w:ind w:left="-105"/>
              <w:jc w:val="center"/>
              <w:rPr>
                <w:rFonts w:ascii="Times New Roman" w:eastAsia="宋体" w:cs="Times New Roman"/>
                <w:color w:val="auto"/>
                <w:kern w:val="2"/>
                <w:sz w:val="21"/>
                <w:szCs w:val="21"/>
              </w:rPr>
            </w:pPr>
            <w:r>
              <w:rPr>
                <w:rFonts w:hint="eastAsia" w:ascii="Times New Roman" w:eastAsia="宋体" w:cs="Times New Roman"/>
                <w:color w:val="auto"/>
                <w:kern w:val="2"/>
                <w:sz w:val="21"/>
                <w:szCs w:val="21"/>
              </w:rPr>
              <w:t>0.000068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1" w:hRule="atLeast"/>
          <w:jc w:val="center"/>
        </w:trPr>
        <w:tc>
          <w:tcPr>
            <w:tcW w:w="499" w:type="pct"/>
            <w:vAlign w:val="center"/>
          </w:tcPr>
          <w:p>
            <w:pPr>
              <w:pStyle w:val="146"/>
              <w:ind w:left="-105"/>
              <w:jc w:val="center"/>
              <w:rPr>
                <w:rFonts w:ascii="Times New Roman" w:eastAsia="宋体" w:cs="Times New Roman"/>
                <w:color w:val="auto"/>
                <w:kern w:val="2"/>
                <w:sz w:val="21"/>
                <w:szCs w:val="21"/>
              </w:rPr>
            </w:pPr>
            <w:r>
              <w:rPr>
                <w:rFonts w:hint="eastAsia" w:ascii="Times New Roman" w:eastAsia="宋体" w:cs="Times New Roman"/>
                <w:color w:val="auto"/>
                <w:kern w:val="2"/>
                <w:sz w:val="21"/>
                <w:szCs w:val="21"/>
              </w:rPr>
              <w:t>小计</w:t>
            </w:r>
          </w:p>
        </w:tc>
        <w:tc>
          <w:tcPr>
            <w:tcW w:w="1061" w:type="pct"/>
            <w:vAlign w:val="center"/>
          </w:tcPr>
          <w:p>
            <w:pPr>
              <w:pStyle w:val="146"/>
              <w:ind w:left="-105"/>
              <w:jc w:val="center"/>
              <w:rPr>
                <w:rFonts w:ascii="Times New Roman" w:eastAsia="宋体" w:cs="Times New Roman"/>
                <w:color w:val="auto"/>
                <w:kern w:val="2"/>
                <w:sz w:val="21"/>
                <w:szCs w:val="21"/>
              </w:rPr>
            </w:pPr>
            <w:r>
              <w:rPr>
                <w:rFonts w:hint="eastAsia" w:ascii="Times New Roman" w:eastAsia="宋体" w:cs="Times New Roman"/>
                <w:color w:val="auto"/>
                <w:kern w:val="2"/>
                <w:sz w:val="21"/>
                <w:szCs w:val="21"/>
              </w:rPr>
              <w:t>/</w:t>
            </w:r>
          </w:p>
        </w:tc>
        <w:tc>
          <w:tcPr>
            <w:tcW w:w="1193" w:type="pct"/>
            <w:vAlign w:val="center"/>
          </w:tcPr>
          <w:p>
            <w:pPr>
              <w:pStyle w:val="146"/>
              <w:ind w:left="-105"/>
              <w:jc w:val="center"/>
              <w:rPr>
                <w:rFonts w:ascii="Times New Roman" w:eastAsia="宋体" w:cs="Times New Roman"/>
                <w:color w:val="auto"/>
                <w:kern w:val="2"/>
                <w:sz w:val="21"/>
                <w:szCs w:val="21"/>
              </w:rPr>
            </w:pPr>
            <w:r>
              <w:rPr>
                <w:rFonts w:hint="eastAsia" w:ascii="Times New Roman" w:eastAsia="宋体" w:cs="Times New Roman"/>
                <w:color w:val="auto"/>
                <w:kern w:val="2"/>
                <w:sz w:val="21"/>
                <w:szCs w:val="21"/>
              </w:rPr>
              <w:t>/</w:t>
            </w:r>
          </w:p>
        </w:tc>
        <w:tc>
          <w:tcPr>
            <w:tcW w:w="877" w:type="pct"/>
            <w:gridSpan w:val="2"/>
            <w:vAlign w:val="center"/>
          </w:tcPr>
          <w:p>
            <w:pPr>
              <w:pStyle w:val="146"/>
              <w:ind w:left="-105"/>
              <w:jc w:val="center"/>
              <w:rPr>
                <w:rFonts w:ascii="Times New Roman" w:eastAsia="宋体" w:cs="Times New Roman"/>
                <w:color w:val="auto"/>
                <w:kern w:val="2"/>
                <w:sz w:val="21"/>
                <w:szCs w:val="21"/>
              </w:rPr>
            </w:pPr>
            <w:r>
              <w:rPr>
                <w:rFonts w:hint="eastAsia" w:ascii="Times New Roman" w:eastAsia="宋体" w:cs="Times New Roman"/>
                <w:color w:val="auto"/>
                <w:kern w:val="2"/>
                <w:sz w:val="21"/>
                <w:szCs w:val="21"/>
              </w:rPr>
              <w:t>/</w:t>
            </w:r>
          </w:p>
        </w:tc>
        <w:tc>
          <w:tcPr>
            <w:tcW w:w="590" w:type="pct"/>
            <w:vAlign w:val="center"/>
          </w:tcPr>
          <w:p>
            <w:pPr>
              <w:pStyle w:val="146"/>
              <w:ind w:left="-105"/>
              <w:jc w:val="center"/>
              <w:rPr>
                <w:rFonts w:ascii="Times New Roman" w:eastAsia="宋体" w:cs="Times New Roman"/>
                <w:color w:val="auto"/>
                <w:kern w:val="2"/>
                <w:sz w:val="21"/>
                <w:szCs w:val="21"/>
              </w:rPr>
            </w:pPr>
            <w:r>
              <w:rPr>
                <w:rFonts w:hint="eastAsia" w:ascii="Times New Roman" w:eastAsia="宋体" w:cs="Times New Roman"/>
                <w:color w:val="auto"/>
                <w:kern w:val="2"/>
                <w:sz w:val="21"/>
                <w:szCs w:val="21"/>
              </w:rPr>
              <w:t>/</w:t>
            </w:r>
          </w:p>
        </w:tc>
        <w:tc>
          <w:tcPr>
            <w:tcW w:w="780" w:type="pct"/>
            <w:vAlign w:val="center"/>
          </w:tcPr>
          <w:p>
            <w:pPr>
              <w:pStyle w:val="146"/>
              <w:ind w:left="-105"/>
              <w:jc w:val="center"/>
              <w:rPr>
                <w:rFonts w:ascii="Times New Roman" w:eastAsia="宋体" w:cs="Times New Roman"/>
                <w:color w:val="auto"/>
                <w:kern w:val="2"/>
                <w:sz w:val="21"/>
                <w:szCs w:val="21"/>
              </w:rPr>
            </w:pPr>
            <w:r>
              <w:rPr>
                <w:rFonts w:hint="eastAsia" w:ascii="Times New Roman" w:eastAsia="宋体" w:cs="Times New Roman"/>
                <w:color w:val="auto"/>
                <w:kern w:val="2"/>
                <w:sz w:val="21"/>
                <w:szCs w:val="21"/>
              </w:rPr>
              <w:t>0.000068</w:t>
            </w:r>
          </w:p>
        </w:tc>
      </w:tr>
    </w:tbl>
    <w:p>
      <w:pPr>
        <w:autoSpaceDE w:val="0"/>
        <w:autoSpaceDN w:val="0"/>
        <w:adjustRightInd w:val="0"/>
        <w:spacing w:line="360" w:lineRule="auto"/>
        <w:ind w:firstLine="422" w:firstLineChars="200"/>
        <w:rPr>
          <w:rFonts w:eastAsiaTheme="majorEastAsia"/>
          <w:b/>
          <w:szCs w:val="21"/>
        </w:rPr>
      </w:pPr>
      <w:r>
        <w:rPr>
          <w:rFonts w:hint="eastAsia" w:eastAsiaTheme="majorEastAsia"/>
          <w:b/>
          <w:szCs w:val="21"/>
        </w:rPr>
        <w:t>注：项目柴油最大储存量为200L，柴油密度按0.85g/ml计，则项目柴油最大储存量为</w:t>
      </w:r>
      <w:r>
        <w:rPr>
          <w:rFonts w:eastAsiaTheme="majorEastAsia"/>
          <w:b/>
          <w:szCs w:val="21"/>
        </w:rPr>
        <w:t>170kg</w:t>
      </w:r>
      <w:r>
        <w:rPr>
          <w:rFonts w:hint="eastAsia" w:eastAsiaTheme="majorEastAsia"/>
          <w:b/>
          <w:szCs w:val="21"/>
        </w:rPr>
        <w:t>。</w:t>
      </w:r>
    </w:p>
    <w:p>
      <w:pPr>
        <w:pStyle w:val="46"/>
        <w:spacing w:after="0" w:line="360" w:lineRule="auto"/>
        <w:ind w:left="0" w:leftChars="0" w:firstLine="480"/>
        <w:rPr>
          <w:sz w:val="24"/>
        </w:rPr>
      </w:pPr>
      <w:r>
        <w:rPr>
          <w:rFonts w:hint="eastAsia"/>
          <w:sz w:val="24"/>
        </w:rPr>
        <w:t>因此，本项目</w:t>
      </w:r>
      <w:r>
        <w:rPr>
          <w:sz w:val="24"/>
        </w:rPr>
        <w:t>Q=</w:t>
      </w:r>
      <w:r>
        <w:rPr>
          <w:rFonts w:hint="eastAsia"/>
          <w:sz w:val="24"/>
        </w:rPr>
        <w:t>0.000068＜1。</w:t>
      </w:r>
    </w:p>
    <w:p>
      <w:pPr>
        <w:pStyle w:val="46"/>
        <w:spacing w:after="0" w:line="360" w:lineRule="auto"/>
        <w:ind w:left="0" w:leftChars="0" w:firstLine="482"/>
        <w:rPr>
          <w:b/>
          <w:sz w:val="24"/>
        </w:rPr>
      </w:pPr>
      <w:r>
        <w:rPr>
          <w:rFonts w:hint="eastAsia"/>
          <w:b/>
          <w:sz w:val="24"/>
        </w:rPr>
        <w:t>3、评价等级</w:t>
      </w:r>
    </w:p>
    <w:p>
      <w:pPr>
        <w:spacing w:line="360" w:lineRule="auto"/>
        <w:ind w:firstLine="480" w:firstLineChars="200"/>
        <w:rPr>
          <w:sz w:val="24"/>
        </w:rPr>
      </w:pPr>
      <w:r>
        <w:rPr>
          <w:rFonts w:hint="eastAsia"/>
          <w:sz w:val="24"/>
        </w:rPr>
        <w:t>《建设项目环境风险评价技术导则》（HJ169-2018）给出的评价工作等级确定原则见下表。</w:t>
      </w:r>
    </w:p>
    <w:p>
      <w:pPr>
        <w:pStyle w:val="17"/>
        <w:spacing w:beforeLines="50"/>
        <w:rPr>
          <w:rFonts w:ascii="Times New Roman" w:hAnsi="Times New Roman" w:cs="Times New Roman"/>
          <w:color w:val="auto"/>
          <w:sz w:val="21"/>
        </w:rPr>
      </w:pPr>
      <w:r>
        <w:rPr>
          <w:rFonts w:ascii="Times New Roman" w:hAnsi="Times New Roman" w:cs="Times New Roman"/>
          <w:color w:val="auto"/>
          <w:sz w:val="21"/>
        </w:rPr>
        <w:t>表</w:t>
      </w:r>
      <w:r>
        <w:rPr>
          <w:rFonts w:hint="eastAsia" w:ascii="Times New Roman" w:hAnsi="Times New Roman" w:cs="Times New Roman"/>
          <w:color w:val="auto"/>
          <w:sz w:val="21"/>
        </w:rPr>
        <w:t>3.4-2  风险评价工作级别划分</w:t>
      </w:r>
    </w:p>
    <w:tbl>
      <w:tblPr>
        <w:tblStyle w:val="47"/>
        <w:tblW w:w="852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700"/>
        <w:gridCol w:w="1562"/>
        <w:gridCol w:w="1982"/>
        <w:gridCol w:w="17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7" w:type="dxa"/>
            <w:tcBorders>
              <w:tl2br w:val="nil"/>
              <w:tr2bl w:val="nil"/>
            </w:tcBorders>
            <w:vAlign w:val="center"/>
          </w:tcPr>
          <w:p>
            <w:pPr>
              <w:jc w:val="center"/>
              <w:rPr>
                <w:b/>
                <w:szCs w:val="21"/>
              </w:rPr>
            </w:pPr>
            <w:r>
              <w:rPr>
                <w:b/>
                <w:szCs w:val="21"/>
              </w:rPr>
              <w:t>环境风险潜势</w:t>
            </w:r>
          </w:p>
        </w:tc>
        <w:tc>
          <w:tcPr>
            <w:tcW w:w="1700" w:type="dxa"/>
            <w:tcBorders>
              <w:tl2br w:val="nil"/>
              <w:tr2bl w:val="nil"/>
            </w:tcBorders>
            <w:vAlign w:val="center"/>
          </w:tcPr>
          <w:p>
            <w:pPr>
              <w:jc w:val="center"/>
              <w:rPr>
                <w:b/>
                <w:szCs w:val="21"/>
              </w:rPr>
            </w:pPr>
            <w:r>
              <w:rPr>
                <w:rFonts w:hint="eastAsia" w:ascii="宋体" w:hAnsi="宋体"/>
                <w:b/>
                <w:szCs w:val="21"/>
              </w:rPr>
              <w:t>Ⅳ</w:t>
            </w:r>
            <w:r>
              <w:rPr>
                <w:b/>
                <w:szCs w:val="21"/>
                <w:vertAlign w:val="superscript"/>
              </w:rPr>
              <w:t>+</w:t>
            </w:r>
            <w:r>
              <w:rPr>
                <w:b/>
                <w:szCs w:val="21"/>
              </w:rPr>
              <w:t>、</w:t>
            </w:r>
            <w:r>
              <w:rPr>
                <w:rFonts w:hint="eastAsia" w:ascii="宋体" w:hAnsi="宋体"/>
                <w:b/>
                <w:szCs w:val="21"/>
              </w:rPr>
              <w:t>Ⅳ</w:t>
            </w:r>
          </w:p>
        </w:tc>
        <w:tc>
          <w:tcPr>
            <w:tcW w:w="1562" w:type="dxa"/>
            <w:tcBorders>
              <w:tl2br w:val="nil"/>
              <w:tr2bl w:val="nil"/>
            </w:tcBorders>
            <w:vAlign w:val="center"/>
          </w:tcPr>
          <w:p>
            <w:pPr>
              <w:jc w:val="center"/>
              <w:rPr>
                <w:b/>
                <w:szCs w:val="21"/>
              </w:rPr>
            </w:pPr>
            <w:r>
              <w:rPr>
                <w:rFonts w:hint="eastAsia" w:ascii="宋体" w:hAnsi="宋体"/>
                <w:b/>
                <w:szCs w:val="21"/>
              </w:rPr>
              <w:t>Ⅲ</w:t>
            </w:r>
          </w:p>
        </w:tc>
        <w:tc>
          <w:tcPr>
            <w:tcW w:w="1982" w:type="dxa"/>
            <w:tcBorders>
              <w:tl2br w:val="nil"/>
              <w:tr2bl w:val="nil"/>
            </w:tcBorders>
            <w:vAlign w:val="center"/>
          </w:tcPr>
          <w:p>
            <w:pPr>
              <w:jc w:val="center"/>
              <w:rPr>
                <w:b/>
                <w:szCs w:val="21"/>
              </w:rPr>
            </w:pPr>
            <w:r>
              <w:rPr>
                <w:rFonts w:hint="eastAsia" w:ascii="宋体" w:hAnsi="宋体"/>
                <w:b/>
                <w:szCs w:val="21"/>
              </w:rPr>
              <w:t>Ⅱ</w:t>
            </w:r>
          </w:p>
        </w:tc>
        <w:tc>
          <w:tcPr>
            <w:tcW w:w="1757" w:type="dxa"/>
            <w:tcBorders>
              <w:tl2br w:val="nil"/>
              <w:tr2bl w:val="nil"/>
            </w:tcBorders>
            <w:vAlign w:val="center"/>
          </w:tcPr>
          <w:p>
            <w:pPr>
              <w:jc w:val="center"/>
              <w:rPr>
                <w:b/>
                <w:szCs w:val="21"/>
              </w:rPr>
            </w:pPr>
            <w:r>
              <w:rPr>
                <w:rFonts w:hint="eastAsia" w:ascii="宋体" w:hAnsi="宋体"/>
                <w:b/>
                <w:szCs w:val="21"/>
              </w:rPr>
              <w:t>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7" w:type="dxa"/>
            <w:tcBorders>
              <w:tl2br w:val="nil"/>
              <w:tr2bl w:val="nil"/>
            </w:tcBorders>
            <w:vAlign w:val="center"/>
          </w:tcPr>
          <w:p>
            <w:pPr>
              <w:jc w:val="center"/>
              <w:rPr>
                <w:szCs w:val="21"/>
              </w:rPr>
            </w:pPr>
            <w:r>
              <w:rPr>
                <w:szCs w:val="21"/>
              </w:rPr>
              <w:t>评价工作等级</w:t>
            </w:r>
          </w:p>
        </w:tc>
        <w:tc>
          <w:tcPr>
            <w:tcW w:w="1700" w:type="dxa"/>
            <w:tcBorders>
              <w:tl2br w:val="nil"/>
              <w:tr2bl w:val="nil"/>
            </w:tcBorders>
            <w:vAlign w:val="center"/>
          </w:tcPr>
          <w:p>
            <w:pPr>
              <w:jc w:val="center"/>
              <w:rPr>
                <w:szCs w:val="21"/>
              </w:rPr>
            </w:pPr>
            <w:r>
              <w:rPr>
                <w:szCs w:val="21"/>
              </w:rPr>
              <w:t>一</w:t>
            </w:r>
          </w:p>
        </w:tc>
        <w:tc>
          <w:tcPr>
            <w:tcW w:w="1562" w:type="dxa"/>
            <w:tcBorders>
              <w:tl2br w:val="nil"/>
              <w:tr2bl w:val="nil"/>
            </w:tcBorders>
            <w:vAlign w:val="center"/>
          </w:tcPr>
          <w:p>
            <w:pPr>
              <w:jc w:val="center"/>
              <w:rPr>
                <w:szCs w:val="21"/>
              </w:rPr>
            </w:pPr>
            <w:r>
              <w:rPr>
                <w:szCs w:val="21"/>
              </w:rPr>
              <w:t>二</w:t>
            </w:r>
          </w:p>
        </w:tc>
        <w:tc>
          <w:tcPr>
            <w:tcW w:w="1982" w:type="dxa"/>
            <w:tcBorders>
              <w:tl2br w:val="nil"/>
              <w:tr2bl w:val="nil"/>
            </w:tcBorders>
            <w:vAlign w:val="center"/>
          </w:tcPr>
          <w:p>
            <w:pPr>
              <w:jc w:val="center"/>
              <w:rPr>
                <w:szCs w:val="21"/>
              </w:rPr>
            </w:pPr>
            <w:r>
              <w:rPr>
                <w:szCs w:val="21"/>
              </w:rPr>
              <w:t>三</w:t>
            </w:r>
          </w:p>
        </w:tc>
        <w:tc>
          <w:tcPr>
            <w:tcW w:w="1757" w:type="dxa"/>
            <w:tcBorders>
              <w:tl2br w:val="nil"/>
              <w:tr2bl w:val="nil"/>
            </w:tcBorders>
            <w:vAlign w:val="center"/>
          </w:tcPr>
          <w:p>
            <w:pPr>
              <w:jc w:val="center"/>
              <w:rPr>
                <w:szCs w:val="21"/>
              </w:rPr>
            </w:pPr>
            <w:r>
              <w:rPr>
                <w:szCs w:val="21"/>
              </w:rPr>
              <w:t>简单分析</w:t>
            </w:r>
            <w:r>
              <w:rPr>
                <w:szCs w:val="21"/>
                <w:vertAlign w:val="superscript"/>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8" w:type="dxa"/>
            <w:gridSpan w:val="5"/>
            <w:tcBorders>
              <w:tl2br w:val="nil"/>
              <w:tr2bl w:val="nil"/>
            </w:tcBorders>
            <w:vAlign w:val="center"/>
          </w:tcPr>
          <w:p>
            <w:pPr>
              <w:autoSpaceDE w:val="0"/>
              <w:autoSpaceDN w:val="0"/>
              <w:adjustRightInd w:val="0"/>
              <w:jc w:val="left"/>
              <w:rPr>
                <w:szCs w:val="21"/>
              </w:rPr>
            </w:pPr>
            <w:r>
              <w:rPr>
                <w:kern w:val="0"/>
                <w:szCs w:val="21"/>
                <w:vertAlign w:val="superscript"/>
              </w:rPr>
              <w:t>a</w:t>
            </w:r>
            <w:r>
              <w:rPr>
                <w:rFonts w:hint="eastAsia" w:ascii="宋体" w:cs="宋体" w:hAnsiTheme="minorHAnsi"/>
                <w:kern w:val="0"/>
                <w:szCs w:val="21"/>
              </w:rPr>
              <w:t>是相对于详细评价工作内容而言</w:t>
            </w:r>
            <w:r>
              <w:rPr>
                <w:kern w:val="0"/>
                <w:szCs w:val="21"/>
              </w:rPr>
              <w:t>，在描述危险物质、环境影响途径、环境危害后果、风险防范措施等方面给出定性说明。见附录</w:t>
            </w:r>
            <w:r>
              <w:rPr>
                <w:rFonts w:eastAsia="TimesNewRomanPSMT"/>
                <w:kern w:val="0"/>
                <w:szCs w:val="21"/>
              </w:rPr>
              <w:t>A</w:t>
            </w:r>
            <w:r>
              <w:rPr>
                <w:rFonts w:hint="eastAsia" w:ascii="宋体" w:cs="宋体" w:hAnsiTheme="minorHAnsi"/>
                <w:kern w:val="0"/>
                <w:szCs w:val="21"/>
              </w:rPr>
              <w:t>。</w:t>
            </w:r>
          </w:p>
        </w:tc>
      </w:tr>
    </w:tbl>
    <w:p>
      <w:pPr>
        <w:spacing w:line="360" w:lineRule="auto"/>
        <w:ind w:firstLine="480" w:firstLineChars="200"/>
        <w:rPr>
          <w:sz w:val="24"/>
        </w:rPr>
      </w:pPr>
      <w:r>
        <w:rPr>
          <w:rFonts w:hint="eastAsia"/>
          <w:sz w:val="24"/>
        </w:rPr>
        <w:t>根据《建设项目环境风险评价技术导则》（HJ169-2018）评价等级划分标准，本项目环境风险潜势为I，只对环境风险进行简单分析，在描述危险物质、环境影响途径、环境危害后果、风险防范措施等方面给出定性说明即可</w:t>
      </w:r>
    </w:p>
    <w:p>
      <w:pPr>
        <w:pStyle w:val="7"/>
        <w:adjustRightInd w:val="0"/>
        <w:snapToGrid w:val="0"/>
        <w:spacing w:before="0" w:after="0" w:line="360" w:lineRule="auto"/>
        <w:jc w:val="left"/>
        <w:rPr>
          <w:sz w:val="24"/>
          <w:szCs w:val="24"/>
        </w:rPr>
      </w:pPr>
      <w:r>
        <w:rPr>
          <w:rFonts w:hint="eastAsia"/>
          <w:sz w:val="24"/>
          <w:szCs w:val="24"/>
        </w:rPr>
        <w:t>3.4.3 环境敏感目标概况</w:t>
      </w:r>
    </w:p>
    <w:p>
      <w:pPr>
        <w:pStyle w:val="46"/>
        <w:spacing w:after="0" w:line="360" w:lineRule="auto"/>
        <w:ind w:left="0" w:leftChars="0" w:firstLine="480"/>
        <w:rPr>
          <w:sz w:val="24"/>
        </w:rPr>
      </w:pPr>
      <w:r>
        <w:rPr>
          <w:rFonts w:hint="eastAsia"/>
          <w:sz w:val="24"/>
        </w:rPr>
        <w:t>根据《建设项目环境风险评价技术导则》（HJ169-2018）相关要求，通过对评价范围内大气环境、地表水环境、地下水环境可能受影响的环境敏感目标进行调查。项目周围主要环境敏感目标分布情况详见表2.6-1~2.6-3。</w:t>
      </w:r>
    </w:p>
    <w:p>
      <w:pPr>
        <w:pStyle w:val="7"/>
        <w:adjustRightInd w:val="0"/>
        <w:snapToGrid w:val="0"/>
        <w:spacing w:before="0" w:after="0" w:line="360" w:lineRule="auto"/>
        <w:jc w:val="left"/>
        <w:rPr>
          <w:sz w:val="24"/>
          <w:szCs w:val="24"/>
        </w:rPr>
      </w:pPr>
      <w:r>
        <w:rPr>
          <w:rFonts w:hint="eastAsia"/>
          <w:sz w:val="24"/>
          <w:szCs w:val="24"/>
        </w:rPr>
        <w:t>3.4.4</w:t>
      </w:r>
      <w:r>
        <w:rPr>
          <w:sz w:val="24"/>
          <w:szCs w:val="24"/>
        </w:rPr>
        <w:t xml:space="preserve"> 环境风险识别</w:t>
      </w:r>
    </w:p>
    <w:p>
      <w:pPr>
        <w:snapToGrid w:val="0"/>
        <w:spacing w:line="360" w:lineRule="auto"/>
        <w:ind w:firstLine="480"/>
        <w:rPr>
          <w:sz w:val="24"/>
        </w:rPr>
      </w:pPr>
      <w:r>
        <w:rPr>
          <w:rFonts w:hint="eastAsia"/>
          <w:sz w:val="24"/>
        </w:rPr>
        <w:t>风险识别范围包括生产过程所涉及的物质风险识别和生产设施风险识别。本次评价根据《建设项目环境风险评价技术导则》（</w:t>
      </w:r>
      <w:r>
        <w:rPr>
          <w:sz w:val="24"/>
        </w:rPr>
        <w:t>HJ169-2018</w:t>
      </w:r>
      <w:r>
        <w:rPr>
          <w:rFonts w:hint="eastAsia"/>
          <w:sz w:val="24"/>
        </w:rPr>
        <w:t>）对生产过程所涉及的物质风险和生产设施风险进行识别。环境风险识别范围包括：（</w:t>
      </w:r>
      <w:r>
        <w:rPr>
          <w:sz w:val="24"/>
        </w:rPr>
        <w:t>1</w:t>
      </w:r>
      <w:r>
        <w:rPr>
          <w:rFonts w:hint="eastAsia"/>
          <w:sz w:val="24"/>
        </w:rPr>
        <w:t>）物质风险识别范围：主要原辅助材料、燃料、产品以及生产过程排放的“三废”污染物等。（</w:t>
      </w:r>
      <w:r>
        <w:rPr>
          <w:sz w:val="24"/>
        </w:rPr>
        <w:t>2</w:t>
      </w:r>
      <w:r>
        <w:rPr>
          <w:rFonts w:hint="eastAsia"/>
          <w:sz w:val="24"/>
        </w:rPr>
        <w:t>）生产设施风险识别范围：主要生产装置、贮运系统、公用工程系统、工程环保设施及辅助生产设施等。风险类型根据有毒有害物质放散起因，分为火灾、爆炸和泄漏三种类型。</w:t>
      </w:r>
    </w:p>
    <w:p>
      <w:pPr>
        <w:snapToGrid w:val="0"/>
        <w:spacing w:line="360" w:lineRule="auto"/>
        <w:ind w:firstLine="480"/>
        <w:rPr>
          <w:sz w:val="24"/>
        </w:rPr>
      </w:pPr>
      <w:r>
        <w:rPr>
          <w:rFonts w:hint="eastAsia"/>
          <w:sz w:val="24"/>
        </w:rPr>
        <w:t>本项目柴油属于易燃物质，存在火灾风险；生产设备不属于高温、高压设备，出现事故的可能性很小，可能存在风险的设施主要为：柴油储存间、柴油暖风机和柴油发电机、环保设施。环境风险识别结果如下所示。</w:t>
      </w:r>
    </w:p>
    <w:p>
      <w:pPr>
        <w:widowControl/>
        <w:spacing w:beforeLines="50"/>
        <w:jc w:val="center"/>
        <w:rPr>
          <w:rFonts w:hAnsi="宋体" w:eastAsiaTheme="minorEastAsia"/>
          <w:b/>
          <w:kern w:val="0"/>
          <w:szCs w:val="21"/>
        </w:rPr>
      </w:pPr>
      <w:r>
        <w:rPr>
          <w:rFonts w:hint="eastAsia" w:hAnsi="宋体" w:eastAsiaTheme="minorEastAsia"/>
          <w:b/>
          <w:kern w:val="0"/>
          <w:szCs w:val="21"/>
        </w:rPr>
        <w:t>表3.4-3  环境风险识别结果汇总表</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1454"/>
        <w:gridCol w:w="2246"/>
        <w:gridCol w:w="1384"/>
        <w:gridCol w:w="1573"/>
        <w:gridCol w:w="17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862" w:type="pct"/>
            <w:vAlign w:val="center"/>
          </w:tcPr>
          <w:p>
            <w:pPr>
              <w:jc w:val="center"/>
              <w:rPr>
                <w:b/>
              </w:rPr>
            </w:pPr>
            <w:r>
              <w:rPr>
                <w:b/>
              </w:rPr>
              <w:t>环境风险单元</w:t>
            </w:r>
          </w:p>
        </w:tc>
        <w:tc>
          <w:tcPr>
            <w:tcW w:w="1332" w:type="pct"/>
            <w:vAlign w:val="center"/>
          </w:tcPr>
          <w:p>
            <w:pPr>
              <w:jc w:val="center"/>
              <w:rPr>
                <w:b/>
              </w:rPr>
            </w:pPr>
            <w:r>
              <w:rPr>
                <w:b/>
              </w:rPr>
              <w:t>发生情况</w:t>
            </w:r>
          </w:p>
        </w:tc>
        <w:tc>
          <w:tcPr>
            <w:tcW w:w="821" w:type="pct"/>
            <w:vAlign w:val="center"/>
          </w:tcPr>
          <w:p>
            <w:pPr>
              <w:jc w:val="center"/>
              <w:rPr>
                <w:b/>
              </w:rPr>
            </w:pPr>
            <w:r>
              <w:rPr>
                <w:b/>
              </w:rPr>
              <w:t>后果</w:t>
            </w:r>
          </w:p>
        </w:tc>
        <w:tc>
          <w:tcPr>
            <w:tcW w:w="933" w:type="pct"/>
            <w:vAlign w:val="center"/>
          </w:tcPr>
          <w:p>
            <w:pPr>
              <w:jc w:val="center"/>
              <w:rPr>
                <w:b/>
              </w:rPr>
            </w:pPr>
            <w:r>
              <w:rPr>
                <w:b/>
              </w:rPr>
              <w:t>产生污染</w:t>
            </w:r>
          </w:p>
        </w:tc>
        <w:tc>
          <w:tcPr>
            <w:tcW w:w="1049" w:type="pct"/>
            <w:vAlign w:val="center"/>
          </w:tcPr>
          <w:p>
            <w:pPr>
              <w:jc w:val="center"/>
              <w:rPr>
                <w:b/>
              </w:rPr>
            </w:pPr>
            <w:r>
              <w:rPr>
                <w:b/>
              </w:rPr>
              <w:t>可能受影响的环境敏感目标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862" w:type="pct"/>
            <w:vAlign w:val="center"/>
          </w:tcPr>
          <w:p>
            <w:pPr>
              <w:jc w:val="center"/>
            </w:pPr>
            <w:r>
              <w:rPr>
                <w:rFonts w:hint="eastAsia"/>
              </w:rPr>
              <w:t>柴油发电机</w:t>
            </w:r>
          </w:p>
        </w:tc>
        <w:tc>
          <w:tcPr>
            <w:tcW w:w="1332" w:type="pct"/>
            <w:vAlign w:val="center"/>
          </w:tcPr>
          <w:p>
            <w:pPr>
              <w:jc w:val="center"/>
            </w:pPr>
            <w:r>
              <w:t>遇明火</w:t>
            </w:r>
          </w:p>
        </w:tc>
        <w:tc>
          <w:tcPr>
            <w:tcW w:w="821" w:type="pct"/>
            <w:vAlign w:val="center"/>
          </w:tcPr>
          <w:p>
            <w:pPr>
              <w:jc w:val="center"/>
            </w:pPr>
            <w:r>
              <w:rPr>
                <w:rFonts w:hint="eastAsia" w:ascii="宋体" w:cs="宋体" w:hAnsiTheme="minorHAnsi"/>
                <w:kern w:val="0"/>
                <w:szCs w:val="21"/>
              </w:rPr>
              <w:t>发生火灾、爆炸事故</w:t>
            </w:r>
          </w:p>
        </w:tc>
        <w:tc>
          <w:tcPr>
            <w:tcW w:w="933" w:type="pct"/>
            <w:vAlign w:val="center"/>
          </w:tcPr>
          <w:p>
            <w:pPr>
              <w:jc w:val="center"/>
            </w:pPr>
            <w:r>
              <w:t>废气、废水</w:t>
            </w:r>
          </w:p>
        </w:tc>
        <w:tc>
          <w:tcPr>
            <w:tcW w:w="1049" w:type="pct"/>
            <w:vAlign w:val="center"/>
          </w:tcPr>
          <w:p>
            <w:pPr>
              <w:jc w:val="center"/>
            </w:pPr>
            <w:r>
              <w:rPr>
                <w:rFonts w:hint="eastAsia" w:ascii="宋体" w:cs="宋体" w:hAnsiTheme="minorHAnsi"/>
                <w:kern w:val="0"/>
                <w:szCs w:val="21"/>
              </w:rPr>
              <w:t>周边水体、土壤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862" w:type="pct"/>
            <w:vAlign w:val="center"/>
          </w:tcPr>
          <w:p>
            <w:pPr>
              <w:jc w:val="center"/>
            </w:pPr>
            <w:r>
              <w:t>环保设施</w:t>
            </w:r>
          </w:p>
        </w:tc>
        <w:tc>
          <w:tcPr>
            <w:tcW w:w="1332" w:type="pct"/>
            <w:vAlign w:val="center"/>
          </w:tcPr>
          <w:p>
            <w:pPr>
              <w:jc w:val="center"/>
            </w:pPr>
            <w:r>
              <w:t>废水池池壁出现裂隙</w:t>
            </w:r>
          </w:p>
        </w:tc>
        <w:tc>
          <w:tcPr>
            <w:tcW w:w="821" w:type="pct"/>
            <w:vAlign w:val="center"/>
          </w:tcPr>
          <w:p>
            <w:pPr>
              <w:jc w:val="center"/>
            </w:pPr>
            <w:r>
              <w:rPr>
                <w:rFonts w:hint="eastAsia" w:ascii="宋体" w:cs="宋体" w:hAnsiTheme="minorHAnsi"/>
                <w:kern w:val="0"/>
                <w:szCs w:val="21"/>
              </w:rPr>
              <w:t>废水事故排放</w:t>
            </w:r>
          </w:p>
        </w:tc>
        <w:tc>
          <w:tcPr>
            <w:tcW w:w="933" w:type="pct"/>
            <w:vAlign w:val="center"/>
          </w:tcPr>
          <w:p>
            <w:pPr>
              <w:jc w:val="center"/>
            </w:pPr>
            <w:r>
              <w:t>废水</w:t>
            </w:r>
          </w:p>
        </w:tc>
        <w:tc>
          <w:tcPr>
            <w:tcW w:w="1049" w:type="pct"/>
            <w:vAlign w:val="center"/>
          </w:tcPr>
          <w:p>
            <w:pPr>
              <w:jc w:val="center"/>
            </w:pPr>
            <w:r>
              <w:rPr>
                <w:rFonts w:hint="eastAsia" w:ascii="宋体" w:cs="宋体" w:hAnsiTheme="minorHAnsi"/>
                <w:kern w:val="0"/>
                <w:szCs w:val="21"/>
              </w:rPr>
              <w:t>周边水体、土壤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862" w:type="pct"/>
            <w:vAlign w:val="center"/>
          </w:tcPr>
          <w:p>
            <w:pPr>
              <w:jc w:val="center"/>
              <w:rPr>
                <w:rFonts w:hint="eastAsia" w:eastAsia="宋体"/>
                <w:lang w:eastAsia="zh-CN"/>
              </w:rPr>
            </w:pPr>
            <w:r>
              <w:t>病死鸡</w:t>
            </w:r>
            <w:r>
              <w:rPr>
                <w:rFonts w:hint="eastAsia"/>
                <w:lang w:val="en-US" w:eastAsia="zh-CN"/>
              </w:rPr>
              <w:t>冷柜</w:t>
            </w:r>
          </w:p>
        </w:tc>
        <w:tc>
          <w:tcPr>
            <w:tcW w:w="1332" w:type="pct"/>
            <w:vAlign w:val="center"/>
          </w:tcPr>
          <w:p>
            <w:pPr>
              <w:jc w:val="center"/>
              <w:rPr>
                <w:rFonts w:hint="default"/>
                <w:lang w:val="en-US"/>
              </w:rPr>
            </w:pPr>
            <w:r>
              <w:rPr>
                <w:rFonts w:hint="eastAsia"/>
                <w:lang w:val="en-US" w:eastAsia="zh-CN"/>
              </w:rPr>
              <w:t>停电、冷柜发生故障</w:t>
            </w:r>
          </w:p>
        </w:tc>
        <w:tc>
          <w:tcPr>
            <w:tcW w:w="821" w:type="pct"/>
            <w:vAlign w:val="center"/>
          </w:tcPr>
          <w:p>
            <w:pPr>
              <w:jc w:val="center"/>
            </w:pPr>
            <w:r>
              <w:rPr>
                <w:rFonts w:hint="eastAsia" w:ascii="宋体" w:cs="宋体" w:hAnsiTheme="minorHAnsi"/>
                <w:kern w:val="0"/>
                <w:szCs w:val="21"/>
              </w:rPr>
              <w:t>病死鸡腐烂发出恶臭</w:t>
            </w:r>
          </w:p>
        </w:tc>
        <w:tc>
          <w:tcPr>
            <w:tcW w:w="933" w:type="pct"/>
            <w:vAlign w:val="center"/>
          </w:tcPr>
          <w:p>
            <w:pPr>
              <w:jc w:val="center"/>
            </w:pPr>
            <w:r>
              <w:t>废气</w:t>
            </w:r>
          </w:p>
        </w:tc>
        <w:tc>
          <w:tcPr>
            <w:tcW w:w="1049" w:type="pct"/>
            <w:vAlign w:val="center"/>
          </w:tcPr>
          <w:p>
            <w:pPr>
              <w:jc w:val="center"/>
            </w:pPr>
            <w:r>
              <w:rPr>
                <w:rFonts w:hint="eastAsia" w:ascii="宋体" w:cs="宋体" w:hAnsiTheme="minorHAnsi"/>
                <w:kern w:val="0"/>
                <w:szCs w:val="21"/>
              </w:rPr>
              <w:t>周边大气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97" w:hRule="atLeast"/>
        </w:trPr>
        <w:tc>
          <w:tcPr>
            <w:tcW w:w="862" w:type="pct"/>
            <w:vAlign w:val="center"/>
          </w:tcPr>
          <w:p>
            <w:pPr>
              <w:jc w:val="center"/>
            </w:pPr>
            <w:r>
              <w:t>消毒剂储存间</w:t>
            </w:r>
          </w:p>
        </w:tc>
        <w:tc>
          <w:tcPr>
            <w:tcW w:w="1332" w:type="pct"/>
            <w:vAlign w:val="center"/>
          </w:tcPr>
          <w:p>
            <w:pPr>
              <w:jc w:val="center"/>
            </w:pPr>
            <w:r>
              <w:t>消毒剂泄露</w:t>
            </w:r>
          </w:p>
        </w:tc>
        <w:tc>
          <w:tcPr>
            <w:tcW w:w="821" w:type="pct"/>
            <w:vAlign w:val="center"/>
          </w:tcPr>
          <w:p>
            <w:pPr>
              <w:jc w:val="center"/>
            </w:pPr>
            <w:r>
              <w:rPr>
                <w:rFonts w:hint="eastAsia" w:ascii="宋体" w:cs="宋体" w:hAnsiTheme="minorHAnsi"/>
                <w:kern w:val="0"/>
                <w:szCs w:val="21"/>
              </w:rPr>
              <w:t>渗入周边土壤</w:t>
            </w:r>
          </w:p>
        </w:tc>
        <w:tc>
          <w:tcPr>
            <w:tcW w:w="933" w:type="pct"/>
            <w:vAlign w:val="center"/>
          </w:tcPr>
          <w:p>
            <w:pPr>
              <w:jc w:val="center"/>
            </w:pPr>
            <w:r>
              <w:t>固废</w:t>
            </w:r>
          </w:p>
        </w:tc>
        <w:tc>
          <w:tcPr>
            <w:tcW w:w="1049" w:type="pct"/>
            <w:vAlign w:val="center"/>
          </w:tcPr>
          <w:p>
            <w:pPr>
              <w:jc w:val="center"/>
            </w:pPr>
            <w:r>
              <w:rPr>
                <w:rFonts w:hint="eastAsia" w:ascii="宋体" w:cs="宋体" w:hAnsiTheme="minorHAnsi"/>
                <w:kern w:val="0"/>
                <w:szCs w:val="21"/>
              </w:rPr>
              <w:t>周边土壤</w:t>
            </w:r>
          </w:p>
        </w:tc>
      </w:tr>
    </w:tbl>
    <w:p>
      <w:pPr>
        <w:pStyle w:val="5"/>
        <w:adjustRightInd w:val="0"/>
        <w:snapToGrid w:val="0"/>
        <w:spacing w:line="360" w:lineRule="auto"/>
        <w:ind w:firstLine="480" w:firstLineChars="200"/>
        <w:rPr>
          <w:rFonts w:ascii="Times New Roman" w:hAnsi="Times New Roman" w:cs="Times New Roman" w:eastAsiaTheme="majorEastAsia"/>
          <w:sz w:val="24"/>
        </w:rPr>
      </w:pPr>
      <w:bookmarkStart w:id="187" w:name="_Toc10387"/>
      <w:bookmarkStart w:id="188" w:name="_Toc13306"/>
      <w:bookmarkStart w:id="189" w:name="_Toc9090"/>
      <w:bookmarkStart w:id="190" w:name="_Toc517522268"/>
      <w:bookmarkStart w:id="191" w:name="_Toc8305"/>
      <w:bookmarkStart w:id="192" w:name="_Toc20465"/>
      <w:bookmarkStart w:id="193" w:name="_Toc19296"/>
      <w:bookmarkStart w:id="194" w:name="OLE_LINK16"/>
    </w:p>
    <w:p>
      <w:p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187"/>
    <w:bookmarkEnd w:id="188"/>
    <w:bookmarkEnd w:id="189"/>
    <w:bookmarkEnd w:id="190"/>
    <w:bookmarkEnd w:id="191"/>
    <w:bookmarkEnd w:id="192"/>
    <w:bookmarkEnd w:id="193"/>
    <w:bookmarkEnd w:id="194"/>
    <w:p>
      <w:pPr>
        <w:pStyle w:val="4"/>
        <w:pageBreakBefore/>
        <w:numPr>
          <w:ilvl w:val="0"/>
          <w:numId w:val="0"/>
        </w:numPr>
        <w:spacing w:beforeLines="0" w:line="360" w:lineRule="auto"/>
        <w:jc w:val="center"/>
        <w:rPr>
          <w:rFonts w:eastAsia="宋体"/>
        </w:rPr>
      </w:pPr>
      <w:bookmarkStart w:id="195" w:name="_Toc22856"/>
      <w:bookmarkStart w:id="196" w:name="_Toc333863816"/>
      <w:bookmarkStart w:id="197" w:name="_Toc7195"/>
      <w:bookmarkStart w:id="198" w:name="_Toc11074"/>
      <w:bookmarkStart w:id="199" w:name="_Toc29748"/>
      <w:bookmarkStart w:id="200" w:name="_Toc448849783"/>
      <w:bookmarkStart w:id="201" w:name="_Toc23350"/>
      <w:bookmarkStart w:id="202" w:name="_Toc517522290"/>
      <w:bookmarkStart w:id="203" w:name="_Toc23859"/>
      <w:bookmarkStart w:id="204" w:name="_Toc123886407"/>
      <w:r>
        <w:rPr>
          <w:rFonts w:hint="eastAsia" w:eastAsia="宋体"/>
        </w:rPr>
        <w:t>4</w:t>
      </w:r>
      <w:bookmarkEnd w:id="195"/>
      <w:bookmarkEnd w:id="196"/>
      <w:bookmarkEnd w:id="197"/>
      <w:bookmarkEnd w:id="198"/>
      <w:bookmarkEnd w:id="199"/>
      <w:bookmarkEnd w:id="200"/>
      <w:bookmarkEnd w:id="201"/>
      <w:bookmarkEnd w:id="202"/>
      <w:bookmarkEnd w:id="203"/>
      <w:r>
        <w:rPr>
          <w:rFonts w:hint="eastAsia" w:eastAsia="宋体"/>
        </w:rPr>
        <w:t xml:space="preserve"> </w:t>
      </w:r>
      <w:r>
        <w:rPr>
          <w:rFonts w:eastAsia="宋体"/>
        </w:rPr>
        <w:t>区域环境概况</w:t>
      </w:r>
      <w:bookmarkEnd w:id="204"/>
    </w:p>
    <w:p>
      <w:pPr>
        <w:pStyle w:val="6"/>
        <w:numPr>
          <w:ilvl w:val="0"/>
          <w:numId w:val="0"/>
        </w:numPr>
        <w:spacing w:before="0" w:after="0" w:line="360" w:lineRule="auto"/>
        <w:rPr>
          <w:rFonts w:ascii="Times New Roman" w:hAnsi="Times New Roman" w:eastAsia="宋体"/>
          <w:szCs w:val="30"/>
        </w:rPr>
      </w:pPr>
      <w:bookmarkStart w:id="205" w:name="_Toc26986"/>
      <w:bookmarkStart w:id="206" w:name="_Toc30051"/>
      <w:bookmarkStart w:id="207" w:name="_Toc28339"/>
      <w:bookmarkStart w:id="208" w:name="_Toc448849784"/>
      <w:bookmarkStart w:id="209" w:name="_Toc123886408"/>
      <w:bookmarkStart w:id="210" w:name="_Toc333863817"/>
      <w:bookmarkStart w:id="211" w:name="_Toc517522291"/>
      <w:bookmarkStart w:id="212" w:name="_Toc31954"/>
      <w:bookmarkStart w:id="213" w:name="_Toc18309"/>
      <w:bookmarkStart w:id="214" w:name="_Toc17759"/>
      <w:r>
        <w:rPr>
          <w:rFonts w:hint="eastAsia" w:ascii="Times New Roman" w:hAnsi="Times New Roman" w:eastAsia="宋体"/>
          <w:szCs w:val="30"/>
        </w:rPr>
        <w:t>4</w:t>
      </w:r>
      <w:r>
        <w:rPr>
          <w:rFonts w:ascii="Times New Roman" w:hAnsi="Times New Roman" w:eastAsia="宋体"/>
          <w:szCs w:val="30"/>
        </w:rPr>
        <w:t>.1 自然环境概况</w:t>
      </w:r>
      <w:bookmarkEnd w:id="205"/>
      <w:bookmarkEnd w:id="206"/>
      <w:bookmarkEnd w:id="207"/>
      <w:bookmarkEnd w:id="208"/>
      <w:bookmarkEnd w:id="209"/>
      <w:bookmarkEnd w:id="210"/>
      <w:bookmarkEnd w:id="211"/>
      <w:bookmarkEnd w:id="212"/>
      <w:bookmarkEnd w:id="213"/>
      <w:bookmarkEnd w:id="214"/>
    </w:p>
    <w:p>
      <w:pPr>
        <w:pStyle w:val="7"/>
        <w:adjustRightInd w:val="0"/>
        <w:snapToGrid w:val="0"/>
        <w:spacing w:before="0" w:after="0" w:line="360" w:lineRule="auto"/>
        <w:jc w:val="left"/>
        <w:rPr>
          <w:sz w:val="24"/>
          <w:szCs w:val="24"/>
        </w:rPr>
      </w:pPr>
      <w:bookmarkStart w:id="215" w:name="_Toc11127"/>
      <w:bookmarkStart w:id="216" w:name="_Toc23256"/>
      <w:bookmarkStart w:id="217" w:name="_Toc23245"/>
      <w:bookmarkStart w:id="218" w:name="_Toc517522292"/>
      <w:bookmarkStart w:id="219" w:name="_Toc30872"/>
      <w:bookmarkStart w:id="220" w:name="_Toc7872"/>
      <w:bookmarkStart w:id="221" w:name="_Toc19883"/>
      <w:r>
        <w:rPr>
          <w:rFonts w:hint="eastAsia"/>
          <w:sz w:val="24"/>
          <w:szCs w:val="24"/>
        </w:rPr>
        <w:t>4</w:t>
      </w:r>
      <w:r>
        <w:rPr>
          <w:sz w:val="24"/>
          <w:szCs w:val="24"/>
        </w:rPr>
        <w:t>.1.1</w:t>
      </w:r>
      <w:r>
        <w:rPr>
          <w:rFonts w:hint="eastAsia"/>
          <w:sz w:val="24"/>
          <w:szCs w:val="24"/>
        </w:rPr>
        <w:t xml:space="preserve"> </w:t>
      </w:r>
      <w:r>
        <w:rPr>
          <w:sz w:val="24"/>
          <w:szCs w:val="24"/>
        </w:rPr>
        <w:t>地理位置</w:t>
      </w:r>
      <w:bookmarkEnd w:id="215"/>
      <w:bookmarkEnd w:id="216"/>
      <w:bookmarkEnd w:id="217"/>
      <w:bookmarkEnd w:id="218"/>
      <w:bookmarkEnd w:id="219"/>
      <w:bookmarkEnd w:id="220"/>
      <w:bookmarkEnd w:id="221"/>
    </w:p>
    <w:p>
      <w:pPr>
        <w:pStyle w:val="215"/>
      </w:pPr>
      <w:bookmarkStart w:id="222" w:name="_Toc23528"/>
      <w:bookmarkStart w:id="223" w:name="_Toc15003"/>
      <w:bookmarkStart w:id="224" w:name="_Toc31038"/>
      <w:bookmarkStart w:id="225" w:name="_Toc517522293"/>
      <w:bookmarkStart w:id="226" w:name="_Toc10759"/>
      <w:bookmarkStart w:id="227" w:name="_Toc21022"/>
      <w:bookmarkStart w:id="228" w:name="_Toc18964"/>
      <w:r>
        <w:t>衡阳县位于湖南省中南部，东临衡山县，南靠衡阳市区和衡南县、祁东县，西连邵东县，北接双峰县，南北最长55公里，东西最宽74公里，总面积2558平方公里。现辖乡、镇26个，行政村893个，面积2557.52平方公里，人口111.48万，境内有岣嵝峰国家森林公园及湘西草堂等名胜。地理位置东经112°00ˊ00〞-112°45ˊ00〞，北纬26°52ˊ40〞-27°22ˊ35〞。东、西、北为丘陵、山地，中部和南部为盆地，气候温暖潮湿，有蒸水河及支流武水河两条主要河流。国道107线，省道315线纵贯南北东西，并与各乡镇相连，交通十分便利</w:t>
      </w:r>
      <w:r>
        <w:rPr>
          <w:rFonts w:hint="eastAsia"/>
        </w:rPr>
        <w:t>。</w:t>
      </w:r>
    </w:p>
    <w:p>
      <w:pPr>
        <w:pStyle w:val="215"/>
      </w:pPr>
      <w:r>
        <w:rPr>
          <w:rFonts w:hint="eastAsia"/>
        </w:rPr>
        <w:t>台源镇地处衡阳县境中部，东临杉桥镇、南毗西渡镇，西接栏垅、长安乡、北抵渣江镇，行政区域面积118.95平方千米。</w:t>
      </w:r>
    </w:p>
    <w:p>
      <w:pPr>
        <w:spacing w:line="360" w:lineRule="auto"/>
        <w:ind w:firstLine="480" w:firstLineChars="200"/>
        <w:rPr>
          <w:sz w:val="24"/>
        </w:rPr>
      </w:pPr>
      <w:r>
        <w:rPr>
          <w:rFonts w:hint="eastAsia"/>
          <w:sz w:val="24"/>
        </w:rPr>
        <w:t>本项目位于衡阳县台源镇紫霞村、前进村</w:t>
      </w:r>
      <w:r>
        <w:rPr>
          <w:sz w:val="24"/>
        </w:rPr>
        <w:t>，中心地理坐标为：</w:t>
      </w:r>
      <w:r>
        <w:rPr>
          <w:rFonts w:hint="eastAsia"/>
          <w:sz w:val="24"/>
        </w:rPr>
        <w:t>E 112.400339°，N 27.071417°</w:t>
      </w:r>
      <w:r>
        <w:rPr>
          <w:sz w:val="24"/>
        </w:rPr>
        <w:t>，</w:t>
      </w:r>
      <w:r>
        <w:rPr>
          <w:rFonts w:hint="eastAsia"/>
          <w:sz w:val="24"/>
        </w:rPr>
        <w:t>项目地理位置详见附图1。</w:t>
      </w:r>
    </w:p>
    <w:p>
      <w:pPr>
        <w:pStyle w:val="7"/>
        <w:adjustRightInd w:val="0"/>
        <w:snapToGrid w:val="0"/>
        <w:spacing w:before="0" w:after="0" w:line="360" w:lineRule="auto"/>
        <w:jc w:val="left"/>
        <w:rPr>
          <w:sz w:val="24"/>
          <w:szCs w:val="24"/>
        </w:rPr>
      </w:pPr>
      <w:r>
        <w:rPr>
          <w:rFonts w:hint="eastAsia"/>
          <w:sz w:val="24"/>
          <w:szCs w:val="24"/>
        </w:rPr>
        <w:t>4</w:t>
      </w:r>
      <w:r>
        <w:rPr>
          <w:sz w:val="24"/>
          <w:szCs w:val="24"/>
        </w:rPr>
        <w:t>.1.2</w:t>
      </w:r>
      <w:r>
        <w:rPr>
          <w:rFonts w:hint="eastAsia"/>
          <w:sz w:val="24"/>
          <w:szCs w:val="24"/>
        </w:rPr>
        <w:t xml:space="preserve"> </w:t>
      </w:r>
      <w:r>
        <w:rPr>
          <w:sz w:val="24"/>
          <w:szCs w:val="24"/>
        </w:rPr>
        <w:t>地形、地质、地貌</w:t>
      </w:r>
      <w:bookmarkEnd w:id="222"/>
      <w:bookmarkEnd w:id="223"/>
      <w:bookmarkEnd w:id="224"/>
      <w:bookmarkEnd w:id="225"/>
      <w:bookmarkEnd w:id="226"/>
      <w:bookmarkEnd w:id="227"/>
      <w:bookmarkEnd w:id="228"/>
      <w:r>
        <w:rPr>
          <w:sz w:val="24"/>
          <w:szCs w:val="24"/>
        </w:rPr>
        <w:t>、地震</w:t>
      </w:r>
    </w:p>
    <w:p>
      <w:pPr>
        <w:pStyle w:val="215"/>
      </w:pPr>
      <w:bookmarkStart w:id="229" w:name="_Toc19990"/>
      <w:bookmarkStart w:id="230" w:name="_Toc6668"/>
      <w:bookmarkStart w:id="231" w:name="_Toc22495"/>
      <w:bookmarkStart w:id="232" w:name="_Toc3632"/>
      <w:bookmarkStart w:id="233" w:name="_Toc6147"/>
      <w:bookmarkStart w:id="234" w:name="_Toc517522294"/>
      <w:bookmarkStart w:id="235" w:name="_Toc8663"/>
      <w:r>
        <w:rPr>
          <w:rFonts w:hint="eastAsia"/>
        </w:rPr>
        <w:t>衡阳县位于衡阳盆地中心，地貌类型多样，大致比例是山地20%、丘陵40%、岗地15%、平原25%。本项目所在地地势较平坦，周边区域现有地表主要为丘陵、山地、旱土。境内地貌类型分为构造地貌、侵蚀地貌和堆积地貌。而构造地貌为南岳山体的主要部分。主要地貌特征表现为：（一）地貌类型多样而以山地丘岗为主；（二）阶梯层状结构明显。境内地势中高周低，由海拔1000m以上、700-800m、400-500m、150-200m分别构成四级阶梯状；（三）断层地貌发育。山体两侧皆有断层，凡两级阶梯交界处都有悬谷存在，若有水流，则形成瀑布；（四）地表破碎，岩洞石蛋遍布。因境内降水丰富，各种形式的流水作用活跃，对地表冲刷能力强，使地表分割破碎，河谷发育，河网冲沟密度为2.5km/km</w:t>
      </w:r>
      <w:r>
        <w:rPr>
          <w:rFonts w:hint="eastAsia"/>
          <w:vertAlign w:val="superscript"/>
        </w:rPr>
        <w:t>2</w:t>
      </w:r>
      <w:r>
        <w:rPr>
          <w:rFonts w:hint="eastAsia"/>
        </w:rPr>
        <w:t>。</w:t>
      </w:r>
    </w:p>
    <w:p>
      <w:pPr>
        <w:pStyle w:val="215"/>
      </w:pPr>
      <w:r>
        <w:rPr>
          <w:rFonts w:hint="eastAsia"/>
        </w:rPr>
        <w:t>区域地质构造以单一的褶皱为主，属相对构造稳定区。根据本区历史地震记载以及《中国地震区划图》和《湖南省地震烈度分区土图》等资料表明，本区地震基本烈度为V度区。项目拟建地地面标高141-160m，最大高差19m。</w:t>
      </w:r>
    </w:p>
    <w:p>
      <w:pPr>
        <w:pStyle w:val="7"/>
        <w:adjustRightInd w:val="0"/>
        <w:snapToGrid w:val="0"/>
        <w:spacing w:before="0" w:after="0" w:line="360" w:lineRule="auto"/>
        <w:jc w:val="left"/>
        <w:rPr>
          <w:sz w:val="24"/>
          <w:szCs w:val="24"/>
        </w:rPr>
      </w:pPr>
      <w:r>
        <w:rPr>
          <w:rFonts w:hint="eastAsia"/>
          <w:sz w:val="24"/>
          <w:szCs w:val="24"/>
        </w:rPr>
        <w:t>4</w:t>
      </w:r>
      <w:r>
        <w:rPr>
          <w:sz w:val="24"/>
          <w:szCs w:val="24"/>
        </w:rPr>
        <w:t>.1.3</w:t>
      </w:r>
      <w:r>
        <w:rPr>
          <w:rFonts w:hint="eastAsia"/>
          <w:sz w:val="24"/>
          <w:szCs w:val="24"/>
        </w:rPr>
        <w:t xml:space="preserve"> </w:t>
      </w:r>
      <w:r>
        <w:rPr>
          <w:sz w:val="24"/>
          <w:szCs w:val="24"/>
        </w:rPr>
        <w:t>气候、气象</w:t>
      </w:r>
      <w:bookmarkEnd w:id="229"/>
      <w:bookmarkEnd w:id="230"/>
      <w:bookmarkEnd w:id="231"/>
      <w:bookmarkEnd w:id="232"/>
      <w:bookmarkEnd w:id="233"/>
      <w:bookmarkEnd w:id="234"/>
      <w:bookmarkEnd w:id="235"/>
      <w:r>
        <w:rPr>
          <w:sz w:val="24"/>
          <w:szCs w:val="24"/>
        </w:rPr>
        <w:t>、降水</w:t>
      </w:r>
    </w:p>
    <w:p>
      <w:pPr>
        <w:tabs>
          <w:tab w:val="left" w:pos="3544"/>
        </w:tabs>
        <w:adjustRightInd w:val="0"/>
        <w:snapToGrid w:val="0"/>
        <w:spacing w:line="360" w:lineRule="auto"/>
        <w:ind w:firstLine="480" w:firstLineChars="200"/>
        <w:rPr>
          <w:sz w:val="24"/>
        </w:rPr>
      </w:pPr>
      <w:r>
        <w:rPr>
          <w:rFonts w:hint="eastAsia"/>
          <w:color w:val="auto"/>
          <w:sz w:val="24"/>
          <w:u w:val="none"/>
        </w:rPr>
        <w:t>衡阳县气候温暖湿润，属亚热带季风气候，具有热量充足、雨水集中、春暖多变、夏秋多旱、冬寒期短、暑热期长的特征。根据衡阳县气象站的2001~2020年气象统计数据，衡阳县多年平均气温18.5℃，极端最高气温40.8℃，极端最低气温-4.5℃；年平均降雨量为1194.5mm；相对湿度76.5%；多年平均风速为1.9m/s；近20年统计主导风向为N，风向频率为25%。多年平均降雨量</w:t>
      </w:r>
      <w:r>
        <w:rPr>
          <w:rFonts w:hint="eastAsia"/>
          <w:color w:val="auto"/>
          <w:sz w:val="24"/>
          <w:u w:val="none"/>
          <w:lang w:val="en-US" w:eastAsia="zh-CN"/>
        </w:rPr>
        <w:t>1194.5</w:t>
      </w:r>
      <w:r>
        <w:rPr>
          <w:rFonts w:hint="eastAsia"/>
          <w:color w:val="auto"/>
          <w:sz w:val="24"/>
          <w:u w:val="none"/>
        </w:rPr>
        <w:t>mm</w:t>
      </w:r>
      <w:r>
        <w:rPr>
          <w:sz w:val="24"/>
        </w:rPr>
        <w:t>。</w:t>
      </w:r>
    </w:p>
    <w:p>
      <w:pPr>
        <w:pStyle w:val="146"/>
        <w:spacing w:afterLines="50"/>
        <w:jc w:val="center"/>
        <w:rPr>
          <w:rFonts w:ascii="Times New Roman" w:cs="Times New Roman" w:eastAsiaTheme="majorEastAsia"/>
          <w:b/>
          <w:color w:val="auto"/>
          <w:sz w:val="21"/>
          <w:szCs w:val="21"/>
        </w:rPr>
      </w:pPr>
      <w:r>
        <w:rPr>
          <w:b/>
          <w:bCs/>
          <w:color w:val="0000FF"/>
        </w:rPr>
        <w:drawing>
          <wp:inline distT="0" distB="0" distL="0" distR="0">
            <wp:extent cx="1076325" cy="1447800"/>
            <wp:effectExtent l="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076325" cy="1447800"/>
                    </a:xfrm>
                    <a:prstGeom prst="rect">
                      <a:avLst/>
                    </a:prstGeom>
                    <a:noFill/>
                    <a:ln>
                      <a:noFill/>
                    </a:ln>
                  </pic:spPr>
                </pic:pic>
              </a:graphicData>
            </a:graphic>
          </wp:inline>
        </w:drawing>
      </w:r>
    </w:p>
    <w:p>
      <w:pPr>
        <w:pStyle w:val="146"/>
        <w:spacing w:afterLines="50"/>
        <w:jc w:val="center"/>
        <w:rPr>
          <w:rFonts w:ascii="Times New Roman" w:cs="Times New Roman" w:eastAsiaTheme="majorEastAsia"/>
          <w:b/>
          <w:color w:val="auto"/>
          <w:sz w:val="21"/>
          <w:szCs w:val="21"/>
        </w:rPr>
      </w:pPr>
      <w:r>
        <w:rPr>
          <w:rFonts w:ascii="Times New Roman" w:cs="Times New Roman" w:eastAsiaTheme="majorEastAsia"/>
          <w:b/>
          <w:color w:val="auto"/>
          <w:sz w:val="21"/>
          <w:szCs w:val="21"/>
        </w:rPr>
        <w:t>图</w:t>
      </w:r>
      <w:r>
        <w:rPr>
          <w:rFonts w:hint="eastAsia" w:ascii="Times New Roman" w:cs="Times New Roman" w:eastAsiaTheme="majorEastAsia"/>
          <w:b/>
          <w:color w:val="auto"/>
          <w:sz w:val="21"/>
          <w:szCs w:val="21"/>
        </w:rPr>
        <w:t xml:space="preserve">4.1-1  </w:t>
      </w:r>
      <w:r>
        <w:rPr>
          <w:rFonts w:ascii="Times New Roman" w:cs="Times New Roman" w:eastAsiaTheme="majorEastAsia"/>
          <w:b/>
          <w:color w:val="auto"/>
          <w:sz w:val="21"/>
          <w:szCs w:val="21"/>
        </w:rPr>
        <w:t>衡阳县风玫瑰图</w:t>
      </w:r>
    </w:p>
    <w:p>
      <w:pPr>
        <w:pStyle w:val="7"/>
        <w:adjustRightInd w:val="0"/>
        <w:snapToGrid w:val="0"/>
        <w:spacing w:before="0" w:after="0" w:line="360" w:lineRule="auto"/>
        <w:jc w:val="left"/>
        <w:rPr>
          <w:sz w:val="24"/>
          <w:szCs w:val="24"/>
        </w:rPr>
      </w:pPr>
      <w:bookmarkStart w:id="236" w:name="_Toc27099"/>
      <w:bookmarkStart w:id="237" w:name="_Toc17929"/>
      <w:bookmarkStart w:id="238" w:name="_Toc14935"/>
      <w:bookmarkStart w:id="239" w:name="_Toc517522295"/>
      <w:bookmarkStart w:id="240" w:name="_Toc2852"/>
      <w:bookmarkStart w:id="241" w:name="_Toc27085"/>
      <w:bookmarkStart w:id="242" w:name="_Toc1970"/>
      <w:r>
        <w:rPr>
          <w:rFonts w:hint="eastAsia"/>
          <w:sz w:val="24"/>
          <w:szCs w:val="24"/>
        </w:rPr>
        <w:t>4</w:t>
      </w:r>
      <w:r>
        <w:rPr>
          <w:sz w:val="24"/>
          <w:szCs w:val="24"/>
        </w:rPr>
        <w:t>.1.4</w:t>
      </w:r>
      <w:r>
        <w:rPr>
          <w:rFonts w:hint="eastAsia"/>
          <w:sz w:val="24"/>
          <w:szCs w:val="24"/>
        </w:rPr>
        <w:t xml:space="preserve"> </w:t>
      </w:r>
      <w:r>
        <w:rPr>
          <w:sz w:val="24"/>
          <w:szCs w:val="24"/>
        </w:rPr>
        <w:t>水文</w:t>
      </w:r>
      <w:bookmarkEnd w:id="236"/>
      <w:bookmarkEnd w:id="237"/>
      <w:bookmarkEnd w:id="238"/>
      <w:bookmarkEnd w:id="239"/>
      <w:bookmarkEnd w:id="240"/>
      <w:bookmarkEnd w:id="241"/>
      <w:bookmarkEnd w:id="242"/>
    </w:p>
    <w:p>
      <w:pPr>
        <w:adjustRightInd w:val="0"/>
        <w:snapToGrid w:val="0"/>
        <w:spacing w:line="360" w:lineRule="auto"/>
        <w:ind w:firstLine="480" w:firstLineChars="200"/>
        <w:rPr>
          <w:sz w:val="24"/>
        </w:rPr>
      </w:pPr>
      <w:r>
        <w:rPr>
          <w:rFonts w:hint="eastAsia"/>
          <w:sz w:val="24"/>
        </w:rPr>
        <w:t>衡阳县境内有湘江、耒水、舂陵江、蒸水。湘江是湖南省最大河流。湘江，长江中游南岸重要支流。又称湘水。主源海洋河，源出广西临桂县海洋坪的龙门 界，于全州附近，汇灌江和罗江，北流入湖南省，经17县市，在湘阴濠河口分为东西两支，至芦林潭又汇合注入洞庭湖。干流全长856千米，流域面积9.46万平方千米，沿途接纳大小支流1300多条，主要支流有潇水、舂陵水、耒水、洣水、蒸水、涟水等。多年平均入湖水量713亿立方米。湘江支流众多，部分支流水土流失较重。零陵以上为上游，流经山区，谷窄、流短、水急，雨期多暴雨， 枯水期地下水补给占</w:t>
      </w:r>
      <w:r>
        <w:rPr>
          <w:sz w:val="24"/>
        </w:rPr>
        <w:t>25%</w:t>
      </w:r>
      <w:r>
        <w:rPr>
          <w:rFonts w:hint="eastAsia"/>
          <w:sz w:val="24"/>
        </w:rPr>
        <w:t>左右。零陵至衡阳为中游，沿岸丘陵起伏，红层盆地错落其间，河宽</w:t>
      </w:r>
      <w:r>
        <w:rPr>
          <w:sz w:val="24"/>
        </w:rPr>
        <w:t>250</w:t>
      </w:r>
      <w:r>
        <w:rPr>
          <w:rFonts w:hint="eastAsia"/>
          <w:sz w:val="24"/>
        </w:rPr>
        <w:t>米</w:t>
      </w:r>
      <w:r>
        <w:rPr>
          <w:rFonts w:hint="eastAsia" w:ascii="MS Gothic" w:hAnsi="MS Gothic" w:eastAsia="MS Gothic" w:cs="MS Gothic"/>
          <w:sz w:val="24"/>
        </w:rPr>
        <w:t>〜</w:t>
      </w:r>
      <w:r>
        <w:rPr>
          <w:sz w:val="24"/>
        </w:rPr>
        <w:t>1000</w:t>
      </w:r>
      <w:r>
        <w:rPr>
          <w:rFonts w:hint="eastAsia"/>
          <w:sz w:val="24"/>
        </w:rPr>
        <w:t>米，常年可通航</w:t>
      </w:r>
      <w:r>
        <w:rPr>
          <w:sz w:val="24"/>
        </w:rPr>
        <w:t>15</w:t>
      </w:r>
      <w:r>
        <w:rPr>
          <w:rFonts w:hint="eastAsia"/>
          <w:sz w:val="24"/>
        </w:rPr>
        <w:t>吨</w:t>
      </w:r>
      <w:r>
        <w:rPr>
          <w:rFonts w:hint="eastAsia" w:ascii="MS Gothic" w:hAnsi="MS Gothic" w:eastAsia="MS Gothic" w:cs="MS Gothic"/>
          <w:sz w:val="24"/>
        </w:rPr>
        <w:t>〜</w:t>
      </w:r>
      <w:r>
        <w:rPr>
          <w:sz w:val="24"/>
        </w:rPr>
        <w:t>200</w:t>
      </w:r>
      <w:r>
        <w:rPr>
          <w:rFonts w:hint="eastAsia"/>
          <w:sz w:val="24"/>
        </w:rPr>
        <w:t>吨驳轮。衡阳以下进入下游，河宽</w:t>
      </w:r>
      <w:r>
        <w:rPr>
          <w:sz w:val="24"/>
        </w:rPr>
        <w:t>500</w:t>
      </w:r>
      <w:r>
        <w:rPr>
          <w:rFonts w:hint="eastAsia"/>
          <w:sz w:val="24"/>
        </w:rPr>
        <w:t>米</w:t>
      </w:r>
      <w:r>
        <w:rPr>
          <w:rFonts w:hint="eastAsia" w:ascii="MS Gothic" w:hAnsi="MS Gothic" w:eastAsia="MS Gothic" w:cs="MS Gothic"/>
          <w:sz w:val="24"/>
        </w:rPr>
        <w:t>〜</w:t>
      </w:r>
      <w:r>
        <w:rPr>
          <w:sz w:val="24"/>
        </w:rPr>
        <w:t>1000</w:t>
      </w:r>
      <w:r>
        <w:rPr>
          <w:rFonts w:hint="eastAsia"/>
          <w:sz w:val="24"/>
        </w:rPr>
        <w:t>米，常年可通航</w:t>
      </w:r>
      <w:r>
        <w:rPr>
          <w:sz w:val="24"/>
        </w:rPr>
        <w:t>15</w:t>
      </w:r>
      <w:r>
        <w:rPr>
          <w:rFonts w:hint="eastAsia"/>
          <w:sz w:val="24"/>
        </w:rPr>
        <w:t>吨</w:t>
      </w:r>
      <w:r>
        <w:rPr>
          <w:rFonts w:hint="eastAsia" w:ascii="MS Gothic" w:hAnsi="MS Gothic" w:eastAsia="MS Gothic" w:cs="MS Gothic"/>
          <w:sz w:val="24"/>
        </w:rPr>
        <w:t>〜</w:t>
      </w:r>
      <w:r>
        <w:rPr>
          <w:sz w:val="24"/>
        </w:rPr>
        <w:t>300</w:t>
      </w:r>
      <w:r>
        <w:rPr>
          <w:rFonts w:hint="eastAsia"/>
          <w:sz w:val="24"/>
        </w:rPr>
        <w:t>吨驳轮，沿河泥沙淤积，多边滩、心滩、沙洲。</w:t>
      </w:r>
    </w:p>
    <w:p>
      <w:pPr>
        <w:adjustRightInd w:val="0"/>
        <w:snapToGrid w:val="0"/>
        <w:spacing w:line="360" w:lineRule="auto"/>
        <w:ind w:firstLine="480" w:firstLineChars="200"/>
        <w:rPr>
          <w:sz w:val="24"/>
        </w:rPr>
      </w:pPr>
      <w:r>
        <w:rPr>
          <w:rFonts w:hint="eastAsia"/>
          <w:sz w:val="24"/>
        </w:rPr>
        <w:t>本项目</w:t>
      </w:r>
      <w:r>
        <w:rPr>
          <w:rFonts w:hint="default" w:hAnsiTheme="minorEastAsia" w:eastAsiaTheme="minorEastAsia"/>
          <w:kern w:val="0"/>
          <w:sz w:val="24"/>
        </w:rPr>
        <w:t>废水经污水处理站处理后</w:t>
      </w:r>
      <w:r>
        <w:rPr>
          <w:rFonts w:hint="eastAsia" w:hAnsiTheme="minorEastAsia" w:eastAsiaTheme="minorEastAsia"/>
          <w:kern w:val="0"/>
          <w:sz w:val="24"/>
          <w:lang w:val="en-US" w:eastAsia="zh-CN"/>
        </w:rPr>
        <w:t>用于</w:t>
      </w:r>
      <w:r>
        <w:rPr>
          <w:rFonts w:hint="default" w:hAnsiTheme="minorEastAsia" w:eastAsiaTheme="minorEastAsia"/>
          <w:kern w:val="0"/>
          <w:sz w:val="24"/>
        </w:rPr>
        <w:t>周边种植基地灌溉，不外排</w:t>
      </w:r>
      <w:r>
        <w:rPr>
          <w:rFonts w:hint="eastAsia"/>
          <w:sz w:val="24"/>
        </w:rPr>
        <w:t>，不涉及纳污水体</w:t>
      </w:r>
      <w:r>
        <w:rPr>
          <w:rFonts w:hint="eastAsia"/>
          <w:sz w:val="24"/>
          <w:lang w:eastAsia="zh-CN"/>
        </w:rPr>
        <w:t>；</w:t>
      </w:r>
      <w:r>
        <w:rPr>
          <w:rFonts w:hint="eastAsia"/>
          <w:sz w:val="24"/>
        </w:rPr>
        <w:t>雨水分区排入周边雨水排水沟渠；项目附近水体均属农田灌溉水质</w:t>
      </w:r>
      <w:r>
        <w:rPr>
          <w:sz w:val="24"/>
        </w:rPr>
        <w:t>。</w:t>
      </w:r>
    </w:p>
    <w:p>
      <w:pPr>
        <w:pStyle w:val="7"/>
        <w:adjustRightInd w:val="0"/>
        <w:snapToGrid w:val="0"/>
        <w:spacing w:before="0" w:after="0" w:line="360" w:lineRule="auto"/>
        <w:jc w:val="left"/>
        <w:rPr>
          <w:sz w:val="24"/>
          <w:szCs w:val="24"/>
        </w:rPr>
      </w:pPr>
      <w:r>
        <w:rPr>
          <w:rFonts w:hint="eastAsia"/>
          <w:sz w:val="24"/>
          <w:szCs w:val="24"/>
        </w:rPr>
        <w:t>4</w:t>
      </w:r>
      <w:r>
        <w:rPr>
          <w:sz w:val="24"/>
          <w:szCs w:val="24"/>
        </w:rPr>
        <w:t>.1.5 地下水</w:t>
      </w:r>
    </w:p>
    <w:p>
      <w:pPr>
        <w:pStyle w:val="215"/>
      </w:pPr>
      <w:r>
        <w:rPr>
          <w:rFonts w:hint="eastAsia"/>
        </w:rPr>
        <w:t>湖南省地下水分为碳酸盐岩类型裂隙岩溶水、基岩裂隙水、红层裂隙孔隙-裂隙水、松散岩类孔隙水四种类型，碳酸盐岩类裂隙岩溶水主要分布在湘西武陵山、雪峰山，湘中新化-涟源-邵阳-武岗，湖南新田，湘东株洲-茶陵等地。基岩裂隙水中亚类碎屑岩裂隙水分布在湘西北、湘中南、湘东南，出露面积占全省总面积的10.86%；亚类浅变质岩裂隙水分布于武陵山、雪峰山、湘东及湘南等大部分地区；亚类岩浆裂隙水分布在雪峰山以东地区。红层裂隙孔隙-裂隙水分布在各地80余个盆地，占全省面积12.68%，松散岩类孔隙水主要分布在洞庭湖地区及“四水”河流沿岸。</w:t>
      </w:r>
    </w:p>
    <w:p>
      <w:pPr>
        <w:adjustRightInd w:val="0"/>
        <w:snapToGrid w:val="0"/>
        <w:spacing w:line="360" w:lineRule="auto"/>
        <w:ind w:firstLine="480" w:firstLineChars="200"/>
        <w:rPr>
          <w:sz w:val="24"/>
        </w:rPr>
      </w:pPr>
      <w:r>
        <w:rPr>
          <w:rFonts w:hint="eastAsia"/>
          <w:sz w:val="24"/>
        </w:rPr>
        <w:t>碳酸盐岩分布面积占全省28.44%，主要为三迭、二迭、石碳、泥盆、奥陶及寒武系底层。分碳酸盐岩岩溶水和碎屑岩、碳酸岩裂岩溶水两种。各类型又分为裸露型、覆盖型和埋藏型。其富水程度取决于岩溶发育程度；碳酸盐岩质纯、厚度大、近地表浅部、断裂带、储水构造，其富水性强。常有大泉或暗河出露。单井水量最大达1000m</w:t>
      </w:r>
      <w:r>
        <w:rPr>
          <w:rFonts w:hint="eastAsia"/>
          <w:sz w:val="24"/>
          <w:vertAlign w:val="superscript"/>
        </w:rPr>
        <w:t>3</w:t>
      </w:r>
      <w:r>
        <w:rPr>
          <w:rFonts w:hint="eastAsia"/>
          <w:sz w:val="24"/>
        </w:rPr>
        <w:t>/d以上，枯水期水量衰减约50%，水量约为5000m</w:t>
      </w:r>
      <w:r>
        <w:rPr>
          <w:rFonts w:hint="eastAsia"/>
          <w:sz w:val="24"/>
          <w:vertAlign w:val="superscript"/>
        </w:rPr>
        <w:t>3</w:t>
      </w:r>
      <w:r>
        <w:rPr>
          <w:rFonts w:hint="eastAsia"/>
          <w:sz w:val="24"/>
        </w:rPr>
        <w:t>/d。</w:t>
      </w:r>
    </w:p>
    <w:p>
      <w:pPr>
        <w:adjustRightInd w:val="0"/>
        <w:snapToGrid w:val="0"/>
        <w:spacing w:line="360" w:lineRule="auto"/>
        <w:ind w:firstLine="480" w:firstLineChars="200"/>
        <w:rPr>
          <w:sz w:val="24"/>
        </w:rPr>
      </w:pPr>
      <w:r>
        <w:rPr>
          <w:rFonts w:hint="eastAsia"/>
          <w:sz w:val="24"/>
        </w:rPr>
        <w:t>本项目所在区域地下水位于碳酸盐岩类碎屑岩类含水岩组。根据现场调查，项目拟建地周边居民饮用水源采用自打地下水井作为饮用水源。项目拟建地区域内地下水源较丰富，项目所在地地下水位高，水质好，水量充足。目前，仅有农村居民使用井水，未进行其他地下水开发利用。</w:t>
      </w:r>
    </w:p>
    <w:p>
      <w:pPr>
        <w:pStyle w:val="7"/>
        <w:adjustRightInd w:val="0"/>
        <w:snapToGrid w:val="0"/>
        <w:spacing w:before="0" w:after="0" w:line="360" w:lineRule="auto"/>
        <w:jc w:val="left"/>
        <w:rPr>
          <w:sz w:val="24"/>
          <w:szCs w:val="24"/>
        </w:rPr>
      </w:pPr>
      <w:r>
        <w:rPr>
          <w:rFonts w:hint="eastAsia"/>
          <w:sz w:val="24"/>
          <w:szCs w:val="24"/>
        </w:rPr>
        <w:t>4</w:t>
      </w:r>
      <w:r>
        <w:rPr>
          <w:sz w:val="24"/>
          <w:szCs w:val="24"/>
        </w:rPr>
        <w:t>.1.</w:t>
      </w:r>
      <w:r>
        <w:rPr>
          <w:rFonts w:hint="eastAsia"/>
          <w:sz w:val="24"/>
          <w:szCs w:val="24"/>
        </w:rPr>
        <w:t>6 生态</w:t>
      </w:r>
    </w:p>
    <w:p>
      <w:pPr>
        <w:pStyle w:val="215"/>
      </w:pPr>
      <w:r>
        <w:rPr>
          <w:rFonts w:hint="eastAsia"/>
        </w:rPr>
        <w:t>衡阳县属中亚热带湿润常绿阔叶林区，珍稀和乡土树种多样，物种资源丰富。全县有木本植物89科642种，野生动物45科378种。全县现有三个风光秀美、景观奇特、物种丰富的自然保护区。西有古木参天的岐山森林公园自然保护区，拥有湘南地区唯一一片保存非常完好的原始次生阔叶林，树种多达80科456种；东有层峦叠嶂、竹海茫茫的川口自然保护区，古老的小块钩栗林、青钱柳林保存完好，珍稀野生动物经常出没其中；南有万鸟合鸣、天人合一的江口鸟洲自然保护区，鸟洲的核心区域面积35公顷，由陈家洲、张家洲、龙家洲三个岛组成，形成了良好的生态环境，洲上古树修竹成荫，气候温暖凉爽，附近水库、池塘星罗棋布，稻田、森林延绵成片，鸟类食物丰富，是鸟类活动的理想王国。现一年四季在这里栖息和繁衍的鸟类有17目38科183种，数量多达10万余只。每天清晨和傍晚是鸟出巢和鸟归巢时期，也是观鸟的最佳时期，无数只鸟成群结对，印证了人们的“飞时疑是天上云，落时不见河边”之说，鸟洲也被专家冠以“人群中鸟的天堂”。</w:t>
      </w:r>
    </w:p>
    <w:p>
      <w:pPr>
        <w:pStyle w:val="215"/>
      </w:pPr>
      <w:r>
        <w:rPr>
          <w:rFonts w:hint="eastAsia"/>
        </w:rPr>
        <w:t>评价区地处丘陵坡地，土壤以红壤为主，所在地属于中亚热带常绿阔叶林带，区域内野生植物多为常见种，林木以马尾松、杉木、樟树为主。其次有山地灌草丛和农业植被。经济林树种以油茶为主，干鲜果树种以桔、李、桃为主，主要种植的粮食作物为水稻。</w:t>
      </w:r>
    </w:p>
    <w:p>
      <w:pPr>
        <w:pStyle w:val="215"/>
      </w:pPr>
      <w:r>
        <w:rPr>
          <w:rFonts w:hint="eastAsia"/>
        </w:rPr>
        <w:t>区域内野生动物较少，主要有蛇类、野兔、田鼠、蜥蜴、青蛙、壁虎、山雀、八哥、黄鼠狼等。家畜主要有牛、狗、羊、鸡、鸭、鹅等。水塘中水生鱼类以青、草、鲤、鲫四大家鱼为主。经实地踏勘，评价范围内无自然保护区、风景名胜区等需要特别保护的区域，未发现历史文物古迹和人文景观，无国家明文规定的珍稀动、植物物种和群落。</w:t>
      </w:r>
    </w:p>
    <w:p>
      <w:pPr>
        <w:pStyle w:val="6"/>
        <w:numPr>
          <w:ilvl w:val="0"/>
          <w:numId w:val="0"/>
        </w:numPr>
        <w:rPr>
          <w:rFonts w:ascii="Times New Roman" w:hAnsi="Times New Roman" w:eastAsia="宋体"/>
          <w:szCs w:val="30"/>
        </w:rPr>
      </w:pPr>
      <w:bookmarkStart w:id="243" w:name="_Toc123886409"/>
      <w:bookmarkStart w:id="244" w:name="_Toc2812"/>
      <w:bookmarkStart w:id="245" w:name="_Toc487117469"/>
      <w:bookmarkStart w:id="246" w:name="_Toc29848"/>
      <w:bookmarkStart w:id="247" w:name="_Toc31027"/>
      <w:bookmarkStart w:id="248" w:name="_Toc517522297"/>
      <w:bookmarkStart w:id="249" w:name="_Toc19134"/>
      <w:bookmarkStart w:id="250" w:name="_Toc15465"/>
      <w:bookmarkStart w:id="251" w:name="_Toc31706"/>
      <w:bookmarkStart w:id="252" w:name="_Toc448849787"/>
      <w:bookmarkStart w:id="253" w:name="_Toc7420"/>
      <w:r>
        <w:rPr>
          <w:rFonts w:hint="eastAsia" w:ascii="Times New Roman" w:hAnsi="Times New Roman" w:eastAsia="宋体"/>
          <w:szCs w:val="30"/>
        </w:rPr>
        <w:t>4</w:t>
      </w:r>
      <w:r>
        <w:rPr>
          <w:rFonts w:ascii="Times New Roman" w:hAnsi="Times New Roman" w:eastAsia="宋体"/>
          <w:szCs w:val="30"/>
        </w:rPr>
        <w:t>.</w:t>
      </w:r>
      <w:r>
        <w:rPr>
          <w:rFonts w:hint="eastAsia" w:ascii="Times New Roman" w:hAnsi="Times New Roman" w:eastAsia="宋体"/>
          <w:szCs w:val="30"/>
        </w:rPr>
        <w:t xml:space="preserve">2 </w:t>
      </w:r>
      <w:r>
        <w:rPr>
          <w:rFonts w:ascii="Times New Roman" w:hAnsi="Times New Roman" w:eastAsia="宋体"/>
          <w:szCs w:val="30"/>
        </w:rPr>
        <w:t>区域污染源调查</w:t>
      </w:r>
      <w:bookmarkEnd w:id="243"/>
      <w:bookmarkEnd w:id="244"/>
      <w:bookmarkEnd w:id="245"/>
    </w:p>
    <w:p>
      <w:pPr>
        <w:pStyle w:val="215"/>
      </w:pPr>
      <w:r>
        <w:t>项目位于</w:t>
      </w:r>
      <w:r>
        <w:rPr>
          <w:rFonts w:hint="eastAsia"/>
        </w:rPr>
        <w:t>衡阳县台源镇紫霞村、前进村</w:t>
      </w:r>
      <w:r>
        <w:t>，</w:t>
      </w:r>
      <w:r>
        <w:rPr>
          <w:rFonts w:hint="eastAsia"/>
        </w:rPr>
        <w:t>生活污染源主要为项目西南侧前进村、东南侧紫霞村及北侧</w:t>
      </w:r>
      <w:r>
        <w:t>东湖寺村</w:t>
      </w:r>
      <w:r>
        <w:rPr>
          <w:rFonts w:hint="eastAsia"/>
        </w:rPr>
        <w:t>，其主要污染物为生活污水及生活垃圾。</w:t>
      </w:r>
    </w:p>
    <w:p>
      <w:pPr>
        <w:pStyle w:val="215"/>
      </w:pPr>
      <w:r>
        <w:rPr>
          <w:rFonts w:hint="eastAsia"/>
        </w:rPr>
        <w:t>根据调查，项目周边2.5km范围内，排放恶臭、废水的企业主要为湖南安发原生态农业旅游开发有限公司台源</w:t>
      </w:r>
      <w:r>
        <w:rPr>
          <w:rFonts w:hint="eastAsia"/>
          <w:bCs/>
        </w:rPr>
        <w:t>蛋鸡养殖一场（位于项目北侧约250m，现有养殖规模为年存栏蛋鸡60万羽）、衡阳县旺宏农牧发展有限公司（位于项目东北侧约1.6km，现有养殖规模为年存栏20000头商品猪）。</w:t>
      </w:r>
      <w:r>
        <w:rPr>
          <w:rFonts w:hint="eastAsia"/>
        </w:rPr>
        <w:t>湖南安发原生态农业旅游开发有限公司台源</w:t>
      </w:r>
      <w:r>
        <w:rPr>
          <w:rFonts w:hint="eastAsia"/>
          <w:bCs/>
        </w:rPr>
        <w:t>蛋鸡养殖一场主要从事蛋鸡养殖，鸡舍恶臭气体无组织排放</w:t>
      </w:r>
      <w:r>
        <w:rPr>
          <w:rFonts w:hint="eastAsia"/>
          <w:bCs/>
          <w:lang w:eastAsia="zh-CN"/>
        </w:rPr>
        <w:t>，</w:t>
      </w:r>
      <w:r>
        <w:rPr>
          <w:rFonts w:hint="eastAsia"/>
          <w:bCs/>
          <w:lang w:val="en-US" w:eastAsia="zh-CN"/>
        </w:rPr>
        <w:t>好氧发酵罐恶臭经</w:t>
      </w:r>
      <w:r>
        <w:rPr>
          <w:rFonts w:hint="eastAsia" w:eastAsiaTheme="minorEastAsia"/>
          <w:kern w:val="0"/>
          <w:sz w:val="24"/>
        </w:rPr>
        <w:t>喷雾除臭</w:t>
      </w:r>
      <w:r>
        <w:rPr>
          <w:rFonts w:hint="eastAsia" w:eastAsiaTheme="minorEastAsia"/>
          <w:kern w:val="0"/>
          <w:sz w:val="24"/>
          <w:lang w:val="en-US" w:eastAsia="zh-CN"/>
        </w:rPr>
        <w:t>后通过15m</w:t>
      </w:r>
      <w:r>
        <w:rPr>
          <w:rFonts w:hint="eastAsia"/>
          <w:bCs/>
          <w:lang w:val="en-US" w:eastAsia="zh-CN"/>
        </w:rPr>
        <w:t>排气筒排放</w:t>
      </w:r>
      <w:r>
        <w:rPr>
          <w:rFonts w:hint="eastAsia"/>
          <w:bCs/>
        </w:rPr>
        <w:t>，养殖废水经化粪池处理后用作农肥；衡阳县旺宏农牧发展有限公司主要从事生猪养殖，猪舍、污水处理站及干粪池恶臭无组织排放，养殖废水经污水处理站处理后达标外排。通过</w:t>
      </w:r>
      <w:r>
        <w:rPr>
          <w:rFonts w:hint="eastAsia"/>
        </w:rPr>
        <w:t>湖南安发原生态农业旅游开发有限公司及</w:t>
      </w:r>
      <w:r>
        <w:rPr>
          <w:rFonts w:hint="eastAsia"/>
          <w:bCs/>
        </w:rPr>
        <w:t>衡阳县旺宏农牧发展有限公司提供的环评及其他相关资料，</w:t>
      </w:r>
      <w:r>
        <w:rPr>
          <w:rFonts w:hint="eastAsia"/>
        </w:rPr>
        <w:t>湖南安发原生态农业旅游开发有限公司及</w:t>
      </w:r>
      <w:r>
        <w:rPr>
          <w:rFonts w:hint="eastAsia"/>
          <w:bCs/>
        </w:rPr>
        <w:t>衡阳县旺宏农牧发展有限公司主要污染物及排放情况见下表：</w:t>
      </w:r>
    </w:p>
    <w:p>
      <w:pPr>
        <w:autoSpaceDE w:val="0"/>
        <w:autoSpaceDN w:val="0"/>
        <w:adjustRightInd w:val="0"/>
        <w:spacing w:beforeLines="50"/>
        <w:jc w:val="center"/>
        <w:rPr>
          <w:b/>
          <w:kern w:val="0"/>
          <w:szCs w:val="21"/>
        </w:rPr>
      </w:pPr>
      <w:r>
        <w:rPr>
          <w:b/>
          <w:kern w:val="0"/>
          <w:szCs w:val="21"/>
        </w:rPr>
        <w:t>表4.</w:t>
      </w:r>
      <w:r>
        <w:rPr>
          <w:rFonts w:hint="eastAsia"/>
          <w:b/>
          <w:kern w:val="0"/>
          <w:szCs w:val="21"/>
        </w:rPr>
        <w:t>2</w:t>
      </w:r>
      <w:r>
        <w:rPr>
          <w:b/>
          <w:kern w:val="0"/>
          <w:szCs w:val="21"/>
        </w:rPr>
        <w:t>-1  项目周边企业分布情况</w:t>
      </w:r>
    </w:p>
    <w:tbl>
      <w:tblPr>
        <w:tblStyle w:val="4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5"/>
        <w:gridCol w:w="3686"/>
        <w:gridCol w:w="2268"/>
        <w:gridCol w:w="18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5" w:type="dxa"/>
            <w:vAlign w:val="center"/>
          </w:tcPr>
          <w:p>
            <w:pPr>
              <w:jc w:val="center"/>
              <w:rPr>
                <w:b/>
                <w:kern w:val="0"/>
                <w:szCs w:val="21"/>
              </w:rPr>
            </w:pPr>
            <w:r>
              <w:rPr>
                <w:b/>
                <w:kern w:val="0"/>
                <w:szCs w:val="21"/>
              </w:rPr>
              <w:t>序号</w:t>
            </w:r>
          </w:p>
        </w:tc>
        <w:tc>
          <w:tcPr>
            <w:tcW w:w="3686" w:type="dxa"/>
            <w:vAlign w:val="center"/>
          </w:tcPr>
          <w:p>
            <w:pPr>
              <w:jc w:val="center"/>
              <w:rPr>
                <w:b/>
                <w:kern w:val="0"/>
                <w:szCs w:val="21"/>
              </w:rPr>
            </w:pPr>
            <w:r>
              <w:rPr>
                <w:b/>
                <w:kern w:val="0"/>
                <w:szCs w:val="21"/>
              </w:rPr>
              <w:t>企业名称</w:t>
            </w:r>
          </w:p>
        </w:tc>
        <w:tc>
          <w:tcPr>
            <w:tcW w:w="2268" w:type="dxa"/>
            <w:vAlign w:val="center"/>
          </w:tcPr>
          <w:p>
            <w:pPr>
              <w:jc w:val="center"/>
              <w:rPr>
                <w:b/>
                <w:kern w:val="0"/>
                <w:szCs w:val="21"/>
              </w:rPr>
            </w:pPr>
            <w:r>
              <w:rPr>
                <w:b/>
                <w:kern w:val="0"/>
                <w:szCs w:val="21"/>
              </w:rPr>
              <w:t>产品</w:t>
            </w:r>
          </w:p>
        </w:tc>
        <w:tc>
          <w:tcPr>
            <w:tcW w:w="1899" w:type="dxa"/>
            <w:vAlign w:val="center"/>
          </w:tcPr>
          <w:p>
            <w:pPr>
              <w:jc w:val="center"/>
              <w:rPr>
                <w:b/>
                <w:kern w:val="0"/>
                <w:szCs w:val="21"/>
              </w:rPr>
            </w:pPr>
            <w:r>
              <w:rPr>
                <w:b/>
                <w:kern w:val="0"/>
                <w:szCs w:val="21"/>
              </w:rPr>
              <w:t>主要污染物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5" w:type="dxa"/>
            <w:vAlign w:val="center"/>
          </w:tcPr>
          <w:p>
            <w:pPr>
              <w:jc w:val="center"/>
              <w:rPr>
                <w:kern w:val="0"/>
                <w:szCs w:val="21"/>
              </w:rPr>
            </w:pPr>
            <w:r>
              <w:rPr>
                <w:kern w:val="0"/>
                <w:szCs w:val="21"/>
              </w:rPr>
              <w:t>1</w:t>
            </w:r>
          </w:p>
        </w:tc>
        <w:tc>
          <w:tcPr>
            <w:tcW w:w="3686" w:type="dxa"/>
            <w:vAlign w:val="center"/>
          </w:tcPr>
          <w:p>
            <w:pPr>
              <w:jc w:val="center"/>
              <w:rPr>
                <w:kern w:val="0"/>
                <w:szCs w:val="21"/>
              </w:rPr>
            </w:pPr>
            <w:r>
              <w:rPr>
                <w:rFonts w:hint="eastAsia"/>
                <w:kern w:val="0"/>
                <w:szCs w:val="21"/>
              </w:rPr>
              <w:t>湖南安发原生态农业旅游开发有限公司（台源蛋鸡养殖一场）</w:t>
            </w:r>
          </w:p>
        </w:tc>
        <w:tc>
          <w:tcPr>
            <w:tcW w:w="2268" w:type="dxa"/>
            <w:vAlign w:val="center"/>
          </w:tcPr>
          <w:p>
            <w:pPr>
              <w:jc w:val="center"/>
              <w:rPr>
                <w:kern w:val="0"/>
                <w:szCs w:val="21"/>
              </w:rPr>
            </w:pPr>
            <w:r>
              <w:rPr>
                <w:kern w:val="0"/>
                <w:szCs w:val="21"/>
              </w:rPr>
              <w:t>鸡蛋、淘汰鸡、有机肥</w:t>
            </w:r>
          </w:p>
        </w:tc>
        <w:tc>
          <w:tcPr>
            <w:tcW w:w="1899" w:type="dxa"/>
            <w:vAlign w:val="center"/>
          </w:tcPr>
          <w:p>
            <w:pPr>
              <w:jc w:val="center"/>
              <w:rPr>
                <w:kern w:val="0"/>
                <w:szCs w:val="21"/>
              </w:rPr>
            </w:pPr>
            <w:r>
              <w:rPr>
                <w:kern w:val="0"/>
                <w:szCs w:val="21"/>
              </w:rPr>
              <w:t>恶臭</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75" w:type="dxa"/>
            <w:vAlign w:val="center"/>
          </w:tcPr>
          <w:p>
            <w:pPr>
              <w:jc w:val="center"/>
              <w:rPr>
                <w:kern w:val="0"/>
                <w:szCs w:val="21"/>
              </w:rPr>
            </w:pPr>
            <w:r>
              <w:rPr>
                <w:kern w:val="0"/>
                <w:szCs w:val="21"/>
              </w:rPr>
              <w:t>2</w:t>
            </w:r>
          </w:p>
        </w:tc>
        <w:tc>
          <w:tcPr>
            <w:tcW w:w="3686" w:type="dxa"/>
            <w:vAlign w:val="center"/>
          </w:tcPr>
          <w:p>
            <w:pPr>
              <w:jc w:val="center"/>
              <w:rPr>
                <w:kern w:val="0"/>
                <w:szCs w:val="21"/>
              </w:rPr>
            </w:pPr>
            <w:r>
              <w:rPr>
                <w:rFonts w:hint="eastAsia"/>
                <w:kern w:val="0"/>
                <w:szCs w:val="21"/>
              </w:rPr>
              <w:t>衡阳县旺宏农牧发展有限公司</w:t>
            </w:r>
          </w:p>
        </w:tc>
        <w:tc>
          <w:tcPr>
            <w:tcW w:w="2268" w:type="dxa"/>
            <w:vAlign w:val="center"/>
          </w:tcPr>
          <w:p>
            <w:pPr>
              <w:jc w:val="center"/>
              <w:rPr>
                <w:kern w:val="0"/>
                <w:szCs w:val="21"/>
              </w:rPr>
            </w:pPr>
            <w:r>
              <w:rPr>
                <w:kern w:val="0"/>
                <w:szCs w:val="21"/>
              </w:rPr>
              <w:t>肉猪</w:t>
            </w:r>
          </w:p>
        </w:tc>
        <w:tc>
          <w:tcPr>
            <w:tcW w:w="1899" w:type="dxa"/>
            <w:vAlign w:val="center"/>
          </w:tcPr>
          <w:p>
            <w:pPr>
              <w:jc w:val="center"/>
              <w:rPr>
                <w:kern w:val="0"/>
                <w:szCs w:val="21"/>
              </w:rPr>
            </w:pPr>
            <w:r>
              <w:rPr>
                <w:kern w:val="0"/>
                <w:szCs w:val="21"/>
              </w:rPr>
              <w:t>恶臭、</w:t>
            </w:r>
            <w:r>
              <w:rPr>
                <w:rFonts w:hint="eastAsia"/>
                <w:kern w:val="0"/>
                <w:szCs w:val="21"/>
              </w:rPr>
              <w:t>COD、氨氮</w:t>
            </w:r>
          </w:p>
        </w:tc>
      </w:tr>
    </w:tbl>
    <w:p>
      <w:pPr>
        <w:pStyle w:val="215"/>
      </w:pPr>
    </w:p>
    <w:bookmarkEnd w:id="246"/>
    <w:bookmarkEnd w:id="247"/>
    <w:bookmarkEnd w:id="248"/>
    <w:bookmarkEnd w:id="249"/>
    <w:bookmarkEnd w:id="250"/>
    <w:bookmarkEnd w:id="251"/>
    <w:bookmarkEnd w:id="252"/>
    <w:bookmarkEnd w:id="253"/>
    <w:p>
      <w:pPr>
        <w:pStyle w:val="4"/>
        <w:pageBreakBefore/>
        <w:numPr>
          <w:ilvl w:val="0"/>
          <w:numId w:val="0"/>
        </w:numPr>
        <w:spacing w:beforeLines="0" w:line="360" w:lineRule="auto"/>
        <w:jc w:val="center"/>
        <w:rPr>
          <w:rFonts w:eastAsia="宋体"/>
        </w:rPr>
      </w:pPr>
      <w:bookmarkStart w:id="254" w:name="_Toc123886410"/>
      <w:bookmarkStart w:id="255" w:name="_Toc23559"/>
      <w:bookmarkStart w:id="256" w:name="_Toc3554"/>
      <w:bookmarkStart w:id="257" w:name="_Toc1766"/>
      <w:bookmarkStart w:id="258" w:name="_Toc1385"/>
      <w:bookmarkStart w:id="259" w:name="_Toc12140"/>
      <w:bookmarkStart w:id="260" w:name="_Toc517522304"/>
      <w:bookmarkStart w:id="261" w:name="_Toc9285"/>
      <w:bookmarkStart w:id="262" w:name="_Toc448849788"/>
      <w:r>
        <w:rPr>
          <w:rFonts w:hint="eastAsia" w:eastAsia="宋体"/>
        </w:rPr>
        <w:t xml:space="preserve">5 </w:t>
      </w:r>
      <w:r>
        <w:rPr>
          <w:rFonts w:eastAsia="宋体"/>
        </w:rPr>
        <w:t>环境质量现状调查与评价</w:t>
      </w:r>
      <w:bookmarkEnd w:id="254"/>
    </w:p>
    <w:p>
      <w:pPr>
        <w:pStyle w:val="6"/>
        <w:numPr>
          <w:ilvl w:val="0"/>
          <w:numId w:val="0"/>
        </w:numPr>
        <w:spacing w:before="0" w:after="0" w:line="360" w:lineRule="auto"/>
        <w:rPr>
          <w:rFonts w:ascii="Times New Roman" w:hAnsi="Times New Roman" w:eastAsia="宋体"/>
          <w:szCs w:val="30"/>
        </w:rPr>
      </w:pPr>
      <w:bookmarkStart w:id="263" w:name="_Toc3739"/>
      <w:bookmarkStart w:id="264" w:name="_Toc10355"/>
      <w:bookmarkStart w:id="265" w:name="_Toc517522306"/>
      <w:bookmarkStart w:id="266" w:name="_Toc31229"/>
      <w:bookmarkStart w:id="267" w:name="_Toc18234"/>
      <w:bookmarkStart w:id="268" w:name="_Toc2269"/>
      <w:bookmarkStart w:id="269" w:name="_Toc32582"/>
      <w:bookmarkStart w:id="270" w:name="_Toc123886411"/>
      <w:r>
        <w:rPr>
          <w:rFonts w:hint="eastAsia" w:ascii="Times New Roman" w:hAnsi="Times New Roman" w:eastAsia="宋体"/>
          <w:szCs w:val="30"/>
        </w:rPr>
        <w:t>5</w:t>
      </w:r>
      <w:r>
        <w:rPr>
          <w:rFonts w:ascii="Times New Roman" w:hAnsi="Times New Roman" w:eastAsia="宋体"/>
          <w:szCs w:val="30"/>
        </w:rPr>
        <w:t xml:space="preserve">.1 </w:t>
      </w:r>
      <w:bookmarkEnd w:id="263"/>
      <w:bookmarkEnd w:id="264"/>
      <w:bookmarkEnd w:id="265"/>
      <w:bookmarkEnd w:id="266"/>
      <w:bookmarkEnd w:id="267"/>
      <w:bookmarkEnd w:id="268"/>
      <w:bookmarkEnd w:id="269"/>
      <w:r>
        <w:rPr>
          <w:rFonts w:ascii="Times New Roman" w:hAnsi="Times New Roman" w:eastAsia="宋体"/>
          <w:szCs w:val="30"/>
        </w:rPr>
        <w:t>环境空气质量现状监测价</w:t>
      </w:r>
      <w:bookmarkEnd w:id="270"/>
    </w:p>
    <w:p>
      <w:pPr>
        <w:pStyle w:val="7"/>
        <w:adjustRightInd w:val="0"/>
        <w:snapToGrid w:val="0"/>
        <w:spacing w:before="0" w:after="0" w:line="360" w:lineRule="auto"/>
        <w:jc w:val="left"/>
        <w:rPr>
          <w:sz w:val="24"/>
          <w:szCs w:val="24"/>
        </w:rPr>
      </w:pPr>
      <w:bookmarkStart w:id="271" w:name="_Ref476502243"/>
      <w:r>
        <w:rPr>
          <w:rFonts w:hint="eastAsia"/>
          <w:sz w:val="24"/>
          <w:szCs w:val="24"/>
        </w:rPr>
        <w:t>5</w:t>
      </w:r>
      <w:r>
        <w:rPr>
          <w:sz w:val="24"/>
          <w:szCs w:val="24"/>
        </w:rPr>
        <w:t>.1.</w:t>
      </w:r>
      <w:r>
        <w:rPr>
          <w:rFonts w:hint="eastAsia"/>
          <w:sz w:val="24"/>
          <w:szCs w:val="24"/>
        </w:rPr>
        <w:t>1 环境空气质量达标区判定</w:t>
      </w:r>
    </w:p>
    <w:p>
      <w:pPr>
        <w:tabs>
          <w:tab w:val="left" w:pos="3544"/>
        </w:tabs>
        <w:adjustRightInd w:val="0"/>
        <w:snapToGrid w:val="0"/>
        <w:spacing w:line="360" w:lineRule="auto"/>
        <w:ind w:firstLine="480" w:firstLineChars="200"/>
        <w:rPr>
          <w:b/>
          <w:bCs/>
          <w:sz w:val="24"/>
        </w:rPr>
      </w:pPr>
      <w:r>
        <w:rPr>
          <w:sz w:val="24"/>
        </w:rPr>
        <w:t>根据《环境影响评价技术导则</w:t>
      </w:r>
      <w:r>
        <w:rPr>
          <w:rFonts w:hint="eastAsia"/>
          <w:sz w:val="24"/>
        </w:rPr>
        <w:t xml:space="preserve">  </w:t>
      </w:r>
      <w:r>
        <w:rPr>
          <w:sz w:val="24"/>
        </w:rPr>
        <w:t>大气环境》（HJ2.2-2018）6.2.1基本污染物环境质量现状数据</w:t>
      </w:r>
      <w:r>
        <w:rPr>
          <w:rFonts w:hint="eastAsia" w:ascii="宋体" w:hAnsi="宋体"/>
          <w:sz w:val="24"/>
        </w:rPr>
        <w:t>“</w:t>
      </w:r>
      <w:r>
        <w:rPr>
          <w:sz w:val="24"/>
        </w:rPr>
        <w:t>采用评价范围内国家或地方环境空气质量监测网中评价基准年连续1年的监测数据，或采用生态环境主管部门公开发布的环境空气质量现状数据</w:t>
      </w:r>
      <w:r>
        <w:rPr>
          <w:rFonts w:hint="eastAsia" w:ascii="宋体" w:hAnsi="宋体"/>
          <w:sz w:val="24"/>
        </w:rPr>
        <w:t>”</w:t>
      </w:r>
      <w:r>
        <w:rPr>
          <w:sz w:val="24"/>
        </w:rPr>
        <w:t>的规定；引用的数据为近3年的数据，满足引用要求。故本次评价收集了项目评价范围内有环境质量标准的评价因子的环境质量监测数据，选取20</w:t>
      </w:r>
      <w:r>
        <w:rPr>
          <w:rFonts w:hint="eastAsia"/>
          <w:sz w:val="24"/>
        </w:rPr>
        <w:t>21</w:t>
      </w:r>
      <w:r>
        <w:rPr>
          <w:sz w:val="24"/>
        </w:rPr>
        <w:t>年为本评价的基准年，根据</w:t>
      </w:r>
      <w:r>
        <w:rPr>
          <w:rFonts w:hint="eastAsia" w:hAnsi="宋体"/>
          <w:kern w:val="0"/>
          <w:sz w:val="24"/>
        </w:rPr>
        <w:t>衡阳市生态环境局《关于202</w:t>
      </w:r>
      <w:r>
        <w:rPr>
          <w:rFonts w:hint="eastAsia" w:hAnsi="宋体"/>
          <w:kern w:val="0"/>
          <w:sz w:val="24"/>
          <w:lang w:val="en-US" w:eastAsia="zh-CN"/>
        </w:rPr>
        <w:t>2</w:t>
      </w:r>
      <w:r>
        <w:rPr>
          <w:rFonts w:hint="eastAsia" w:hAnsi="宋体"/>
          <w:kern w:val="0"/>
          <w:sz w:val="24"/>
        </w:rPr>
        <w:t>年12月份及1~12月份全市环境质量状况的通报》</w:t>
      </w:r>
      <w:r>
        <w:rPr>
          <w:sz w:val="24"/>
        </w:rPr>
        <w:t>中相关数据进行判定，其判定结果如下。</w:t>
      </w:r>
    </w:p>
    <w:p>
      <w:pPr>
        <w:autoSpaceDE w:val="0"/>
        <w:autoSpaceDN w:val="0"/>
        <w:adjustRightInd w:val="0"/>
        <w:spacing w:beforeLines="50"/>
        <w:jc w:val="center"/>
        <w:rPr>
          <w:b/>
          <w:kern w:val="0"/>
          <w:szCs w:val="21"/>
        </w:rPr>
      </w:pPr>
      <w:bookmarkStart w:id="272" w:name="_Ref528415780"/>
      <w:r>
        <w:rPr>
          <w:b/>
          <w:kern w:val="0"/>
          <w:szCs w:val="21"/>
        </w:rPr>
        <w:t>表</w:t>
      </w:r>
      <w:bookmarkEnd w:id="272"/>
      <w:r>
        <w:rPr>
          <w:b/>
          <w:kern w:val="0"/>
          <w:szCs w:val="21"/>
        </w:rPr>
        <w:t>5.1-1  区域空气质量现状评价表</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55"/>
        <w:gridCol w:w="2702"/>
        <w:gridCol w:w="1907"/>
        <w:gridCol w:w="1749"/>
        <w:gridCol w:w="12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0" w:type="pct"/>
            <w:tcBorders>
              <w:top w:val="single" w:color="auto" w:sz="12" w:space="0"/>
              <w:left w:val="single" w:color="auto" w:sz="12" w:space="0"/>
              <w:bottom w:val="single" w:color="auto" w:sz="6" w:space="0"/>
              <w:right w:val="single" w:color="auto" w:sz="6" w:space="0"/>
            </w:tcBorders>
            <w:vAlign w:val="center"/>
          </w:tcPr>
          <w:p>
            <w:pPr>
              <w:snapToGrid w:val="0"/>
              <w:spacing w:line="0" w:lineRule="atLeast"/>
              <w:jc w:val="center"/>
              <w:rPr>
                <w:b/>
                <w:szCs w:val="21"/>
              </w:rPr>
            </w:pPr>
            <w:r>
              <w:rPr>
                <w:b/>
                <w:szCs w:val="21"/>
              </w:rPr>
              <w:t>污染物</w:t>
            </w:r>
          </w:p>
        </w:tc>
        <w:tc>
          <w:tcPr>
            <w:tcW w:w="1584" w:type="pct"/>
            <w:tcBorders>
              <w:top w:val="single" w:color="auto" w:sz="12" w:space="0"/>
              <w:left w:val="single" w:color="auto" w:sz="6" w:space="0"/>
              <w:bottom w:val="single" w:color="auto" w:sz="6" w:space="0"/>
              <w:right w:val="single" w:color="auto" w:sz="6" w:space="0"/>
            </w:tcBorders>
            <w:vAlign w:val="center"/>
          </w:tcPr>
          <w:p>
            <w:pPr>
              <w:snapToGrid w:val="0"/>
              <w:spacing w:line="0" w:lineRule="atLeast"/>
              <w:jc w:val="center"/>
              <w:rPr>
                <w:b/>
                <w:szCs w:val="21"/>
              </w:rPr>
            </w:pPr>
            <w:r>
              <w:rPr>
                <w:b/>
                <w:szCs w:val="21"/>
              </w:rPr>
              <w:t>年评价指标</w:t>
            </w:r>
          </w:p>
        </w:tc>
        <w:tc>
          <w:tcPr>
            <w:tcW w:w="1118" w:type="pct"/>
            <w:tcBorders>
              <w:top w:val="single" w:color="auto" w:sz="12" w:space="0"/>
              <w:left w:val="single" w:color="auto" w:sz="6" w:space="0"/>
              <w:bottom w:val="single" w:color="auto" w:sz="6" w:space="0"/>
              <w:right w:val="single" w:color="auto" w:sz="6" w:space="0"/>
            </w:tcBorders>
            <w:vAlign w:val="center"/>
          </w:tcPr>
          <w:p>
            <w:pPr>
              <w:snapToGrid w:val="0"/>
              <w:spacing w:line="0" w:lineRule="atLeast"/>
              <w:jc w:val="center"/>
              <w:rPr>
                <w:b/>
                <w:szCs w:val="21"/>
              </w:rPr>
            </w:pPr>
            <w:r>
              <w:rPr>
                <w:b/>
                <w:szCs w:val="21"/>
              </w:rPr>
              <w:t>现状浓度（</w:t>
            </w:r>
            <w:r>
              <w:rPr>
                <w:b/>
              </w:rPr>
              <w:t>µg/m</w:t>
            </w:r>
            <w:r>
              <w:rPr>
                <w:b/>
                <w:vertAlign w:val="superscript"/>
              </w:rPr>
              <w:t>3</w:t>
            </w:r>
            <w:r>
              <w:rPr>
                <w:b/>
                <w:szCs w:val="21"/>
              </w:rPr>
              <w:t>）</w:t>
            </w:r>
          </w:p>
        </w:tc>
        <w:tc>
          <w:tcPr>
            <w:tcW w:w="1025" w:type="pct"/>
            <w:tcBorders>
              <w:top w:val="single" w:color="auto" w:sz="12" w:space="0"/>
              <w:left w:val="single" w:color="auto" w:sz="6" w:space="0"/>
              <w:bottom w:val="single" w:color="auto" w:sz="6" w:space="0"/>
              <w:right w:val="single" w:color="auto" w:sz="6" w:space="0"/>
            </w:tcBorders>
            <w:vAlign w:val="center"/>
          </w:tcPr>
          <w:p>
            <w:pPr>
              <w:snapToGrid w:val="0"/>
              <w:spacing w:line="0" w:lineRule="atLeast"/>
              <w:jc w:val="center"/>
              <w:rPr>
                <w:b/>
                <w:szCs w:val="21"/>
              </w:rPr>
            </w:pPr>
            <w:r>
              <w:rPr>
                <w:b/>
                <w:szCs w:val="21"/>
              </w:rPr>
              <w:t>标准值（</w:t>
            </w:r>
            <w:r>
              <w:rPr>
                <w:b/>
              </w:rPr>
              <w:t>µg/m</w:t>
            </w:r>
            <w:r>
              <w:rPr>
                <w:b/>
                <w:vertAlign w:val="superscript"/>
              </w:rPr>
              <w:t>3</w:t>
            </w:r>
            <w:r>
              <w:rPr>
                <w:b/>
                <w:szCs w:val="21"/>
              </w:rPr>
              <w:t>）</w:t>
            </w:r>
          </w:p>
        </w:tc>
        <w:tc>
          <w:tcPr>
            <w:tcW w:w="712" w:type="pct"/>
            <w:tcBorders>
              <w:top w:val="single" w:color="auto" w:sz="12" w:space="0"/>
              <w:left w:val="single" w:color="auto" w:sz="6" w:space="0"/>
              <w:bottom w:val="single" w:color="auto" w:sz="6" w:space="0"/>
              <w:right w:val="single" w:color="auto" w:sz="12" w:space="0"/>
            </w:tcBorders>
            <w:vAlign w:val="center"/>
          </w:tcPr>
          <w:p>
            <w:pPr>
              <w:snapToGrid w:val="0"/>
              <w:spacing w:line="0" w:lineRule="atLeast"/>
              <w:jc w:val="center"/>
              <w:rPr>
                <w:b/>
                <w:szCs w:val="21"/>
              </w:rPr>
            </w:pPr>
            <w:r>
              <w:rPr>
                <w:b/>
                <w:szCs w:val="21"/>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0" w:type="pct"/>
            <w:tcBorders>
              <w:top w:val="single" w:color="auto" w:sz="6" w:space="0"/>
              <w:left w:val="single" w:color="auto" w:sz="12" w:space="0"/>
              <w:bottom w:val="single" w:color="auto" w:sz="6" w:space="0"/>
              <w:right w:val="single" w:color="auto" w:sz="6" w:space="0"/>
            </w:tcBorders>
            <w:vAlign w:val="center"/>
          </w:tcPr>
          <w:p>
            <w:pPr>
              <w:snapToGrid w:val="0"/>
              <w:spacing w:line="0" w:lineRule="atLeast"/>
              <w:jc w:val="center"/>
              <w:rPr>
                <w:szCs w:val="21"/>
              </w:rPr>
            </w:pPr>
            <w:r>
              <w:rPr>
                <w:szCs w:val="21"/>
              </w:rPr>
              <w:t>SO</w:t>
            </w:r>
            <w:r>
              <w:rPr>
                <w:szCs w:val="21"/>
                <w:vertAlign w:val="subscript"/>
              </w:rPr>
              <w:t>2</w:t>
            </w:r>
          </w:p>
        </w:tc>
        <w:tc>
          <w:tcPr>
            <w:tcW w:w="1584" w:type="pct"/>
            <w:tcBorders>
              <w:top w:val="single" w:color="auto" w:sz="6" w:space="0"/>
              <w:left w:val="single" w:color="auto" w:sz="6" w:space="0"/>
              <w:bottom w:val="single" w:color="auto" w:sz="6" w:space="0"/>
              <w:right w:val="single" w:color="auto" w:sz="6" w:space="0"/>
            </w:tcBorders>
            <w:vAlign w:val="center"/>
          </w:tcPr>
          <w:p>
            <w:pPr>
              <w:jc w:val="center"/>
              <w:rPr>
                <w:bCs/>
                <w:szCs w:val="21"/>
              </w:rPr>
            </w:pPr>
            <w:r>
              <w:rPr>
                <w:bCs/>
                <w:szCs w:val="21"/>
              </w:rPr>
              <w:t>年平均质量浓度</w:t>
            </w:r>
          </w:p>
        </w:tc>
        <w:tc>
          <w:tcPr>
            <w:tcW w:w="1907" w:type="dxa"/>
            <w:tcBorders>
              <w:top w:val="single" w:color="auto" w:sz="6" w:space="0"/>
              <w:left w:val="single" w:color="auto" w:sz="6" w:space="0"/>
              <w:bottom w:val="single" w:color="auto" w:sz="6" w:space="0"/>
              <w:right w:val="single" w:color="auto" w:sz="6" w:space="0"/>
            </w:tcBorders>
            <w:vAlign w:val="center"/>
          </w:tcPr>
          <w:p>
            <w:pPr>
              <w:jc w:val="center"/>
              <w:rPr>
                <w:bCs/>
                <w:szCs w:val="21"/>
              </w:rPr>
            </w:pPr>
            <w:r>
              <w:rPr>
                <w:rFonts w:hint="eastAsia"/>
                <w:bCs/>
                <w:szCs w:val="21"/>
              </w:rPr>
              <w:t>6</w:t>
            </w:r>
          </w:p>
        </w:tc>
        <w:tc>
          <w:tcPr>
            <w:tcW w:w="1025" w:type="pct"/>
            <w:tcBorders>
              <w:top w:val="single" w:color="auto" w:sz="6" w:space="0"/>
              <w:left w:val="single" w:color="auto" w:sz="6" w:space="0"/>
              <w:bottom w:val="single" w:color="auto" w:sz="6" w:space="0"/>
              <w:right w:val="single" w:color="auto" w:sz="6" w:space="0"/>
            </w:tcBorders>
            <w:vAlign w:val="center"/>
          </w:tcPr>
          <w:p>
            <w:pPr>
              <w:jc w:val="center"/>
              <w:rPr>
                <w:bCs/>
                <w:szCs w:val="21"/>
              </w:rPr>
            </w:pPr>
            <w:r>
              <w:rPr>
                <w:bCs/>
                <w:szCs w:val="21"/>
              </w:rPr>
              <w:t>60</w:t>
            </w:r>
          </w:p>
        </w:tc>
        <w:tc>
          <w:tcPr>
            <w:tcW w:w="712" w:type="pct"/>
            <w:tcBorders>
              <w:top w:val="single" w:color="auto" w:sz="6" w:space="0"/>
              <w:left w:val="single" w:color="auto" w:sz="6" w:space="0"/>
              <w:bottom w:val="single" w:color="auto" w:sz="6" w:space="0"/>
              <w:right w:val="single" w:color="auto" w:sz="12" w:space="0"/>
            </w:tcBorders>
            <w:vAlign w:val="center"/>
          </w:tcPr>
          <w:p>
            <w:pPr>
              <w:jc w:val="center"/>
              <w:rPr>
                <w:bCs/>
                <w:szCs w:val="21"/>
              </w:rPr>
            </w:pPr>
            <w:r>
              <w:rPr>
                <w:bCs/>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0" w:type="pct"/>
            <w:tcBorders>
              <w:top w:val="single" w:color="auto" w:sz="6" w:space="0"/>
              <w:left w:val="single" w:color="auto" w:sz="12" w:space="0"/>
              <w:bottom w:val="single" w:color="auto" w:sz="6" w:space="0"/>
              <w:right w:val="single" w:color="auto" w:sz="6" w:space="0"/>
            </w:tcBorders>
            <w:vAlign w:val="center"/>
          </w:tcPr>
          <w:p>
            <w:pPr>
              <w:snapToGrid w:val="0"/>
              <w:spacing w:line="0" w:lineRule="atLeast"/>
              <w:jc w:val="center"/>
              <w:rPr>
                <w:szCs w:val="21"/>
              </w:rPr>
            </w:pPr>
            <w:r>
              <w:rPr>
                <w:szCs w:val="21"/>
              </w:rPr>
              <w:t>NO</w:t>
            </w:r>
            <w:r>
              <w:rPr>
                <w:szCs w:val="21"/>
                <w:vertAlign w:val="subscript"/>
              </w:rPr>
              <w:t>2</w:t>
            </w:r>
          </w:p>
        </w:tc>
        <w:tc>
          <w:tcPr>
            <w:tcW w:w="1584" w:type="pct"/>
            <w:tcBorders>
              <w:top w:val="single" w:color="auto" w:sz="6" w:space="0"/>
              <w:left w:val="single" w:color="auto" w:sz="6" w:space="0"/>
              <w:bottom w:val="single" w:color="auto" w:sz="6" w:space="0"/>
              <w:right w:val="single" w:color="auto" w:sz="6" w:space="0"/>
            </w:tcBorders>
            <w:vAlign w:val="center"/>
          </w:tcPr>
          <w:p>
            <w:pPr>
              <w:jc w:val="center"/>
              <w:rPr>
                <w:bCs/>
                <w:szCs w:val="21"/>
              </w:rPr>
            </w:pPr>
            <w:r>
              <w:rPr>
                <w:bCs/>
                <w:szCs w:val="21"/>
              </w:rPr>
              <w:t>年平均质量浓度</w:t>
            </w:r>
          </w:p>
        </w:tc>
        <w:tc>
          <w:tcPr>
            <w:tcW w:w="1907" w:type="dxa"/>
            <w:tcBorders>
              <w:top w:val="single" w:color="auto" w:sz="6" w:space="0"/>
              <w:left w:val="single" w:color="auto" w:sz="6" w:space="0"/>
              <w:bottom w:val="single" w:color="auto" w:sz="6" w:space="0"/>
              <w:right w:val="single" w:color="auto" w:sz="6" w:space="0"/>
            </w:tcBorders>
            <w:vAlign w:val="center"/>
          </w:tcPr>
          <w:p>
            <w:pPr>
              <w:jc w:val="center"/>
              <w:rPr>
                <w:bCs/>
                <w:szCs w:val="21"/>
              </w:rPr>
            </w:pPr>
            <w:r>
              <w:rPr>
                <w:rFonts w:hint="eastAsia"/>
                <w:bCs/>
                <w:szCs w:val="21"/>
              </w:rPr>
              <w:t>13</w:t>
            </w:r>
          </w:p>
        </w:tc>
        <w:tc>
          <w:tcPr>
            <w:tcW w:w="1025" w:type="pct"/>
            <w:tcBorders>
              <w:top w:val="single" w:color="auto" w:sz="6" w:space="0"/>
              <w:left w:val="single" w:color="auto" w:sz="6" w:space="0"/>
              <w:bottom w:val="single" w:color="auto" w:sz="6" w:space="0"/>
              <w:right w:val="single" w:color="auto" w:sz="6" w:space="0"/>
            </w:tcBorders>
            <w:vAlign w:val="center"/>
          </w:tcPr>
          <w:p>
            <w:pPr>
              <w:jc w:val="center"/>
              <w:rPr>
                <w:bCs/>
                <w:szCs w:val="21"/>
              </w:rPr>
            </w:pPr>
            <w:r>
              <w:rPr>
                <w:bCs/>
                <w:szCs w:val="21"/>
              </w:rPr>
              <w:t>40</w:t>
            </w:r>
          </w:p>
        </w:tc>
        <w:tc>
          <w:tcPr>
            <w:tcW w:w="712" w:type="pct"/>
            <w:tcBorders>
              <w:top w:val="single" w:color="auto" w:sz="6" w:space="0"/>
              <w:left w:val="single" w:color="auto" w:sz="6" w:space="0"/>
              <w:bottom w:val="single" w:color="auto" w:sz="6" w:space="0"/>
              <w:right w:val="single" w:color="auto" w:sz="12" w:space="0"/>
            </w:tcBorders>
            <w:vAlign w:val="center"/>
          </w:tcPr>
          <w:p>
            <w:pPr>
              <w:jc w:val="center"/>
              <w:rPr>
                <w:bCs/>
                <w:szCs w:val="21"/>
              </w:rPr>
            </w:pPr>
            <w:r>
              <w:rPr>
                <w:bCs/>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0" w:type="pct"/>
            <w:tcBorders>
              <w:top w:val="single" w:color="auto" w:sz="6" w:space="0"/>
              <w:left w:val="single" w:color="auto" w:sz="12" w:space="0"/>
              <w:bottom w:val="single" w:color="auto" w:sz="6" w:space="0"/>
              <w:right w:val="single" w:color="auto" w:sz="6" w:space="0"/>
            </w:tcBorders>
            <w:vAlign w:val="center"/>
          </w:tcPr>
          <w:p>
            <w:pPr>
              <w:snapToGrid w:val="0"/>
              <w:spacing w:line="0" w:lineRule="atLeast"/>
              <w:jc w:val="center"/>
              <w:rPr>
                <w:szCs w:val="21"/>
              </w:rPr>
            </w:pPr>
            <w:r>
              <w:rPr>
                <w:szCs w:val="21"/>
              </w:rPr>
              <w:t>CO</w:t>
            </w:r>
          </w:p>
        </w:tc>
        <w:tc>
          <w:tcPr>
            <w:tcW w:w="1584"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szCs w:val="21"/>
              </w:rPr>
            </w:pPr>
            <w:r>
              <w:rPr>
                <w:kern w:val="0"/>
                <w:szCs w:val="21"/>
              </w:rPr>
              <w:t>24小时平均第95百分位数浓度</w:t>
            </w:r>
          </w:p>
        </w:tc>
        <w:tc>
          <w:tcPr>
            <w:tcW w:w="1907"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1000</w:t>
            </w:r>
          </w:p>
        </w:tc>
        <w:tc>
          <w:tcPr>
            <w:tcW w:w="1025"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4000</w:t>
            </w:r>
          </w:p>
        </w:tc>
        <w:tc>
          <w:tcPr>
            <w:tcW w:w="712" w:type="pct"/>
            <w:tcBorders>
              <w:top w:val="single" w:color="auto" w:sz="6" w:space="0"/>
              <w:left w:val="single" w:color="auto" w:sz="6" w:space="0"/>
              <w:bottom w:val="single" w:color="auto" w:sz="6" w:space="0"/>
              <w:right w:val="single" w:color="auto" w:sz="12" w:space="0"/>
            </w:tcBorders>
            <w:vAlign w:val="center"/>
          </w:tcPr>
          <w:p>
            <w:pPr>
              <w:jc w:val="center"/>
              <w:rPr>
                <w:szCs w:val="21"/>
              </w:rPr>
            </w:pPr>
            <w:r>
              <w:rPr>
                <w:bCs/>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560" w:type="pct"/>
            <w:tcBorders>
              <w:top w:val="single" w:color="auto" w:sz="6" w:space="0"/>
              <w:left w:val="single" w:color="auto" w:sz="12" w:space="0"/>
              <w:bottom w:val="single" w:color="auto" w:sz="6" w:space="0"/>
              <w:right w:val="single" w:color="auto" w:sz="6" w:space="0"/>
            </w:tcBorders>
            <w:vAlign w:val="center"/>
          </w:tcPr>
          <w:p>
            <w:pPr>
              <w:snapToGrid w:val="0"/>
              <w:spacing w:line="0" w:lineRule="atLeast"/>
              <w:jc w:val="center"/>
              <w:rPr>
                <w:szCs w:val="21"/>
              </w:rPr>
            </w:pPr>
            <w:r>
              <w:rPr>
                <w:szCs w:val="21"/>
              </w:rPr>
              <w:t>O</w:t>
            </w:r>
            <w:r>
              <w:rPr>
                <w:szCs w:val="21"/>
                <w:vertAlign w:val="subscript"/>
              </w:rPr>
              <w:t>3</w:t>
            </w:r>
          </w:p>
        </w:tc>
        <w:tc>
          <w:tcPr>
            <w:tcW w:w="1584" w:type="pct"/>
            <w:tcBorders>
              <w:top w:val="single" w:color="auto" w:sz="6" w:space="0"/>
              <w:left w:val="single" w:color="auto" w:sz="6" w:space="0"/>
              <w:bottom w:val="single" w:color="auto" w:sz="6" w:space="0"/>
              <w:right w:val="single" w:color="auto" w:sz="6" w:space="0"/>
            </w:tcBorders>
            <w:vAlign w:val="center"/>
          </w:tcPr>
          <w:p>
            <w:pPr>
              <w:spacing w:line="280" w:lineRule="exact"/>
              <w:jc w:val="center"/>
              <w:rPr>
                <w:szCs w:val="21"/>
              </w:rPr>
            </w:pPr>
            <w:r>
              <w:rPr>
                <w:szCs w:val="21"/>
              </w:rPr>
              <w:t>日最大8h滑动平均值的</w:t>
            </w:r>
            <w:r>
              <w:rPr>
                <w:kern w:val="0"/>
                <w:szCs w:val="21"/>
              </w:rPr>
              <w:t>第90百分位数浓度</w:t>
            </w:r>
          </w:p>
        </w:tc>
        <w:tc>
          <w:tcPr>
            <w:tcW w:w="1907"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147</w:t>
            </w:r>
          </w:p>
        </w:tc>
        <w:tc>
          <w:tcPr>
            <w:tcW w:w="1025"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160</w:t>
            </w:r>
          </w:p>
        </w:tc>
        <w:tc>
          <w:tcPr>
            <w:tcW w:w="712" w:type="pct"/>
            <w:tcBorders>
              <w:top w:val="single" w:color="auto" w:sz="6" w:space="0"/>
              <w:left w:val="single" w:color="auto" w:sz="6" w:space="0"/>
              <w:bottom w:val="single" w:color="auto" w:sz="6" w:space="0"/>
              <w:right w:val="single" w:color="auto" w:sz="12" w:space="0"/>
            </w:tcBorders>
            <w:vAlign w:val="center"/>
          </w:tcPr>
          <w:p>
            <w:pPr>
              <w:jc w:val="center"/>
              <w:rPr>
                <w:szCs w:val="21"/>
              </w:rPr>
            </w:pPr>
            <w:r>
              <w:rPr>
                <w:bCs/>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0" w:type="pct"/>
            <w:tcBorders>
              <w:top w:val="single" w:color="auto" w:sz="6" w:space="0"/>
              <w:left w:val="single" w:color="auto" w:sz="12" w:space="0"/>
              <w:bottom w:val="single" w:color="auto" w:sz="6" w:space="0"/>
              <w:right w:val="single" w:color="auto" w:sz="6" w:space="0"/>
            </w:tcBorders>
            <w:vAlign w:val="center"/>
          </w:tcPr>
          <w:p>
            <w:pPr>
              <w:snapToGrid w:val="0"/>
              <w:spacing w:line="0" w:lineRule="atLeast"/>
              <w:jc w:val="center"/>
              <w:rPr>
                <w:szCs w:val="21"/>
                <w:vertAlign w:val="subscript"/>
              </w:rPr>
            </w:pPr>
            <w:r>
              <w:rPr>
                <w:szCs w:val="21"/>
              </w:rPr>
              <w:t>PM</w:t>
            </w:r>
            <w:r>
              <w:rPr>
                <w:szCs w:val="21"/>
                <w:vertAlign w:val="subscript"/>
              </w:rPr>
              <w:t>10</w:t>
            </w:r>
          </w:p>
        </w:tc>
        <w:tc>
          <w:tcPr>
            <w:tcW w:w="1584"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bCs/>
                <w:szCs w:val="21"/>
              </w:rPr>
              <w:t>年平均质量浓度</w:t>
            </w:r>
          </w:p>
        </w:tc>
        <w:tc>
          <w:tcPr>
            <w:tcW w:w="1907" w:type="dxa"/>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54</w:t>
            </w:r>
          </w:p>
        </w:tc>
        <w:tc>
          <w:tcPr>
            <w:tcW w:w="1025"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szCs w:val="21"/>
              </w:rPr>
              <w:t>70</w:t>
            </w:r>
          </w:p>
        </w:tc>
        <w:tc>
          <w:tcPr>
            <w:tcW w:w="712" w:type="pct"/>
            <w:tcBorders>
              <w:top w:val="single" w:color="auto" w:sz="6" w:space="0"/>
              <w:left w:val="single" w:color="auto" w:sz="6" w:space="0"/>
              <w:bottom w:val="single" w:color="auto" w:sz="6" w:space="0"/>
              <w:right w:val="single" w:color="auto" w:sz="12" w:space="0"/>
            </w:tcBorders>
            <w:vAlign w:val="center"/>
          </w:tcPr>
          <w:p>
            <w:pPr>
              <w:jc w:val="center"/>
              <w:rPr>
                <w:szCs w:val="21"/>
              </w:rPr>
            </w:pPr>
            <w:r>
              <w:rPr>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60" w:type="pct"/>
            <w:tcBorders>
              <w:top w:val="single" w:color="auto" w:sz="6" w:space="0"/>
              <w:left w:val="single" w:color="auto" w:sz="12" w:space="0"/>
              <w:bottom w:val="single" w:color="auto" w:sz="12" w:space="0"/>
              <w:right w:val="single" w:color="auto" w:sz="6" w:space="0"/>
            </w:tcBorders>
            <w:vAlign w:val="center"/>
          </w:tcPr>
          <w:p>
            <w:pPr>
              <w:snapToGrid w:val="0"/>
              <w:spacing w:line="0" w:lineRule="atLeast"/>
              <w:jc w:val="center"/>
              <w:rPr>
                <w:szCs w:val="21"/>
                <w:vertAlign w:val="subscript"/>
              </w:rPr>
            </w:pPr>
            <w:r>
              <w:rPr>
                <w:szCs w:val="21"/>
              </w:rPr>
              <w:t>PM</w:t>
            </w:r>
            <w:r>
              <w:rPr>
                <w:szCs w:val="21"/>
                <w:vertAlign w:val="subscript"/>
              </w:rPr>
              <w:t>2.5</w:t>
            </w:r>
          </w:p>
        </w:tc>
        <w:tc>
          <w:tcPr>
            <w:tcW w:w="1584" w:type="pct"/>
            <w:tcBorders>
              <w:top w:val="single" w:color="auto" w:sz="6" w:space="0"/>
              <w:left w:val="single" w:color="auto" w:sz="6" w:space="0"/>
              <w:bottom w:val="single" w:color="auto" w:sz="12" w:space="0"/>
              <w:right w:val="single" w:color="auto" w:sz="6" w:space="0"/>
            </w:tcBorders>
            <w:vAlign w:val="center"/>
          </w:tcPr>
          <w:p>
            <w:pPr>
              <w:snapToGrid w:val="0"/>
              <w:spacing w:line="0" w:lineRule="atLeast"/>
              <w:jc w:val="center"/>
              <w:rPr>
                <w:szCs w:val="21"/>
                <w:vertAlign w:val="subscript"/>
              </w:rPr>
            </w:pPr>
            <w:r>
              <w:rPr>
                <w:bCs/>
                <w:szCs w:val="21"/>
              </w:rPr>
              <w:t>年平均质量浓度</w:t>
            </w:r>
          </w:p>
        </w:tc>
        <w:tc>
          <w:tcPr>
            <w:tcW w:w="1907" w:type="dxa"/>
            <w:tcBorders>
              <w:top w:val="single" w:color="auto" w:sz="6" w:space="0"/>
              <w:left w:val="single" w:color="auto" w:sz="6" w:space="0"/>
              <w:bottom w:val="single" w:color="auto" w:sz="12" w:space="0"/>
              <w:right w:val="single" w:color="auto" w:sz="6" w:space="0"/>
            </w:tcBorders>
            <w:vAlign w:val="center"/>
          </w:tcPr>
          <w:p>
            <w:pPr>
              <w:jc w:val="center"/>
              <w:rPr>
                <w:szCs w:val="21"/>
              </w:rPr>
            </w:pPr>
            <w:r>
              <w:rPr>
                <w:rFonts w:hint="eastAsia"/>
                <w:szCs w:val="21"/>
              </w:rPr>
              <w:t>35</w:t>
            </w:r>
          </w:p>
        </w:tc>
        <w:tc>
          <w:tcPr>
            <w:tcW w:w="1025" w:type="pct"/>
            <w:tcBorders>
              <w:top w:val="single" w:color="auto" w:sz="6" w:space="0"/>
              <w:left w:val="single" w:color="auto" w:sz="6" w:space="0"/>
              <w:bottom w:val="single" w:color="auto" w:sz="12" w:space="0"/>
              <w:right w:val="single" w:color="auto" w:sz="6" w:space="0"/>
            </w:tcBorders>
            <w:vAlign w:val="center"/>
          </w:tcPr>
          <w:p>
            <w:pPr>
              <w:jc w:val="center"/>
              <w:rPr>
                <w:szCs w:val="21"/>
              </w:rPr>
            </w:pPr>
            <w:r>
              <w:rPr>
                <w:szCs w:val="21"/>
              </w:rPr>
              <w:t>35</w:t>
            </w:r>
          </w:p>
        </w:tc>
        <w:tc>
          <w:tcPr>
            <w:tcW w:w="712" w:type="pct"/>
            <w:tcBorders>
              <w:top w:val="single" w:color="auto" w:sz="6" w:space="0"/>
              <w:left w:val="single" w:color="auto" w:sz="6" w:space="0"/>
              <w:bottom w:val="single" w:color="auto" w:sz="12" w:space="0"/>
              <w:right w:val="single" w:color="auto" w:sz="12" w:space="0"/>
            </w:tcBorders>
            <w:vAlign w:val="center"/>
          </w:tcPr>
          <w:p>
            <w:pPr>
              <w:jc w:val="center"/>
              <w:rPr>
                <w:szCs w:val="21"/>
              </w:rPr>
            </w:pPr>
            <w:r>
              <w:rPr>
                <w:szCs w:val="21"/>
              </w:rPr>
              <w:t>超标</w:t>
            </w:r>
          </w:p>
        </w:tc>
      </w:tr>
    </w:tbl>
    <w:p>
      <w:pPr>
        <w:adjustRightInd w:val="0"/>
        <w:snapToGrid w:val="0"/>
        <w:spacing w:line="360" w:lineRule="auto"/>
        <w:ind w:firstLine="480" w:firstLineChars="200"/>
        <w:rPr>
          <w:sz w:val="24"/>
        </w:rPr>
      </w:pPr>
      <w:r>
        <w:rPr>
          <w:rFonts w:hint="eastAsia"/>
          <w:sz w:val="24"/>
        </w:rPr>
        <w:t>由上表可知，衡阳县202</w:t>
      </w:r>
      <w:r>
        <w:rPr>
          <w:rFonts w:hint="eastAsia"/>
          <w:sz w:val="24"/>
          <w:lang w:val="en-US" w:eastAsia="zh-CN"/>
        </w:rPr>
        <w:t>2</w:t>
      </w:r>
      <w:r>
        <w:rPr>
          <w:rFonts w:hint="eastAsia"/>
          <w:sz w:val="24"/>
        </w:rPr>
        <w:t>年度环境空气各因子平均浓度满足《环境空气质量标准》（GB3095-2012）中二级标准限值，判定为达标区</w:t>
      </w:r>
      <w:r>
        <w:rPr>
          <w:sz w:val="24"/>
        </w:rPr>
        <w:t>。</w:t>
      </w:r>
    </w:p>
    <w:p>
      <w:pPr>
        <w:pStyle w:val="7"/>
        <w:adjustRightInd w:val="0"/>
        <w:snapToGrid w:val="0"/>
        <w:spacing w:before="0" w:after="0" w:line="360" w:lineRule="auto"/>
        <w:jc w:val="left"/>
        <w:rPr>
          <w:sz w:val="24"/>
          <w:szCs w:val="24"/>
        </w:rPr>
      </w:pPr>
      <w:r>
        <w:rPr>
          <w:rFonts w:hint="eastAsia"/>
          <w:sz w:val="24"/>
          <w:szCs w:val="24"/>
        </w:rPr>
        <w:t>5</w:t>
      </w:r>
      <w:r>
        <w:rPr>
          <w:sz w:val="24"/>
          <w:szCs w:val="24"/>
        </w:rPr>
        <w:t>.1</w:t>
      </w:r>
      <w:r>
        <w:rPr>
          <w:rFonts w:hint="eastAsia"/>
          <w:sz w:val="24"/>
          <w:szCs w:val="24"/>
        </w:rPr>
        <w:t>.2 补充</w:t>
      </w:r>
      <w:r>
        <w:rPr>
          <w:sz w:val="24"/>
          <w:szCs w:val="24"/>
        </w:rPr>
        <w:t>监测污染物环境质量现状评价</w:t>
      </w:r>
    </w:p>
    <w:p>
      <w:pPr>
        <w:adjustRightInd w:val="0"/>
        <w:snapToGrid w:val="0"/>
        <w:spacing w:line="360" w:lineRule="auto"/>
        <w:ind w:firstLine="482" w:firstLineChars="200"/>
        <w:rPr>
          <w:b/>
          <w:sz w:val="24"/>
        </w:rPr>
      </w:pPr>
      <w:r>
        <w:rPr>
          <w:rFonts w:hint="eastAsia"/>
          <w:b/>
          <w:sz w:val="24"/>
        </w:rPr>
        <w:t>1、</w:t>
      </w:r>
      <w:r>
        <w:rPr>
          <w:b/>
          <w:sz w:val="24"/>
        </w:rPr>
        <w:t>监测点位及因子</w:t>
      </w:r>
    </w:p>
    <w:p>
      <w:pPr>
        <w:adjustRightInd w:val="0"/>
        <w:snapToGrid w:val="0"/>
        <w:spacing w:line="360" w:lineRule="auto"/>
        <w:ind w:firstLine="480" w:firstLineChars="200"/>
        <w:rPr>
          <w:sz w:val="24"/>
        </w:rPr>
      </w:pPr>
      <w:r>
        <w:rPr>
          <w:sz w:val="24"/>
        </w:rPr>
        <w:t>（1）监测因子</w:t>
      </w:r>
    </w:p>
    <w:p>
      <w:pPr>
        <w:adjustRightInd w:val="0"/>
        <w:snapToGrid w:val="0"/>
        <w:spacing w:line="360" w:lineRule="auto"/>
        <w:ind w:firstLine="480" w:firstLineChars="200"/>
        <w:rPr>
          <w:sz w:val="24"/>
        </w:rPr>
      </w:pPr>
      <w:r>
        <w:rPr>
          <w:sz w:val="24"/>
        </w:rPr>
        <w:t>根据大气导则要求、环境质量标准以及结合项目排污情况，项目环境空气现状补充监测选取的监测因子包括：NH</w:t>
      </w:r>
      <w:r>
        <w:rPr>
          <w:sz w:val="24"/>
          <w:vertAlign w:val="subscript"/>
        </w:rPr>
        <w:t>3</w:t>
      </w:r>
      <w:r>
        <w:rPr>
          <w:sz w:val="24"/>
        </w:rPr>
        <w:t>、H</w:t>
      </w:r>
      <w:r>
        <w:rPr>
          <w:sz w:val="24"/>
          <w:vertAlign w:val="subscript"/>
        </w:rPr>
        <w:t>2</w:t>
      </w:r>
      <w:r>
        <w:rPr>
          <w:sz w:val="24"/>
        </w:rPr>
        <w:t>S、臭气浓度等3项指标。</w:t>
      </w:r>
    </w:p>
    <w:p>
      <w:pPr>
        <w:adjustRightInd w:val="0"/>
        <w:snapToGrid w:val="0"/>
        <w:spacing w:line="360" w:lineRule="auto"/>
        <w:ind w:firstLine="480" w:firstLineChars="200"/>
        <w:rPr>
          <w:sz w:val="24"/>
        </w:rPr>
      </w:pPr>
      <w:r>
        <w:rPr>
          <w:sz w:val="24"/>
        </w:rPr>
        <w:t>（2）监测点位</w:t>
      </w:r>
    </w:p>
    <w:p>
      <w:pPr>
        <w:spacing w:line="360" w:lineRule="auto"/>
        <w:ind w:firstLine="480" w:firstLineChars="200"/>
        <w:rPr>
          <w:sz w:val="24"/>
        </w:rPr>
      </w:pPr>
      <w:r>
        <w:rPr>
          <w:sz w:val="24"/>
        </w:rPr>
        <w:t>本项目环评委托湖南中雁环保科技有限公司对</w:t>
      </w:r>
      <w:r>
        <w:rPr>
          <w:rFonts w:hint="eastAsia"/>
          <w:sz w:val="24"/>
        </w:rPr>
        <w:t>G1</w:t>
      </w:r>
      <w:r>
        <w:rPr>
          <w:sz w:val="24"/>
        </w:rPr>
        <w:t>项目所在地、</w:t>
      </w:r>
      <w:r>
        <w:rPr>
          <w:rFonts w:hint="eastAsia"/>
          <w:sz w:val="24"/>
        </w:rPr>
        <w:t>G2</w:t>
      </w:r>
      <w:r>
        <w:rPr>
          <w:sz w:val="24"/>
        </w:rPr>
        <w:t>项目</w:t>
      </w:r>
      <w:r>
        <w:rPr>
          <w:rFonts w:hint="eastAsia"/>
          <w:sz w:val="24"/>
        </w:rPr>
        <w:t>南面楼堂居民点</w:t>
      </w:r>
      <w:r>
        <w:rPr>
          <w:sz w:val="24"/>
        </w:rPr>
        <w:t>NH</w:t>
      </w:r>
      <w:r>
        <w:rPr>
          <w:sz w:val="24"/>
          <w:vertAlign w:val="subscript"/>
        </w:rPr>
        <w:t>3</w:t>
      </w:r>
      <w:r>
        <w:rPr>
          <w:sz w:val="24"/>
        </w:rPr>
        <w:t>、H</w:t>
      </w:r>
      <w:r>
        <w:rPr>
          <w:sz w:val="24"/>
          <w:vertAlign w:val="subscript"/>
        </w:rPr>
        <w:t>2</w:t>
      </w:r>
      <w:r>
        <w:rPr>
          <w:sz w:val="24"/>
        </w:rPr>
        <w:t>S、臭气浓度进行监测（检测报告编号：HNZYC</w:t>
      </w:r>
      <w:r>
        <w:rPr>
          <w:rFonts w:hint="eastAsia"/>
          <w:sz w:val="24"/>
        </w:rPr>
        <w:t>（</w:t>
      </w:r>
      <w:r>
        <w:rPr>
          <w:sz w:val="24"/>
        </w:rPr>
        <w:t>2022•12</w:t>
      </w:r>
      <w:r>
        <w:rPr>
          <w:rFonts w:hint="eastAsia"/>
          <w:sz w:val="24"/>
        </w:rPr>
        <w:t>）</w:t>
      </w:r>
      <w:r>
        <w:rPr>
          <w:sz w:val="24"/>
        </w:rPr>
        <w:t>148），监测点位及监测项目情况见表5.1-</w:t>
      </w:r>
      <w:r>
        <w:rPr>
          <w:rFonts w:hint="eastAsia"/>
          <w:sz w:val="24"/>
        </w:rPr>
        <w:t>2</w:t>
      </w:r>
      <w:r>
        <w:rPr>
          <w:sz w:val="24"/>
        </w:rPr>
        <w:t>。</w:t>
      </w:r>
    </w:p>
    <w:p>
      <w:pPr>
        <w:spacing w:beforeLines="50"/>
        <w:jc w:val="center"/>
        <w:rPr>
          <w:b/>
          <w:bCs/>
          <w:szCs w:val="21"/>
        </w:rPr>
      </w:pPr>
      <w:r>
        <w:rPr>
          <w:b/>
          <w:bCs/>
          <w:szCs w:val="21"/>
        </w:rPr>
        <w:t>表5.1-</w:t>
      </w:r>
      <w:r>
        <w:rPr>
          <w:rFonts w:hint="eastAsia"/>
          <w:b/>
          <w:bCs/>
          <w:szCs w:val="21"/>
        </w:rPr>
        <w:t>2</w:t>
      </w:r>
      <w:r>
        <w:rPr>
          <w:b/>
          <w:bCs/>
          <w:szCs w:val="21"/>
        </w:rPr>
        <w:t xml:space="preserve">  其他污染物补充监测点位基本信息</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99"/>
        <w:gridCol w:w="1290"/>
        <w:gridCol w:w="1193"/>
        <w:gridCol w:w="1177"/>
        <w:gridCol w:w="1652"/>
        <w:gridCol w:w="905"/>
        <w:gridCol w:w="9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95" w:type="pct"/>
            <w:vMerge w:val="restart"/>
            <w:vAlign w:val="center"/>
          </w:tcPr>
          <w:p>
            <w:pPr>
              <w:adjustRightInd w:val="0"/>
              <w:snapToGrid w:val="0"/>
              <w:jc w:val="center"/>
              <w:rPr>
                <w:b/>
                <w:szCs w:val="21"/>
              </w:rPr>
            </w:pPr>
            <w:r>
              <w:rPr>
                <w:b/>
                <w:szCs w:val="21"/>
              </w:rPr>
              <w:t>监测点</w:t>
            </w:r>
          </w:p>
          <w:p>
            <w:pPr>
              <w:adjustRightInd w:val="0"/>
              <w:snapToGrid w:val="0"/>
              <w:jc w:val="center"/>
              <w:rPr>
                <w:b/>
                <w:szCs w:val="21"/>
              </w:rPr>
            </w:pPr>
            <w:r>
              <w:rPr>
                <w:b/>
                <w:szCs w:val="21"/>
              </w:rPr>
              <w:t>名称</w:t>
            </w:r>
          </w:p>
        </w:tc>
        <w:tc>
          <w:tcPr>
            <w:tcW w:w="1230" w:type="pct"/>
            <w:gridSpan w:val="2"/>
            <w:vAlign w:val="center"/>
          </w:tcPr>
          <w:p>
            <w:pPr>
              <w:adjustRightInd w:val="0"/>
              <w:snapToGrid w:val="0"/>
              <w:jc w:val="center"/>
              <w:rPr>
                <w:b/>
                <w:szCs w:val="21"/>
              </w:rPr>
            </w:pPr>
            <w:r>
              <w:rPr>
                <w:b/>
                <w:szCs w:val="21"/>
              </w:rPr>
              <w:t>监测点坐标/m</w:t>
            </w:r>
          </w:p>
        </w:tc>
        <w:tc>
          <w:tcPr>
            <w:tcW w:w="765" w:type="pct"/>
            <w:vMerge w:val="restart"/>
            <w:vAlign w:val="center"/>
          </w:tcPr>
          <w:p>
            <w:pPr>
              <w:adjustRightInd w:val="0"/>
              <w:snapToGrid w:val="0"/>
              <w:jc w:val="center"/>
              <w:rPr>
                <w:b/>
                <w:szCs w:val="21"/>
              </w:rPr>
            </w:pPr>
            <w:r>
              <w:rPr>
                <w:b/>
                <w:szCs w:val="21"/>
              </w:rPr>
              <w:t>监测因子</w:t>
            </w:r>
          </w:p>
        </w:tc>
        <w:tc>
          <w:tcPr>
            <w:tcW w:w="896" w:type="pct"/>
            <w:vMerge w:val="restart"/>
            <w:vAlign w:val="center"/>
          </w:tcPr>
          <w:p>
            <w:pPr>
              <w:adjustRightInd w:val="0"/>
              <w:snapToGrid w:val="0"/>
              <w:jc w:val="center"/>
              <w:rPr>
                <w:b/>
                <w:szCs w:val="21"/>
              </w:rPr>
            </w:pPr>
            <w:r>
              <w:rPr>
                <w:b/>
                <w:szCs w:val="21"/>
              </w:rPr>
              <w:t>监测时段</w:t>
            </w:r>
          </w:p>
        </w:tc>
        <w:tc>
          <w:tcPr>
            <w:tcW w:w="605" w:type="pct"/>
            <w:vMerge w:val="restart"/>
            <w:vAlign w:val="center"/>
          </w:tcPr>
          <w:p>
            <w:pPr>
              <w:adjustRightInd w:val="0"/>
              <w:snapToGrid w:val="0"/>
              <w:jc w:val="center"/>
              <w:rPr>
                <w:b/>
                <w:szCs w:val="21"/>
              </w:rPr>
            </w:pPr>
            <w:r>
              <w:rPr>
                <w:b/>
                <w:szCs w:val="21"/>
              </w:rPr>
              <w:t>相对厂址方位</w:t>
            </w:r>
          </w:p>
        </w:tc>
        <w:tc>
          <w:tcPr>
            <w:tcW w:w="609" w:type="pct"/>
            <w:vMerge w:val="restart"/>
            <w:vAlign w:val="center"/>
          </w:tcPr>
          <w:p>
            <w:pPr>
              <w:adjustRightInd w:val="0"/>
              <w:snapToGrid w:val="0"/>
              <w:jc w:val="center"/>
              <w:rPr>
                <w:b/>
                <w:szCs w:val="21"/>
              </w:rPr>
            </w:pPr>
            <w:r>
              <w:rPr>
                <w:b/>
                <w:szCs w:val="21"/>
              </w:rPr>
              <w:t>相对厂界距离/km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95" w:type="pct"/>
            <w:vMerge w:val="continue"/>
            <w:vAlign w:val="center"/>
          </w:tcPr>
          <w:p>
            <w:pPr>
              <w:adjustRightInd w:val="0"/>
              <w:snapToGrid w:val="0"/>
              <w:jc w:val="center"/>
              <w:rPr>
                <w:b/>
                <w:szCs w:val="21"/>
              </w:rPr>
            </w:pPr>
          </w:p>
        </w:tc>
        <w:tc>
          <w:tcPr>
            <w:tcW w:w="665" w:type="pct"/>
            <w:vAlign w:val="center"/>
          </w:tcPr>
          <w:p>
            <w:pPr>
              <w:adjustRightInd w:val="0"/>
              <w:snapToGrid w:val="0"/>
              <w:jc w:val="center"/>
              <w:rPr>
                <w:b/>
                <w:szCs w:val="21"/>
              </w:rPr>
            </w:pPr>
            <w:r>
              <w:rPr>
                <w:b/>
                <w:szCs w:val="21"/>
              </w:rPr>
              <w:t>X</w:t>
            </w:r>
          </w:p>
        </w:tc>
        <w:tc>
          <w:tcPr>
            <w:tcW w:w="565" w:type="pct"/>
            <w:vAlign w:val="center"/>
          </w:tcPr>
          <w:p>
            <w:pPr>
              <w:adjustRightInd w:val="0"/>
              <w:snapToGrid w:val="0"/>
              <w:jc w:val="center"/>
              <w:rPr>
                <w:b/>
                <w:szCs w:val="21"/>
              </w:rPr>
            </w:pPr>
            <w:r>
              <w:rPr>
                <w:b/>
                <w:szCs w:val="21"/>
              </w:rPr>
              <w:t>Y</w:t>
            </w:r>
          </w:p>
        </w:tc>
        <w:tc>
          <w:tcPr>
            <w:tcW w:w="765" w:type="pct"/>
            <w:vMerge w:val="continue"/>
            <w:vAlign w:val="center"/>
          </w:tcPr>
          <w:p>
            <w:pPr>
              <w:adjustRightInd w:val="0"/>
              <w:snapToGrid w:val="0"/>
              <w:jc w:val="center"/>
              <w:rPr>
                <w:b/>
                <w:szCs w:val="21"/>
              </w:rPr>
            </w:pPr>
          </w:p>
        </w:tc>
        <w:tc>
          <w:tcPr>
            <w:tcW w:w="896" w:type="pct"/>
            <w:vMerge w:val="continue"/>
            <w:vAlign w:val="center"/>
          </w:tcPr>
          <w:p>
            <w:pPr>
              <w:adjustRightInd w:val="0"/>
              <w:snapToGrid w:val="0"/>
              <w:jc w:val="center"/>
              <w:rPr>
                <w:b/>
                <w:szCs w:val="21"/>
              </w:rPr>
            </w:pPr>
          </w:p>
        </w:tc>
        <w:tc>
          <w:tcPr>
            <w:tcW w:w="605" w:type="pct"/>
            <w:vMerge w:val="continue"/>
            <w:vAlign w:val="center"/>
          </w:tcPr>
          <w:p>
            <w:pPr>
              <w:adjustRightInd w:val="0"/>
              <w:snapToGrid w:val="0"/>
              <w:jc w:val="center"/>
              <w:rPr>
                <w:b/>
                <w:szCs w:val="21"/>
              </w:rPr>
            </w:pPr>
          </w:p>
        </w:tc>
        <w:tc>
          <w:tcPr>
            <w:tcW w:w="609" w:type="pct"/>
            <w:vMerge w:val="continue"/>
            <w:vAlign w:val="center"/>
          </w:tcPr>
          <w:p>
            <w:pPr>
              <w:adjustRightInd w:val="0"/>
              <w:snapToGrid w:val="0"/>
              <w:jc w:val="center"/>
              <w:rPr>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95" w:type="pct"/>
            <w:vAlign w:val="center"/>
          </w:tcPr>
          <w:p>
            <w:pPr>
              <w:jc w:val="center"/>
              <w:rPr>
                <w:szCs w:val="21"/>
              </w:rPr>
            </w:pPr>
            <w:r>
              <w:rPr>
                <w:szCs w:val="21"/>
              </w:rPr>
              <w:t>项目所在地</w:t>
            </w:r>
          </w:p>
        </w:tc>
        <w:tc>
          <w:tcPr>
            <w:tcW w:w="665" w:type="pct"/>
            <w:vAlign w:val="center"/>
          </w:tcPr>
          <w:p>
            <w:pPr>
              <w:jc w:val="center"/>
              <w:rPr>
                <w:szCs w:val="21"/>
              </w:rPr>
            </w:pPr>
            <w:r>
              <w:rPr>
                <w:rFonts w:hint="eastAsia"/>
                <w:szCs w:val="21"/>
              </w:rPr>
              <w:t>/</w:t>
            </w:r>
          </w:p>
        </w:tc>
        <w:tc>
          <w:tcPr>
            <w:tcW w:w="565" w:type="pct"/>
            <w:vAlign w:val="center"/>
          </w:tcPr>
          <w:p>
            <w:pPr>
              <w:jc w:val="center"/>
              <w:rPr>
                <w:szCs w:val="21"/>
              </w:rPr>
            </w:pPr>
            <w:r>
              <w:rPr>
                <w:rFonts w:hint="eastAsia"/>
                <w:szCs w:val="21"/>
              </w:rPr>
              <w:t>/</w:t>
            </w:r>
          </w:p>
        </w:tc>
        <w:tc>
          <w:tcPr>
            <w:tcW w:w="765" w:type="pct"/>
            <w:vAlign w:val="center"/>
          </w:tcPr>
          <w:p>
            <w:pPr>
              <w:adjustRightInd w:val="0"/>
              <w:snapToGrid w:val="0"/>
              <w:jc w:val="center"/>
              <w:rPr>
                <w:bCs/>
                <w:szCs w:val="21"/>
              </w:rPr>
            </w:pPr>
            <w:r>
              <w:rPr>
                <w:bCs/>
                <w:szCs w:val="21"/>
              </w:rPr>
              <w:t>NH</w:t>
            </w:r>
            <w:r>
              <w:rPr>
                <w:bCs/>
                <w:szCs w:val="21"/>
                <w:vertAlign w:val="subscript"/>
              </w:rPr>
              <w:t>3</w:t>
            </w:r>
            <w:r>
              <w:rPr>
                <w:bCs/>
                <w:szCs w:val="21"/>
              </w:rPr>
              <w:t>、H</w:t>
            </w:r>
            <w:r>
              <w:rPr>
                <w:bCs/>
                <w:szCs w:val="21"/>
                <w:vertAlign w:val="subscript"/>
              </w:rPr>
              <w:t>2</w:t>
            </w:r>
            <w:r>
              <w:rPr>
                <w:bCs/>
                <w:szCs w:val="21"/>
              </w:rPr>
              <w:t>S、臭气浓度</w:t>
            </w:r>
          </w:p>
        </w:tc>
        <w:tc>
          <w:tcPr>
            <w:tcW w:w="896" w:type="pct"/>
            <w:vAlign w:val="center"/>
          </w:tcPr>
          <w:p>
            <w:pPr>
              <w:adjustRightInd w:val="0"/>
              <w:snapToGrid w:val="0"/>
              <w:jc w:val="center"/>
              <w:rPr>
                <w:spacing w:val="-6"/>
              </w:rPr>
            </w:pPr>
            <w:r>
              <w:rPr>
                <w:bCs/>
                <w:spacing w:val="-6"/>
              </w:rPr>
              <w:t>20</w:t>
            </w:r>
            <w:r>
              <w:rPr>
                <w:rFonts w:hint="eastAsia"/>
                <w:bCs/>
                <w:spacing w:val="-6"/>
              </w:rPr>
              <w:t>22.12.19</w:t>
            </w:r>
            <w:r>
              <w:rPr>
                <w:bCs/>
                <w:spacing w:val="-6"/>
              </w:rPr>
              <w:t>~</w:t>
            </w:r>
            <w:r>
              <w:rPr>
                <w:rFonts w:hint="eastAsia"/>
                <w:bCs/>
                <w:spacing w:val="-6"/>
              </w:rPr>
              <w:t>12.25</w:t>
            </w:r>
          </w:p>
        </w:tc>
        <w:tc>
          <w:tcPr>
            <w:tcW w:w="605" w:type="pct"/>
            <w:vAlign w:val="center"/>
          </w:tcPr>
          <w:p>
            <w:pPr>
              <w:jc w:val="center"/>
              <w:rPr>
                <w:szCs w:val="21"/>
              </w:rPr>
            </w:pPr>
            <w:r>
              <w:rPr>
                <w:szCs w:val="21"/>
              </w:rPr>
              <w:t>/</w:t>
            </w:r>
          </w:p>
        </w:tc>
        <w:tc>
          <w:tcPr>
            <w:tcW w:w="609" w:type="pct"/>
            <w:vAlign w:val="center"/>
          </w:tcPr>
          <w:p>
            <w:pPr>
              <w:jc w:val="center"/>
              <w:rPr>
                <w:szCs w:val="21"/>
              </w:rPr>
            </w:pPr>
            <w:r>
              <w:rPr>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95" w:type="pct"/>
            <w:vAlign w:val="center"/>
          </w:tcPr>
          <w:p>
            <w:pPr>
              <w:jc w:val="center"/>
              <w:rPr>
                <w:szCs w:val="21"/>
              </w:rPr>
            </w:pPr>
            <w:r>
              <w:rPr>
                <w:szCs w:val="21"/>
              </w:rPr>
              <w:t>项目南面</w:t>
            </w:r>
            <w:r>
              <w:rPr>
                <w:rFonts w:hint="eastAsia"/>
                <w:szCs w:val="21"/>
              </w:rPr>
              <w:t>楼堂</w:t>
            </w:r>
            <w:r>
              <w:rPr>
                <w:szCs w:val="21"/>
              </w:rPr>
              <w:t>居民点</w:t>
            </w:r>
          </w:p>
        </w:tc>
        <w:tc>
          <w:tcPr>
            <w:tcW w:w="665" w:type="pct"/>
            <w:vAlign w:val="center"/>
          </w:tcPr>
          <w:p>
            <w:pPr>
              <w:jc w:val="center"/>
              <w:rPr>
                <w:szCs w:val="21"/>
              </w:rPr>
            </w:pPr>
            <w:r>
              <w:rPr>
                <w:rFonts w:hint="eastAsia"/>
                <w:szCs w:val="21"/>
              </w:rPr>
              <w:t>112.399578</w:t>
            </w:r>
            <w:r>
              <w:rPr>
                <w:b/>
              </w:rPr>
              <w:t>°</w:t>
            </w:r>
          </w:p>
        </w:tc>
        <w:tc>
          <w:tcPr>
            <w:tcW w:w="565" w:type="pct"/>
            <w:vAlign w:val="center"/>
          </w:tcPr>
          <w:p>
            <w:pPr>
              <w:jc w:val="center"/>
              <w:rPr>
                <w:szCs w:val="21"/>
              </w:rPr>
            </w:pPr>
            <w:r>
              <w:rPr>
                <w:rFonts w:hint="eastAsia"/>
                <w:szCs w:val="21"/>
              </w:rPr>
              <w:t>27.069224</w:t>
            </w:r>
            <w:r>
              <w:rPr>
                <w:b/>
              </w:rPr>
              <w:t>°</w:t>
            </w:r>
          </w:p>
        </w:tc>
        <w:tc>
          <w:tcPr>
            <w:tcW w:w="765" w:type="pct"/>
            <w:vAlign w:val="center"/>
          </w:tcPr>
          <w:p>
            <w:pPr>
              <w:adjustRightInd w:val="0"/>
              <w:snapToGrid w:val="0"/>
              <w:jc w:val="center"/>
              <w:rPr>
                <w:bCs/>
                <w:szCs w:val="21"/>
              </w:rPr>
            </w:pPr>
            <w:r>
              <w:rPr>
                <w:bCs/>
                <w:szCs w:val="21"/>
              </w:rPr>
              <w:t>NH</w:t>
            </w:r>
            <w:r>
              <w:rPr>
                <w:bCs/>
                <w:szCs w:val="21"/>
                <w:vertAlign w:val="subscript"/>
              </w:rPr>
              <w:t>3</w:t>
            </w:r>
            <w:r>
              <w:rPr>
                <w:bCs/>
                <w:szCs w:val="21"/>
              </w:rPr>
              <w:t>、H</w:t>
            </w:r>
            <w:r>
              <w:rPr>
                <w:bCs/>
                <w:szCs w:val="21"/>
                <w:vertAlign w:val="subscript"/>
              </w:rPr>
              <w:t>2</w:t>
            </w:r>
            <w:r>
              <w:rPr>
                <w:bCs/>
                <w:szCs w:val="21"/>
              </w:rPr>
              <w:t>S、臭气浓度</w:t>
            </w:r>
          </w:p>
        </w:tc>
        <w:tc>
          <w:tcPr>
            <w:tcW w:w="896" w:type="pct"/>
            <w:vAlign w:val="center"/>
          </w:tcPr>
          <w:p>
            <w:pPr>
              <w:adjustRightInd w:val="0"/>
              <w:snapToGrid w:val="0"/>
              <w:jc w:val="center"/>
              <w:rPr>
                <w:bCs/>
                <w:spacing w:val="-6"/>
              </w:rPr>
            </w:pPr>
            <w:r>
              <w:rPr>
                <w:bCs/>
                <w:spacing w:val="-6"/>
              </w:rPr>
              <w:t>20</w:t>
            </w:r>
            <w:r>
              <w:rPr>
                <w:rFonts w:hint="eastAsia"/>
                <w:bCs/>
                <w:spacing w:val="-6"/>
              </w:rPr>
              <w:t>22.12.19</w:t>
            </w:r>
            <w:r>
              <w:rPr>
                <w:bCs/>
                <w:spacing w:val="-6"/>
              </w:rPr>
              <w:t>~</w:t>
            </w:r>
            <w:r>
              <w:rPr>
                <w:rFonts w:hint="eastAsia"/>
                <w:bCs/>
                <w:spacing w:val="-6"/>
              </w:rPr>
              <w:t>12.25</w:t>
            </w:r>
          </w:p>
        </w:tc>
        <w:tc>
          <w:tcPr>
            <w:tcW w:w="605" w:type="pct"/>
            <w:vAlign w:val="center"/>
          </w:tcPr>
          <w:p>
            <w:pPr>
              <w:jc w:val="center"/>
              <w:rPr>
                <w:szCs w:val="21"/>
              </w:rPr>
            </w:pPr>
            <w:r>
              <w:rPr>
                <w:szCs w:val="21"/>
              </w:rPr>
              <w:t>南</w:t>
            </w:r>
          </w:p>
        </w:tc>
        <w:tc>
          <w:tcPr>
            <w:tcW w:w="609" w:type="pct"/>
            <w:vAlign w:val="center"/>
          </w:tcPr>
          <w:p>
            <w:pPr>
              <w:jc w:val="center"/>
              <w:rPr>
                <w:szCs w:val="21"/>
              </w:rPr>
            </w:pPr>
            <w:r>
              <w:rPr>
                <w:rFonts w:hint="eastAsia"/>
                <w:szCs w:val="21"/>
              </w:rPr>
              <w:t>0.15</w:t>
            </w:r>
          </w:p>
        </w:tc>
      </w:tr>
    </w:tbl>
    <w:p>
      <w:pPr>
        <w:spacing w:line="360" w:lineRule="auto"/>
        <w:ind w:firstLine="482" w:firstLineChars="200"/>
        <w:rPr>
          <w:b/>
          <w:sz w:val="24"/>
        </w:rPr>
      </w:pPr>
      <w:r>
        <w:rPr>
          <w:b/>
          <w:sz w:val="24"/>
        </w:rPr>
        <w:t>2、监测时间和和频率</w:t>
      </w:r>
    </w:p>
    <w:p>
      <w:pPr>
        <w:spacing w:line="360" w:lineRule="auto"/>
        <w:ind w:firstLine="480" w:firstLineChars="200"/>
        <w:rPr>
          <w:bCs/>
          <w:sz w:val="24"/>
        </w:rPr>
      </w:pPr>
      <w:r>
        <w:rPr>
          <w:bCs/>
          <w:sz w:val="24"/>
        </w:rPr>
        <w:t>连续监测7天（</w:t>
      </w:r>
      <w:r>
        <w:rPr>
          <w:rFonts w:hint="eastAsia"/>
          <w:bCs/>
          <w:sz w:val="24"/>
        </w:rPr>
        <w:t>2022年12月19日~12月25日</w:t>
      </w:r>
      <w:r>
        <w:rPr>
          <w:bCs/>
          <w:sz w:val="24"/>
        </w:rPr>
        <w:t>），每天采样4次，每次45分钟，时间分别为02、08、14、20时。</w:t>
      </w:r>
    </w:p>
    <w:p>
      <w:pPr>
        <w:spacing w:line="360" w:lineRule="auto"/>
        <w:ind w:firstLine="482" w:firstLineChars="200"/>
        <w:rPr>
          <w:b/>
          <w:sz w:val="24"/>
        </w:rPr>
      </w:pPr>
      <w:r>
        <w:rPr>
          <w:b/>
          <w:sz w:val="24"/>
        </w:rPr>
        <w:t>3、评价标准</w:t>
      </w:r>
    </w:p>
    <w:p>
      <w:pPr>
        <w:spacing w:line="360" w:lineRule="auto"/>
        <w:ind w:firstLine="480" w:firstLineChars="200"/>
        <w:rPr>
          <w:sz w:val="24"/>
        </w:rPr>
      </w:pPr>
      <w:r>
        <w:rPr>
          <w:sz w:val="24"/>
        </w:rPr>
        <w:t>NH</w:t>
      </w:r>
      <w:r>
        <w:rPr>
          <w:sz w:val="24"/>
          <w:vertAlign w:val="subscript"/>
        </w:rPr>
        <w:t>3</w:t>
      </w:r>
      <w:r>
        <w:rPr>
          <w:sz w:val="24"/>
        </w:rPr>
        <w:t>、H</w:t>
      </w:r>
      <w:r>
        <w:rPr>
          <w:sz w:val="24"/>
          <w:vertAlign w:val="subscript"/>
        </w:rPr>
        <w:t>2</w:t>
      </w:r>
      <w:r>
        <w:rPr>
          <w:sz w:val="24"/>
        </w:rPr>
        <w:t>S</w:t>
      </w:r>
      <w:r>
        <w:rPr>
          <w:bCs/>
          <w:sz w:val="24"/>
        </w:rPr>
        <w:t>参照执行《环境影响评价技术导则大气环境》（HJ 2.2-2018）附录D</w:t>
      </w:r>
      <w:r>
        <w:rPr>
          <w:sz w:val="24"/>
        </w:rPr>
        <w:t>中其他污染物空气质量浓度参考限值，臭气浓度参照执行《恶臭污染物排放标准》（GB 14554-93）中表1二级新改扩建标准值。</w:t>
      </w:r>
    </w:p>
    <w:p>
      <w:pPr>
        <w:spacing w:line="360" w:lineRule="auto"/>
        <w:ind w:firstLine="482" w:firstLineChars="200"/>
        <w:rPr>
          <w:b/>
          <w:sz w:val="24"/>
        </w:rPr>
      </w:pPr>
      <w:r>
        <w:rPr>
          <w:b/>
          <w:sz w:val="24"/>
        </w:rPr>
        <w:t>4、评价方法</w:t>
      </w:r>
    </w:p>
    <w:p>
      <w:pPr>
        <w:spacing w:line="360" w:lineRule="auto"/>
        <w:ind w:firstLine="480" w:firstLineChars="200"/>
        <w:rPr>
          <w:sz w:val="24"/>
        </w:rPr>
      </w:pPr>
      <w:r>
        <w:rPr>
          <w:sz w:val="24"/>
        </w:rPr>
        <w:t>根据《环境影响评价技术导则大气环境》（HJ2.2-2018）中的监测结果统计分析要求，以列表的方式给出各监测点大气污染物的不同取值时间的质量浓度变化范围，计算并列表给出各取值时间最大质量浓度值占相应标准质量浓度限值的百分比和超标率，评价达标情况。</w:t>
      </w:r>
    </w:p>
    <w:p>
      <w:pPr>
        <w:spacing w:line="360" w:lineRule="auto"/>
        <w:ind w:firstLine="482" w:firstLineChars="200"/>
        <w:rPr>
          <w:b/>
          <w:sz w:val="24"/>
        </w:rPr>
      </w:pPr>
      <w:r>
        <w:rPr>
          <w:b/>
          <w:sz w:val="24"/>
        </w:rPr>
        <w:t>5、监测结果及评价</w:t>
      </w:r>
    </w:p>
    <w:p>
      <w:pPr>
        <w:spacing w:line="360" w:lineRule="auto"/>
        <w:ind w:firstLine="480" w:firstLineChars="200"/>
        <w:rPr>
          <w:bCs/>
          <w:sz w:val="24"/>
        </w:rPr>
      </w:pPr>
      <w:r>
        <w:rPr>
          <w:bCs/>
          <w:sz w:val="24"/>
        </w:rPr>
        <w:t>评价区域环境空气污染物现状监测结果统计分析见表5.1-</w:t>
      </w:r>
      <w:r>
        <w:rPr>
          <w:rFonts w:hint="eastAsia"/>
          <w:bCs/>
          <w:sz w:val="24"/>
        </w:rPr>
        <w:t>3</w:t>
      </w:r>
      <w:r>
        <w:rPr>
          <w:bCs/>
          <w:sz w:val="24"/>
        </w:rPr>
        <w:t>。</w:t>
      </w:r>
    </w:p>
    <w:p>
      <w:pPr>
        <w:spacing w:beforeLines="50"/>
        <w:jc w:val="center"/>
        <w:rPr>
          <w:b/>
          <w:bCs/>
          <w:szCs w:val="21"/>
        </w:rPr>
      </w:pPr>
      <w:r>
        <w:rPr>
          <w:b/>
          <w:bCs/>
          <w:szCs w:val="21"/>
        </w:rPr>
        <w:t>表5.1</w:t>
      </w:r>
      <w:r>
        <w:rPr>
          <w:rFonts w:hint="eastAsia"/>
          <w:b/>
          <w:bCs/>
          <w:szCs w:val="21"/>
        </w:rPr>
        <w:t>-3</w:t>
      </w:r>
      <w:r>
        <w:rPr>
          <w:b/>
          <w:bCs/>
          <w:szCs w:val="21"/>
        </w:rPr>
        <w:t xml:space="preserve">  其他污染物环境质量现状监测结果表</w:t>
      </w:r>
      <w:r>
        <w:rPr>
          <w:rFonts w:hint="eastAsia"/>
          <w:b/>
          <w:bCs/>
          <w:szCs w:val="21"/>
        </w:rPr>
        <w:t xml:space="preserve">  </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98"/>
        <w:gridCol w:w="1207"/>
        <w:gridCol w:w="709"/>
        <w:gridCol w:w="708"/>
        <w:gridCol w:w="710"/>
        <w:gridCol w:w="715"/>
        <w:gridCol w:w="710"/>
        <w:gridCol w:w="849"/>
        <w:gridCol w:w="708"/>
        <w:gridCol w:w="855"/>
        <w:gridCol w:w="75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58" w:type="pct"/>
            <w:gridSpan w:val="2"/>
            <w:vMerge w:val="restart"/>
            <w:tcBorders>
              <w:tl2br w:val="single" w:color="auto" w:sz="8" w:space="0"/>
            </w:tcBorders>
            <w:vAlign w:val="center"/>
          </w:tcPr>
          <w:p>
            <w:pPr>
              <w:adjustRightInd w:val="0"/>
              <w:snapToGrid w:val="0"/>
              <w:jc w:val="center"/>
              <w:rPr>
                <w:b/>
                <w:bCs/>
                <w:szCs w:val="21"/>
              </w:rPr>
            </w:pPr>
            <w:r>
              <w:rPr>
                <w:rFonts w:hAnsi="Calibri"/>
                <w:b/>
                <w:bCs/>
                <w:szCs w:val="21"/>
              </w:rPr>
              <w:t>项目</w:t>
            </w:r>
          </w:p>
          <w:p>
            <w:pPr>
              <w:adjustRightInd w:val="0"/>
              <w:snapToGrid w:val="0"/>
              <w:jc w:val="center"/>
              <w:rPr>
                <w:bCs/>
                <w:szCs w:val="21"/>
              </w:rPr>
            </w:pPr>
            <w:r>
              <w:rPr>
                <w:rFonts w:hAnsi="Calibri"/>
                <w:b/>
                <w:bCs/>
                <w:szCs w:val="21"/>
              </w:rPr>
              <w:t>日期点位</w:t>
            </w:r>
          </w:p>
        </w:tc>
        <w:tc>
          <w:tcPr>
            <w:tcW w:w="1666" w:type="pct"/>
            <w:gridSpan w:val="4"/>
            <w:vAlign w:val="center"/>
          </w:tcPr>
          <w:p>
            <w:pPr>
              <w:adjustRightInd w:val="0"/>
              <w:snapToGrid w:val="0"/>
              <w:jc w:val="center"/>
              <w:rPr>
                <w:rFonts w:hAnsi="Calibri"/>
                <w:b/>
                <w:bCs/>
                <w:szCs w:val="21"/>
              </w:rPr>
            </w:pPr>
            <w:r>
              <w:rPr>
                <w:rFonts w:hAnsi="Calibri"/>
                <w:b/>
                <w:bCs/>
                <w:szCs w:val="21"/>
              </w:rPr>
              <w:t>氨（</w:t>
            </w:r>
            <w:r>
              <w:rPr>
                <w:rFonts w:hint="eastAsia"/>
                <w:b/>
              </w:rPr>
              <w:t>m</w:t>
            </w:r>
            <w:r>
              <w:rPr>
                <w:b/>
                <w:bCs/>
                <w:szCs w:val="21"/>
              </w:rPr>
              <w:t>g/m</w:t>
            </w:r>
            <w:r>
              <w:rPr>
                <w:b/>
                <w:bCs/>
                <w:szCs w:val="21"/>
                <w:vertAlign w:val="superscript"/>
              </w:rPr>
              <w:t>3</w:t>
            </w:r>
            <w:r>
              <w:rPr>
                <w:rFonts w:hAnsi="Calibri"/>
                <w:b/>
                <w:bCs/>
                <w:szCs w:val="21"/>
              </w:rPr>
              <w:t>）</w:t>
            </w:r>
          </w:p>
        </w:tc>
        <w:tc>
          <w:tcPr>
            <w:tcW w:w="1830" w:type="pct"/>
            <w:gridSpan w:val="4"/>
            <w:vAlign w:val="center"/>
          </w:tcPr>
          <w:p>
            <w:pPr>
              <w:adjustRightInd w:val="0"/>
              <w:snapToGrid w:val="0"/>
              <w:jc w:val="center"/>
              <w:rPr>
                <w:rFonts w:hAnsi="Calibri"/>
                <w:b/>
                <w:bCs/>
                <w:szCs w:val="21"/>
              </w:rPr>
            </w:pPr>
            <w:r>
              <w:rPr>
                <w:rFonts w:hAnsi="Calibri"/>
                <w:b/>
                <w:bCs/>
                <w:szCs w:val="21"/>
              </w:rPr>
              <w:t>硫化氢（</w:t>
            </w:r>
            <w:r>
              <w:rPr>
                <w:rFonts w:hint="eastAsia"/>
                <w:b/>
              </w:rPr>
              <w:t>m</w:t>
            </w:r>
            <w:r>
              <w:rPr>
                <w:b/>
                <w:bCs/>
                <w:szCs w:val="21"/>
              </w:rPr>
              <w:t>g/m</w:t>
            </w:r>
            <w:r>
              <w:rPr>
                <w:b/>
                <w:bCs/>
                <w:szCs w:val="21"/>
                <w:vertAlign w:val="superscript"/>
              </w:rPr>
              <w:t>3</w:t>
            </w:r>
            <w:r>
              <w:rPr>
                <w:rFonts w:hAnsi="Calibri"/>
                <w:b/>
                <w:bCs/>
                <w:szCs w:val="21"/>
              </w:rPr>
              <w:t>）</w:t>
            </w:r>
          </w:p>
        </w:tc>
        <w:tc>
          <w:tcPr>
            <w:tcW w:w="445" w:type="pct"/>
            <w:vMerge w:val="restart"/>
            <w:vAlign w:val="center"/>
          </w:tcPr>
          <w:p>
            <w:pPr>
              <w:adjustRightInd w:val="0"/>
              <w:snapToGrid w:val="0"/>
              <w:jc w:val="center"/>
              <w:rPr>
                <w:rFonts w:hAnsi="Calibri"/>
                <w:b/>
                <w:bCs/>
                <w:szCs w:val="21"/>
              </w:rPr>
            </w:pPr>
            <w:r>
              <w:rPr>
                <w:rFonts w:hAnsi="Calibri"/>
                <w:b/>
                <w:bCs/>
                <w:szCs w:val="21"/>
              </w:rPr>
              <w:t>臭气浓度（无量纲）</w:t>
            </w:r>
          </w:p>
          <w:p>
            <w:pPr>
              <w:adjustRightInd w:val="0"/>
              <w:snapToGrid w:val="0"/>
              <w:jc w:val="center"/>
              <w:rPr>
                <w:rFonts w:hAnsi="Calibri"/>
                <w:b/>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58" w:type="pct"/>
            <w:gridSpan w:val="2"/>
            <w:vMerge w:val="continue"/>
            <w:tcBorders>
              <w:tl2br w:val="single" w:color="auto" w:sz="8" w:space="0"/>
            </w:tcBorders>
            <w:vAlign w:val="center"/>
          </w:tcPr>
          <w:p>
            <w:pPr>
              <w:adjustRightInd w:val="0"/>
              <w:snapToGrid w:val="0"/>
              <w:jc w:val="center"/>
              <w:rPr>
                <w:rFonts w:hAnsi="Calibri"/>
                <w:b/>
                <w:bCs/>
                <w:szCs w:val="21"/>
              </w:rPr>
            </w:pPr>
          </w:p>
        </w:tc>
        <w:tc>
          <w:tcPr>
            <w:tcW w:w="416" w:type="pct"/>
            <w:vAlign w:val="center"/>
          </w:tcPr>
          <w:p>
            <w:pPr>
              <w:adjustRightInd w:val="0"/>
              <w:snapToGrid w:val="0"/>
              <w:jc w:val="center"/>
              <w:rPr>
                <w:rFonts w:hAnsi="Calibri"/>
                <w:b/>
                <w:bCs/>
                <w:szCs w:val="21"/>
              </w:rPr>
            </w:pPr>
            <w:r>
              <w:rPr>
                <w:rFonts w:hint="eastAsia" w:hAnsi="Calibri"/>
                <w:b/>
                <w:bCs/>
                <w:szCs w:val="21"/>
              </w:rPr>
              <w:t>02</w:t>
            </w:r>
          </w:p>
        </w:tc>
        <w:tc>
          <w:tcPr>
            <w:tcW w:w="415" w:type="pct"/>
            <w:vAlign w:val="center"/>
          </w:tcPr>
          <w:p>
            <w:pPr>
              <w:adjustRightInd w:val="0"/>
              <w:snapToGrid w:val="0"/>
              <w:jc w:val="center"/>
              <w:rPr>
                <w:rFonts w:hAnsi="Calibri"/>
                <w:b/>
                <w:bCs/>
                <w:szCs w:val="21"/>
              </w:rPr>
            </w:pPr>
            <w:r>
              <w:rPr>
                <w:rFonts w:hint="eastAsia" w:hAnsi="Calibri"/>
                <w:b/>
                <w:bCs/>
                <w:szCs w:val="21"/>
              </w:rPr>
              <w:t>08</w:t>
            </w:r>
          </w:p>
        </w:tc>
        <w:tc>
          <w:tcPr>
            <w:tcW w:w="416" w:type="pct"/>
            <w:vAlign w:val="center"/>
          </w:tcPr>
          <w:p>
            <w:pPr>
              <w:adjustRightInd w:val="0"/>
              <w:snapToGrid w:val="0"/>
              <w:jc w:val="center"/>
              <w:rPr>
                <w:rFonts w:hAnsi="Calibri"/>
                <w:b/>
                <w:bCs/>
                <w:szCs w:val="21"/>
              </w:rPr>
            </w:pPr>
            <w:r>
              <w:rPr>
                <w:rFonts w:hint="eastAsia" w:hAnsi="Calibri"/>
                <w:b/>
                <w:bCs/>
                <w:szCs w:val="21"/>
              </w:rPr>
              <w:t>14</w:t>
            </w:r>
          </w:p>
        </w:tc>
        <w:tc>
          <w:tcPr>
            <w:tcW w:w="419" w:type="pct"/>
            <w:vAlign w:val="center"/>
          </w:tcPr>
          <w:p>
            <w:pPr>
              <w:adjustRightInd w:val="0"/>
              <w:snapToGrid w:val="0"/>
              <w:jc w:val="center"/>
              <w:rPr>
                <w:rFonts w:hAnsi="Calibri"/>
                <w:b/>
                <w:bCs/>
                <w:szCs w:val="21"/>
              </w:rPr>
            </w:pPr>
            <w:r>
              <w:rPr>
                <w:rFonts w:hint="eastAsia" w:hAnsi="Calibri"/>
                <w:b/>
                <w:bCs/>
                <w:szCs w:val="21"/>
              </w:rPr>
              <w:t>20</w:t>
            </w:r>
          </w:p>
        </w:tc>
        <w:tc>
          <w:tcPr>
            <w:tcW w:w="416" w:type="pct"/>
            <w:vAlign w:val="center"/>
          </w:tcPr>
          <w:p>
            <w:pPr>
              <w:adjustRightInd w:val="0"/>
              <w:snapToGrid w:val="0"/>
              <w:jc w:val="center"/>
              <w:rPr>
                <w:rFonts w:hAnsi="Calibri"/>
                <w:b/>
                <w:bCs/>
                <w:szCs w:val="21"/>
              </w:rPr>
            </w:pPr>
            <w:r>
              <w:rPr>
                <w:rFonts w:hint="eastAsia" w:hAnsi="Calibri"/>
                <w:b/>
                <w:bCs/>
                <w:szCs w:val="21"/>
              </w:rPr>
              <w:t>02</w:t>
            </w:r>
          </w:p>
        </w:tc>
        <w:tc>
          <w:tcPr>
            <w:tcW w:w="498" w:type="pct"/>
            <w:vAlign w:val="center"/>
          </w:tcPr>
          <w:p>
            <w:pPr>
              <w:adjustRightInd w:val="0"/>
              <w:snapToGrid w:val="0"/>
              <w:jc w:val="center"/>
              <w:rPr>
                <w:rFonts w:hAnsi="Calibri"/>
                <w:b/>
                <w:bCs/>
                <w:szCs w:val="21"/>
              </w:rPr>
            </w:pPr>
            <w:r>
              <w:rPr>
                <w:rFonts w:hint="eastAsia" w:hAnsi="Calibri"/>
                <w:b/>
                <w:bCs/>
                <w:szCs w:val="21"/>
              </w:rPr>
              <w:t>08</w:t>
            </w:r>
          </w:p>
        </w:tc>
        <w:tc>
          <w:tcPr>
            <w:tcW w:w="415" w:type="pct"/>
            <w:vAlign w:val="center"/>
          </w:tcPr>
          <w:p>
            <w:pPr>
              <w:adjustRightInd w:val="0"/>
              <w:snapToGrid w:val="0"/>
              <w:jc w:val="center"/>
              <w:rPr>
                <w:rFonts w:hAnsi="Calibri"/>
                <w:b/>
                <w:bCs/>
                <w:szCs w:val="21"/>
              </w:rPr>
            </w:pPr>
            <w:r>
              <w:rPr>
                <w:rFonts w:hint="eastAsia" w:hAnsi="Calibri"/>
                <w:b/>
                <w:bCs/>
                <w:szCs w:val="21"/>
              </w:rPr>
              <w:t>14</w:t>
            </w:r>
          </w:p>
        </w:tc>
        <w:tc>
          <w:tcPr>
            <w:tcW w:w="501" w:type="pct"/>
            <w:vAlign w:val="center"/>
          </w:tcPr>
          <w:p>
            <w:pPr>
              <w:adjustRightInd w:val="0"/>
              <w:snapToGrid w:val="0"/>
              <w:jc w:val="center"/>
              <w:rPr>
                <w:rFonts w:hAnsi="Calibri"/>
                <w:b/>
                <w:bCs/>
                <w:szCs w:val="21"/>
              </w:rPr>
            </w:pPr>
            <w:r>
              <w:rPr>
                <w:rFonts w:hint="eastAsia" w:hAnsi="Calibri"/>
                <w:b/>
                <w:bCs/>
                <w:szCs w:val="21"/>
              </w:rPr>
              <w:t>20</w:t>
            </w:r>
          </w:p>
        </w:tc>
        <w:tc>
          <w:tcPr>
            <w:tcW w:w="445" w:type="pct"/>
            <w:vMerge w:val="continue"/>
            <w:vAlign w:val="center"/>
          </w:tcPr>
          <w:p>
            <w:pPr>
              <w:adjustRightInd w:val="0"/>
              <w:snapToGrid w:val="0"/>
              <w:jc w:val="center"/>
              <w:rPr>
                <w:rFonts w:hAnsi="Calibri"/>
                <w:b/>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51" w:type="pct"/>
            <w:vMerge w:val="restart"/>
            <w:vAlign w:val="center"/>
          </w:tcPr>
          <w:p>
            <w:pPr>
              <w:jc w:val="center"/>
              <w:rPr>
                <w:bCs/>
                <w:szCs w:val="21"/>
              </w:rPr>
            </w:pPr>
            <w:r>
              <w:rPr>
                <w:rFonts w:hint="eastAsia" w:hAnsi="Calibri"/>
                <w:szCs w:val="21"/>
              </w:rPr>
              <w:t>G1</w:t>
            </w:r>
            <w:r>
              <w:rPr>
                <w:rFonts w:hAnsi="Calibri"/>
                <w:szCs w:val="21"/>
              </w:rPr>
              <w:t>项目所在地</w:t>
            </w:r>
          </w:p>
        </w:tc>
        <w:tc>
          <w:tcPr>
            <w:tcW w:w="708" w:type="pct"/>
            <w:vAlign w:val="center"/>
          </w:tcPr>
          <w:p>
            <w:pPr>
              <w:widowControl/>
              <w:spacing w:line="280" w:lineRule="exact"/>
              <w:jc w:val="center"/>
              <w:rPr>
                <w:kern w:val="0"/>
                <w:szCs w:val="21"/>
              </w:rPr>
            </w:pPr>
            <w:r>
              <w:rPr>
                <w:rFonts w:hint="eastAsia"/>
                <w:kern w:val="0"/>
                <w:szCs w:val="21"/>
              </w:rPr>
              <w:t>2022.12.19</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0.076</w:t>
            </w:r>
          </w:p>
        </w:tc>
        <w:tc>
          <w:tcPr>
            <w:tcW w:w="415" w:type="pct"/>
            <w:vAlign w:val="center"/>
          </w:tcPr>
          <w:p>
            <w:pPr>
              <w:widowControl/>
              <w:spacing w:line="300" w:lineRule="exact"/>
              <w:ind w:left="-63" w:leftChars="-30" w:right="-63" w:rightChars="-30"/>
              <w:jc w:val="center"/>
              <w:rPr>
                <w:kern w:val="0"/>
                <w:szCs w:val="21"/>
              </w:rPr>
            </w:pPr>
            <w:r>
              <w:rPr>
                <w:rFonts w:hint="eastAsia"/>
                <w:kern w:val="0"/>
                <w:szCs w:val="21"/>
              </w:rPr>
              <w:t>0.081</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0.077</w:t>
            </w:r>
          </w:p>
        </w:tc>
        <w:tc>
          <w:tcPr>
            <w:tcW w:w="419" w:type="pct"/>
            <w:vAlign w:val="center"/>
          </w:tcPr>
          <w:p>
            <w:pPr>
              <w:widowControl/>
              <w:spacing w:line="300" w:lineRule="exact"/>
              <w:ind w:left="-63" w:leftChars="-30" w:right="-63" w:rightChars="-30"/>
              <w:jc w:val="center"/>
              <w:rPr>
                <w:kern w:val="0"/>
                <w:szCs w:val="21"/>
              </w:rPr>
            </w:pPr>
            <w:r>
              <w:rPr>
                <w:rFonts w:hint="eastAsia"/>
                <w:kern w:val="0"/>
                <w:szCs w:val="21"/>
              </w:rPr>
              <w:t>0.084</w:t>
            </w:r>
          </w:p>
        </w:tc>
        <w:tc>
          <w:tcPr>
            <w:tcW w:w="416" w:type="pct"/>
            <w:vAlign w:val="center"/>
          </w:tcPr>
          <w:p>
            <w:pPr>
              <w:jc w:val="center"/>
              <w:rPr>
                <w:szCs w:val="21"/>
              </w:rPr>
            </w:pPr>
            <w:r>
              <w:rPr>
                <w:rFonts w:hint="eastAsia"/>
                <w:szCs w:val="21"/>
              </w:rPr>
              <w:t>0.001</w:t>
            </w:r>
          </w:p>
        </w:tc>
        <w:tc>
          <w:tcPr>
            <w:tcW w:w="498" w:type="pct"/>
            <w:vAlign w:val="center"/>
          </w:tcPr>
          <w:p>
            <w:pPr>
              <w:jc w:val="center"/>
              <w:rPr>
                <w:szCs w:val="21"/>
              </w:rPr>
            </w:pPr>
            <w:r>
              <w:rPr>
                <w:rFonts w:hint="eastAsia"/>
                <w:szCs w:val="21"/>
              </w:rPr>
              <w:t>0.001L</w:t>
            </w:r>
          </w:p>
        </w:tc>
        <w:tc>
          <w:tcPr>
            <w:tcW w:w="415" w:type="pct"/>
            <w:vAlign w:val="center"/>
          </w:tcPr>
          <w:p>
            <w:pPr>
              <w:jc w:val="center"/>
              <w:rPr>
                <w:szCs w:val="21"/>
              </w:rPr>
            </w:pPr>
            <w:r>
              <w:rPr>
                <w:rFonts w:hint="eastAsia"/>
                <w:szCs w:val="21"/>
              </w:rPr>
              <w:t>0.001</w:t>
            </w:r>
          </w:p>
        </w:tc>
        <w:tc>
          <w:tcPr>
            <w:tcW w:w="501" w:type="pct"/>
            <w:vAlign w:val="center"/>
          </w:tcPr>
          <w:p>
            <w:pPr>
              <w:jc w:val="center"/>
              <w:rPr>
                <w:szCs w:val="21"/>
              </w:rPr>
            </w:pPr>
            <w:r>
              <w:rPr>
                <w:rFonts w:hint="eastAsia"/>
                <w:szCs w:val="21"/>
              </w:rPr>
              <w:t>0.001L</w:t>
            </w:r>
          </w:p>
        </w:tc>
        <w:tc>
          <w:tcPr>
            <w:tcW w:w="445" w:type="pct"/>
            <w:vAlign w:val="center"/>
          </w:tcPr>
          <w:p>
            <w:pPr>
              <w:jc w:val="center"/>
              <w:rPr>
                <w:szCs w:val="21"/>
              </w:rPr>
            </w:pPr>
            <w:r>
              <w:rPr>
                <w:rFonts w:hint="eastAsia"/>
                <w:szCs w:val="21"/>
              </w:rPr>
              <w:t>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51" w:type="pct"/>
            <w:vMerge w:val="continue"/>
            <w:vAlign w:val="center"/>
          </w:tcPr>
          <w:p>
            <w:pPr>
              <w:adjustRightInd w:val="0"/>
              <w:snapToGrid w:val="0"/>
              <w:jc w:val="center"/>
              <w:rPr>
                <w:bCs/>
                <w:szCs w:val="21"/>
              </w:rPr>
            </w:pPr>
          </w:p>
        </w:tc>
        <w:tc>
          <w:tcPr>
            <w:tcW w:w="708" w:type="pct"/>
            <w:vAlign w:val="center"/>
          </w:tcPr>
          <w:p>
            <w:pPr>
              <w:widowControl/>
              <w:spacing w:line="280" w:lineRule="exact"/>
              <w:jc w:val="center"/>
              <w:rPr>
                <w:kern w:val="0"/>
                <w:szCs w:val="21"/>
              </w:rPr>
            </w:pPr>
            <w:r>
              <w:rPr>
                <w:rFonts w:hint="eastAsia"/>
                <w:kern w:val="0"/>
                <w:szCs w:val="21"/>
              </w:rPr>
              <w:t>2022.12.20</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0.090</w:t>
            </w:r>
          </w:p>
        </w:tc>
        <w:tc>
          <w:tcPr>
            <w:tcW w:w="415" w:type="pct"/>
            <w:vAlign w:val="center"/>
          </w:tcPr>
          <w:p>
            <w:pPr>
              <w:widowControl/>
              <w:spacing w:line="300" w:lineRule="exact"/>
              <w:ind w:left="-63" w:leftChars="-30" w:right="-63" w:rightChars="-30"/>
              <w:jc w:val="center"/>
              <w:rPr>
                <w:kern w:val="0"/>
                <w:szCs w:val="21"/>
              </w:rPr>
            </w:pPr>
            <w:r>
              <w:rPr>
                <w:rFonts w:hint="eastAsia"/>
                <w:kern w:val="0"/>
                <w:szCs w:val="21"/>
              </w:rPr>
              <w:t>0.090</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0.085</w:t>
            </w:r>
          </w:p>
        </w:tc>
        <w:tc>
          <w:tcPr>
            <w:tcW w:w="419" w:type="pct"/>
            <w:vAlign w:val="center"/>
          </w:tcPr>
          <w:p>
            <w:pPr>
              <w:widowControl/>
              <w:spacing w:line="300" w:lineRule="exact"/>
              <w:ind w:left="-63" w:leftChars="-30" w:right="-63" w:rightChars="-30"/>
              <w:jc w:val="center"/>
              <w:rPr>
                <w:kern w:val="0"/>
                <w:szCs w:val="21"/>
              </w:rPr>
            </w:pPr>
            <w:r>
              <w:rPr>
                <w:rFonts w:hint="eastAsia"/>
                <w:kern w:val="0"/>
                <w:szCs w:val="21"/>
              </w:rPr>
              <w:t>0.079</w:t>
            </w:r>
          </w:p>
        </w:tc>
        <w:tc>
          <w:tcPr>
            <w:tcW w:w="416" w:type="pct"/>
            <w:vAlign w:val="center"/>
          </w:tcPr>
          <w:p>
            <w:pPr>
              <w:jc w:val="center"/>
              <w:rPr>
                <w:szCs w:val="21"/>
              </w:rPr>
            </w:pPr>
            <w:r>
              <w:rPr>
                <w:rFonts w:hint="eastAsia"/>
                <w:szCs w:val="21"/>
              </w:rPr>
              <w:t>0.002</w:t>
            </w:r>
          </w:p>
        </w:tc>
        <w:tc>
          <w:tcPr>
            <w:tcW w:w="498" w:type="pct"/>
            <w:vAlign w:val="center"/>
          </w:tcPr>
          <w:p>
            <w:pPr>
              <w:jc w:val="center"/>
              <w:rPr>
                <w:szCs w:val="21"/>
              </w:rPr>
            </w:pPr>
            <w:r>
              <w:rPr>
                <w:rFonts w:hint="eastAsia"/>
                <w:szCs w:val="21"/>
              </w:rPr>
              <w:t>0.003</w:t>
            </w:r>
          </w:p>
        </w:tc>
        <w:tc>
          <w:tcPr>
            <w:tcW w:w="415" w:type="pct"/>
            <w:vAlign w:val="center"/>
          </w:tcPr>
          <w:p>
            <w:pPr>
              <w:jc w:val="center"/>
              <w:rPr>
                <w:szCs w:val="21"/>
              </w:rPr>
            </w:pPr>
            <w:r>
              <w:rPr>
                <w:rFonts w:hint="eastAsia"/>
                <w:szCs w:val="21"/>
              </w:rPr>
              <w:t>0.003</w:t>
            </w:r>
          </w:p>
        </w:tc>
        <w:tc>
          <w:tcPr>
            <w:tcW w:w="501" w:type="pct"/>
            <w:vAlign w:val="center"/>
          </w:tcPr>
          <w:p>
            <w:pPr>
              <w:jc w:val="center"/>
              <w:rPr>
                <w:szCs w:val="21"/>
              </w:rPr>
            </w:pPr>
            <w:r>
              <w:rPr>
                <w:rFonts w:hint="eastAsia"/>
                <w:szCs w:val="21"/>
              </w:rPr>
              <w:t>0.002</w:t>
            </w:r>
          </w:p>
        </w:tc>
        <w:tc>
          <w:tcPr>
            <w:tcW w:w="445" w:type="pct"/>
            <w:vAlign w:val="center"/>
          </w:tcPr>
          <w:p>
            <w:pPr>
              <w:jc w:val="center"/>
              <w:rPr>
                <w:szCs w:val="21"/>
              </w:rPr>
            </w:pPr>
            <w:r>
              <w:rPr>
                <w:rFonts w:hint="eastAsia"/>
                <w:szCs w:val="21"/>
              </w:rPr>
              <w:t>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51" w:type="pct"/>
            <w:vMerge w:val="continue"/>
            <w:vAlign w:val="center"/>
          </w:tcPr>
          <w:p>
            <w:pPr>
              <w:adjustRightInd w:val="0"/>
              <w:snapToGrid w:val="0"/>
              <w:jc w:val="center"/>
              <w:rPr>
                <w:bCs/>
                <w:szCs w:val="21"/>
              </w:rPr>
            </w:pPr>
          </w:p>
        </w:tc>
        <w:tc>
          <w:tcPr>
            <w:tcW w:w="708" w:type="pct"/>
            <w:vAlign w:val="center"/>
          </w:tcPr>
          <w:p>
            <w:pPr>
              <w:widowControl/>
              <w:spacing w:line="280" w:lineRule="exact"/>
              <w:jc w:val="center"/>
              <w:rPr>
                <w:kern w:val="0"/>
                <w:szCs w:val="21"/>
              </w:rPr>
            </w:pPr>
            <w:r>
              <w:rPr>
                <w:rFonts w:hint="eastAsia"/>
                <w:kern w:val="0"/>
                <w:szCs w:val="21"/>
              </w:rPr>
              <w:t>2022.12.21</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0.094</w:t>
            </w:r>
          </w:p>
        </w:tc>
        <w:tc>
          <w:tcPr>
            <w:tcW w:w="415" w:type="pct"/>
            <w:vAlign w:val="center"/>
          </w:tcPr>
          <w:p>
            <w:pPr>
              <w:widowControl/>
              <w:spacing w:line="300" w:lineRule="exact"/>
              <w:ind w:left="-63" w:leftChars="-30" w:right="-63" w:rightChars="-30"/>
              <w:jc w:val="center"/>
              <w:rPr>
                <w:kern w:val="0"/>
                <w:szCs w:val="21"/>
              </w:rPr>
            </w:pPr>
            <w:r>
              <w:rPr>
                <w:rFonts w:hint="eastAsia"/>
                <w:kern w:val="0"/>
                <w:szCs w:val="21"/>
              </w:rPr>
              <w:t>0.085</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0.092</w:t>
            </w:r>
          </w:p>
        </w:tc>
        <w:tc>
          <w:tcPr>
            <w:tcW w:w="419" w:type="pct"/>
            <w:vAlign w:val="center"/>
          </w:tcPr>
          <w:p>
            <w:pPr>
              <w:widowControl/>
              <w:spacing w:line="300" w:lineRule="exact"/>
              <w:ind w:left="-63" w:leftChars="-30" w:right="-63" w:rightChars="-30"/>
              <w:jc w:val="center"/>
              <w:rPr>
                <w:kern w:val="0"/>
                <w:szCs w:val="21"/>
              </w:rPr>
            </w:pPr>
            <w:r>
              <w:rPr>
                <w:rFonts w:hint="eastAsia"/>
                <w:kern w:val="0"/>
                <w:szCs w:val="21"/>
              </w:rPr>
              <w:t>0.100</w:t>
            </w:r>
          </w:p>
        </w:tc>
        <w:tc>
          <w:tcPr>
            <w:tcW w:w="416" w:type="pct"/>
            <w:vAlign w:val="center"/>
          </w:tcPr>
          <w:p>
            <w:pPr>
              <w:jc w:val="center"/>
              <w:rPr>
                <w:szCs w:val="21"/>
              </w:rPr>
            </w:pPr>
            <w:r>
              <w:rPr>
                <w:rFonts w:hint="eastAsia"/>
                <w:szCs w:val="21"/>
              </w:rPr>
              <w:t>0.001</w:t>
            </w:r>
          </w:p>
        </w:tc>
        <w:tc>
          <w:tcPr>
            <w:tcW w:w="498" w:type="pct"/>
            <w:vAlign w:val="center"/>
          </w:tcPr>
          <w:p>
            <w:pPr>
              <w:jc w:val="center"/>
              <w:rPr>
                <w:szCs w:val="21"/>
              </w:rPr>
            </w:pPr>
            <w:r>
              <w:rPr>
                <w:rFonts w:hint="eastAsia"/>
                <w:szCs w:val="21"/>
              </w:rPr>
              <w:t>0.001L</w:t>
            </w:r>
          </w:p>
        </w:tc>
        <w:tc>
          <w:tcPr>
            <w:tcW w:w="415" w:type="pct"/>
            <w:vAlign w:val="center"/>
          </w:tcPr>
          <w:p>
            <w:pPr>
              <w:jc w:val="center"/>
              <w:rPr>
                <w:szCs w:val="21"/>
              </w:rPr>
            </w:pPr>
            <w:r>
              <w:rPr>
                <w:rFonts w:hint="eastAsia"/>
                <w:szCs w:val="21"/>
              </w:rPr>
              <w:t>0.001</w:t>
            </w:r>
          </w:p>
        </w:tc>
        <w:tc>
          <w:tcPr>
            <w:tcW w:w="501" w:type="pct"/>
            <w:vAlign w:val="center"/>
          </w:tcPr>
          <w:p>
            <w:pPr>
              <w:jc w:val="center"/>
              <w:rPr>
                <w:szCs w:val="21"/>
              </w:rPr>
            </w:pPr>
            <w:r>
              <w:rPr>
                <w:rFonts w:hint="eastAsia"/>
                <w:szCs w:val="21"/>
              </w:rPr>
              <w:t>0.001L</w:t>
            </w:r>
          </w:p>
        </w:tc>
        <w:tc>
          <w:tcPr>
            <w:tcW w:w="445" w:type="pct"/>
            <w:vAlign w:val="center"/>
          </w:tcPr>
          <w:p>
            <w:pPr>
              <w:jc w:val="center"/>
              <w:rPr>
                <w:szCs w:val="21"/>
              </w:rPr>
            </w:pPr>
            <w:r>
              <w:rPr>
                <w:rFonts w:hint="eastAsia"/>
                <w:szCs w:val="21"/>
              </w:rPr>
              <w:t>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51" w:type="pct"/>
            <w:vMerge w:val="continue"/>
            <w:vAlign w:val="center"/>
          </w:tcPr>
          <w:p>
            <w:pPr>
              <w:adjustRightInd w:val="0"/>
              <w:snapToGrid w:val="0"/>
              <w:jc w:val="center"/>
              <w:rPr>
                <w:bCs/>
                <w:szCs w:val="21"/>
              </w:rPr>
            </w:pPr>
          </w:p>
        </w:tc>
        <w:tc>
          <w:tcPr>
            <w:tcW w:w="708" w:type="pct"/>
            <w:vAlign w:val="center"/>
          </w:tcPr>
          <w:p>
            <w:pPr>
              <w:widowControl/>
              <w:spacing w:line="280" w:lineRule="exact"/>
              <w:jc w:val="center"/>
              <w:rPr>
                <w:kern w:val="0"/>
                <w:szCs w:val="21"/>
              </w:rPr>
            </w:pPr>
            <w:r>
              <w:rPr>
                <w:rFonts w:hint="eastAsia"/>
                <w:kern w:val="0"/>
                <w:szCs w:val="21"/>
              </w:rPr>
              <w:t>2022.12.22</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0.097</w:t>
            </w:r>
          </w:p>
        </w:tc>
        <w:tc>
          <w:tcPr>
            <w:tcW w:w="415" w:type="pct"/>
            <w:vAlign w:val="center"/>
          </w:tcPr>
          <w:p>
            <w:pPr>
              <w:widowControl/>
              <w:spacing w:line="300" w:lineRule="exact"/>
              <w:ind w:left="-63" w:leftChars="-30" w:right="-63" w:rightChars="-30"/>
              <w:jc w:val="center"/>
              <w:rPr>
                <w:kern w:val="0"/>
                <w:szCs w:val="21"/>
              </w:rPr>
            </w:pPr>
            <w:r>
              <w:rPr>
                <w:rFonts w:hint="eastAsia"/>
                <w:kern w:val="0"/>
                <w:szCs w:val="21"/>
              </w:rPr>
              <w:t>0.105</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0.090</w:t>
            </w:r>
          </w:p>
        </w:tc>
        <w:tc>
          <w:tcPr>
            <w:tcW w:w="419" w:type="pct"/>
            <w:vAlign w:val="center"/>
          </w:tcPr>
          <w:p>
            <w:pPr>
              <w:widowControl/>
              <w:spacing w:line="300" w:lineRule="exact"/>
              <w:ind w:left="-63" w:leftChars="-30" w:right="-63" w:rightChars="-30"/>
              <w:jc w:val="center"/>
              <w:rPr>
                <w:kern w:val="0"/>
                <w:szCs w:val="21"/>
              </w:rPr>
            </w:pPr>
            <w:r>
              <w:rPr>
                <w:rFonts w:hint="eastAsia"/>
                <w:kern w:val="0"/>
                <w:szCs w:val="21"/>
              </w:rPr>
              <w:t>0.096</w:t>
            </w:r>
          </w:p>
        </w:tc>
        <w:tc>
          <w:tcPr>
            <w:tcW w:w="416" w:type="pct"/>
            <w:vAlign w:val="center"/>
          </w:tcPr>
          <w:p>
            <w:pPr>
              <w:jc w:val="center"/>
              <w:rPr>
                <w:szCs w:val="21"/>
              </w:rPr>
            </w:pPr>
            <w:r>
              <w:rPr>
                <w:rFonts w:hint="eastAsia"/>
                <w:szCs w:val="21"/>
              </w:rPr>
              <w:t>0.001</w:t>
            </w:r>
          </w:p>
        </w:tc>
        <w:tc>
          <w:tcPr>
            <w:tcW w:w="498" w:type="pct"/>
            <w:vAlign w:val="center"/>
          </w:tcPr>
          <w:p>
            <w:pPr>
              <w:jc w:val="center"/>
              <w:rPr>
                <w:szCs w:val="21"/>
              </w:rPr>
            </w:pPr>
            <w:r>
              <w:rPr>
                <w:rFonts w:hint="eastAsia"/>
                <w:szCs w:val="21"/>
              </w:rPr>
              <w:t>0.002</w:t>
            </w:r>
          </w:p>
        </w:tc>
        <w:tc>
          <w:tcPr>
            <w:tcW w:w="415" w:type="pct"/>
            <w:vAlign w:val="center"/>
          </w:tcPr>
          <w:p>
            <w:pPr>
              <w:jc w:val="center"/>
              <w:rPr>
                <w:szCs w:val="21"/>
              </w:rPr>
            </w:pPr>
            <w:r>
              <w:rPr>
                <w:rFonts w:hint="eastAsia"/>
                <w:szCs w:val="21"/>
              </w:rPr>
              <w:t>0.002</w:t>
            </w:r>
          </w:p>
        </w:tc>
        <w:tc>
          <w:tcPr>
            <w:tcW w:w="501" w:type="pct"/>
            <w:vAlign w:val="center"/>
          </w:tcPr>
          <w:p>
            <w:pPr>
              <w:jc w:val="center"/>
              <w:rPr>
                <w:szCs w:val="21"/>
              </w:rPr>
            </w:pPr>
            <w:r>
              <w:rPr>
                <w:rFonts w:hint="eastAsia"/>
                <w:szCs w:val="21"/>
              </w:rPr>
              <w:t>0.001</w:t>
            </w:r>
          </w:p>
        </w:tc>
        <w:tc>
          <w:tcPr>
            <w:tcW w:w="445" w:type="pct"/>
            <w:vAlign w:val="center"/>
          </w:tcPr>
          <w:p>
            <w:pPr>
              <w:jc w:val="center"/>
              <w:rPr>
                <w:szCs w:val="21"/>
              </w:rPr>
            </w:pPr>
            <w:r>
              <w:rPr>
                <w:rFonts w:hint="eastAsia"/>
                <w:szCs w:val="21"/>
              </w:rPr>
              <w:t>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51" w:type="pct"/>
            <w:vMerge w:val="continue"/>
            <w:vAlign w:val="center"/>
          </w:tcPr>
          <w:p>
            <w:pPr>
              <w:adjustRightInd w:val="0"/>
              <w:snapToGrid w:val="0"/>
              <w:jc w:val="center"/>
              <w:rPr>
                <w:bCs/>
                <w:szCs w:val="21"/>
              </w:rPr>
            </w:pPr>
          </w:p>
        </w:tc>
        <w:tc>
          <w:tcPr>
            <w:tcW w:w="708" w:type="pct"/>
            <w:vAlign w:val="center"/>
          </w:tcPr>
          <w:p>
            <w:pPr>
              <w:widowControl/>
              <w:spacing w:line="280" w:lineRule="exact"/>
              <w:jc w:val="center"/>
              <w:rPr>
                <w:kern w:val="0"/>
                <w:szCs w:val="21"/>
              </w:rPr>
            </w:pPr>
            <w:r>
              <w:rPr>
                <w:rFonts w:hint="eastAsia"/>
                <w:kern w:val="0"/>
                <w:szCs w:val="21"/>
              </w:rPr>
              <w:t>2022.12.23</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0.075</w:t>
            </w:r>
          </w:p>
        </w:tc>
        <w:tc>
          <w:tcPr>
            <w:tcW w:w="415" w:type="pct"/>
            <w:vAlign w:val="center"/>
          </w:tcPr>
          <w:p>
            <w:pPr>
              <w:widowControl/>
              <w:spacing w:line="300" w:lineRule="exact"/>
              <w:ind w:left="-63" w:leftChars="-30" w:right="-63" w:rightChars="-30"/>
              <w:jc w:val="center"/>
              <w:rPr>
                <w:kern w:val="0"/>
                <w:szCs w:val="21"/>
              </w:rPr>
            </w:pPr>
            <w:r>
              <w:rPr>
                <w:rFonts w:hint="eastAsia"/>
                <w:kern w:val="0"/>
                <w:szCs w:val="21"/>
              </w:rPr>
              <w:t>0.072</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0.081</w:t>
            </w:r>
          </w:p>
        </w:tc>
        <w:tc>
          <w:tcPr>
            <w:tcW w:w="419" w:type="pct"/>
            <w:vAlign w:val="center"/>
          </w:tcPr>
          <w:p>
            <w:pPr>
              <w:widowControl/>
              <w:spacing w:line="300" w:lineRule="exact"/>
              <w:ind w:left="-63" w:leftChars="-30" w:right="-63" w:rightChars="-30"/>
              <w:jc w:val="center"/>
              <w:rPr>
                <w:kern w:val="0"/>
                <w:szCs w:val="21"/>
              </w:rPr>
            </w:pPr>
            <w:r>
              <w:rPr>
                <w:rFonts w:hint="eastAsia"/>
                <w:kern w:val="0"/>
                <w:szCs w:val="21"/>
              </w:rPr>
              <w:t>0.084</w:t>
            </w:r>
          </w:p>
        </w:tc>
        <w:tc>
          <w:tcPr>
            <w:tcW w:w="416" w:type="pct"/>
            <w:vAlign w:val="center"/>
          </w:tcPr>
          <w:p>
            <w:pPr>
              <w:jc w:val="center"/>
              <w:rPr>
                <w:szCs w:val="21"/>
              </w:rPr>
            </w:pPr>
            <w:r>
              <w:rPr>
                <w:rFonts w:hint="eastAsia"/>
                <w:szCs w:val="21"/>
              </w:rPr>
              <w:t>0.002</w:t>
            </w:r>
          </w:p>
        </w:tc>
        <w:tc>
          <w:tcPr>
            <w:tcW w:w="498" w:type="pct"/>
            <w:vAlign w:val="center"/>
          </w:tcPr>
          <w:p>
            <w:pPr>
              <w:jc w:val="center"/>
              <w:rPr>
                <w:szCs w:val="21"/>
              </w:rPr>
            </w:pPr>
            <w:r>
              <w:rPr>
                <w:rFonts w:hint="eastAsia"/>
                <w:szCs w:val="21"/>
              </w:rPr>
              <w:t>0.001</w:t>
            </w:r>
          </w:p>
        </w:tc>
        <w:tc>
          <w:tcPr>
            <w:tcW w:w="415" w:type="pct"/>
            <w:vAlign w:val="center"/>
          </w:tcPr>
          <w:p>
            <w:pPr>
              <w:jc w:val="center"/>
              <w:rPr>
                <w:szCs w:val="21"/>
              </w:rPr>
            </w:pPr>
            <w:r>
              <w:rPr>
                <w:rFonts w:hint="eastAsia"/>
                <w:szCs w:val="21"/>
              </w:rPr>
              <w:t>0.002</w:t>
            </w:r>
          </w:p>
        </w:tc>
        <w:tc>
          <w:tcPr>
            <w:tcW w:w="501" w:type="pct"/>
            <w:vAlign w:val="center"/>
          </w:tcPr>
          <w:p>
            <w:pPr>
              <w:jc w:val="center"/>
              <w:rPr>
                <w:szCs w:val="21"/>
              </w:rPr>
            </w:pPr>
            <w:r>
              <w:rPr>
                <w:rFonts w:hint="eastAsia"/>
                <w:szCs w:val="21"/>
              </w:rPr>
              <w:t>0.001</w:t>
            </w:r>
          </w:p>
        </w:tc>
        <w:tc>
          <w:tcPr>
            <w:tcW w:w="445" w:type="pct"/>
            <w:vAlign w:val="center"/>
          </w:tcPr>
          <w:p>
            <w:pPr>
              <w:jc w:val="center"/>
              <w:rPr>
                <w:szCs w:val="21"/>
              </w:rPr>
            </w:pPr>
            <w:r>
              <w:rPr>
                <w:rFonts w:hint="eastAsia"/>
                <w:szCs w:val="21"/>
              </w:rPr>
              <w:t>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51" w:type="pct"/>
            <w:vMerge w:val="continue"/>
            <w:vAlign w:val="center"/>
          </w:tcPr>
          <w:p>
            <w:pPr>
              <w:adjustRightInd w:val="0"/>
              <w:snapToGrid w:val="0"/>
              <w:jc w:val="center"/>
              <w:rPr>
                <w:bCs/>
                <w:szCs w:val="21"/>
              </w:rPr>
            </w:pPr>
          </w:p>
        </w:tc>
        <w:tc>
          <w:tcPr>
            <w:tcW w:w="708" w:type="pct"/>
            <w:vAlign w:val="center"/>
          </w:tcPr>
          <w:p>
            <w:pPr>
              <w:widowControl/>
              <w:spacing w:line="280" w:lineRule="exact"/>
              <w:jc w:val="center"/>
              <w:rPr>
                <w:kern w:val="0"/>
                <w:szCs w:val="21"/>
              </w:rPr>
            </w:pPr>
            <w:r>
              <w:rPr>
                <w:rFonts w:hint="eastAsia"/>
                <w:kern w:val="0"/>
                <w:szCs w:val="21"/>
              </w:rPr>
              <w:t>2022.12.24</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0.096</w:t>
            </w:r>
          </w:p>
        </w:tc>
        <w:tc>
          <w:tcPr>
            <w:tcW w:w="415" w:type="pct"/>
            <w:vAlign w:val="center"/>
          </w:tcPr>
          <w:p>
            <w:pPr>
              <w:widowControl/>
              <w:spacing w:line="300" w:lineRule="exact"/>
              <w:ind w:left="-63" w:leftChars="-30" w:right="-63" w:rightChars="-30"/>
              <w:jc w:val="center"/>
              <w:rPr>
                <w:kern w:val="0"/>
                <w:szCs w:val="21"/>
              </w:rPr>
            </w:pPr>
            <w:r>
              <w:rPr>
                <w:rFonts w:hint="eastAsia"/>
                <w:kern w:val="0"/>
                <w:szCs w:val="21"/>
              </w:rPr>
              <w:t>0.093</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0.088</w:t>
            </w:r>
          </w:p>
        </w:tc>
        <w:tc>
          <w:tcPr>
            <w:tcW w:w="419" w:type="pct"/>
            <w:vAlign w:val="center"/>
          </w:tcPr>
          <w:p>
            <w:pPr>
              <w:widowControl/>
              <w:spacing w:line="300" w:lineRule="exact"/>
              <w:ind w:left="-63" w:leftChars="-30" w:right="-63" w:rightChars="-30"/>
              <w:jc w:val="center"/>
              <w:rPr>
                <w:kern w:val="0"/>
                <w:szCs w:val="21"/>
              </w:rPr>
            </w:pPr>
            <w:r>
              <w:rPr>
                <w:rFonts w:hint="eastAsia"/>
                <w:kern w:val="0"/>
                <w:szCs w:val="21"/>
              </w:rPr>
              <w:t>0.090</w:t>
            </w:r>
          </w:p>
        </w:tc>
        <w:tc>
          <w:tcPr>
            <w:tcW w:w="416" w:type="pct"/>
            <w:vAlign w:val="center"/>
          </w:tcPr>
          <w:p>
            <w:pPr>
              <w:jc w:val="center"/>
              <w:rPr>
                <w:szCs w:val="21"/>
              </w:rPr>
            </w:pPr>
            <w:r>
              <w:rPr>
                <w:rFonts w:hint="eastAsia"/>
                <w:szCs w:val="21"/>
              </w:rPr>
              <w:t>0.002</w:t>
            </w:r>
          </w:p>
        </w:tc>
        <w:tc>
          <w:tcPr>
            <w:tcW w:w="498" w:type="pct"/>
            <w:vAlign w:val="center"/>
          </w:tcPr>
          <w:p>
            <w:pPr>
              <w:jc w:val="center"/>
              <w:rPr>
                <w:szCs w:val="21"/>
              </w:rPr>
            </w:pPr>
            <w:r>
              <w:rPr>
                <w:rFonts w:hint="eastAsia"/>
                <w:szCs w:val="21"/>
              </w:rPr>
              <w:t>0.001</w:t>
            </w:r>
          </w:p>
        </w:tc>
        <w:tc>
          <w:tcPr>
            <w:tcW w:w="415" w:type="pct"/>
            <w:vAlign w:val="center"/>
          </w:tcPr>
          <w:p>
            <w:pPr>
              <w:jc w:val="center"/>
              <w:rPr>
                <w:szCs w:val="21"/>
              </w:rPr>
            </w:pPr>
            <w:r>
              <w:rPr>
                <w:rFonts w:hint="eastAsia"/>
                <w:szCs w:val="21"/>
              </w:rPr>
              <w:t>0.002</w:t>
            </w:r>
          </w:p>
        </w:tc>
        <w:tc>
          <w:tcPr>
            <w:tcW w:w="501" w:type="pct"/>
            <w:vAlign w:val="center"/>
          </w:tcPr>
          <w:p>
            <w:pPr>
              <w:jc w:val="center"/>
              <w:rPr>
                <w:szCs w:val="21"/>
              </w:rPr>
            </w:pPr>
            <w:r>
              <w:rPr>
                <w:rFonts w:hint="eastAsia"/>
                <w:szCs w:val="21"/>
              </w:rPr>
              <w:t>0.001</w:t>
            </w:r>
          </w:p>
        </w:tc>
        <w:tc>
          <w:tcPr>
            <w:tcW w:w="445" w:type="pct"/>
            <w:vAlign w:val="center"/>
          </w:tcPr>
          <w:p>
            <w:pPr>
              <w:jc w:val="center"/>
              <w:rPr>
                <w:szCs w:val="21"/>
              </w:rPr>
            </w:pPr>
            <w:r>
              <w:rPr>
                <w:rFonts w:hint="eastAsia"/>
                <w:szCs w:val="21"/>
              </w:rPr>
              <w:t>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51" w:type="pct"/>
            <w:vMerge w:val="continue"/>
            <w:vAlign w:val="center"/>
          </w:tcPr>
          <w:p>
            <w:pPr>
              <w:adjustRightInd w:val="0"/>
              <w:snapToGrid w:val="0"/>
              <w:jc w:val="center"/>
              <w:rPr>
                <w:bCs/>
                <w:szCs w:val="21"/>
              </w:rPr>
            </w:pPr>
          </w:p>
        </w:tc>
        <w:tc>
          <w:tcPr>
            <w:tcW w:w="708" w:type="pct"/>
            <w:vAlign w:val="center"/>
          </w:tcPr>
          <w:p>
            <w:pPr>
              <w:widowControl/>
              <w:spacing w:line="280" w:lineRule="exact"/>
              <w:jc w:val="center"/>
              <w:rPr>
                <w:kern w:val="0"/>
                <w:szCs w:val="21"/>
              </w:rPr>
            </w:pPr>
            <w:r>
              <w:rPr>
                <w:rFonts w:hint="eastAsia"/>
                <w:kern w:val="0"/>
                <w:szCs w:val="21"/>
              </w:rPr>
              <w:t>2022.12.25</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0.095</w:t>
            </w:r>
          </w:p>
        </w:tc>
        <w:tc>
          <w:tcPr>
            <w:tcW w:w="415" w:type="pct"/>
            <w:vAlign w:val="center"/>
          </w:tcPr>
          <w:p>
            <w:pPr>
              <w:widowControl/>
              <w:spacing w:line="300" w:lineRule="exact"/>
              <w:ind w:left="-63" w:leftChars="-30" w:right="-63" w:rightChars="-30"/>
              <w:jc w:val="center"/>
              <w:rPr>
                <w:kern w:val="0"/>
                <w:szCs w:val="21"/>
              </w:rPr>
            </w:pPr>
            <w:r>
              <w:rPr>
                <w:rFonts w:hint="eastAsia"/>
                <w:kern w:val="0"/>
                <w:szCs w:val="21"/>
              </w:rPr>
              <w:t>0.089</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0.092</w:t>
            </w:r>
          </w:p>
        </w:tc>
        <w:tc>
          <w:tcPr>
            <w:tcW w:w="419" w:type="pct"/>
            <w:vAlign w:val="center"/>
          </w:tcPr>
          <w:p>
            <w:pPr>
              <w:widowControl/>
              <w:spacing w:line="300" w:lineRule="exact"/>
              <w:ind w:left="-63" w:leftChars="-30" w:right="-63" w:rightChars="-30"/>
              <w:jc w:val="center"/>
              <w:rPr>
                <w:kern w:val="0"/>
                <w:szCs w:val="21"/>
              </w:rPr>
            </w:pPr>
            <w:r>
              <w:rPr>
                <w:rFonts w:hint="eastAsia"/>
                <w:kern w:val="0"/>
                <w:szCs w:val="21"/>
              </w:rPr>
              <w:t>0.094</w:t>
            </w:r>
          </w:p>
        </w:tc>
        <w:tc>
          <w:tcPr>
            <w:tcW w:w="416" w:type="pct"/>
            <w:vAlign w:val="center"/>
          </w:tcPr>
          <w:p>
            <w:pPr>
              <w:jc w:val="center"/>
              <w:rPr>
                <w:szCs w:val="21"/>
              </w:rPr>
            </w:pPr>
            <w:r>
              <w:rPr>
                <w:rFonts w:hint="eastAsia"/>
                <w:szCs w:val="21"/>
              </w:rPr>
              <w:t>0.001L</w:t>
            </w:r>
          </w:p>
        </w:tc>
        <w:tc>
          <w:tcPr>
            <w:tcW w:w="498" w:type="pct"/>
            <w:vAlign w:val="center"/>
          </w:tcPr>
          <w:p>
            <w:pPr>
              <w:jc w:val="center"/>
              <w:rPr>
                <w:szCs w:val="21"/>
              </w:rPr>
            </w:pPr>
            <w:r>
              <w:rPr>
                <w:rFonts w:hint="eastAsia"/>
                <w:szCs w:val="21"/>
              </w:rPr>
              <w:t>0.001</w:t>
            </w:r>
          </w:p>
        </w:tc>
        <w:tc>
          <w:tcPr>
            <w:tcW w:w="415" w:type="pct"/>
            <w:vAlign w:val="center"/>
          </w:tcPr>
          <w:p>
            <w:pPr>
              <w:jc w:val="center"/>
              <w:rPr>
                <w:szCs w:val="21"/>
              </w:rPr>
            </w:pPr>
            <w:r>
              <w:rPr>
                <w:rFonts w:hint="eastAsia"/>
                <w:szCs w:val="21"/>
              </w:rPr>
              <w:t>0.001L</w:t>
            </w:r>
          </w:p>
        </w:tc>
        <w:tc>
          <w:tcPr>
            <w:tcW w:w="501" w:type="pct"/>
            <w:vAlign w:val="center"/>
          </w:tcPr>
          <w:p>
            <w:pPr>
              <w:jc w:val="center"/>
              <w:rPr>
                <w:szCs w:val="21"/>
              </w:rPr>
            </w:pPr>
            <w:r>
              <w:rPr>
                <w:rFonts w:hint="eastAsia"/>
                <w:szCs w:val="21"/>
              </w:rPr>
              <w:t>0.001</w:t>
            </w:r>
          </w:p>
        </w:tc>
        <w:tc>
          <w:tcPr>
            <w:tcW w:w="445" w:type="pct"/>
            <w:vAlign w:val="center"/>
          </w:tcPr>
          <w:p>
            <w:pPr>
              <w:jc w:val="center"/>
              <w:rPr>
                <w:szCs w:val="21"/>
              </w:rPr>
            </w:pPr>
            <w:r>
              <w:rPr>
                <w:rFonts w:hint="eastAsia"/>
                <w:szCs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51" w:type="pct"/>
            <w:vMerge w:val="restart"/>
            <w:vAlign w:val="center"/>
          </w:tcPr>
          <w:p>
            <w:pPr>
              <w:jc w:val="center"/>
              <w:rPr>
                <w:bCs/>
                <w:szCs w:val="21"/>
              </w:rPr>
            </w:pPr>
            <w:r>
              <w:rPr>
                <w:rFonts w:hint="eastAsia" w:hAnsi="Calibri"/>
                <w:szCs w:val="21"/>
              </w:rPr>
              <w:t>G2</w:t>
            </w:r>
            <w:r>
              <w:rPr>
                <w:szCs w:val="21"/>
              </w:rPr>
              <w:t>项目南面</w:t>
            </w:r>
            <w:r>
              <w:rPr>
                <w:rFonts w:hint="eastAsia"/>
                <w:szCs w:val="21"/>
              </w:rPr>
              <w:t>楼堂</w:t>
            </w:r>
            <w:r>
              <w:rPr>
                <w:szCs w:val="21"/>
              </w:rPr>
              <w:t>居民点</w:t>
            </w:r>
          </w:p>
        </w:tc>
        <w:tc>
          <w:tcPr>
            <w:tcW w:w="708" w:type="pct"/>
            <w:vAlign w:val="center"/>
          </w:tcPr>
          <w:p>
            <w:pPr>
              <w:widowControl/>
              <w:spacing w:line="280" w:lineRule="exact"/>
              <w:jc w:val="center"/>
              <w:rPr>
                <w:kern w:val="0"/>
                <w:szCs w:val="21"/>
              </w:rPr>
            </w:pPr>
            <w:r>
              <w:rPr>
                <w:rFonts w:hint="eastAsia"/>
                <w:kern w:val="0"/>
                <w:szCs w:val="21"/>
              </w:rPr>
              <w:t>2022.12.19</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0.106</w:t>
            </w:r>
          </w:p>
        </w:tc>
        <w:tc>
          <w:tcPr>
            <w:tcW w:w="415" w:type="pct"/>
            <w:vAlign w:val="center"/>
          </w:tcPr>
          <w:p>
            <w:pPr>
              <w:widowControl/>
              <w:spacing w:line="300" w:lineRule="exact"/>
              <w:ind w:left="-63" w:leftChars="-30" w:right="-63" w:rightChars="-30"/>
              <w:jc w:val="center"/>
              <w:rPr>
                <w:kern w:val="0"/>
                <w:szCs w:val="21"/>
              </w:rPr>
            </w:pPr>
            <w:r>
              <w:rPr>
                <w:rFonts w:hint="eastAsia"/>
                <w:kern w:val="0"/>
                <w:szCs w:val="21"/>
              </w:rPr>
              <w:t>0.118</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0.113</w:t>
            </w:r>
          </w:p>
        </w:tc>
        <w:tc>
          <w:tcPr>
            <w:tcW w:w="419" w:type="pct"/>
            <w:vAlign w:val="center"/>
          </w:tcPr>
          <w:p>
            <w:pPr>
              <w:widowControl/>
              <w:spacing w:line="300" w:lineRule="exact"/>
              <w:ind w:left="-63" w:leftChars="-30" w:right="-63" w:rightChars="-30"/>
              <w:jc w:val="center"/>
              <w:rPr>
                <w:kern w:val="0"/>
                <w:szCs w:val="21"/>
              </w:rPr>
            </w:pPr>
            <w:r>
              <w:rPr>
                <w:rFonts w:hint="eastAsia"/>
                <w:kern w:val="0"/>
                <w:szCs w:val="21"/>
              </w:rPr>
              <w:t>0.105</w:t>
            </w:r>
          </w:p>
        </w:tc>
        <w:tc>
          <w:tcPr>
            <w:tcW w:w="416" w:type="pct"/>
            <w:vAlign w:val="center"/>
          </w:tcPr>
          <w:p>
            <w:pPr>
              <w:jc w:val="center"/>
              <w:rPr>
                <w:szCs w:val="21"/>
              </w:rPr>
            </w:pPr>
            <w:r>
              <w:rPr>
                <w:rFonts w:hint="eastAsia"/>
                <w:szCs w:val="21"/>
              </w:rPr>
              <w:t>0.004</w:t>
            </w:r>
          </w:p>
        </w:tc>
        <w:tc>
          <w:tcPr>
            <w:tcW w:w="498" w:type="pct"/>
            <w:vAlign w:val="center"/>
          </w:tcPr>
          <w:p>
            <w:pPr>
              <w:jc w:val="center"/>
              <w:rPr>
                <w:szCs w:val="21"/>
              </w:rPr>
            </w:pPr>
            <w:r>
              <w:rPr>
                <w:rFonts w:hint="eastAsia"/>
                <w:szCs w:val="21"/>
              </w:rPr>
              <w:t>0.005</w:t>
            </w:r>
          </w:p>
        </w:tc>
        <w:tc>
          <w:tcPr>
            <w:tcW w:w="415" w:type="pct"/>
            <w:vAlign w:val="center"/>
          </w:tcPr>
          <w:p>
            <w:pPr>
              <w:jc w:val="center"/>
              <w:rPr>
                <w:szCs w:val="21"/>
              </w:rPr>
            </w:pPr>
            <w:r>
              <w:rPr>
                <w:rFonts w:hint="eastAsia"/>
                <w:szCs w:val="21"/>
              </w:rPr>
              <w:t>0.005</w:t>
            </w:r>
          </w:p>
        </w:tc>
        <w:tc>
          <w:tcPr>
            <w:tcW w:w="501" w:type="pct"/>
            <w:vAlign w:val="center"/>
          </w:tcPr>
          <w:p>
            <w:pPr>
              <w:jc w:val="center"/>
              <w:rPr>
                <w:szCs w:val="21"/>
              </w:rPr>
            </w:pPr>
            <w:r>
              <w:rPr>
                <w:rFonts w:hint="eastAsia"/>
                <w:szCs w:val="21"/>
              </w:rPr>
              <w:t>0.004</w:t>
            </w:r>
          </w:p>
        </w:tc>
        <w:tc>
          <w:tcPr>
            <w:tcW w:w="445" w:type="pct"/>
            <w:vAlign w:val="center"/>
          </w:tcPr>
          <w:p>
            <w:pPr>
              <w:jc w:val="center"/>
              <w:rPr>
                <w:szCs w:val="21"/>
              </w:rPr>
            </w:pPr>
            <w:r>
              <w:rPr>
                <w:rFonts w:hint="eastAsia"/>
                <w:szCs w:val="21"/>
              </w:rPr>
              <w:t>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51" w:type="pct"/>
            <w:vMerge w:val="continue"/>
            <w:vAlign w:val="center"/>
          </w:tcPr>
          <w:p>
            <w:pPr>
              <w:adjustRightInd w:val="0"/>
              <w:snapToGrid w:val="0"/>
              <w:jc w:val="center"/>
              <w:rPr>
                <w:bCs/>
                <w:szCs w:val="21"/>
              </w:rPr>
            </w:pPr>
          </w:p>
        </w:tc>
        <w:tc>
          <w:tcPr>
            <w:tcW w:w="708" w:type="pct"/>
            <w:vAlign w:val="center"/>
          </w:tcPr>
          <w:p>
            <w:pPr>
              <w:widowControl/>
              <w:spacing w:line="280" w:lineRule="exact"/>
              <w:jc w:val="center"/>
              <w:rPr>
                <w:kern w:val="0"/>
                <w:szCs w:val="21"/>
              </w:rPr>
            </w:pPr>
            <w:r>
              <w:rPr>
                <w:rFonts w:hint="eastAsia"/>
                <w:kern w:val="0"/>
                <w:szCs w:val="21"/>
              </w:rPr>
              <w:t>2022.12.20</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0.105</w:t>
            </w:r>
          </w:p>
        </w:tc>
        <w:tc>
          <w:tcPr>
            <w:tcW w:w="415" w:type="pct"/>
            <w:vAlign w:val="center"/>
          </w:tcPr>
          <w:p>
            <w:pPr>
              <w:widowControl/>
              <w:spacing w:line="300" w:lineRule="exact"/>
              <w:ind w:left="-63" w:leftChars="-30" w:right="-63" w:rightChars="-30"/>
              <w:jc w:val="center"/>
              <w:rPr>
                <w:kern w:val="0"/>
                <w:szCs w:val="21"/>
              </w:rPr>
            </w:pPr>
            <w:r>
              <w:rPr>
                <w:rFonts w:hint="eastAsia"/>
                <w:kern w:val="0"/>
                <w:szCs w:val="21"/>
              </w:rPr>
              <w:t>0.113</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0.107</w:t>
            </w:r>
          </w:p>
        </w:tc>
        <w:tc>
          <w:tcPr>
            <w:tcW w:w="419" w:type="pct"/>
            <w:vAlign w:val="center"/>
          </w:tcPr>
          <w:p>
            <w:pPr>
              <w:widowControl/>
              <w:spacing w:line="300" w:lineRule="exact"/>
              <w:ind w:left="-63" w:leftChars="-30" w:right="-63" w:rightChars="-30"/>
              <w:jc w:val="center"/>
              <w:rPr>
                <w:kern w:val="0"/>
                <w:szCs w:val="21"/>
              </w:rPr>
            </w:pPr>
            <w:r>
              <w:rPr>
                <w:rFonts w:hint="eastAsia"/>
                <w:kern w:val="0"/>
                <w:szCs w:val="21"/>
              </w:rPr>
              <w:t>0.119</w:t>
            </w:r>
          </w:p>
        </w:tc>
        <w:tc>
          <w:tcPr>
            <w:tcW w:w="416" w:type="pct"/>
            <w:vAlign w:val="center"/>
          </w:tcPr>
          <w:p>
            <w:pPr>
              <w:jc w:val="center"/>
              <w:rPr>
                <w:szCs w:val="21"/>
              </w:rPr>
            </w:pPr>
            <w:r>
              <w:rPr>
                <w:rFonts w:hint="eastAsia"/>
                <w:szCs w:val="21"/>
              </w:rPr>
              <w:t>0.006</w:t>
            </w:r>
          </w:p>
        </w:tc>
        <w:tc>
          <w:tcPr>
            <w:tcW w:w="498" w:type="pct"/>
            <w:vAlign w:val="center"/>
          </w:tcPr>
          <w:p>
            <w:pPr>
              <w:jc w:val="center"/>
              <w:rPr>
                <w:szCs w:val="21"/>
              </w:rPr>
            </w:pPr>
            <w:r>
              <w:rPr>
                <w:rFonts w:hint="eastAsia"/>
                <w:szCs w:val="21"/>
              </w:rPr>
              <w:t>0.005</w:t>
            </w:r>
          </w:p>
        </w:tc>
        <w:tc>
          <w:tcPr>
            <w:tcW w:w="415" w:type="pct"/>
            <w:vAlign w:val="center"/>
          </w:tcPr>
          <w:p>
            <w:pPr>
              <w:jc w:val="center"/>
              <w:rPr>
                <w:szCs w:val="21"/>
              </w:rPr>
            </w:pPr>
            <w:r>
              <w:rPr>
                <w:rFonts w:hint="eastAsia"/>
                <w:szCs w:val="21"/>
              </w:rPr>
              <w:t>0.004</w:t>
            </w:r>
          </w:p>
        </w:tc>
        <w:tc>
          <w:tcPr>
            <w:tcW w:w="501" w:type="pct"/>
            <w:vAlign w:val="center"/>
          </w:tcPr>
          <w:p>
            <w:pPr>
              <w:jc w:val="center"/>
              <w:rPr>
                <w:szCs w:val="21"/>
              </w:rPr>
            </w:pPr>
            <w:r>
              <w:rPr>
                <w:rFonts w:hint="eastAsia"/>
                <w:szCs w:val="21"/>
              </w:rPr>
              <w:t>0.006</w:t>
            </w:r>
          </w:p>
        </w:tc>
        <w:tc>
          <w:tcPr>
            <w:tcW w:w="445" w:type="pct"/>
            <w:vAlign w:val="center"/>
          </w:tcPr>
          <w:p>
            <w:pPr>
              <w:jc w:val="center"/>
              <w:rPr>
                <w:szCs w:val="21"/>
              </w:rPr>
            </w:pPr>
            <w:r>
              <w:rPr>
                <w:rFonts w:hint="eastAsia"/>
                <w:szCs w:val="21"/>
              </w:rPr>
              <w:t>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51" w:type="pct"/>
            <w:vMerge w:val="continue"/>
            <w:vAlign w:val="center"/>
          </w:tcPr>
          <w:p>
            <w:pPr>
              <w:adjustRightInd w:val="0"/>
              <w:snapToGrid w:val="0"/>
              <w:jc w:val="center"/>
              <w:rPr>
                <w:bCs/>
                <w:szCs w:val="21"/>
              </w:rPr>
            </w:pPr>
          </w:p>
        </w:tc>
        <w:tc>
          <w:tcPr>
            <w:tcW w:w="708" w:type="pct"/>
            <w:vAlign w:val="center"/>
          </w:tcPr>
          <w:p>
            <w:pPr>
              <w:widowControl/>
              <w:spacing w:line="280" w:lineRule="exact"/>
              <w:jc w:val="center"/>
              <w:rPr>
                <w:kern w:val="0"/>
                <w:szCs w:val="21"/>
              </w:rPr>
            </w:pPr>
            <w:r>
              <w:rPr>
                <w:rFonts w:hint="eastAsia"/>
                <w:kern w:val="0"/>
                <w:szCs w:val="21"/>
              </w:rPr>
              <w:t>2022.12.21</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0.127</w:t>
            </w:r>
          </w:p>
        </w:tc>
        <w:tc>
          <w:tcPr>
            <w:tcW w:w="415" w:type="pct"/>
            <w:vAlign w:val="center"/>
          </w:tcPr>
          <w:p>
            <w:pPr>
              <w:widowControl/>
              <w:spacing w:line="300" w:lineRule="exact"/>
              <w:ind w:left="-63" w:leftChars="-30" w:right="-63" w:rightChars="-30"/>
              <w:jc w:val="center"/>
              <w:rPr>
                <w:kern w:val="0"/>
                <w:szCs w:val="21"/>
              </w:rPr>
            </w:pPr>
            <w:r>
              <w:rPr>
                <w:rFonts w:hint="eastAsia"/>
                <w:kern w:val="0"/>
                <w:szCs w:val="21"/>
              </w:rPr>
              <w:t>0.123</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0.109</w:t>
            </w:r>
          </w:p>
        </w:tc>
        <w:tc>
          <w:tcPr>
            <w:tcW w:w="419" w:type="pct"/>
            <w:vAlign w:val="center"/>
          </w:tcPr>
          <w:p>
            <w:pPr>
              <w:widowControl/>
              <w:spacing w:line="300" w:lineRule="exact"/>
              <w:ind w:left="-63" w:leftChars="-30" w:right="-63" w:rightChars="-30"/>
              <w:jc w:val="center"/>
              <w:rPr>
                <w:kern w:val="0"/>
                <w:szCs w:val="21"/>
              </w:rPr>
            </w:pPr>
            <w:r>
              <w:rPr>
                <w:rFonts w:hint="eastAsia"/>
                <w:kern w:val="0"/>
                <w:szCs w:val="21"/>
              </w:rPr>
              <w:t>0.117</w:t>
            </w:r>
          </w:p>
        </w:tc>
        <w:tc>
          <w:tcPr>
            <w:tcW w:w="416" w:type="pct"/>
            <w:vAlign w:val="center"/>
          </w:tcPr>
          <w:p>
            <w:pPr>
              <w:jc w:val="center"/>
              <w:rPr>
                <w:szCs w:val="21"/>
              </w:rPr>
            </w:pPr>
            <w:r>
              <w:rPr>
                <w:rFonts w:hint="eastAsia"/>
                <w:szCs w:val="21"/>
              </w:rPr>
              <w:t>0.004</w:t>
            </w:r>
          </w:p>
        </w:tc>
        <w:tc>
          <w:tcPr>
            <w:tcW w:w="498" w:type="pct"/>
            <w:vAlign w:val="center"/>
          </w:tcPr>
          <w:p>
            <w:pPr>
              <w:jc w:val="center"/>
              <w:rPr>
                <w:szCs w:val="21"/>
              </w:rPr>
            </w:pPr>
            <w:r>
              <w:rPr>
                <w:rFonts w:hint="eastAsia"/>
                <w:szCs w:val="21"/>
              </w:rPr>
              <w:t>0.005</w:t>
            </w:r>
          </w:p>
        </w:tc>
        <w:tc>
          <w:tcPr>
            <w:tcW w:w="415" w:type="pct"/>
            <w:vAlign w:val="center"/>
          </w:tcPr>
          <w:p>
            <w:pPr>
              <w:jc w:val="center"/>
              <w:rPr>
                <w:szCs w:val="21"/>
              </w:rPr>
            </w:pPr>
            <w:r>
              <w:rPr>
                <w:rFonts w:hint="eastAsia"/>
                <w:szCs w:val="21"/>
              </w:rPr>
              <w:t>0.004</w:t>
            </w:r>
          </w:p>
        </w:tc>
        <w:tc>
          <w:tcPr>
            <w:tcW w:w="501" w:type="pct"/>
            <w:vAlign w:val="center"/>
          </w:tcPr>
          <w:p>
            <w:pPr>
              <w:jc w:val="center"/>
              <w:rPr>
                <w:szCs w:val="21"/>
              </w:rPr>
            </w:pPr>
            <w:r>
              <w:rPr>
                <w:rFonts w:hint="eastAsia"/>
                <w:szCs w:val="21"/>
              </w:rPr>
              <w:t>0.006</w:t>
            </w:r>
          </w:p>
        </w:tc>
        <w:tc>
          <w:tcPr>
            <w:tcW w:w="445" w:type="pct"/>
            <w:vAlign w:val="center"/>
          </w:tcPr>
          <w:p>
            <w:pPr>
              <w:jc w:val="center"/>
              <w:rPr>
                <w:szCs w:val="21"/>
              </w:rPr>
            </w:pPr>
            <w:r>
              <w:rPr>
                <w:rFonts w:hint="eastAsia"/>
                <w:szCs w:val="21"/>
              </w:rPr>
              <w:t>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51" w:type="pct"/>
            <w:vMerge w:val="continue"/>
            <w:vAlign w:val="center"/>
          </w:tcPr>
          <w:p>
            <w:pPr>
              <w:adjustRightInd w:val="0"/>
              <w:snapToGrid w:val="0"/>
              <w:jc w:val="center"/>
              <w:rPr>
                <w:bCs/>
                <w:szCs w:val="21"/>
              </w:rPr>
            </w:pPr>
          </w:p>
        </w:tc>
        <w:tc>
          <w:tcPr>
            <w:tcW w:w="708" w:type="pct"/>
            <w:vAlign w:val="center"/>
          </w:tcPr>
          <w:p>
            <w:pPr>
              <w:widowControl/>
              <w:spacing w:line="280" w:lineRule="exact"/>
              <w:jc w:val="center"/>
              <w:rPr>
                <w:kern w:val="0"/>
                <w:szCs w:val="21"/>
              </w:rPr>
            </w:pPr>
            <w:r>
              <w:rPr>
                <w:rFonts w:hint="eastAsia"/>
                <w:kern w:val="0"/>
                <w:szCs w:val="21"/>
              </w:rPr>
              <w:t>2022.12.22</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0.118</w:t>
            </w:r>
          </w:p>
        </w:tc>
        <w:tc>
          <w:tcPr>
            <w:tcW w:w="415" w:type="pct"/>
            <w:vAlign w:val="center"/>
          </w:tcPr>
          <w:p>
            <w:pPr>
              <w:widowControl/>
              <w:spacing w:line="300" w:lineRule="exact"/>
              <w:ind w:left="-63" w:leftChars="-30" w:right="-63" w:rightChars="-30"/>
              <w:jc w:val="center"/>
              <w:rPr>
                <w:kern w:val="0"/>
                <w:szCs w:val="21"/>
              </w:rPr>
            </w:pPr>
            <w:r>
              <w:rPr>
                <w:rFonts w:hint="eastAsia"/>
                <w:kern w:val="0"/>
                <w:szCs w:val="21"/>
              </w:rPr>
              <w:t>0.125</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0.124</w:t>
            </w:r>
          </w:p>
        </w:tc>
        <w:tc>
          <w:tcPr>
            <w:tcW w:w="419" w:type="pct"/>
            <w:vAlign w:val="center"/>
          </w:tcPr>
          <w:p>
            <w:pPr>
              <w:widowControl/>
              <w:spacing w:line="300" w:lineRule="exact"/>
              <w:ind w:left="-63" w:leftChars="-30" w:right="-63" w:rightChars="-30"/>
              <w:jc w:val="center"/>
              <w:rPr>
                <w:kern w:val="0"/>
                <w:szCs w:val="21"/>
              </w:rPr>
            </w:pPr>
            <w:r>
              <w:rPr>
                <w:rFonts w:hint="eastAsia"/>
                <w:kern w:val="0"/>
                <w:szCs w:val="21"/>
              </w:rPr>
              <w:t>0.115</w:t>
            </w:r>
          </w:p>
        </w:tc>
        <w:tc>
          <w:tcPr>
            <w:tcW w:w="416" w:type="pct"/>
            <w:vAlign w:val="center"/>
          </w:tcPr>
          <w:p>
            <w:pPr>
              <w:jc w:val="center"/>
              <w:rPr>
                <w:szCs w:val="21"/>
              </w:rPr>
            </w:pPr>
            <w:r>
              <w:rPr>
                <w:rFonts w:hint="eastAsia"/>
                <w:szCs w:val="21"/>
              </w:rPr>
              <w:t>0.006</w:t>
            </w:r>
          </w:p>
        </w:tc>
        <w:tc>
          <w:tcPr>
            <w:tcW w:w="498" w:type="pct"/>
            <w:vAlign w:val="center"/>
          </w:tcPr>
          <w:p>
            <w:pPr>
              <w:jc w:val="center"/>
              <w:rPr>
                <w:szCs w:val="21"/>
              </w:rPr>
            </w:pPr>
            <w:r>
              <w:rPr>
                <w:rFonts w:hint="eastAsia"/>
                <w:szCs w:val="21"/>
              </w:rPr>
              <w:t>0.004</w:t>
            </w:r>
          </w:p>
        </w:tc>
        <w:tc>
          <w:tcPr>
            <w:tcW w:w="415" w:type="pct"/>
            <w:vAlign w:val="center"/>
          </w:tcPr>
          <w:p>
            <w:pPr>
              <w:jc w:val="center"/>
              <w:rPr>
                <w:szCs w:val="21"/>
              </w:rPr>
            </w:pPr>
            <w:r>
              <w:rPr>
                <w:rFonts w:hint="eastAsia"/>
                <w:szCs w:val="21"/>
              </w:rPr>
              <w:t>0.006</w:t>
            </w:r>
          </w:p>
        </w:tc>
        <w:tc>
          <w:tcPr>
            <w:tcW w:w="501" w:type="pct"/>
            <w:vAlign w:val="center"/>
          </w:tcPr>
          <w:p>
            <w:pPr>
              <w:jc w:val="center"/>
              <w:rPr>
                <w:szCs w:val="21"/>
              </w:rPr>
            </w:pPr>
            <w:r>
              <w:rPr>
                <w:rFonts w:hint="eastAsia"/>
                <w:szCs w:val="21"/>
              </w:rPr>
              <w:t>0.004</w:t>
            </w:r>
          </w:p>
        </w:tc>
        <w:tc>
          <w:tcPr>
            <w:tcW w:w="445" w:type="pct"/>
            <w:vAlign w:val="center"/>
          </w:tcPr>
          <w:p>
            <w:pPr>
              <w:jc w:val="center"/>
              <w:rPr>
                <w:szCs w:val="21"/>
              </w:rPr>
            </w:pPr>
            <w:r>
              <w:rPr>
                <w:rFonts w:hint="eastAsia"/>
                <w:szCs w:val="21"/>
              </w:rPr>
              <w:t>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51" w:type="pct"/>
            <w:vMerge w:val="continue"/>
            <w:vAlign w:val="center"/>
          </w:tcPr>
          <w:p>
            <w:pPr>
              <w:adjustRightInd w:val="0"/>
              <w:snapToGrid w:val="0"/>
              <w:jc w:val="center"/>
              <w:rPr>
                <w:bCs/>
                <w:szCs w:val="21"/>
              </w:rPr>
            </w:pPr>
          </w:p>
        </w:tc>
        <w:tc>
          <w:tcPr>
            <w:tcW w:w="708" w:type="pct"/>
            <w:vAlign w:val="center"/>
          </w:tcPr>
          <w:p>
            <w:pPr>
              <w:widowControl/>
              <w:spacing w:line="280" w:lineRule="exact"/>
              <w:jc w:val="center"/>
              <w:rPr>
                <w:kern w:val="0"/>
                <w:szCs w:val="21"/>
              </w:rPr>
            </w:pPr>
            <w:r>
              <w:rPr>
                <w:rFonts w:hint="eastAsia"/>
                <w:kern w:val="0"/>
                <w:szCs w:val="21"/>
              </w:rPr>
              <w:t>2022.12.23</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0.118</w:t>
            </w:r>
          </w:p>
        </w:tc>
        <w:tc>
          <w:tcPr>
            <w:tcW w:w="415" w:type="pct"/>
            <w:vAlign w:val="center"/>
          </w:tcPr>
          <w:p>
            <w:pPr>
              <w:widowControl/>
              <w:spacing w:line="300" w:lineRule="exact"/>
              <w:ind w:left="-63" w:leftChars="-30" w:right="-63" w:rightChars="-30"/>
              <w:jc w:val="center"/>
              <w:rPr>
                <w:kern w:val="0"/>
                <w:szCs w:val="21"/>
              </w:rPr>
            </w:pPr>
            <w:r>
              <w:rPr>
                <w:rFonts w:hint="eastAsia"/>
                <w:kern w:val="0"/>
                <w:szCs w:val="21"/>
              </w:rPr>
              <w:t>0.122</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0.129</w:t>
            </w:r>
          </w:p>
        </w:tc>
        <w:tc>
          <w:tcPr>
            <w:tcW w:w="419" w:type="pct"/>
            <w:vAlign w:val="center"/>
          </w:tcPr>
          <w:p>
            <w:pPr>
              <w:widowControl/>
              <w:spacing w:line="300" w:lineRule="exact"/>
              <w:ind w:left="-63" w:leftChars="-30" w:right="-63" w:rightChars="-30"/>
              <w:jc w:val="center"/>
              <w:rPr>
                <w:kern w:val="0"/>
                <w:szCs w:val="21"/>
              </w:rPr>
            </w:pPr>
            <w:r>
              <w:rPr>
                <w:rFonts w:hint="eastAsia"/>
                <w:kern w:val="0"/>
                <w:szCs w:val="21"/>
              </w:rPr>
              <w:t>0.115</w:t>
            </w:r>
          </w:p>
        </w:tc>
        <w:tc>
          <w:tcPr>
            <w:tcW w:w="416" w:type="pct"/>
            <w:vAlign w:val="center"/>
          </w:tcPr>
          <w:p>
            <w:pPr>
              <w:jc w:val="center"/>
              <w:rPr>
                <w:szCs w:val="21"/>
              </w:rPr>
            </w:pPr>
            <w:r>
              <w:rPr>
                <w:rFonts w:hint="eastAsia"/>
                <w:szCs w:val="21"/>
              </w:rPr>
              <w:t>0.006</w:t>
            </w:r>
          </w:p>
        </w:tc>
        <w:tc>
          <w:tcPr>
            <w:tcW w:w="498" w:type="pct"/>
            <w:vAlign w:val="center"/>
          </w:tcPr>
          <w:p>
            <w:pPr>
              <w:jc w:val="center"/>
              <w:rPr>
                <w:szCs w:val="21"/>
              </w:rPr>
            </w:pPr>
            <w:r>
              <w:rPr>
                <w:rFonts w:hint="eastAsia"/>
                <w:szCs w:val="21"/>
              </w:rPr>
              <w:t>0.004</w:t>
            </w:r>
          </w:p>
        </w:tc>
        <w:tc>
          <w:tcPr>
            <w:tcW w:w="415" w:type="pct"/>
            <w:vAlign w:val="center"/>
          </w:tcPr>
          <w:p>
            <w:pPr>
              <w:jc w:val="center"/>
              <w:rPr>
                <w:szCs w:val="21"/>
              </w:rPr>
            </w:pPr>
            <w:r>
              <w:rPr>
                <w:rFonts w:hint="eastAsia"/>
                <w:szCs w:val="21"/>
              </w:rPr>
              <w:t>0.005</w:t>
            </w:r>
          </w:p>
        </w:tc>
        <w:tc>
          <w:tcPr>
            <w:tcW w:w="501" w:type="pct"/>
            <w:vAlign w:val="center"/>
          </w:tcPr>
          <w:p>
            <w:pPr>
              <w:jc w:val="center"/>
              <w:rPr>
                <w:szCs w:val="21"/>
              </w:rPr>
            </w:pPr>
            <w:r>
              <w:rPr>
                <w:rFonts w:hint="eastAsia"/>
                <w:szCs w:val="21"/>
              </w:rPr>
              <w:t>0.006</w:t>
            </w:r>
          </w:p>
        </w:tc>
        <w:tc>
          <w:tcPr>
            <w:tcW w:w="445" w:type="pct"/>
            <w:vAlign w:val="center"/>
          </w:tcPr>
          <w:p>
            <w:pPr>
              <w:jc w:val="center"/>
              <w:rPr>
                <w:szCs w:val="21"/>
              </w:rPr>
            </w:pPr>
            <w:r>
              <w:rPr>
                <w:rFonts w:hint="eastAsia"/>
                <w:szCs w:val="21"/>
              </w:rPr>
              <w:t>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51" w:type="pct"/>
            <w:vMerge w:val="continue"/>
            <w:vAlign w:val="center"/>
          </w:tcPr>
          <w:p>
            <w:pPr>
              <w:adjustRightInd w:val="0"/>
              <w:snapToGrid w:val="0"/>
              <w:jc w:val="center"/>
              <w:rPr>
                <w:bCs/>
                <w:szCs w:val="21"/>
              </w:rPr>
            </w:pPr>
          </w:p>
        </w:tc>
        <w:tc>
          <w:tcPr>
            <w:tcW w:w="708" w:type="pct"/>
            <w:vAlign w:val="center"/>
          </w:tcPr>
          <w:p>
            <w:pPr>
              <w:widowControl/>
              <w:spacing w:line="280" w:lineRule="exact"/>
              <w:jc w:val="center"/>
              <w:rPr>
                <w:kern w:val="0"/>
                <w:szCs w:val="21"/>
              </w:rPr>
            </w:pPr>
            <w:r>
              <w:rPr>
                <w:rFonts w:hint="eastAsia"/>
                <w:kern w:val="0"/>
                <w:szCs w:val="21"/>
              </w:rPr>
              <w:t>2022.12.24</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0.132</w:t>
            </w:r>
          </w:p>
        </w:tc>
        <w:tc>
          <w:tcPr>
            <w:tcW w:w="415" w:type="pct"/>
            <w:vAlign w:val="center"/>
          </w:tcPr>
          <w:p>
            <w:pPr>
              <w:widowControl/>
              <w:spacing w:line="300" w:lineRule="exact"/>
              <w:ind w:left="-63" w:leftChars="-30" w:right="-63" w:rightChars="-30"/>
              <w:jc w:val="center"/>
              <w:rPr>
                <w:kern w:val="0"/>
                <w:szCs w:val="21"/>
              </w:rPr>
            </w:pPr>
            <w:r>
              <w:rPr>
                <w:rFonts w:hint="eastAsia"/>
                <w:kern w:val="0"/>
                <w:szCs w:val="21"/>
              </w:rPr>
              <w:t>0.128</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0.137</w:t>
            </w:r>
          </w:p>
        </w:tc>
        <w:tc>
          <w:tcPr>
            <w:tcW w:w="419" w:type="pct"/>
            <w:vAlign w:val="center"/>
          </w:tcPr>
          <w:p>
            <w:pPr>
              <w:widowControl/>
              <w:spacing w:line="300" w:lineRule="exact"/>
              <w:ind w:left="-63" w:leftChars="-30" w:right="-63" w:rightChars="-30"/>
              <w:jc w:val="center"/>
              <w:rPr>
                <w:kern w:val="0"/>
                <w:szCs w:val="21"/>
              </w:rPr>
            </w:pPr>
            <w:r>
              <w:rPr>
                <w:rFonts w:hint="eastAsia"/>
                <w:kern w:val="0"/>
                <w:szCs w:val="21"/>
              </w:rPr>
              <w:t>0.141</w:t>
            </w:r>
          </w:p>
        </w:tc>
        <w:tc>
          <w:tcPr>
            <w:tcW w:w="416" w:type="pct"/>
            <w:vAlign w:val="center"/>
          </w:tcPr>
          <w:p>
            <w:pPr>
              <w:jc w:val="center"/>
              <w:rPr>
                <w:szCs w:val="21"/>
              </w:rPr>
            </w:pPr>
            <w:r>
              <w:rPr>
                <w:rFonts w:hint="eastAsia"/>
                <w:szCs w:val="21"/>
              </w:rPr>
              <w:t>0.006</w:t>
            </w:r>
          </w:p>
        </w:tc>
        <w:tc>
          <w:tcPr>
            <w:tcW w:w="498" w:type="pct"/>
            <w:vAlign w:val="center"/>
          </w:tcPr>
          <w:p>
            <w:pPr>
              <w:jc w:val="center"/>
              <w:rPr>
                <w:szCs w:val="21"/>
              </w:rPr>
            </w:pPr>
            <w:r>
              <w:rPr>
                <w:rFonts w:hint="eastAsia"/>
                <w:szCs w:val="21"/>
              </w:rPr>
              <w:t>0.004</w:t>
            </w:r>
          </w:p>
        </w:tc>
        <w:tc>
          <w:tcPr>
            <w:tcW w:w="415" w:type="pct"/>
            <w:vAlign w:val="center"/>
          </w:tcPr>
          <w:p>
            <w:pPr>
              <w:jc w:val="center"/>
              <w:rPr>
                <w:szCs w:val="21"/>
              </w:rPr>
            </w:pPr>
            <w:r>
              <w:rPr>
                <w:rFonts w:hint="eastAsia"/>
                <w:szCs w:val="21"/>
              </w:rPr>
              <w:t>0.006</w:t>
            </w:r>
          </w:p>
        </w:tc>
        <w:tc>
          <w:tcPr>
            <w:tcW w:w="501" w:type="pct"/>
            <w:vAlign w:val="center"/>
          </w:tcPr>
          <w:p>
            <w:pPr>
              <w:jc w:val="center"/>
              <w:rPr>
                <w:szCs w:val="21"/>
              </w:rPr>
            </w:pPr>
            <w:r>
              <w:rPr>
                <w:rFonts w:hint="eastAsia"/>
                <w:szCs w:val="21"/>
              </w:rPr>
              <w:t>0.005</w:t>
            </w:r>
          </w:p>
        </w:tc>
        <w:tc>
          <w:tcPr>
            <w:tcW w:w="445" w:type="pct"/>
            <w:vAlign w:val="center"/>
          </w:tcPr>
          <w:p>
            <w:pPr>
              <w:jc w:val="center"/>
              <w:rPr>
                <w:szCs w:val="21"/>
              </w:rPr>
            </w:pPr>
            <w:r>
              <w:rPr>
                <w:rFonts w:hint="eastAsia"/>
                <w:szCs w:val="21"/>
              </w:rPr>
              <w:t>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51" w:type="pct"/>
            <w:vMerge w:val="continue"/>
            <w:vAlign w:val="center"/>
          </w:tcPr>
          <w:p>
            <w:pPr>
              <w:adjustRightInd w:val="0"/>
              <w:snapToGrid w:val="0"/>
              <w:jc w:val="center"/>
              <w:rPr>
                <w:bCs/>
                <w:szCs w:val="21"/>
              </w:rPr>
            </w:pPr>
          </w:p>
        </w:tc>
        <w:tc>
          <w:tcPr>
            <w:tcW w:w="708" w:type="pct"/>
            <w:vAlign w:val="center"/>
          </w:tcPr>
          <w:p>
            <w:pPr>
              <w:widowControl/>
              <w:spacing w:line="280" w:lineRule="exact"/>
              <w:jc w:val="center"/>
              <w:rPr>
                <w:kern w:val="0"/>
                <w:szCs w:val="21"/>
              </w:rPr>
            </w:pPr>
            <w:r>
              <w:rPr>
                <w:rFonts w:hint="eastAsia"/>
                <w:kern w:val="0"/>
                <w:szCs w:val="21"/>
              </w:rPr>
              <w:t>2022.12.25</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0.108</w:t>
            </w:r>
          </w:p>
        </w:tc>
        <w:tc>
          <w:tcPr>
            <w:tcW w:w="415" w:type="pct"/>
            <w:vAlign w:val="center"/>
          </w:tcPr>
          <w:p>
            <w:pPr>
              <w:widowControl/>
              <w:spacing w:line="300" w:lineRule="exact"/>
              <w:ind w:left="-63" w:leftChars="-30" w:right="-63" w:rightChars="-30"/>
              <w:jc w:val="center"/>
              <w:rPr>
                <w:kern w:val="0"/>
                <w:szCs w:val="21"/>
              </w:rPr>
            </w:pPr>
            <w:r>
              <w:rPr>
                <w:rFonts w:hint="eastAsia"/>
                <w:kern w:val="0"/>
                <w:szCs w:val="21"/>
              </w:rPr>
              <w:t>0.117</w:t>
            </w:r>
          </w:p>
        </w:tc>
        <w:tc>
          <w:tcPr>
            <w:tcW w:w="416" w:type="pct"/>
            <w:vAlign w:val="center"/>
          </w:tcPr>
          <w:p>
            <w:pPr>
              <w:widowControl/>
              <w:spacing w:line="300" w:lineRule="exact"/>
              <w:ind w:left="-63" w:leftChars="-30" w:right="-63" w:rightChars="-30"/>
              <w:jc w:val="center"/>
              <w:rPr>
                <w:kern w:val="0"/>
                <w:szCs w:val="21"/>
              </w:rPr>
            </w:pPr>
            <w:r>
              <w:rPr>
                <w:rFonts w:hint="eastAsia"/>
                <w:kern w:val="0"/>
                <w:szCs w:val="21"/>
              </w:rPr>
              <w:t>0.107</w:t>
            </w:r>
          </w:p>
        </w:tc>
        <w:tc>
          <w:tcPr>
            <w:tcW w:w="419" w:type="pct"/>
            <w:vAlign w:val="center"/>
          </w:tcPr>
          <w:p>
            <w:pPr>
              <w:widowControl/>
              <w:spacing w:line="300" w:lineRule="exact"/>
              <w:ind w:left="-63" w:leftChars="-30" w:right="-63" w:rightChars="-30"/>
              <w:jc w:val="center"/>
              <w:rPr>
                <w:kern w:val="0"/>
                <w:szCs w:val="21"/>
              </w:rPr>
            </w:pPr>
            <w:r>
              <w:rPr>
                <w:rFonts w:hint="eastAsia"/>
                <w:kern w:val="0"/>
                <w:szCs w:val="21"/>
              </w:rPr>
              <w:t>0.123</w:t>
            </w:r>
          </w:p>
        </w:tc>
        <w:tc>
          <w:tcPr>
            <w:tcW w:w="416" w:type="pct"/>
            <w:vAlign w:val="center"/>
          </w:tcPr>
          <w:p>
            <w:pPr>
              <w:jc w:val="center"/>
              <w:rPr>
                <w:szCs w:val="21"/>
              </w:rPr>
            </w:pPr>
            <w:r>
              <w:rPr>
                <w:rFonts w:hint="eastAsia"/>
                <w:szCs w:val="21"/>
              </w:rPr>
              <w:t>0.005</w:t>
            </w:r>
          </w:p>
        </w:tc>
        <w:tc>
          <w:tcPr>
            <w:tcW w:w="498" w:type="pct"/>
            <w:vAlign w:val="center"/>
          </w:tcPr>
          <w:p>
            <w:pPr>
              <w:jc w:val="center"/>
              <w:rPr>
                <w:szCs w:val="21"/>
              </w:rPr>
            </w:pPr>
            <w:r>
              <w:rPr>
                <w:rFonts w:hint="eastAsia"/>
                <w:szCs w:val="21"/>
              </w:rPr>
              <w:t>0.006</w:t>
            </w:r>
          </w:p>
        </w:tc>
        <w:tc>
          <w:tcPr>
            <w:tcW w:w="415" w:type="pct"/>
            <w:vAlign w:val="center"/>
          </w:tcPr>
          <w:p>
            <w:pPr>
              <w:jc w:val="center"/>
              <w:rPr>
                <w:szCs w:val="21"/>
              </w:rPr>
            </w:pPr>
            <w:r>
              <w:rPr>
                <w:rFonts w:hint="eastAsia"/>
                <w:szCs w:val="21"/>
              </w:rPr>
              <w:t>0.005</w:t>
            </w:r>
          </w:p>
        </w:tc>
        <w:tc>
          <w:tcPr>
            <w:tcW w:w="501" w:type="pct"/>
            <w:vAlign w:val="center"/>
          </w:tcPr>
          <w:p>
            <w:pPr>
              <w:jc w:val="center"/>
              <w:rPr>
                <w:szCs w:val="21"/>
              </w:rPr>
            </w:pPr>
            <w:r>
              <w:rPr>
                <w:rFonts w:hint="eastAsia"/>
                <w:szCs w:val="21"/>
              </w:rPr>
              <w:t>0.006</w:t>
            </w:r>
          </w:p>
        </w:tc>
        <w:tc>
          <w:tcPr>
            <w:tcW w:w="445" w:type="pct"/>
            <w:vAlign w:val="center"/>
          </w:tcPr>
          <w:p>
            <w:pPr>
              <w:jc w:val="center"/>
              <w:rPr>
                <w:szCs w:val="21"/>
              </w:rPr>
            </w:pPr>
            <w:r>
              <w:rPr>
                <w:rFonts w:hint="eastAsia"/>
                <w:szCs w:val="21"/>
              </w:rPr>
              <w:t>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58" w:type="pct"/>
            <w:gridSpan w:val="2"/>
            <w:vAlign w:val="center"/>
          </w:tcPr>
          <w:p>
            <w:pPr>
              <w:widowControl/>
              <w:spacing w:line="280" w:lineRule="exact"/>
              <w:jc w:val="center"/>
              <w:rPr>
                <w:kern w:val="0"/>
                <w:szCs w:val="21"/>
              </w:rPr>
            </w:pPr>
            <w:r>
              <w:rPr>
                <w:rFonts w:hint="eastAsia"/>
                <w:kern w:val="0"/>
                <w:szCs w:val="21"/>
              </w:rPr>
              <w:t>标准值</w:t>
            </w:r>
          </w:p>
        </w:tc>
        <w:tc>
          <w:tcPr>
            <w:tcW w:w="1666" w:type="pct"/>
            <w:gridSpan w:val="4"/>
            <w:vAlign w:val="center"/>
          </w:tcPr>
          <w:p>
            <w:pPr>
              <w:widowControl/>
              <w:spacing w:line="300" w:lineRule="exact"/>
              <w:ind w:left="-63" w:leftChars="-30" w:right="-63" w:rightChars="-30"/>
              <w:jc w:val="center"/>
              <w:rPr>
                <w:kern w:val="0"/>
                <w:szCs w:val="21"/>
              </w:rPr>
            </w:pPr>
            <w:r>
              <w:rPr>
                <w:rFonts w:hint="eastAsia"/>
                <w:kern w:val="0"/>
                <w:szCs w:val="21"/>
              </w:rPr>
              <w:t>0.2</w:t>
            </w:r>
          </w:p>
        </w:tc>
        <w:tc>
          <w:tcPr>
            <w:tcW w:w="1830" w:type="pct"/>
            <w:gridSpan w:val="4"/>
            <w:vAlign w:val="center"/>
          </w:tcPr>
          <w:p>
            <w:pPr>
              <w:jc w:val="center"/>
              <w:rPr>
                <w:szCs w:val="21"/>
              </w:rPr>
            </w:pPr>
            <w:r>
              <w:rPr>
                <w:rFonts w:hint="eastAsia"/>
                <w:szCs w:val="21"/>
              </w:rPr>
              <w:t>0.01</w:t>
            </w:r>
          </w:p>
        </w:tc>
        <w:tc>
          <w:tcPr>
            <w:tcW w:w="445" w:type="pct"/>
            <w:vAlign w:val="center"/>
          </w:tcPr>
          <w:p>
            <w:pPr>
              <w:jc w:val="center"/>
              <w:rPr>
                <w:szCs w:val="21"/>
              </w:rPr>
            </w:pPr>
            <w:r>
              <w:rPr>
                <w:rFonts w:hint="eastAsia"/>
                <w:szCs w:val="21"/>
              </w:rPr>
              <w:t>20</w:t>
            </w:r>
          </w:p>
        </w:tc>
      </w:tr>
    </w:tbl>
    <w:p>
      <w:pPr>
        <w:adjustRightInd w:val="0"/>
        <w:snapToGrid w:val="0"/>
        <w:spacing w:line="360" w:lineRule="auto"/>
        <w:ind w:firstLine="480" w:firstLineChars="200"/>
        <w:rPr>
          <w:bCs/>
          <w:sz w:val="24"/>
        </w:rPr>
      </w:pPr>
      <w:r>
        <w:rPr>
          <w:bCs/>
          <w:sz w:val="24"/>
        </w:rPr>
        <w:t>从表5.1-</w:t>
      </w:r>
      <w:r>
        <w:rPr>
          <w:rFonts w:hint="eastAsia"/>
          <w:bCs/>
          <w:sz w:val="24"/>
        </w:rPr>
        <w:t>3</w:t>
      </w:r>
      <w:r>
        <w:rPr>
          <w:bCs/>
          <w:sz w:val="24"/>
        </w:rPr>
        <w:t>可知，在监测期间，项目所在地、项目</w:t>
      </w:r>
      <w:r>
        <w:rPr>
          <w:rFonts w:hint="eastAsia"/>
          <w:bCs/>
          <w:sz w:val="24"/>
        </w:rPr>
        <w:t>南面楼堂居民点</w:t>
      </w:r>
      <w:r>
        <w:rPr>
          <w:bCs/>
          <w:sz w:val="24"/>
        </w:rPr>
        <w:t>NH</w:t>
      </w:r>
      <w:r>
        <w:rPr>
          <w:bCs/>
          <w:sz w:val="24"/>
          <w:vertAlign w:val="subscript"/>
        </w:rPr>
        <w:t>3</w:t>
      </w:r>
      <w:r>
        <w:rPr>
          <w:bCs/>
          <w:sz w:val="24"/>
        </w:rPr>
        <w:t>、H</w:t>
      </w:r>
      <w:r>
        <w:rPr>
          <w:bCs/>
          <w:sz w:val="24"/>
          <w:vertAlign w:val="subscript"/>
        </w:rPr>
        <w:t>2</w:t>
      </w:r>
      <w:r>
        <w:rPr>
          <w:bCs/>
          <w:sz w:val="24"/>
        </w:rPr>
        <w:t>S小时平均浓度均满足</w:t>
      </w:r>
      <w:r>
        <w:rPr>
          <w:bCs/>
          <w:sz w:val="24"/>
          <w:lang w:val="zh-CN"/>
        </w:rPr>
        <w:t>《环境影响评价技术导则</w:t>
      </w:r>
      <w:r>
        <w:rPr>
          <w:bCs/>
          <w:sz w:val="24"/>
        </w:rPr>
        <w:t>大气环境</w:t>
      </w:r>
      <w:r>
        <w:rPr>
          <w:bCs/>
          <w:sz w:val="24"/>
          <w:lang w:val="zh-CN"/>
        </w:rPr>
        <w:t>》（</w:t>
      </w:r>
      <w:r>
        <w:rPr>
          <w:bCs/>
          <w:sz w:val="24"/>
        </w:rPr>
        <w:t>HJ 2.2</w:t>
      </w:r>
      <w:r>
        <w:rPr>
          <w:bCs/>
          <w:sz w:val="24"/>
          <w:lang w:val="zh-CN"/>
        </w:rPr>
        <w:t>-20</w:t>
      </w:r>
      <w:r>
        <w:rPr>
          <w:bCs/>
          <w:sz w:val="24"/>
        </w:rPr>
        <w:t>18</w:t>
      </w:r>
      <w:r>
        <w:rPr>
          <w:bCs/>
          <w:sz w:val="24"/>
          <w:lang w:val="zh-CN"/>
        </w:rPr>
        <w:t>）附录</w:t>
      </w:r>
      <w:r>
        <w:rPr>
          <w:bCs/>
          <w:sz w:val="24"/>
        </w:rPr>
        <w:t>D</w:t>
      </w:r>
      <w:r>
        <w:rPr>
          <w:bCs/>
          <w:sz w:val="24"/>
          <w:lang w:val="zh-CN"/>
        </w:rPr>
        <w:t>中浓度参考限值，</w:t>
      </w:r>
      <w:r>
        <w:rPr>
          <w:sz w:val="24"/>
        </w:rPr>
        <w:t>臭气浓度最大值满足《恶臭污染物排放标准》（GB 14554-93）中表1二级新改扩建标准限值</w:t>
      </w:r>
      <w:r>
        <w:rPr>
          <w:bCs/>
          <w:sz w:val="24"/>
        </w:rPr>
        <w:t>。</w:t>
      </w:r>
    </w:p>
    <w:p>
      <w:pPr>
        <w:pStyle w:val="7"/>
        <w:adjustRightInd w:val="0"/>
        <w:snapToGrid w:val="0"/>
        <w:spacing w:before="0" w:after="0" w:line="360" w:lineRule="auto"/>
        <w:jc w:val="left"/>
        <w:rPr>
          <w:sz w:val="24"/>
          <w:szCs w:val="24"/>
        </w:rPr>
      </w:pPr>
      <w:r>
        <w:rPr>
          <w:rFonts w:hint="eastAsia"/>
          <w:sz w:val="24"/>
          <w:szCs w:val="24"/>
        </w:rPr>
        <w:t>5</w:t>
      </w:r>
      <w:r>
        <w:rPr>
          <w:sz w:val="24"/>
          <w:szCs w:val="24"/>
        </w:rPr>
        <w:t>.1.</w:t>
      </w:r>
      <w:r>
        <w:rPr>
          <w:rFonts w:hint="eastAsia"/>
          <w:sz w:val="24"/>
          <w:szCs w:val="24"/>
        </w:rPr>
        <w:t>3 结论</w:t>
      </w:r>
    </w:p>
    <w:p>
      <w:pPr>
        <w:spacing w:line="360" w:lineRule="auto"/>
        <w:ind w:firstLine="480" w:firstLineChars="200"/>
        <w:rPr>
          <w:sz w:val="24"/>
        </w:rPr>
      </w:pPr>
      <w:r>
        <w:rPr>
          <w:sz w:val="24"/>
        </w:rPr>
        <w:t>根据</w:t>
      </w:r>
      <w:r>
        <w:rPr>
          <w:rFonts w:hint="eastAsia"/>
          <w:sz w:val="24"/>
        </w:rPr>
        <w:t>衡阳市生态环境局《关于2021年12月份及1~12月份全市环境质量状况的通报》</w:t>
      </w:r>
      <w:r>
        <w:rPr>
          <w:sz w:val="24"/>
        </w:rPr>
        <w:t>，</w:t>
      </w:r>
      <w:r>
        <w:rPr>
          <w:rFonts w:hint="eastAsia"/>
          <w:sz w:val="24"/>
        </w:rPr>
        <w:t>衡阳县2021年度环境空气各因子平均浓度满足《环境空气质量标准》（GB3095-2012）中二级标准限值，判定为达标区</w:t>
      </w:r>
      <w:r>
        <w:rPr>
          <w:sz w:val="24"/>
        </w:rPr>
        <w:t>。</w:t>
      </w:r>
    </w:p>
    <w:p>
      <w:pPr>
        <w:spacing w:line="360" w:lineRule="auto"/>
        <w:ind w:firstLine="480" w:firstLineChars="200"/>
        <w:rPr>
          <w:sz w:val="24"/>
        </w:rPr>
      </w:pPr>
      <w:r>
        <w:rPr>
          <w:sz w:val="24"/>
        </w:rPr>
        <w:t>本项目所在区域</w:t>
      </w:r>
      <w:r>
        <w:rPr>
          <w:bCs/>
          <w:sz w:val="24"/>
        </w:rPr>
        <w:t>NH</w:t>
      </w:r>
      <w:r>
        <w:rPr>
          <w:bCs/>
          <w:sz w:val="24"/>
          <w:vertAlign w:val="subscript"/>
        </w:rPr>
        <w:t>3</w:t>
      </w:r>
      <w:r>
        <w:rPr>
          <w:bCs/>
          <w:sz w:val="24"/>
        </w:rPr>
        <w:t>、H</w:t>
      </w:r>
      <w:r>
        <w:rPr>
          <w:bCs/>
          <w:sz w:val="24"/>
          <w:vertAlign w:val="subscript"/>
        </w:rPr>
        <w:t>2</w:t>
      </w:r>
      <w:r>
        <w:rPr>
          <w:bCs/>
          <w:sz w:val="24"/>
        </w:rPr>
        <w:t>S、臭气浓度</w:t>
      </w:r>
      <w:r>
        <w:rPr>
          <w:sz w:val="24"/>
        </w:rPr>
        <w:t>补充监测结果表明，</w:t>
      </w:r>
      <w:r>
        <w:rPr>
          <w:bCs/>
          <w:sz w:val="24"/>
        </w:rPr>
        <w:t>在监测期间，项目所在地、项目</w:t>
      </w:r>
      <w:r>
        <w:rPr>
          <w:rFonts w:hint="eastAsia"/>
          <w:bCs/>
          <w:sz w:val="24"/>
        </w:rPr>
        <w:t>南面楼堂居民</w:t>
      </w:r>
      <w:r>
        <w:rPr>
          <w:bCs/>
          <w:sz w:val="24"/>
        </w:rPr>
        <w:t>NH</w:t>
      </w:r>
      <w:r>
        <w:rPr>
          <w:bCs/>
          <w:sz w:val="24"/>
          <w:vertAlign w:val="subscript"/>
        </w:rPr>
        <w:t>3</w:t>
      </w:r>
      <w:r>
        <w:rPr>
          <w:bCs/>
          <w:sz w:val="24"/>
        </w:rPr>
        <w:t>、H</w:t>
      </w:r>
      <w:r>
        <w:rPr>
          <w:bCs/>
          <w:sz w:val="24"/>
          <w:vertAlign w:val="subscript"/>
        </w:rPr>
        <w:t>2</w:t>
      </w:r>
      <w:r>
        <w:rPr>
          <w:bCs/>
          <w:sz w:val="24"/>
        </w:rPr>
        <w:t>S小时平均浓度均满足</w:t>
      </w:r>
      <w:r>
        <w:rPr>
          <w:bCs/>
          <w:sz w:val="24"/>
          <w:lang w:val="zh-CN"/>
        </w:rPr>
        <w:t>《环境影响评价技术导则</w:t>
      </w:r>
      <w:r>
        <w:rPr>
          <w:bCs/>
          <w:sz w:val="24"/>
        </w:rPr>
        <w:t>大气环境</w:t>
      </w:r>
      <w:r>
        <w:rPr>
          <w:bCs/>
          <w:sz w:val="24"/>
          <w:lang w:val="zh-CN"/>
        </w:rPr>
        <w:t>》（</w:t>
      </w:r>
      <w:r>
        <w:rPr>
          <w:bCs/>
          <w:sz w:val="24"/>
        </w:rPr>
        <w:t>HJ 2.2</w:t>
      </w:r>
      <w:r>
        <w:rPr>
          <w:bCs/>
          <w:sz w:val="24"/>
          <w:lang w:val="zh-CN"/>
        </w:rPr>
        <w:t>-20</w:t>
      </w:r>
      <w:r>
        <w:rPr>
          <w:bCs/>
          <w:sz w:val="24"/>
        </w:rPr>
        <w:t>18</w:t>
      </w:r>
      <w:r>
        <w:rPr>
          <w:bCs/>
          <w:sz w:val="24"/>
          <w:lang w:val="zh-CN"/>
        </w:rPr>
        <w:t>）附录</w:t>
      </w:r>
      <w:r>
        <w:rPr>
          <w:bCs/>
          <w:sz w:val="24"/>
        </w:rPr>
        <w:t>D</w:t>
      </w:r>
      <w:r>
        <w:rPr>
          <w:bCs/>
          <w:sz w:val="24"/>
          <w:lang w:val="zh-CN"/>
        </w:rPr>
        <w:t>中浓度参考限值，</w:t>
      </w:r>
      <w:r>
        <w:rPr>
          <w:sz w:val="24"/>
        </w:rPr>
        <w:t>臭气浓度最大值满足《恶臭污染物排放标准》（GB 14554-93）中表1二级新改扩建标准限值</w:t>
      </w:r>
      <w:r>
        <w:rPr>
          <w:rFonts w:hint="eastAsia"/>
          <w:sz w:val="24"/>
        </w:rPr>
        <w:t>。</w:t>
      </w:r>
    </w:p>
    <w:bookmarkEnd w:id="271"/>
    <w:p>
      <w:pPr>
        <w:pStyle w:val="6"/>
        <w:numPr>
          <w:ilvl w:val="0"/>
          <w:numId w:val="0"/>
        </w:numPr>
        <w:rPr>
          <w:rFonts w:ascii="Times New Roman" w:hAnsi="Times New Roman" w:eastAsia="宋体"/>
        </w:rPr>
      </w:pPr>
      <w:bookmarkStart w:id="273" w:name="_Toc10796"/>
      <w:bookmarkStart w:id="274" w:name="_Toc487117472"/>
      <w:bookmarkStart w:id="275" w:name="_Toc123886412"/>
      <w:r>
        <w:rPr>
          <w:rFonts w:ascii="Times New Roman" w:hAnsi="Times New Roman" w:eastAsia="宋体"/>
        </w:rPr>
        <w:t>5.2</w:t>
      </w:r>
      <w:r>
        <w:rPr>
          <w:rFonts w:hint="eastAsia" w:ascii="Times New Roman" w:hAnsi="Times New Roman" w:eastAsia="宋体"/>
        </w:rPr>
        <w:t xml:space="preserve"> </w:t>
      </w:r>
      <w:r>
        <w:rPr>
          <w:rFonts w:ascii="Times New Roman" w:hAnsi="Times New Roman" w:eastAsia="宋体"/>
        </w:rPr>
        <w:t>地表水质量现状监测与评价</w:t>
      </w:r>
      <w:bookmarkEnd w:id="273"/>
      <w:bookmarkEnd w:id="274"/>
      <w:bookmarkEnd w:id="275"/>
    </w:p>
    <w:p>
      <w:pPr>
        <w:pStyle w:val="7"/>
        <w:adjustRightInd w:val="0"/>
        <w:snapToGrid w:val="0"/>
        <w:spacing w:before="0" w:after="0" w:line="360" w:lineRule="auto"/>
        <w:jc w:val="left"/>
        <w:rPr>
          <w:sz w:val="24"/>
          <w:szCs w:val="24"/>
        </w:rPr>
      </w:pPr>
      <w:r>
        <w:rPr>
          <w:rFonts w:hint="eastAsia"/>
          <w:sz w:val="24"/>
          <w:szCs w:val="24"/>
        </w:rPr>
        <w:t>5</w:t>
      </w:r>
      <w:r>
        <w:rPr>
          <w:sz w:val="24"/>
          <w:szCs w:val="24"/>
        </w:rPr>
        <w:t>.</w:t>
      </w:r>
      <w:r>
        <w:rPr>
          <w:rFonts w:hint="eastAsia"/>
          <w:sz w:val="24"/>
          <w:szCs w:val="24"/>
        </w:rPr>
        <w:t>2.1 废水去向情况调查</w:t>
      </w:r>
    </w:p>
    <w:p>
      <w:pPr>
        <w:pStyle w:val="272"/>
        <w:spacing w:beforeLines="0"/>
        <w:rPr>
          <w:rFonts w:eastAsiaTheme="minorEastAsia"/>
        </w:rPr>
      </w:pPr>
      <w:r>
        <w:rPr>
          <w:rFonts w:hint="eastAsia"/>
        </w:rPr>
        <w:t>本项目废水经过分区处理后用作农肥，不排入地表水</w:t>
      </w:r>
      <w:r>
        <w:rPr>
          <w:rFonts w:hAnsiTheme="minorEastAsia" w:eastAsiaTheme="minorEastAsia"/>
        </w:rPr>
        <w:t>。</w:t>
      </w:r>
    </w:p>
    <w:p>
      <w:pPr>
        <w:pStyle w:val="7"/>
        <w:adjustRightInd w:val="0"/>
        <w:snapToGrid w:val="0"/>
        <w:spacing w:before="0" w:after="0" w:line="360" w:lineRule="auto"/>
        <w:jc w:val="left"/>
        <w:rPr>
          <w:sz w:val="24"/>
          <w:szCs w:val="24"/>
        </w:rPr>
      </w:pPr>
      <w:r>
        <w:rPr>
          <w:rFonts w:hint="eastAsia"/>
          <w:sz w:val="24"/>
          <w:szCs w:val="24"/>
        </w:rPr>
        <w:t>5</w:t>
      </w:r>
      <w:r>
        <w:rPr>
          <w:sz w:val="24"/>
          <w:szCs w:val="24"/>
        </w:rPr>
        <w:t>.</w:t>
      </w:r>
      <w:r>
        <w:rPr>
          <w:rFonts w:hint="eastAsia"/>
          <w:sz w:val="24"/>
          <w:szCs w:val="24"/>
        </w:rPr>
        <w:t>2.2 水环境状况调查</w:t>
      </w:r>
    </w:p>
    <w:p>
      <w:pPr>
        <w:pStyle w:val="243"/>
        <w:spacing w:line="360" w:lineRule="auto"/>
        <w:ind w:firstLine="480" w:firstLineChars="200"/>
        <w:jc w:val="left"/>
        <w:rPr>
          <w:rFonts w:cs="Times New Roman" w:eastAsiaTheme="minorEastAsia"/>
          <w:color w:val="auto"/>
        </w:rPr>
      </w:pPr>
      <w:r>
        <w:rPr>
          <w:rFonts w:cs="Times New Roman" w:hAnsiTheme="minorEastAsia" w:eastAsiaTheme="minorEastAsia"/>
          <w:szCs w:val="24"/>
        </w:rPr>
        <w:t>根据项目评价等级判定，本项目地表水评价等级为“三级</w:t>
      </w:r>
      <w:r>
        <w:rPr>
          <w:rFonts w:hint="eastAsia" w:cs="Times New Roman" w:hAnsiTheme="minorEastAsia" w:eastAsiaTheme="minorEastAsia"/>
          <w:szCs w:val="24"/>
        </w:rPr>
        <w:t>B</w:t>
      </w:r>
      <w:r>
        <w:rPr>
          <w:rFonts w:cs="Times New Roman" w:hAnsiTheme="minorEastAsia" w:eastAsiaTheme="minorEastAsia"/>
          <w:szCs w:val="24"/>
        </w:rPr>
        <w:t>”。结合《环境影响评价技术导则</w:t>
      </w:r>
      <w:r>
        <w:rPr>
          <w:rFonts w:hint="eastAsia" w:cs="Times New Roman" w:hAnsiTheme="minorEastAsia" w:eastAsiaTheme="minorEastAsia"/>
          <w:szCs w:val="24"/>
        </w:rPr>
        <w:t xml:space="preserve">  </w:t>
      </w:r>
      <w:r>
        <w:rPr>
          <w:rFonts w:cs="Times New Roman" w:hAnsiTheme="minorEastAsia" w:eastAsiaTheme="minorEastAsia"/>
          <w:szCs w:val="24"/>
        </w:rPr>
        <w:t>地表水环境》（HJ2.3-2018）：“6.6.3.2环境现状调查与评价应优先采用国务院生态环境保护主管部门统一发布的水环境状况信息”。</w:t>
      </w:r>
      <w:r>
        <w:rPr>
          <w:rFonts w:ascii="Times New Roman" w:hAnsi="Times New Roman" w:eastAsia="宋体" w:cs="Times New Roman"/>
          <w:bCs/>
          <w:color w:val="auto"/>
          <w:kern w:val="2"/>
          <w:sz w:val="24"/>
          <w:szCs w:val="24"/>
          <w:lang w:val="zh-CN" w:eastAsia="zh-CN" w:bidi="ar-SA"/>
        </w:rPr>
        <w:t>本次地表水环境质量现状评价引用</w:t>
      </w:r>
      <w:r>
        <w:rPr>
          <w:rFonts w:hint="eastAsia" w:ascii="Times New Roman" w:hAnsi="Times New Roman" w:eastAsia="宋体" w:cs="Times New Roman"/>
          <w:bCs/>
          <w:color w:val="auto"/>
          <w:kern w:val="2"/>
          <w:sz w:val="24"/>
          <w:szCs w:val="24"/>
          <w:lang w:val="zh-CN" w:eastAsia="zh-CN" w:bidi="ar-SA"/>
        </w:rPr>
        <w:t>衡阳市生态环境局《关于202</w:t>
      </w:r>
      <w:r>
        <w:rPr>
          <w:rFonts w:hint="eastAsia" w:eastAsia="宋体" w:cs="Times New Roman"/>
          <w:bCs/>
          <w:color w:val="auto"/>
          <w:kern w:val="2"/>
          <w:sz w:val="24"/>
          <w:szCs w:val="24"/>
          <w:lang w:val="en-US" w:eastAsia="zh-CN" w:bidi="ar-SA"/>
        </w:rPr>
        <w:t>2</w:t>
      </w:r>
      <w:r>
        <w:rPr>
          <w:rFonts w:hint="eastAsia" w:ascii="Times New Roman" w:hAnsi="Times New Roman" w:eastAsia="宋体" w:cs="Times New Roman"/>
          <w:bCs/>
          <w:color w:val="auto"/>
          <w:kern w:val="2"/>
          <w:sz w:val="24"/>
          <w:szCs w:val="24"/>
          <w:lang w:val="zh-CN" w:eastAsia="zh-CN" w:bidi="ar-SA"/>
        </w:rPr>
        <w:t>年12月份及1~12月份全市环境质量状况的通报》</w:t>
      </w:r>
      <w:r>
        <w:rPr>
          <w:rFonts w:ascii="Times New Roman" w:hAnsi="Times New Roman" w:eastAsia="宋体" w:cs="Times New Roman"/>
          <w:bCs/>
          <w:color w:val="auto"/>
          <w:kern w:val="2"/>
          <w:sz w:val="24"/>
          <w:szCs w:val="24"/>
          <w:lang w:val="zh-CN" w:eastAsia="zh-CN" w:bidi="ar-SA"/>
        </w:rPr>
        <w:t>中结论，</w:t>
      </w:r>
      <w:r>
        <w:rPr>
          <w:rFonts w:hint="eastAsia" w:ascii="Times New Roman" w:hAnsi="Times New Roman" w:eastAsia="宋体" w:cs="Times New Roman"/>
          <w:bCs/>
          <w:color w:val="auto"/>
          <w:kern w:val="2"/>
          <w:sz w:val="24"/>
          <w:szCs w:val="24"/>
          <w:lang w:val="zh-CN" w:eastAsia="zh-CN" w:bidi="ar-SA"/>
        </w:rPr>
        <w:t>距离本项目最近的地表水监测断面为洪市镇、西渡水厂监测断面，其水质监测情况如下图所示</w:t>
      </w:r>
      <w:r>
        <w:rPr>
          <w:rFonts w:ascii="Times New Roman" w:hAnsi="Times New Roman" w:eastAsia="宋体" w:cs="Times New Roman"/>
          <w:bCs/>
          <w:color w:val="auto"/>
          <w:kern w:val="2"/>
          <w:sz w:val="24"/>
          <w:szCs w:val="24"/>
          <w:lang w:val="zh-CN" w:eastAsia="zh-CN" w:bidi="ar-SA"/>
        </w:rPr>
        <w:t>。</w:t>
      </w:r>
    </w:p>
    <w:p>
      <w:pPr>
        <w:pStyle w:val="243"/>
        <w:spacing w:line="360" w:lineRule="auto"/>
        <w:ind w:firstLine="0"/>
        <w:jc w:val="center"/>
        <w:rPr>
          <w:rFonts w:cs="Times New Roman" w:eastAsiaTheme="minorEastAsia"/>
          <w:color w:val="auto"/>
        </w:rPr>
      </w:pPr>
      <w:r>
        <w:rPr>
          <w:rFonts w:eastAsia="宋体"/>
          <w:color w:val="auto"/>
          <w:lang w:val="en-US" w:eastAsia="zh-CN"/>
        </w:rPr>
        <w:drawing>
          <wp:inline distT="0" distB="0" distL="114300" distR="114300">
            <wp:extent cx="5274310" cy="3299460"/>
            <wp:effectExtent l="0" t="0" r="8890" b="2540"/>
            <wp:docPr id="2" name="图片 7" descr="C:\Users\JET\Documents\WeChat Files\wxid_32f6s68zf6ta12\FileStorage\Temp\1679186412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C:\Users\JET\Documents\WeChat Files\wxid_32f6s68zf6ta12\FileStorage\Temp\1679186412068.png"/>
                    <pic:cNvPicPr>
                      <a:picLocks noChangeAspect="1"/>
                    </pic:cNvPicPr>
                  </pic:nvPicPr>
                  <pic:blipFill>
                    <a:blip r:embed="rId29"/>
                    <a:stretch>
                      <a:fillRect/>
                    </a:stretch>
                  </pic:blipFill>
                  <pic:spPr>
                    <a:xfrm>
                      <a:off x="0" y="0"/>
                      <a:ext cx="5274310" cy="3299460"/>
                    </a:xfrm>
                    <a:prstGeom prst="rect">
                      <a:avLst/>
                    </a:prstGeom>
                    <a:noFill/>
                    <a:ln>
                      <a:noFill/>
                    </a:ln>
                  </pic:spPr>
                </pic:pic>
              </a:graphicData>
            </a:graphic>
          </wp:inline>
        </w:drawing>
      </w:r>
    </w:p>
    <w:p>
      <w:pPr>
        <w:pStyle w:val="17"/>
        <w:spacing w:afterLines="50"/>
        <w:rPr>
          <w:rFonts w:ascii="Times New Roman" w:cs="Times New Roman"/>
          <w:color w:val="auto"/>
          <w:sz w:val="21"/>
        </w:rPr>
      </w:pPr>
      <w:r>
        <w:rPr>
          <w:rFonts w:ascii="Times New Roman" w:cs="Times New Roman"/>
          <w:color w:val="auto"/>
          <w:sz w:val="21"/>
        </w:rPr>
        <w:t>图</w:t>
      </w:r>
      <w:r>
        <w:rPr>
          <w:rFonts w:ascii="Times New Roman" w:hAnsi="Times New Roman" w:cs="Times New Roman"/>
          <w:color w:val="auto"/>
          <w:sz w:val="21"/>
        </w:rPr>
        <w:t>5.</w:t>
      </w:r>
      <w:r>
        <w:rPr>
          <w:rFonts w:hint="eastAsia" w:ascii="Times New Roman" w:hAnsi="Times New Roman" w:cs="Times New Roman"/>
          <w:color w:val="auto"/>
          <w:sz w:val="21"/>
        </w:rPr>
        <w:t>2-</w:t>
      </w:r>
      <w:r>
        <w:rPr>
          <w:rFonts w:ascii="Times New Roman" w:hAnsi="Times New Roman" w:cs="Times New Roman"/>
          <w:color w:val="auto"/>
          <w:sz w:val="21"/>
        </w:rPr>
        <w:t>1  20</w:t>
      </w:r>
      <w:r>
        <w:rPr>
          <w:rFonts w:hint="eastAsia" w:ascii="Times New Roman" w:hAnsi="Times New Roman" w:cs="Times New Roman"/>
          <w:color w:val="auto"/>
          <w:sz w:val="21"/>
        </w:rPr>
        <w:t>2</w:t>
      </w:r>
      <w:r>
        <w:rPr>
          <w:rFonts w:hint="eastAsia" w:ascii="Times New Roman" w:hAnsi="Times New Roman" w:cs="Times New Roman"/>
          <w:color w:val="auto"/>
          <w:sz w:val="21"/>
          <w:lang w:val="en-US" w:eastAsia="zh-CN"/>
        </w:rPr>
        <w:t>2</w:t>
      </w:r>
      <w:r>
        <w:rPr>
          <w:rFonts w:ascii="Times New Roman" w:cs="Times New Roman"/>
          <w:color w:val="auto"/>
          <w:sz w:val="21"/>
        </w:rPr>
        <w:t>年</w:t>
      </w:r>
      <w:r>
        <w:rPr>
          <w:rFonts w:ascii="Times New Roman" w:hAnsi="Times New Roman" w:cs="Times New Roman"/>
          <w:color w:val="auto"/>
          <w:sz w:val="21"/>
        </w:rPr>
        <w:t>1-12</w:t>
      </w:r>
      <w:r>
        <w:rPr>
          <w:rFonts w:ascii="Times New Roman" w:cs="Times New Roman"/>
          <w:color w:val="auto"/>
          <w:sz w:val="21"/>
        </w:rPr>
        <w:t>月衡阳市地表水质情况</w:t>
      </w:r>
    </w:p>
    <w:p>
      <w:pPr>
        <w:pStyle w:val="146"/>
        <w:spacing w:line="360" w:lineRule="auto"/>
        <w:ind w:firstLine="480" w:firstLineChars="200"/>
        <w:jc w:val="both"/>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根据上表可知，监测断面水质满足《地表水环境质量标准》（GB3838-2002）Ⅲ类标准的要求，项目所在区域地表水环境质量现状较好。</w:t>
      </w:r>
    </w:p>
    <w:p>
      <w:pPr>
        <w:pStyle w:val="7"/>
        <w:adjustRightInd w:val="0"/>
        <w:snapToGrid w:val="0"/>
        <w:spacing w:before="0" w:after="0" w:line="360" w:lineRule="auto"/>
        <w:jc w:val="left"/>
        <w:rPr>
          <w:sz w:val="24"/>
          <w:szCs w:val="24"/>
        </w:rPr>
      </w:pPr>
      <w:r>
        <w:rPr>
          <w:sz w:val="24"/>
          <w:szCs w:val="24"/>
        </w:rPr>
        <w:t>5.2.3 补充监测</w:t>
      </w:r>
    </w:p>
    <w:p>
      <w:pPr>
        <w:pStyle w:val="243"/>
        <w:spacing w:line="360" w:lineRule="auto"/>
        <w:ind w:firstLine="480" w:firstLineChars="200"/>
        <w:jc w:val="left"/>
        <w:rPr>
          <w:rFonts w:ascii="Times New Roman" w:hAnsi="Times New Roman" w:eastAsia="宋体" w:cs="Times New Roman"/>
          <w:bCs/>
          <w:color w:val="auto"/>
          <w:kern w:val="2"/>
          <w:sz w:val="24"/>
          <w:szCs w:val="24"/>
          <w:lang w:val="zh-CN" w:eastAsia="zh-CN" w:bidi="ar-SA"/>
        </w:rPr>
      </w:pPr>
      <w:r>
        <w:rPr>
          <w:rFonts w:ascii="Times New Roman" w:hAnsi="Times New Roman" w:eastAsia="宋体" w:cs="Times New Roman"/>
          <w:bCs/>
          <w:color w:val="auto"/>
          <w:kern w:val="2"/>
          <w:sz w:val="24"/>
          <w:szCs w:val="24"/>
          <w:lang w:val="zh-CN" w:eastAsia="zh-CN" w:bidi="ar-SA"/>
        </w:rPr>
        <w:t>为了了解拟建地区域地表水质量现状，本次评价期间委托湖南中雁环保科技有限公司于20</w:t>
      </w:r>
      <w:r>
        <w:rPr>
          <w:rFonts w:hint="eastAsia" w:ascii="Times New Roman" w:hAnsi="Times New Roman" w:eastAsia="宋体" w:cs="Times New Roman"/>
          <w:bCs/>
          <w:color w:val="auto"/>
          <w:kern w:val="2"/>
          <w:sz w:val="24"/>
          <w:szCs w:val="24"/>
          <w:lang w:val="zh-CN" w:eastAsia="zh-CN" w:bidi="ar-SA"/>
        </w:rPr>
        <w:t>22</w:t>
      </w:r>
      <w:r>
        <w:rPr>
          <w:rFonts w:ascii="Times New Roman" w:hAnsi="Times New Roman" w:eastAsia="宋体" w:cs="Times New Roman"/>
          <w:bCs/>
          <w:color w:val="auto"/>
          <w:kern w:val="2"/>
          <w:sz w:val="24"/>
          <w:szCs w:val="24"/>
          <w:lang w:val="zh-CN" w:eastAsia="zh-CN" w:bidi="ar-SA"/>
        </w:rPr>
        <w:t>年</w:t>
      </w:r>
      <w:r>
        <w:rPr>
          <w:rFonts w:hint="eastAsia" w:ascii="Times New Roman" w:hAnsi="Times New Roman" w:eastAsia="宋体" w:cs="Times New Roman"/>
          <w:bCs/>
          <w:color w:val="auto"/>
          <w:kern w:val="2"/>
          <w:sz w:val="24"/>
          <w:szCs w:val="24"/>
          <w:lang w:val="zh-CN" w:eastAsia="zh-CN" w:bidi="ar-SA"/>
        </w:rPr>
        <w:t>12</w:t>
      </w:r>
      <w:r>
        <w:rPr>
          <w:rFonts w:ascii="Times New Roman" w:hAnsi="Times New Roman" w:eastAsia="宋体" w:cs="Times New Roman"/>
          <w:bCs/>
          <w:color w:val="auto"/>
          <w:kern w:val="2"/>
          <w:sz w:val="24"/>
          <w:szCs w:val="24"/>
          <w:lang w:val="zh-CN" w:eastAsia="zh-CN" w:bidi="ar-SA"/>
        </w:rPr>
        <w:t>月</w:t>
      </w:r>
      <w:r>
        <w:rPr>
          <w:rFonts w:hint="eastAsia" w:ascii="Times New Roman" w:hAnsi="Times New Roman" w:eastAsia="宋体" w:cs="Times New Roman"/>
          <w:bCs/>
          <w:color w:val="auto"/>
          <w:kern w:val="2"/>
          <w:sz w:val="24"/>
          <w:szCs w:val="24"/>
          <w:lang w:val="zh-CN" w:eastAsia="zh-CN" w:bidi="ar-SA"/>
        </w:rPr>
        <w:t>29</w:t>
      </w:r>
      <w:r>
        <w:rPr>
          <w:rFonts w:ascii="Times New Roman" w:hAnsi="Times New Roman" w:eastAsia="宋体" w:cs="Times New Roman"/>
          <w:bCs/>
          <w:color w:val="auto"/>
          <w:kern w:val="2"/>
          <w:sz w:val="24"/>
          <w:szCs w:val="24"/>
          <w:lang w:val="zh-CN" w:eastAsia="zh-CN" w:bidi="ar-SA"/>
        </w:rPr>
        <w:t>日至20</w:t>
      </w:r>
      <w:r>
        <w:rPr>
          <w:rFonts w:hint="eastAsia" w:ascii="Times New Roman" w:hAnsi="Times New Roman" w:eastAsia="宋体" w:cs="Times New Roman"/>
          <w:bCs/>
          <w:color w:val="auto"/>
          <w:kern w:val="2"/>
          <w:sz w:val="24"/>
          <w:szCs w:val="24"/>
          <w:lang w:val="zh-CN" w:eastAsia="zh-CN" w:bidi="ar-SA"/>
        </w:rPr>
        <w:t>22</w:t>
      </w:r>
      <w:r>
        <w:rPr>
          <w:rFonts w:ascii="Times New Roman" w:hAnsi="Times New Roman" w:eastAsia="宋体" w:cs="Times New Roman"/>
          <w:bCs/>
          <w:color w:val="auto"/>
          <w:kern w:val="2"/>
          <w:sz w:val="24"/>
          <w:szCs w:val="24"/>
          <w:lang w:val="zh-CN" w:eastAsia="zh-CN" w:bidi="ar-SA"/>
        </w:rPr>
        <w:t>年</w:t>
      </w:r>
      <w:r>
        <w:rPr>
          <w:rFonts w:hint="eastAsia" w:ascii="Times New Roman" w:hAnsi="Times New Roman" w:eastAsia="宋体" w:cs="Times New Roman"/>
          <w:bCs/>
          <w:color w:val="auto"/>
          <w:kern w:val="2"/>
          <w:sz w:val="24"/>
          <w:szCs w:val="24"/>
          <w:lang w:val="zh-CN" w:eastAsia="zh-CN" w:bidi="ar-SA"/>
        </w:rPr>
        <w:t>12</w:t>
      </w:r>
      <w:r>
        <w:rPr>
          <w:rFonts w:ascii="Times New Roman" w:hAnsi="Times New Roman" w:eastAsia="宋体" w:cs="Times New Roman"/>
          <w:bCs/>
          <w:color w:val="auto"/>
          <w:kern w:val="2"/>
          <w:sz w:val="24"/>
          <w:szCs w:val="24"/>
          <w:lang w:val="zh-CN" w:eastAsia="zh-CN" w:bidi="ar-SA"/>
        </w:rPr>
        <w:t>月</w:t>
      </w:r>
      <w:r>
        <w:rPr>
          <w:rFonts w:hint="eastAsia" w:ascii="Times New Roman" w:hAnsi="Times New Roman" w:eastAsia="宋体" w:cs="Times New Roman"/>
          <w:bCs/>
          <w:color w:val="auto"/>
          <w:kern w:val="2"/>
          <w:sz w:val="24"/>
          <w:szCs w:val="24"/>
          <w:lang w:val="zh-CN" w:eastAsia="zh-CN" w:bidi="ar-SA"/>
        </w:rPr>
        <w:t>21</w:t>
      </w:r>
      <w:r>
        <w:rPr>
          <w:rFonts w:ascii="Times New Roman" w:hAnsi="Times New Roman" w:eastAsia="宋体" w:cs="Times New Roman"/>
          <w:bCs/>
          <w:color w:val="auto"/>
          <w:kern w:val="2"/>
          <w:sz w:val="24"/>
          <w:szCs w:val="24"/>
          <w:lang w:val="zh-CN" w:eastAsia="zh-CN" w:bidi="ar-SA"/>
        </w:rPr>
        <w:t>日对W1项目北侧水塘进行了水质现状监测（检测报告编号：HNZYC</w:t>
      </w:r>
      <w:r>
        <w:rPr>
          <w:rFonts w:hint="eastAsia" w:ascii="Times New Roman" w:hAnsi="Times New Roman" w:eastAsia="宋体" w:cs="Times New Roman"/>
          <w:bCs/>
          <w:color w:val="auto"/>
          <w:kern w:val="2"/>
          <w:sz w:val="24"/>
          <w:szCs w:val="24"/>
          <w:lang w:val="zh-CN" w:eastAsia="zh-CN" w:bidi="ar-SA"/>
        </w:rPr>
        <w:t>（</w:t>
      </w:r>
      <w:r>
        <w:rPr>
          <w:rFonts w:ascii="Times New Roman" w:hAnsi="Times New Roman" w:eastAsia="宋体" w:cs="Times New Roman"/>
          <w:bCs/>
          <w:color w:val="auto"/>
          <w:kern w:val="2"/>
          <w:sz w:val="24"/>
          <w:szCs w:val="24"/>
          <w:lang w:val="zh-CN" w:eastAsia="zh-CN" w:bidi="ar-SA"/>
        </w:rPr>
        <w:t>2022•12</w:t>
      </w:r>
      <w:r>
        <w:rPr>
          <w:rFonts w:hint="eastAsia" w:ascii="Times New Roman" w:hAnsi="Times New Roman" w:eastAsia="宋体" w:cs="Times New Roman"/>
          <w:bCs/>
          <w:color w:val="auto"/>
          <w:kern w:val="2"/>
          <w:sz w:val="24"/>
          <w:szCs w:val="24"/>
          <w:lang w:val="zh-CN" w:eastAsia="zh-CN" w:bidi="ar-SA"/>
        </w:rPr>
        <w:t>）</w:t>
      </w:r>
      <w:r>
        <w:rPr>
          <w:rFonts w:ascii="Times New Roman" w:hAnsi="Times New Roman" w:eastAsia="宋体" w:cs="Times New Roman"/>
          <w:bCs/>
          <w:color w:val="auto"/>
          <w:kern w:val="2"/>
          <w:sz w:val="24"/>
          <w:szCs w:val="24"/>
          <w:lang w:val="zh-CN" w:eastAsia="zh-CN" w:bidi="ar-SA"/>
        </w:rPr>
        <w:t>148）</w:t>
      </w:r>
    </w:p>
    <w:p>
      <w:pPr>
        <w:pStyle w:val="243"/>
        <w:spacing w:line="360" w:lineRule="auto"/>
        <w:ind w:firstLine="482" w:firstLineChars="200"/>
        <w:rPr>
          <w:rFonts w:cs="Times New Roman" w:eastAsiaTheme="minorEastAsia"/>
          <w:b/>
          <w:color w:val="auto"/>
        </w:rPr>
      </w:pPr>
      <w:r>
        <w:rPr>
          <w:rFonts w:cs="Times New Roman" w:eastAsiaTheme="minorEastAsia"/>
          <w:b/>
          <w:color w:val="auto"/>
        </w:rPr>
        <w:t>1</w:t>
      </w:r>
      <w:r>
        <w:rPr>
          <w:rFonts w:cs="Times New Roman" w:hAnsiTheme="minorEastAsia" w:eastAsiaTheme="minorEastAsia"/>
          <w:b/>
          <w:color w:val="auto"/>
        </w:rPr>
        <w:t>、监测布点：</w:t>
      </w:r>
    </w:p>
    <w:p>
      <w:pPr>
        <w:pStyle w:val="243"/>
        <w:spacing w:line="360" w:lineRule="auto"/>
        <w:ind w:firstLine="480" w:firstLineChars="200"/>
        <w:rPr>
          <w:rFonts w:cs="Times New Roman" w:eastAsiaTheme="minorEastAsia"/>
          <w:szCs w:val="24"/>
        </w:rPr>
      </w:pPr>
      <w:r>
        <w:rPr>
          <w:rFonts w:cs="Times New Roman" w:hAnsiTheme="minorEastAsia" w:eastAsiaTheme="minorEastAsia"/>
        </w:rPr>
        <w:t>共设</w:t>
      </w:r>
      <w:r>
        <w:rPr>
          <w:rFonts w:hint="eastAsia" w:cs="Times New Roman" w:eastAsiaTheme="minorEastAsia"/>
        </w:rPr>
        <w:t>1</w:t>
      </w:r>
      <w:r>
        <w:rPr>
          <w:rFonts w:cs="Times New Roman" w:hAnsiTheme="minorEastAsia" w:eastAsiaTheme="minorEastAsia"/>
        </w:rPr>
        <w:t>个监测点位：</w:t>
      </w:r>
      <w:r>
        <w:rPr>
          <w:rFonts w:cs="Times New Roman" w:eastAsiaTheme="minorEastAsia"/>
          <w:color w:val="auto"/>
        </w:rPr>
        <w:t>W1</w:t>
      </w:r>
      <w:r>
        <w:rPr>
          <w:rFonts w:cs="Times New Roman" w:hAnsiTheme="minorEastAsia" w:eastAsiaTheme="minorEastAsia"/>
          <w:color w:val="auto"/>
        </w:rPr>
        <w:t>：</w:t>
      </w:r>
      <w:r>
        <w:rPr>
          <w:rFonts w:cs="Times New Roman" w:hAnsiTheme="minorEastAsia" w:eastAsiaTheme="minorEastAsia"/>
          <w:szCs w:val="24"/>
        </w:rPr>
        <w:t>项目北侧水塘。</w:t>
      </w:r>
    </w:p>
    <w:p>
      <w:pPr>
        <w:pStyle w:val="243"/>
        <w:spacing w:line="360" w:lineRule="auto"/>
        <w:ind w:firstLine="482" w:firstLineChars="200"/>
        <w:rPr>
          <w:rFonts w:cs="Times New Roman" w:eastAsiaTheme="minorEastAsia"/>
          <w:b/>
          <w:color w:val="auto"/>
        </w:rPr>
      </w:pPr>
      <w:r>
        <w:rPr>
          <w:rFonts w:cs="Times New Roman" w:eastAsiaTheme="minorEastAsia"/>
          <w:b/>
          <w:color w:val="auto"/>
        </w:rPr>
        <w:t>2</w:t>
      </w:r>
      <w:r>
        <w:rPr>
          <w:rFonts w:cs="Times New Roman" w:hAnsiTheme="minorEastAsia" w:eastAsiaTheme="minorEastAsia"/>
          <w:b/>
          <w:color w:val="auto"/>
        </w:rPr>
        <w:t>、监测因子</w:t>
      </w:r>
    </w:p>
    <w:p>
      <w:pPr>
        <w:pStyle w:val="243"/>
        <w:spacing w:line="360" w:lineRule="auto"/>
        <w:ind w:firstLine="480" w:firstLineChars="200"/>
        <w:rPr>
          <w:rFonts w:cs="Times New Roman" w:eastAsiaTheme="minorEastAsia"/>
          <w:color w:val="auto"/>
        </w:rPr>
      </w:pPr>
      <w:r>
        <w:rPr>
          <w:rFonts w:cs="Times New Roman" w:eastAsiaTheme="minorEastAsia"/>
          <w:color w:val="auto"/>
        </w:rPr>
        <w:t>PH</w:t>
      </w:r>
      <w:r>
        <w:rPr>
          <w:rFonts w:cs="Times New Roman" w:hAnsiTheme="minorEastAsia" w:eastAsiaTheme="minorEastAsia"/>
          <w:color w:val="auto"/>
        </w:rPr>
        <w:t>、</w:t>
      </w:r>
      <w:r>
        <w:rPr>
          <w:rFonts w:cs="Times New Roman" w:eastAsiaTheme="minorEastAsia"/>
          <w:color w:val="auto"/>
        </w:rPr>
        <w:t>COD</w:t>
      </w:r>
      <w:r>
        <w:rPr>
          <w:rFonts w:cs="Times New Roman" w:eastAsiaTheme="minorEastAsia"/>
          <w:color w:val="auto"/>
          <w:vertAlign w:val="subscript"/>
        </w:rPr>
        <w:t>Cr</w:t>
      </w:r>
      <w:r>
        <w:rPr>
          <w:rFonts w:cs="Times New Roman" w:hAnsiTheme="minorEastAsia" w:eastAsiaTheme="minorEastAsia"/>
          <w:color w:val="auto"/>
        </w:rPr>
        <w:t>、</w:t>
      </w:r>
      <w:r>
        <w:rPr>
          <w:rFonts w:cs="Times New Roman" w:eastAsiaTheme="minorEastAsia"/>
          <w:color w:val="auto"/>
        </w:rPr>
        <w:t>BOD</w:t>
      </w:r>
      <w:r>
        <w:rPr>
          <w:rFonts w:cs="Times New Roman" w:eastAsiaTheme="minorEastAsia"/>
          <w:color w:val="auto"/>
          <w:vertAlign w:val="subscript"/>
        </w:rPr>
        <w:t>5</w:t>
      </w:r>
      <w:r>
        <w:rPr>
          <w:rFonts w:cs="Times New Roman" w:hAnsiTheme="minorEastAsia" w:eastAsiaTheme="minorEastAsia"/>
          <w:color w:val="auto"/>
        </w:rPr>
        <w:t>、氨氮、总磷、总氮、</w:t>
      </w:r>
      <w:r>
        <w:rPr>
          <w:rFonts w:cs="Times New Roman" w:eastAsiaTheme="minorEastAsia"/>
          <w:color w:val="auto"/>
        </w:rPr>
        <w:t>SS</w:t>
      </w:r>
      <w:r>
        <w:rPr>
          <w:rFonts w:cs="Times New Roman" w:hAnsiTheme="minorEastAsia" w:eastAsiaTheme="minorEastAsia"/>
          <w:color w:val="auto"/>
        </w:rPr>
        <w:t>、粪大肠菌群。</w:t>
      </w:r>
    </w:p>
    <w:p>
      <w:pPr>
        <w:pStyle w:val="243"/>
        <w:spacing w:line="360" w:lineRule="auto"/>
        <w:ind w:firstLine="482" w:firstLineChars="200"/>
        <w:rPr>
          <w:rFonts w:cs="Times New Roman" w:eastAsiaTheme="minorEastAsia"/>
          <w:b/>
          <w:color w:val="auto"/>
        </w:rPr>
      </w:pPr>
      <w:r>
        <w:rPr>
          <w:rFonts w:cs="Times New Roman" w:eastAsiaTheme="minorEastAsia"/>
          <w:b/>
          <w:color w:val="auto"/>
        </w:rPr>
        <w:t>3</w:t>
      </w:r>
      <w:r>
        <w:rPr>
          <w:rFonts w:cs="Times New Roman" w:hAnsiTheme="minorEastAsia" w:eastAsiaTheme="minorEastAsia"/>
          <w:b/>
          <w:color w:val="auto"/>
        </w:rPr>
        <w:t>、采样方法</w:t>
      </w:r>
    </w:p>
    <w:p>
      <w:pPr>
        <w:pStyle w:val="243"/>
        <w:spacing w:line="360" w:lineRule="auto"/>
        <w:ind w:firstLine="480" w:firstLineChars="200"/>
        <w:rPr>
          <w:rFonts w:asciiTheme="minorEastAsia" w:hAnsiTheme="minorEastAsia" w:eastAsiaTheme="minorEastAsia"/>
          <w:color w:val="auto"/>
        </w:rPr>
      </w:pPr>
      <w:r>
        <w:rPr>
          <w:rFonts w:asciiTheme="minorEastAsia" w:hAnsiTheme="minorEastAsia" w:eastAsiaTheme="minorEastAsia"/>
          <w:color w:val="auto"/>
        </w:rPr>
        <w:t>按国家环保局颁发的《环境监测技术规范》的有关规定和要求进行。</w:t>
      </w:r>
    </w:p>
    <w:p>
      <w:pPr>
        <w:pStyle w:val="243"/>
        <w:spacing w:line="360" w:lineRule="auto"/>
        <w:ind w:firstLine="482" w:firstLineChars="200"/>
        <w:rPr>
          <w:rFonts w:cs="Times New Roman" w:asciiTheme="minorEastAsia" w:hAnsiTheme="minorEastAsia" w:eastAsiaTheme="minorEastAsia"/>
          <w:b/>
          <w:color w:val="auto"/>
        </w:rPr>
      </w:pPr>
      <w:r>
        <w:rPr>
          <w:rFonts w:hint="eastAsia" w:asciiTheme="minorEastAsia" w:hAnsiTheme="minorEastAsia" w:eastAsiaTheme="minorEastAsia"/>
          <w:b/>
          <w:color w:val="auto"/>
        </w:rPr>
        <w:t>4、</w:t>
      </w:r>
      <w:r>
        <w:rPr>
          <w:rFonts w:hint="eastAsia" w:cs="Times New Roman" w:asciiTheme="minorEastAsia" w:hAnsiTheme="minorEastAsia" w:eastAsiaTheme="minorEastAsia"/>
          <w:b/>
          <w:color w:val="auto"/>
        </w:rPr>
        <w:t>监测结果与评价</w:t>
      </w:r>
    </w:p>
    <w:p>
      <w:pPr>
        <w:pStyle w:val="243"/>
        <w:spacing w:line="360" w:lineRule="auto"/>
        <w:ind w:firstLine="480" w:firstLineChars="200"/>
        <w:rPr>
          <w:rFonts w:cs="Times New Roman" w:eastAsiaTheme="minorEastAsia"/>
        </w:rPr>
      </w:pPr>
      <w:r>
        <w:rPr>
          <w:rFonts w:cs="Times New Roman" w:hAnsiTheme="minorEastAsia" w:eastAsiaTheme="minorEastAsia"/>
        </w:rPr>
        <w:t>监测结果统计见表</w:t>
      </w:r>
      <w:r>
        <w:rPr>
          <w:rFonts w:cs="Times New Roman" w:eastAsiaTheme="minorEastAsia"/>
        </w:rPr>
        <w:t>5.2-1</w:t>
      </w:r>
      <w:r>
        <w:rPr>
          <w:rFonts w:cs="Times New Roman" w:hAnsiTheme="minorEastAsia" w:eastAsiaTheme="minorEastAsia"/>
        </w:rPr>
        <w:t>。</w:t>
      </w:r>
    </w:p>
    <w:p>
      <w:pPr>
        <w:pStyle w:val="17"/>
        <w:spacing w:beforeLines="50"/>
        <w:rPr>
          <w:rFonts w:ascii="Times New Roman" w:hAnsi="Times New Roman" w:cs="Times New Roman"/>
          <w:color w:val="auto"/>
          <w:sz w:val="21"/>
        </w:rPr>
      </w:pPr>
      <w:r>
        <w:rPr>
          <w:rFonts w:ascii="Times New Roman" w:hAnsi="Times New Roman" w:cs="Times New Roman"/>
          <w:color w:val="auto"/>
          <w:sz w:val="21"/>
        </w:rPr>
        <w:pict>
          <v:rect id="矩形 4376" o:spid="_x0000_s1133" o:spt="1" style="position:absolute;left:0pt;margin-left:112.4pt;margin-top:115.35pt;height:25pt;width:47.55pt;z-index:251660288;v-text-anchor:middle;mso-width-relative:page;mso-height-relative:page;" filled="f" stroked="f" coordsize="21600,21600" o:gfxdata="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ieum7ZAAAACwEAAA8AAAAAAAAAAQAgAAAAIgAA&#10;AGRycy9kb3ducmV2LnhtbFBLAQIUABQAAAAIAIdO4kDmgbmxQAIAAFsEAAAOAAAAAAAAAAEAIAAA&#10;ACgBAABkcnMvZTJvRG9jLnhtbFBLBQYAAAAABgAGAFkBAADaBQAAAAA=&#10;">
            <v:path/>
            <v:fill on="f" focussize="0,0"/>
            <v:stroke on="f" weight="2pt"/>
            <v:imagedata o:title=""/>
            <o:lock v:ext="edit"/>
            <v:textbox>
              <w:txbxContent>
                <w:p>
                  <w:pPr>
                    <w:jc w:val="center"/>
                    <w:rPr>
                      <w:b/>
                    </w:rPr>
                  </w:pPr>
                </w:p>
              </w:txbxContent>
            </v:textbox>
          </v:rect>
        </w:pict>
      </w:r>
      <w:bookmarkStart w:id="276" w:name="_Ref476902464"/>
      <w:r>
        <w:rPr>
          <w:rFonts w:ascii="Times New Roman" w:hAnsi="Times New Roman" w:cs="Times New Roman"/>
          <w:color w:val="auto"/>
          <w:sz w:val="21"/>
        </w:rPr>
        <w:t>表</w:t>
      </w:r>
      <w:bookmarkEnd w:id="276"/>
      <w:r>
        <w:rPr>
          <w:rFonts w:ascii="Times New Roman" w:hAnsi="Times New Roman" w:cs="Times New Roman"/>
          <w:color w:val="auto"/>
          <w:sz w:val="21"/>
        </w:rPr>
        <w:t>5.</w:t>
      </w:r>
      <w:r>
        <w:rPr>
          <w:rFonts w:hint="eastAsia" w:ascii="Times New Roman" w:hAnsi="Times New Roman" w:cs="Times New Roman"/>
          <w:color w:val="auto"/>
          <w:sz w:val="21"/>
        </w:rPr>
        <w:t xml:space="preserve">2-1  </w:t>
      </w:r>
      <w:r>
        <w:rPr>
          <w:rFonts w:ascii="Times New Roman" w:hAnsi="Times New Roman" w:cs="Times New Roman"/>
          <w:color w:val="auto"/>
          <w:sz w:val="21"/>
        </w:rPr>
        <w:t>地表水水质监测统计评价表</w:t>
      </w:r>
      <w:r>
        <w:rPr>
          <w:rFonts w:hint="eastAsia" w:ascii="Times New Roman" w:hAnsi="Times New Roman" w:cs="Times New Roman"/>
          <w:color w:val="auto"/>
          <w:sz w:val="21"/>
        </w:rPr>
        <w:t xml:space="preserve">  </w:t>
      </w:r>
      <w:r>
        <w:rPr>
          <w:rFonts w:ascii="Times New Roman" w:hAnsi="Times New Roman" w:cs="Times New Roman"/>
          <w:color w:val="auto"/>
          <w:sz w:val="21"/>
        </w:rPr>
        <w:t>单位：mg/L，pH无量纲</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1"/>
        <w:gridCol w:w="2582"/>
        <w:gridCol w:w="1162"/>
        <w:gridCol w:w="1162"/>
        <w:gridCol w:w="1325"/>
        <w:gridCol w:w="119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646" w:type="pct"/>
            <w:vMerge w:val="restart"/>
            <w:vAlign w:val="center"/>
          </w:tcPr>
          <w:p>
            <w:pPr>
              <w:adjustRightInd w:val="0"/>
              <w:snapToGrid w:val="0"/>
              <w:jc w:val="center"/>
              <w:rPr>
                <w:rFonts w:eastAsiaTheme="minorEastAsia"/>
                <w:b/>
                <w:szCs w:val="21"/>
              </w:rPr>
            </w:pPr>
            <w:r>
              <w:rPr>
                <w:rFonts w:hAnsiTheme="minorEastAsia" w:eastAsiaTheme="minorEastAsia"/>
                <w:b/>
                <w:szCs w:val="21"/>
              </w:rPr>
              <w:t>监测点位</w:t>
            </w:r>
          </w:p>
        </w:tc>
        <w:tc>
          <w:tcPr>
            <w:tcW w:w="1514" w:type="pct"/>
            <w:vMerge w:val="restart"/>
            <w:vAlign w:val="center"/>
          </w:tcPr>
          <w:p>
            <w:pPr>
              <w:adjustRightInd w:val="0"/>
              <w:snapToGrid w:val="0"/>
              <w:jc w:val="center"/>
              <w:rPr>
                <w:rFonts w:eastAsiaTheme="minorEastAsia"/>
                <w:b/>
                <w:szCs w:val="21"/>
              </w:rPr>
            </w:pPr>
            <w:r>
              <w:rPr>
                <w:rFonts w:hAnsiTheme="minorEastAsia" w:eastAsiaTheme="minorEastAsia"/>
                <w:b/>
                <w:szCs w:val="21"/>
              </w:rPr>
              <w:t>检测项目</w:t>
            </w:r>
          </w:p>
        </w:tc>
        <w:tc>
          <w:tcPr>
            <w:tcW w:w="2139" w:type="pct"/>
            <w:gridSpan w:val="3"/>
            <w:vAlign w:val="center"/>
          </w:tcPr>
          <w:p>
            <w:pPr>
              <w:widowControl/>
              <w:adjustRightInd w:val="0"/>
              <w:snapToGrid w:val="0"/>
              <w:jc w:val="center"/>
              <w:textAlignment w:val="center"/>
              <w:rPr>
                <w:rFonts w:eastAsiaTheme="minorEastAsia"/>
                <w:b/>
                <w:kern w:val="0"/>
                <w:szCs w:val="21"/>
              </w:rPr>
            </w:pPr>
            <w:r>
              <w:rPr>
                <w:rFonts w:hAnsiTheme="minorEastAsia" w:eastAsiaTheme="minorEastAsia"/>
                <w:b/>
                <w:kern w:val="0"/>
                <w:szCs w:val="21"/>
              </w:rPr>
              <w:t>检测结果</w:t>
            </w:r>
          </w:p>
        </w:tc>
        <w:tc>
          <w:tcPr>
            <w:tcW w:w="701" w:type="pct"/>
            <w:vMerge w:val="restart"/>
            <w:vAlign w:val="center"/>
          </w:tcPr>
          <w:p>
            <w:pPr>
              <w:widowControl/>
              <w:adjustRightInd w:val="0"/>
              <w:snapToGrid w:val="0"/>
              <w:jc w:val="center"/>
              <w:textAlignment w:val="center"/>
              <w:rPr>
                <w:rFonts w:eastAsiaTheme="minorEastAsia"/>
                <w:b/>
                <w:szCs w:val="21"/>
              </w:rPr>
            </w:pPr>
            <w:r>
              <w:rPr>
                <w:rFonts w:hAnsiTheme="minorEastAsia" w:eastAsiaTheme="minorEastAsia"/>
                <w:b/>
                <w:szCs w:val="21"/>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6" w:type="pct"/>
            <w:vMerge w:val="continue"/>
            <w:vAlign w:val="center"/>
          </w:tcPr>
          <w:p>
            <w:pPr>
              <w:adjustRightInd w:val="0"/>
              <w:snapToGrid w:val="0"/>
              <w:jc w:val="center"/>
              <w:rPr>
                <w:rFonts w:eastAsiaTheme="minorEastAsia"/>
                <w:szCs w:val="21"/>
              </w:rPr>
            </w:pPr>
          </w:p>
        </w:tc>
        <w:tc>
          <w:tcPr>
            <w:tcW w:w="1514" w:type="pct"/>
            <w:vMerge w:val="continue"/>
            <w:vAlign w:val="center"/>
          </w:tcPr>
          <w:p>
            <w:pPr>
              <w:adjustRightInd w:val="0"/>
              <w:snapToGrid w:val="0"/>
              <w:jc w:val="center"/>
              <w:rPr>
                <w:rFonts w:eastAsiaTheme="minorEastAsia"/>
                <w:szCs w:val="21"/>
              </w:rPr>
            </w:pPr>
          </w:p>
        </w:tc>
        <w:tc>
          <w:tcPr>
            <w:tcW w:w="681" w:type="pct"/>
            <w:vAlign w:val="center"/>
          </w:tcPr>
          <w:p>
            <w:pPr>
              <w:adjustRightInd w:val="0"/>
              <w:snapToGrid w:val="0"/>
              <w:jc w:val="center"/>
              <w:rPr>
                <w:rFonts w:eastAsiaTheme="minorEastAsia"/>
                <w:b/>
                <w:szCs w:val="21"/>
              </w:rPr>
            </w:pPr>
            <w:r>
              <w:rPr>
                <w:rFonts w:eastAsiaTheme="minorEastAsia"/>
                <w:b/>
                <w:szCs w:val="21"/>
              </w:rPr>
              <w:t>2022.12.19</w:t>
            </w:r>
          </w:p>
        </w:tc>
        <w:tc>
          <w:tcPr>
            <w:tcW w:w="681" w:type="pct"/>
            <w:vAlign w:val="center"/>
          </w:tcPr>
          <w:p>
            <w:pPr>
              <w:jc w:val="center"/>
              <w:textAlignment w:val="center"/>
              <w:rPr>
                <w:rFonts w:eastAsiaTheme="minorEastAsia"/>
                <w:b/>
                <w:bCs/>
                <w:szCs w:val="21"/>
              </w:rPr>
            </w:pPr>
            <w:r>
              <w:rPr>
                <w:rFonts w:eastAsiaTheme="minorEastAsia"/>
                <w:b/>
                <w:bCs/>
                <w:szCs w:val="21"/>
              </w:rPr>
              <w:t>2022.12.20</w:t>
            </w:r>
          </w:p>
        </w:tc>
        <w:tc>
          <w:tcPr>
            <w:tcW w:w="777" w:type="pct"/>
            <w:vAlign w:val="center"/>
          </w:tcPr>
          <w:p>
            <w:pPr>
              <w:jc w:val="center"/>
              <w:rPr>
                <w:rFonts w:eastAsiaTheme="minorEastAsia"/>
                <w:b/>
                <w:bCs/>
                <w:szCs w:val="21"/>
              </w:rPr>
            </w:pPr>
            <w:r>
              <w:rPr>
                <w:rFonts w:eastAsiaTheme="minorEastAsia"/>
                <w:b/>
                <w:bCs/>
                <w:szCs w:val="21"/>
              </w:rPr>
              <w:t>2022.12.21</w:t>
            </w:r>
          </w:p>
        </w:tc>
        <w:tc>
          <w:tcPr>
            <w:tcW w:w="701" w:type="pct"/>
            <w:vMerge w:val="continue"/>
            <w:vAlign w:val="center"/>
          </w:tcPr>
          <w:p>
            <w:pPr>
              <w:adjustRightInd w:val="0"/>
              <w:snapToGrid w:val="0"/>
              <w:jc w:val="center"/>
              <w:rPr>
                <w:rFonts w:eastAsiaTheme="minorEastAsia"/>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6" w:type="pct"/>
            <w:vMerge w:val="restart"/>
            <w:vAlign w:val="center"/>
          </w:tcPr>
          <w:p>
            <w:pPr>
              <w:pStyle w:val="43"/>
              <w:adjustRightInd w:val="0"/>
              <w:spacing w:before="0" w:beforeAutospacing="0" w:after="0" w:afterAutospacing="0"/>
              <w:jc w:val="center"/>
              <w:rPr>
                <w:rFonts w:ascii="Times New Roman" w:hAnsi="Times New Roman" w:eastAsiaTheme="minorEastAsia"/>
                <w:sz w:val="21"/>
                <w:szCs w:val="21"/>
              </w:rPr>
            </w:pPr>
            <w:r>
              <w:rPr>
                <w:rFonts w:ascii="Times New Roman" w:hAnsi="Times New Roman" w:eastAsiaTheme="minorEastAsia"/>
                <w:sz w:val="21"/>
                <w:szCs w:val="21"/>
              </w:rPr>
              <w:t>W1</w:t>
            </w:r>
            <w:r>
              <w:rPr>
                <w:rFonts w:ascii="Times New Roman" w:hAnsiTheme="minorEastAsia" w:eastAsiaTheme="minorEastAsia"/>
                <w:sz w:val="21"/>
                <w:szCs w:val="21"/>
              </w:rPr>
              <w:t>项目北侧水塘</w:t>
            </w:r>
          </w:p>
        </w:tc>
        <w:tc>
          <w:tcPr>
            <w:tcW w:w="1514" w:type="pct"/>
            <w:vAlign w:val="center"/>
          </w:tcPr>
          <w:p>
            <w:pPr>
              <w:pStyle w:val="43"/>
              <w:adjustRightInd w:val="0"/>
              <w:spacing w:before="0" w:beforeAutospacing="0" w:after="0" w:afterAutospacing="0"/>
              <w:jc w:val="center"/>
              <w:rPr>
                <w:rFonts w:ascii="Times New Roman" w:hAnsi="Times New Roman" w:eastAsiaTheme="minorEastAsia"/>
                <w:sz w:val="21"/>
                <w:szCs w:val="21"/>
              </w:rPr>
            </w:pPr>
            <w:r>
              <w:rPr>
                <w:rFonts w:ascii="Times New Roman" w:hAnsi="Times New Roman" w:eastAsiaTheme="minorEastAsia"/>
                <w:sz w:val="21"/>
                <w:szCs w:val="21"/>
              </w:rPr>
              <w:t>pH</w:t>
            </w:r>
            <w:r>
              <w:rPr>
                <w:rFonts w:ascii="Times New Roman" w:hAnsiTheme="minorEastAsia" w:eastAsiaTheme="minorEastAsia"/>
                <w:sz w:val="21"/>
                <w:szCs w:val="21"/>
              </w:rPr>
              <w:t>（无量纲）</w:t>
            </w:r>
          </w:p>
        </w:tc>
        <w:tc>
          <w:tcPr>
            <w:tcW w:w="681" w:type="pct"/>
            <w:vAlign w:val="center"/>
          </w:tcPr>
          <w:p>
            <w:pPr>
              <w:jc w:val="center"/>
              <w:textAlignment w:val="bottom"/>
              <w:rPr>
                <w:rFonts w:eastAsiaTheme="minorEastAsia"/>
                <w:szCs w:val="21"/>
              </w:rPr>
            </w:pPr>
            <w:r>
              <w:rPr>
                <w:rFonts w:eastAsiaTheme="minorEastAsia"/>
                <w:szCs w:val="21"/>
              </w:rPr>
              <w:t>7.1</w:t>
            </w:r>
          </w:p>
        </w:tc>
        <w:tc>
          <w:tcPr>
            <w:tcW w:w="681" w:type="pct"/>
            <w:vAlign w:val="center"/>
          </w:tcPr>
          <w:p>
            <w:pPr>
              <w:jc w:val="center"/>
              <w:textAlignment w:val="bottom"/>
              <w:rPr>
                <w:rFonts w:eastAsiaTheme="minorEastAsia"/>
                <w:szCs w:val="21"/>
              </w:rPr>
            </w:pPr>
            <w:r>
              <w:rPr>
                <w:rFonts w:eastAsiaTheme="minorEastAsia"/>
                <w:szCs w:val="21"/>
              </w:rPr>
              <w:t>7.0</w:t>
            </w:r>
          </w:p>
        </w:tc>
        <w:tc>
          <w:tcPr>
            <w:tcW w:w="777" w:type="pct"/>
            <w:vAlign w:val="center"/>
          </w:tcPr>
          <w:p>
            <w:pPr>
              <w:jc w:val="center"/>
              <w:textAlignment w:val="bottom"/>
              <w:rPr>
                <w:rFonts w:eastAsiaTheme="minorEastAsia"/>
                <w:szCs w:val="21"/>
              </w:rPr>
            </w:pPr>
            <w:r>
              <w:rPr>
                <w:rFonts w:eastAsiaTheme="minorEastAsia"/>
                <w:szCs w:val="21"/>
              </w:rPr>
              <w:t>7.1</w:t>
            </w:r>
          </w:p>
        </w:tc>
        <w:tc>
          <w:tcPr>
            <w:tcW w:w="701" w:type="pct"/>
            <w:vAlign w:val="center"/>
          </w:tcPr>
          <w:p>
            <w:pPr>
              <w:adjustRightInd w:val="0"/>
              <w:snapToGrid w:val="0"/>
              <w:jc w:val="center"/>
              <w:rPr>
                <w:rFonts w:eastAsiaTheme="minorEastAsia"/>
                <w:szCs w:val="21"/>
              </w:rPr>
            </w:pPr>
            <w:r>
              <w:rPr>
                <w:rFonts w:eastAsiaTheme="minorEastAsia"/>
                <w:szCs w:val="21"/>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6" w:type="pct"/>
            <w:vMerge w:val="continue"/>
            <w:vAlign w:val="center"/>
          </w:tcPr>
          <w:p>
            <w:pPr>
              <w:pStyle w:val="43"/>
              <w:adjustRightInd w:val="0"/>
              <w:spacing w:before="0" w:beforeAutospacing="0" w:after="0" w:afterAutospacing="0"/>
              <w:jc w:val="center"/>
              <w:rPr>
                <w:rFonts w:ascii="Times New Roman" w:hAnsi="Times New Roman" w:eastAsiaTheme="minorEastAsia"/>
                <w:sz w:val="21"/>
                <w:szCs w:val="21"/>
              </w:rPr>
            </w:pPr>
          </w:p>
        </w:tc>
        <w:tc>
          <w:tcPr>
            <w:tcW w:w="1514" w:type="pct"/>
            <w:vAlign w:val="center"/>
          </w:tcPr>
          <w:p>
            <w:pPr>
              <w:pStyle w:val="43"/>
              <w:adjustRightInd w:val="0"/>
              <w:spacing w:before="0" w:beforeAutospacing="0" w:after="0" w:afterAutospacing="0"/>
              <w:jc w:val="center"/>
              <w:rPr>
                <w:rFonts w:ascii="Times New Roman" w:hAnsi="Times New Roman" w:eastAsiaTheme="minorEastAsia"/>
                <w:sz w:val="21"/>
                <w:szCs w:val="21"/>
              </w:rPr>
            </w:pPr>
            <w:r>
              <w:rPr>
                <w:rFonts w:ascii="Times New Roman" w:hAnsiTheme="minorEastAsia" w:eastAsiaTheme="minorEastAsia"/>
                <w:sz w:val="21"/>
                <w:szCs w:val="21"/>
              </w:rPr>
              <w:t>化学需氧量（</w:t>
            </w:r>
            <w:r>
              <w:rPr>
                <w:rFonts w:ascii="Times New Roman" w:hAnsi="Times New Roman" w:eastAsiaTheme="minorEastAsia"/>
                <w:sz w:val="21"/>
                <w:szCs w:val="21"/>
              </w:rPr>
              <w:t>mg/L</w:t>
            </w:r>
            <w:r>
              <w:rPr>
                <w:rFonts w:ascii="Times New Roman" w:hAnsiTheme="minorEastAsia" w:eastAsiaTheme="minorEastAsia"/>
                <w:sz w:val="21"/>
                <w:szCs w:val="21"/>
              </w:rPr>
              <w:t>）</w:t>
            </w:r>
          </w:p>
        </w:tc>
        <w:tc>
          <w:tcPr>
            <w:tcW w:w="681" w:type="pct"/>
            <w:vAlign w:val="center"/>
          </w:tcPr>
          <w:p>
            <w:pPr>
              <w:jc w:val="center"/>
              <w:textAlignment w:val="bottom"/>
              <w:rPr>
                <w:rFonts w:eastAsiaTheme="minorEastAsia"/>
                <w:szCs w:val="21"/>
              </w:rPr>
            </w:pPr>
            <w:r>
              <w:rPr>
                <w:rFonts w:eastAsiaTheme="minorEastAsia"/>
                <w:szCs w:val="21"/>
              </w:rPr>
              <w:t>13</w:t>
            </w:r>
          </w:p>
        </w:tc>
        <w:tc>
          <w:tcPr>
            <w:tcW w:w="681" w:type="pct"/>
            <w:vAlign w:val="center"/>
          </w:tcPr>
          <w:p>
            <w:pPr>
              <w:jc w:val="center"/>
              <w:textAlignment w:val="bottom"/>
              <w:rPr>
                <w:rFonts w:eastAsiaTheme="minorEastAsia"/>
                <w:szCs w:val="21"/>
              </w:rPr>
            </w:pPr>
            <w:r>
              <w:rPr>
                <w:rFonts w:eastAsiaTheme="minorEastAsia"/>
                <w:szCs w:val="21"/>
              </w:rPr>
              <w:t>9</w:t>
            </w:r>
          </w:p>
        </w:tc>
        <w:tc>
          <w:tcPr>
            <w:tcW w:w="777" w:type="pct"/>
            <w:vAlign w:val="center"/>
          </w:tcPr>
          <w:p>
            <w:pPr>
              <w:jc w:val="center"/>
              <w:textAlignment w:val="bottom"/>
              <w:rPr>
                <w:rFonts w:eastAsiaTheme="minorEastAsia"/>
                <w:szCs w:val="21"/>
              </w:rPr>
            </w:pPr>
            <w:r>
              <w:rPr>
                <w:rFonts w:eastAsiaTheme="minorEastAsia"/>
                <w:szCs w:val="21"/>
              </w:rPr>
              <w:t>12</w:t>
            </w:r>
          </w:p>
        </w:tc>
        <w:tc>
          <w:tcPr>
            <w:tcW w:w="701" w:type="pct"/>
            <w:vAlign w:val="center"/>
          </w:tcPr>
          <w:p>
            <w:pPr>
              <w:adjustRightInd w:val="0"/>
              <w:snapToGrid w:val="0"/>
              <w:jc w:val="center"/>
              <w:rPr>
                <w:rFonts w:eastAsiaTheme="minorEastAsia"/>
                <w:szCs w:val="21"/>
              </w:rPr>
            </w:pPr>
            <w:r>
              <w:rPr>
                <w:rFonts w:eastAsiaTheme="minorEastAsia"/>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6" w:type="pct"/>
            <w:vMerge w:val="continue"/>
            <w:vAlign w:val="center"/>
          </w:tcPr>
          <w:p>
            <w:pPr>
              <w:pStyle w:val="43"/>
              <w:adjustRightInd w:val="0"/>
              <w:spacing w:before="0" w:beforeAutospacing="0" w:after="0" w:afterAutospacing="0"/>
              <w:jc w:val="center"/>
              <w:rPr>
                <w:rFonts w:ascii="Times New Roman" w:hAnsi="Times New Roman" w:eastAsiaTheme="minorEastAsia"/>
                <w:sz w:val="21"/>
                <w:szCs w:val="21"/>
              </w:rPr>
            </w:pPr>
          </w:p>
        </w:tc>
        <w:tc>
          <w:tcPr>
            <w:tcW w:w="1514" w:type="pct"/>
            <w:vAlign w:val="center"/>
          </w:tcPr>
          <w:p>
            <w:pPr>
              <w:pStyle w:val="43"/>
              <w:adjustRightInd w:val="0"/>
              <w:spacing w:before="0" w:beforeAutospacing="0" w:after="0" w:afterAutospacing="0"/>
              <w:jc w:val="center"/>
              <w:rPr>
                <w:rFonts w:ascii="Times New Roman" w:hAnsi="Times New Roman" w:eastAsiaTheme="minorEastAsia"/>
                <w:sz w:val="21"/>
                <w:szCs w:val="21"/>
              </w:rPr>
            </w:pPr>
            <w:r>
              <w:rPr>
                <w:rFonts w:ascii="Times New Roman" w:hAnsiTheme="minorEastAsia" w:eastAsiaTheme="minorEastAsia"/>
                <w:sz w:val="21"/>
                <w:szCs w:val="21"/>
              </w:rPr>
              <w:t>五日生化需氧量（</w:t>
            </w:r>
            <w:r>
              <w:rPr>
                <w:rFonts w:ascii="Times New Roman" w:hAnsi="Times New Roman" w:eastAsiaTheme="minorEastAsia"/>
                <w:sz w:val="21"/>
                <w:szCs w:val="21"/>
              </w:rPr>
              <w:t>mg/L</w:t>
            </w:r>
            <w:r>
              <w:rPr>
                <w:rFonts w:ascii="Times New Roman" w:hAnsiTheme="minorEastAsia" w:eastAsiaTheme="minorEastAsia"/>
                <w:sz w:val="21"/>
                <w:szCs w:val="21"/>
              </w:rPr>
              <w:t>）</w:t>
            </w:r>
          </w:p>
        </w:tc>
        <w:tc>
          <w:tcPr>
            <w:tcW w:w="681" w:type="pct"/>
            <w:vAlign w:val="center"/>
          </w:tcPr>
          <w:p>
            <w:pPr>
              <w:jc w:val="center"/>
              <w:textAlignment w:val="bottom"/>
              <w:rPr>
                <w:rFonts w:eastAsiaTheme="minorEastAsia"/>
                <w:szCs w:val="21"/>
              </w:rPr>
            </w:pPr>
            <w:r>
              <w:rPr>
                <w:rFonts w:eastAsiaTheme="minorEastAsia"/>
                <w:szCs w:val="21"/>
              </w:rPr>
              <w:t>2.7</w:t>
            </w:r>
          </w:p>
        </w:tc>
        <w:tc>
          <w:tcPr>
            <w:tcW w:w="681" w:type="pct"/>
            <w:vAlign w:val="center"/>
          </w:tcPr>
          <w:p>
            <w:pPr>
              <w:jc w:val="center"/>
              <w:textAlignment w:val="bottom"/>
              <w:rPr>
                <w:rFonts w:eastAsiaTheme="minorEastAsia"/>
                <w:szCs w:val="21"/>
              </w:rPr>
            </w:pPr>
            <w:r>
              <w:rPr>
                <w:rFonts w:eastAsiaTheme="minorEastAsia"/>
                <w:szCs w:val="21"/>
              </w:rPr>
              <w:t>2.0</w:t>
            </w:r>
          </w:p>
        </w:tc>
        <w:tc>
          <w:tcPr>
            <w:tcW w:w="777" w:type="pct"/>
            <w:vAlign w:val="center"/>
          </w:tcPr>
          <w:p>
            <w:pPr>
              <w:jc w:val="center"/>
              <w:textAlignment w:val="bottom"/>
              <w:rPr>
                <w:rFonts w:eastAsiaTheme="minorEastAsia"/>
                <w:szCs w:val="21"/>
              </w:rPr>
            </w:pPr>
            <w:r>
              <w:rPr>
                <w:rFonts w:eastAsiaTheme="minorEastAsia"/>
                <w:szCs w:val="21"/>
              </w:rPr>
              <w:t>2.6</w:t>
            </w:r>
          </w:p>
        </w:tc>
        <w:tc>
          <w:tcPr>
            <w:tcW w:w="701" w:type="pct"/>
            <w:vAlign w:val="center"/>
          </w:tcPr>
          <w:p>
            <w:pPr>
              <w:adjustRightInd w:val="0"/>
              <w:snapToGrid w:val="0"/>
              <w:jc w:val="center"/>
              <w:rPr>
                <w:rFonts w:eastAsiaTheme="minorEastAsia"/>
                <w:szCs w:val="21"/>
              </w:rPr>
            </w:pPr>
            <w:r>
              <w:rPr>
                <w:rFonts w:eastAsiaTheme="minorEastAsia"/>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6" w:type="pct"/>
            <w:vMerge w:val="continue"/>
            <w:vAlign w:val="center"/>
          </w:tcPr>
          <w:p>
            <w:pPr>
              <w:pStyle w:val="43"/>
              <w:adjustRightInd w:val="0"/>
              <w:spacing w:before="0" w:beforeAutospacing="0" w:after="0" w:afterAutospacing="0"/>
              <w:jc w:val="center"/>
              <w:rPr>
                <w:rFonts w:ascii="Times New Roman" w:hAnsi="Times New Roman" w:eastAsiaTheme="minorEastAsia"/>
                <w:sz w:val="21"/>
                <w:szCs w:val="21"/>
              </w:rPr>
            </w:pPr>
          </w:p>
        </w:tc>
        <w:tc>
          <w:tcPr>
            <w:tcW w:w="1514" w:type="pct"/>
            <w:vAlign w:val="center"/>
          </w:tcPr>
          <w:p>
            <w:pPr>
              <w:pStyle w:val="43"/>
              <w:adjustRightInd w:val="0"/>
              <w:spacing w:before="0" w:beforeAutospacing="0" w:after="0" w:afterAutospacing="0"/>
              <w:jc w:val="center"/>
              <w:rPr>
                <w:rFonts w:ascii="Times New Roman" w:hAnsi="Times New Roman" w:eastAsiaTheme="minorEastAsia"/>
                <w:sz w:val="21"/>
                <w:szCs w:val="21"/>
              </w:rPr>
            </w:pPr>
            <w:r>
              <w:rPr>
                <w:rFonts w:ascii="Times New Roman" w:hAnsiTheme="minorEastAsia" w:eastAsiaTheme="minorEastAsia"/>
                <w:sz w:val="21"/>
                <w:szCs w:val="21"/>
              </w:rPr>
              <w:t>氨氮（</w:t>
            </w:r>
            <w:r>
              <w:rPr>
                <w:rFonts w:ascii="Times New Roman" w:hAnsi="Times New Roman" w:eastAsiaTheme="minorEastAsia"/>
                <w:sz w:val="21"/>
                <w:szCs w:val="21"/>
              </w:rPr>
              <w:t>mg/L</w:t>
            </w:r>
            <w:r>
              <w:rPr>
                <w:rFonts w:ascii="Times New Roman" w:hAnsiTheme="minorEastAsia" w:eastAsiaTheme="minorEastAsia"/>
                <w:sz w:val="21"/>
                <w:szCs w:val="21"/>
              </w:rPr>
              <w:t>）</w:t>
            </w:r>
          </w:p>
        </w:tc>
        <w:tc>
          <w:tcPr>
            <w:tcW w:w="681" w:type="pct"/>
            <w:vAlign w:val="center"/>
          </w:tcPr>
          <w:p>
            <w:pPr>
              <w:jc w:val="center"/>
              <w:textAlignment w:val="bottom"/>
              <w:rPr>
                <w:rFonts w:eastAsiaTheme="minorEastAsia"/>
                <w:szCs w:val="21"/>
              </w:rPr>
            </w:pPr>
            <w:r>
              <w:rPr>
                <w:rFonts w:eastAsiaTheme="minorEastAsia"/>
                <w:szCs w:val="21"/>
              </w:rPr>
              <w:t>0.865</w:t>
            </w:r>
          </w:p>
        </w:tc>
        <w:tc>
          <w:tcPr>
            <w:tcW w:w="681" w:type="pct"/>
            <w:vAlign w:val="center"/>
          </w:tcPr>
          <w:p>
            <w:pPr>
              <w:jc w:val="center"/>
              <w:textAlignment w:val="bottom"/>
              <w:rPr>
                <w:rFonts w:eastAsiaTheme="minorEastAsia"/>
                <w:szCs w:val="21"/>
              </w:rPr>
            </w:pPr>
            <w:r>
              <w:rPr>
                <w:rFonts w:eastAsiaTheme="minorEastAsia"/>
                <w:szCs w:val="21"/>
              </w:rPr>
              <w:t>0.844</w:t>
            </w:r>
          </w:p>
        </w:tc>
        <w:tc>
          <w:tcPr>
            <w:tcW w:w="777" w:type="pct"/>
            <w:vAlign w:val="center"/>
          </w:tcPr>
          <w:p>
            <w:pPr>
              <w:jc w:val="center"/>
              <w:textAlignment w:val="bottom"/>
              <w:rPr>
                <w:rFonts w:eastAsiaTheme="minorEastAsia"/>
                <w:szCs w:val="21"/>
              </w:rPr>
            </w:pPr>
            <w:r>
              <w:rPr>
                <w:rFonts w:eastAsiaTheme="minorEastAsia"/>
                <w:szCs w:val="21"/>
              </w:rPr>
              <w:t>0.811</w:t>
            </w:r>
          </w:p>
        </w:tc>
        <w:tc>
          <w:tcPr>
            <w:tcW w:w="701" w:type="pct"/>
            <w:vAlign w:val="center"/>
          </w:tcPr>
          <w:p>
            <w:pPr>
              <w:adjustRightInd w:val="0"/>
              <w:snapToGrid w:val="0"/>
              <w:jc w:val="center"/>
              <w:rPr>
                <w:rFonts w:eastAsiaTheme="minorEastAsia"/>
                <w:szCs w:val="21"/>
              </w:rPr>
            </w:pPr>
            <w:r>
              <w:rPr>
                <w:rFonts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6" w:type="pct"/>
            <w:vMerge w:val="continue"/>
            <w:vAlign w:val="center"/>
          </w:tcPr>
          <w:p>
            <w:pPr>
              <w:pStyle w:val="43"/>
              <w:adjustRightInd w:val="0"/>
              <w:spacing w:before="0" w:beforeAutospacing="0" w:after="0" w:afterAutospacing="0"/>
              <w:jc w:val="center"/>
              <w:rPr>
                <w:rFonts w:ascii="Times New Roman" w:hAnsi="Times New Roman" w:eastAsiaTheme="minorEastAsia"/>
                <w:sz w:val="21"/>
                <w:szCs w:val="21"/>
              </w:rPr>
            </w:pPr>
          </w:p>
        </w:tc>
        <w:tc>
          <w:tcPr>
            <w:tcW w:w="1514" w:type="pct"/>
            <w:vAlign w:val="center"/>
          </w:tcPr>
          <w:p>
            <w:pPr>
              <w:pStyle w:val="43"/>
              <w:adjustRightInd w:val="0"/>
              <w:spacing w:before="0" w:beforeAutospacing="0" w:after="0" w:afterAutospacing="0"/>
              <w:jc w:val="center"/>
              <w:rPr>
                <w:rFonts w:ascii="Times New Roman" w:hAnsi="Times New Roman" w:eastAsiaTheme="minorEastAsia"/>
                <w:sz w:val="21"/>
                <w:szCs w:val="21"/>
              </w:rPr>
            </w:pPr>
            <w:r>
              <w:rPr>
                <w:rFonts w:ascii="Times New Roman" w:hAnsiTheme="minorEastAsia" w:eastAsiaTheme="minorEastAsia"/>
                <w:sz w:val="21"/>
                <w:szCs w:val="21"/>
              </w:rPr>
              <w:t>悬浮物（</w:t>
            </w:r>
            <w:r>
              <w:rPr>
                <w:rFonts w:ascii="Times New Roman" w:hAnsi="Times New Roman" w:eastAsiaTheme="minorEastAsia"/>
                <w:sz w:val="21"/>
                <w:szCs w:val="21"/>
              </w:rPr>
              <w:t>mg/L</w:t>
            </w:r>
            <w:r>
              <w:rPr>
                <w:rFonts w:ascii="Times New Roman" w:hAnsiTheme="minorEastAsia" w:eastAsiaTheme="minorEastAsia"/>
                <w:sz w:val="21"/>
                <w:szCs w:val="21"/>
              </w:rPr>
              <w:t>）</w:t>
            </w:r>
          </w:p>
        </w:tc>
        <w:tc>
          <w:tcPr>
            <w:tcW w:w="681" w:type="pct"/>
            <w:vAlign w:val="center"/>
          </w:tcPr>
          <w:p>
            <w:pPr>
              <w:jc w:val="center"/>
              <w:textAlignment w:val="bottom"/>
              <w:rPr>
                <w:rFonts w:eastAsiaTheme="minorEastAsia"/>
                <w:szCs w:val="21"/>
              </w:rPr>
            </w:pPr>
            <w:r>
              <w:rPr>
                <w:rFonts w:eastAsiaTheme="minorEastAsia"/>
                <w:szCs w:val="21"/>
              </w:rPr>
              <w:t>13</w:t>
            </w:r>
          </w:p>
        </w:tc>
        <w:tc>
          <w:tcPr>
            <w:tcW w:w="681" w:type="pct"/>
            <w:vAlign w:val="center"/>
          </w:tcPr>
          <w:p>
            <w:pPr>
              <w:jc w:val="center"/>
              <w:textAlignment w:val="bottom"/>
              <w:rPr>
                <w:rFonts w:eastAsiaTheme="minorEastAsia"/>
                <w:szCs w:val="21"/>
              </w:rPr>
            </w:pPr>
            <w:r>
              <w:rPr>
                <w:rFonts w:eastAsiaTheme="minorEastAsia"/>
                <w:szCs w:val="21"/>
              </w:rPr>
              <w:t>10</w:t>
            </w:r>
          </w:p>
        </w:tc>
        <w:tc>
          <w:tcPr>
            <w:tcW w:w="777" w:type="pct"/>
            <w:vAlign w:val="center"/>
          </w:tcPr>
          <w:p>
            <w:pPr>
              <w:jc w:val="center"/>
              <w:textAlignment w:val="bottom"/>
              <w:rPr>
                <w:rFonts w:eastAsiaTheme="minorEastAsia"/>
                <w:szCs w:val="21"/>
              </w:rPr>
            </w:pPr>
            <w:r>
              <w:rPr>
                <w:rFonts w:eastAsiaTheme="minorEastAsia"/>
                <w:szCs w:val="21"/>
              </w:rPr>
              <w:t>11</w:t>
            </w:r>
          </w:p>
        </w:tc>
        <w:tc>
          <w:tcPr>
            <w:tcW w:w="701" w:type="pct"/>
            <w:vAlign w:val="center"/>
          </w:tcPr>
          <w:p>
            <w:pPr>
              <w:adjustRightInd w:val="0"/>
              <w:snapToGrid w:val="0"/>
              <w:jc w:val="center"/>
              <w:rPr>
                <w:rFonts w:eastAsiaTheme="minorEastAsia"/>
                <w:szCs w:val="21"/>
              </w:rPr>
            </w:pPr>
            <w:r>
              <w:rPr>
                <w:rFonts w:eastAsiaTheme="minorEastAsia"/>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6" w:type="pct"/>
            <w:vMerge w:val="continue"/>
            <w:vAlign w:val="center"/>
          </w:tcPr>
          <w:p>
            <w:pPr>
              <w:pStyle w:val="43"/>
              <w:adjustRightInd w:val="0"/>
              <w:spacing w:before="0" w:beforeAutospacing="0" w:after="0" w:afterAutospacing="0"/>
              <w:jc w:val="center"/>
              <w:rPr>
                <w:rFonts w:ascii="Times New Roman" w:hAnsi="Times New Roman" w:eastAsiaTheme="minorEastAsia"/>
                <w:sz w:val="21"/>
                <w:szCs w:val="21"/>
              </w:rPr>
            </w:pPr>
          </w:p>
        </w:tc>
        <w:tc>
          <w:tcPr>
            <w:tcW w:w="1514" w:type="pct"/>
            <w:vAlign w:val="center"/>
          </w:tcPr>
          <w:p>
            <w:pPr>
              <w:pStyle w:val="43"/>
              <w:adjustRightInd w:val="0"/>
              <w:spacing w:before="0" w:beforeAutospacing="0" w:after="0" w:afterAutospacing="0"/>
              <w:jc w:val="center"/>
              <w:rPr>
                <w:rFonts w:ascii="Times New Roman" w:hAnsi="Times New Roman" w:eastAsiaTheme="minorEastAsia"/>
                <w:sz w:val="21"/>
                <w:szCs w:val="21"/>
              </w:rPr>
            </w:pPr>
            <w:r>
              <w:rPr>
                <w:rFonts w:ascii="Times New Roman" w:hAnsiTheme="minorEastAsia" w:eastAsiaTheme="minorEastAsia"/>
                <w:sz w:val="21"/>
                <w:szCs w:val="21"/>
              </w:rPr>
              <w:t>总氮（</w:t>
            </w:r>
            <w:r>
              <w:rPr>
                <w:rFonts w:ascii="Times New Roman" w:hAnsi="Times New Roman" w:eastAsiaTheme="minorEastAsia"/>
                <w:sz w:val="21"/>
                <w:szCs w:val="21"/>
              </w:rPr>
              <w:t>mg/L</w:t>
            </w:r>
            <w:r>
              <w:rPr>
                <w:rFonts w:ascii="Times New Roman" w:hAnsiTheme="minorEastAsia" w:eastAsiaTheme="minorEastAsia"/>
                <w:sz w:val="21"/>
                <w:szCs w:val="21"/>
              </w:rPr>
              <w:t>）</w:t>
            </w:r>
          </w:p>
        </w:tc>
        <w:tc>
          <w:tcPr>
            <w:tcW w:w="681" w:type="pct"/>
            <w:vAlign w:val="center"/>
          </w:tcPr>
          <w:p>
            <w:pPr>
              <w:jc w:val="center"/>
              <w:textAlignment w:val="bottom"/>
              <w:rPr>
                <w:rFonts w:eastAsiaTheme="minorEastAsia"/>
                <w:szCs w:val="21"/>
              </w:rPr>
            </w:pPr>
            <w:r>
              <w:rPr>
                <w:rFonts w:eastAsiaTheme="minorEastAsia"/>
                <w:szCs w:val="21"/>
              </w:rPr>
              <w:t>0.97</w:t>
            </w:r>
          </w:p>
        </w:tc>
        <w:tc>
          <w:tcPr>
            <w:tcW w:w="681" w:type="pct"/>
            <w:vAlign w:val="center"/>
          </w:tcPr>
          <w:p>
            <w:pPr>
              <w:jc w:val="center"/>
              <w:textAlignment w:val="bottom"/>
              <w:rPr>
                <w:rFonts w:eastAsiaTheme="minorEastAsia"/>
                <w:szCs w:val="21"/>
              </w:rPr>
            </w:pPr>
            <w:r>
              <w:rPr>
                <w:rFonts w:eastAsiaTheme="minorEastAsia"/>
                <w:szCs w:val="21"/>
              </w:rPr>
              <w:t>0.95</w:t>
            </w:r>
          </w:p>
        </w:tc>
        <w:tc>
          <w:tcPr>
            <w:tcW w:w="777" w:type="pct"/>
            <w:vAlign w:val="center"/>
          </w:tcPr>
          <w:p>
            <w:pPr>
              <w:jc w:val="center"/>
              <w:textAlignment w:val="bottom"/>
              <w:rPr>
                <w:rFonts w:eastAsiaTheme="minorEastAsia"/>
                <w:szCs w:val="21"/>
              </w:rPr>
            </w:pPr>
            <w:r>
              <w:rPr>
                <w:rFonts w:eastAsiaTheme="minorEastAsia"/>
                <w:szCs w:val="21"/>
              </w:rPr>
              <w:t>0.92</w:t>
            </w:r>
          </w:p>
        </w:tc>
        <w:tc>
          <w:tcPr>
            <w:tcW w:w="701" w:type="pct"/>
            <w:vAlign w:val="center"/>
          </w:tcPr>
          <w:p>
            <w:pPr>
              <w:adjustRightInd w:val="0"/>
              <w:snapToGrid w:val="0"/>
              <w:jc w:val="center"/>
              <w:rPr>
                <w:rFonts w:eastAsiaTheme="minorEastAsia"/>
                <w:szCs w:val="21"/>
              </w:rPr>
            </w:pPr>
            <w:r>
              <w:rPr>
                <w:rFonts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6" w:type="pct"/>
            <w:vMerge w:val="continue"/>
            <w:vAlign w:val="center"/>
          </w:tcPr>
          <w:p>
            <w:pPr>
              <w:pStyle w:val="43"/>
              <w:adjustRightInd w:val="0"/>
              <w:spacing w:before="0" w:beforeAutospacing="0" w:after="0" w:afterAutospacing="0"/>
              <w:jc w:val="center"/>
              <w:rPr>
                <w:rFonts w:ascii="Times New Roman" w:hAnsi="Times New Roman" w:eastAsiaTheme="minorEastAsia"/>
                <w:sz w:val="21"/>
                <w:szCs w:val="21"/>
              </w:rPr>
            </w:pPr>
          </w:p>
        </w:tc>
        <w:tc>
          <w:tcPr>
            <w:tcW w:w="1514" w:type="pct"/>
            <w:vAlign w:val="center"/>
          </w:tcPr>
          <w:p>
            <w:pPr>
              <w:pStyle w:val="43"/>
              <w:adjustRightInd w:val="0"/>
              <w:spacing w:before="0" w:beforeAutospacing="0" w:after="0" w:afterAutospacing="0"/>
              <w:jc w:val="center"/>
              <w:rPr>
                <w:rFonts w:ascii="Times New Roman" w:hAnsi="Times New Roman" w:eastAsiaTheme="minorEastAsia"/>
                <w:sz w:val="21"/>
                <w:szCs w:val="21"/>
              </w:rPr>
            </w:pPr>
            <w:r>
              <w:rPr>
                <w:rFonts w:ascii="Times New Roman" w:hAnsiTheme="minorEastAsia" w:eastAsiaTheme="minorEastAsia"/>
                <w:sz w:val="21"/>
                <w:szCs w:val="21"/>
              </w:rPr>
              <w:t>总磷（</w:t>
            </w:r>
            <w:r>
              <w:rPr>
                <w:rFonts w:ascii="Times New Roman" w:hAnsi="Times New Roman" w:eastAsiaTheme="minorEastAsia"/>
                <w:sz w:val="21"/>
                <w:szCs w:val="21"/>
              </w:rPr>
              <w:t>mg/L</w:t>
            </w:r>
            <w:r>
              <w:rPr>
                <w:rFonts w:ascii="Times New Roman" w:hAnsiTheme="minorEastAsia" w:eastAsiaTheme="minorEastAsia"/>
                <w:sz w:val="21"/>
                <w:szCs w:val="21"/>
              </w:rPr>
              <w:t>）</w:t>
            </w:r>
          </w:p>
        </w:tc>
        <w:tc>
          <w:tcPr>
            <w:tcW w:w="681" w:type="pct"/>
            <w:vAlign w:val="center"/>
          </w:tcPr>
          <w:p>
            <w:pPr>
              <w:jc w:val="center"/>
              <w:textAlignment w:val="bottom"/>
              <w:rPr>
                <w:rFonts w:eastAsiaTheme="minorEastAsia"/>
                <w:szCs w:val="21"/>
              </w:rPr>
            </w:pPr>
            <w:r>
              <w:rPr>
                <w:rFonts w:eastAsiaTheme="minorEastAsia"/>
                <w:szCs w:val="21"/>
              </w:rPr>
              <w:t>0.16</w:t>
            </w:r>
          </w:p>
        </w:tc>
        <w:tc>
          <w:tcPr>
            <w:tcW w:w="681" w:type="pct"/>
            <w:vAlign w:val="center"/>
          </w:tcPr>
          <w:p>
            <w:pPr>
              <w:jc w:val="center"/>
              <w:textAlignment w:val="bottom"/>
              <w:rPr>
                <w:rFonts w:eastAsiaTheme="minorEastAsia"/>
                <w:szCs w:val="21"/>
              </w:rPr>
            </w:pPr>
            <w:r>
              <w:rPr>
                <w:rFonts w:eastAsiaTheme="minorEastAsia"/>
                <w:szCs w:val="21"/>
              </w:rPr>
              <w:t>0.15</w:t>
            </w:r>
          </w:p>
        </w:tc>
        <w:tc>
          <w:tcPr>
            <w:tcW w:w="777" w:type="pct"/>
            <w:vAlign w:val="center"/>
          </w:tcPr>
          <w:p>
            <w:pPr>
              <w:jc w:val="center"/>
              <w:textAlignment w:val="bottom"/>
              <w:rPr>
                <w:rFonts w:eastAsiaTheme="minorEastAsia"/>
                <w:szCs w:val="21"/>
              </w:rPr>
            </w:pPr>
            <w:r>
              <w:rPr>
                <w:rFonts w:eastAsiaTheme="minorEastAsia"/>
                <w:szCs w:val="21"/>
              </w:rPr>
              <w:t>0.17</w:t>
            </w:r>
          </w:p>
        </w:tc>
        <w:tc>
          <w:tcPr>
            <w:tcW w:w="701" w:type="pct"/>
            <w:vAlign w:val="center"/>
          </w:tcPr>
          <w:p>
            <w:pPr>
              <w:adjustRightInd w:val="0"/>
              <w:snapToGrid w:val="0"/>
              <w:jc w:val="center"/>
              <w:rPr>
                <w:rFonts w:eastAsiaTheme="minorEastAsia"/>
                <w:szCs w:val="21"/>
              </w:rPr>
            </w:pPr>
            <w:r>
              <w:rPr>
                <w:rFonts w:hint="eastAsia" w:eastAsiaTheme="minorEastAsia"/>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6" w:type="pct"/>
            <w:vMerge w:val="continue"/>
            <w:vAlign w:val="center"/>
          </w:tcPr>
          <w:p>
            <w:pPr>
              <w:pStyle w:val="43"/>
              <w:adjustRightInd w:val="0"/>
              <w:spacing w:before="0" w:beforeAutospacing="0" w:after="0" w:afterAutospacing="0"/>
              <w:jc w:val="center"/>
              <w:rPr>
                <w:rFonts w:ascii="Times New Roman" w:hAnsi="Times New Roman" w:eastAsiaTheme="minorEastAsia"/>
                <w:sz w:val="21"/>
                <w:szCs w:val="21"/>
              </w:rPr>
            </w:pPr>
          </w:p>
        </w:tc>
        <w:tc>
          <w:tcPr>
            <w:tcW w:w="1514" w:type="pct"/>
            <w:vAlign w:val="center"/>
          </w:tcPr>
          <w:p>
            <w:pPr>
              <w:pStyle w:val="43"/>
              <w:adjustRightInd w:val="0"/>
              <w:spacing w:before="0" w:beforeAutospacing="0" w:after="0" w:afterAutospacing="0"/>
              <w:jc w:val="center"/>
              <w:rPr>
                <w:rFonts w:ascii="Times New Roman" w:hAnsi="Times New Roman" w:eastAsiaTheme="minorEastAsia"/>
                <w:sz w:val="21"/>
                <w:szCs w:val="21"/>
              </w:rPr>
            </w:pPr>
            <w:r>
              <w:rPr>
                <w:rFonts w:ascii="Times New Roman" w:hAnsiTheme="minorEastAsia" w:eastAsiaTheme="minorEastAsia"/>
                <w:sz w:val="21"/>
                <w:szCs w:val="21"/>
              </w:rPr>
              <w:t>粪大肠菌群（</w:t>
            </w:r>
            <w:r>
              <w:rPr>
                <w:rFonts w:ascii="Times New Roman" w:hAnsi="Times New Roman" w:eastAsiaTheme="minorEastAsia"/>
                <w:sz w:val="21"/>
                <w:szCs w:val="21"/>
              </w:rPr>
              <w:t>MPN/L)</w:t>
            </w:r>
          </w:p>
        </w:tc>
        <w:tc>
          <w:tcPr>
            <w:tcW w:w="681" w:type="pct"/>
            <w:vAlign w:val="center"/>
          </w:tcPr>
          <w:p>
            <w:pPr>
              <w:jc w:val="center"/>
              <w:textAlignment w:val="bottom"/>
              <w:rPr>
                <w:rFonts w:eastAsiaTheme="minorEastAsia"/>
                <w:szCs w:val="21"/>
              </w:rPr>
            </w:pPr>
            <w:r>
              <w:rPr>
                <w:rFonts w:eastAsiaTheme="minorEastAsia"/>
                <w:szCs w:val="21"/>
              </w:rPr>
              <w:t>1700</w:t>
            </w:r>
          </w:p>
        </w:tc>
        <w:tc>
          <w:tcPr>
            <w:tcW w:w="681" w:type="pct"/>
            <w:vAlign w:val="center"/>
          </w:tcPr>
          <w:p>
            <w:pPr>
              <w:jc w:val="center"/>
              <w:textAlignment w:val="bottom"/>
              <w:rPr>
                <w:rFonts w:eastAsiaTheme="minorEastAsia"/>
                <w:szCs w:val="21"/>
              </w:rPr>
            </w:pPr>
            <w:r>
              <w:rPr>
                <w:rFonts w:eastAsiaTheme="minorEastAsia"/>
                <w:szCs w:val="21"/>
              </w:rPr>
              <w:t>1200</w:t>
            </w:r>
          </w:p>
        </w:tc>
        <w:tc>
          <w:tcPr>
            <w:tcW w:w="777" w:type="pct"/>
            <w:vAlign w:val="center"/>
          </w:tcPr>
          <w:p>
            <w:pPr>
              <w:jc w:val="center"/>
              <w:textAlignment w:val="bottom"/>
              <w:rPr>
                <w:rFonts w:eastAsiaTheme="minorEastAsia"/>
                <w:szCs w:val="21"/>
              </w:rPr>
            </w:pPr>
            <w:r>
              <w:rPr>
                <w:rFonts w:eastAsiaTheme="minorEastAsia"/>
                <w:szCs w:val="21"/>
              </w:rPr>
              <w:t>1400</w:t>
            </w:r>
          </w:p>
        </w:tc>
        <w:tc>
          <w:tcPr>
            <w:tcW w:w="701" w:type="pct"/>
            <w:vAlign w:val="center"/>
          </w:tcPr>
          <w:p>
            <w:pPr>
              <w:adjustRightInd w:val="0"/>
              <w:snapToGrid w:val="0"/>
              <w:jc w:val="center"/>
              <w:rPr>
                <w:rFonts w:eastAsiaTheme="minorEastAsia"/>
                <w:szCs w:val="21"/>
              </w:rPr>
            </w:pPr>
            <w:r>
              <w:rPr>
                <w:rFonts w:eastAsiaTheme="minorEastAsia"/>
                <w:szCs w:val="21"/>
              </w:rPr>
              <w:t>10000</w:t>
            </w:r>
          </w:p>
        </w:tc>
      </w:tr>
    </w:tbl>
    <w:p>
      <w:pPr>
        <w:pStyle w:val="243"/>
        <w:spacing w:line="360" w:lineRule="auto"/>
        <w:ind w:firstLine="480" w:firstLineChars="200"/>
        <w:rPr>
          <w:rFonts w:cs="Times New Roman" w:eastAsiaTheme="majorEastAsia"/>
          <w:color w:val="auto"/>
        </w:rPr>
      </w:pPr>
      <w:r>
        <w:rPr>
          <w:rFonts w:cs="Times New Roman" w:hAnsiTheme="majorEastAsia" w:eastAsiaTheme="majorEastAsia"/>
          <w:color w:val="auto"/>
        </w:rPr>
        <w:t>监测结果表明，项目</w:t>
      </w:r>
      <w:r>
        <w:rPr>
          <w:rFonts w:hint="eastAsia" w:cs="Times New Roman" w:hAnsiTheme="minorEastAsia" w:eastAsiaTheme="minorEastAsia"/>
          <w:szCs w:val="24"/>
        </w:rPr>
        <w:t>项目北侧水塘</w:t>
      </w:r>
      <w:r>
        <w:rPr>
          <w:rFonts w:cs="Times New Roman" w:hAnsiTheme="majorEastAsia" w:eastAsiaTheme="majorEastAsia"/>
          <w:color w:val="auto"/>
        </w:rPr>
        <w:t>各监测因子均能满足《地表水环境质量标准》（</w:t>
      </w:r>
      <w:r>
        <w:rPr>
          <w:rFonts w:cs="Times New Roman" w:eastAsiaTheme="majorEastAsia"/>
          <w:color w:val="auto"/>
        </w:rPr>
        <w:t>GB3838-2002</w:t>
      </w:r>
      <w:r>
        <w:rPr>
          <w:rFonts w:cs="Times New Roman" w:hAnsiTheme="majorEastAsia" w:eastAsiaTheme="majorEastAsia"/>
          <w:color w:val="auto"/>
        </w:rPr>
        <w:t>）表</w:t>
      </w:r>
      <w:r>
        <w:rPr>
          <w:rFonts w:cs="Times New Roman" w:eastAsiaTheme="majorEastAsia"/>
          <w:color w:val="auto"/>
        </w:rPr>
        <w:t>1</w:t>
      </w:r>
      <w:r>
        <w:rPr>
          <w:rFonts w:cs="Times New Roman" w:hAnsiTheme="majorEastAsia" w:eastAsiaTheme="majorEastAsia"/>
          <w:color w:val="auto"/>
        </w:rPr>
        <w:t>中</w:t>
      </w:r>
      <w:r>
        <w:rPr>
          <w:rFonts w:cs="Times New Roman" w:eastAsiaTheme="majorEastAsia"/>
          <w:color w:val="auto"/>
        </w:rPr>
        <w:t>Ⅲ</w:t>
      </w:r>
      <w:r>
        <w:rPr>
          <w:rFonts w:cs="Times New Roman" w:hAnsiTheme="majorEastAsia" w:eastAsiaTheme="majorEastAsia"/>
          <w:color w:val="auto"/>
        </w:rPr>
        <w:t>类标准（其中</w:t>
      </w:r>
      <w:r>
        <w:rPr>
          <w:rFonts w:hint="eastAsia" w:cs="Times New Roman" w:hAnsiTheme="majorEastAsia" w:eastAsiaTheme="majorEastAsia"/>
          <w:color w:val="auto"/>
        </w:rPr>
        <w:t>SS满足《地表水资源质量标准》（SL63-94）中3级标准</w:t>
      </w:r>
      <w:r>
        <w:rPr>
          <w:rFonts w:cs="Times New Roman" w:hAnsiTheme="majorEastAsia" w:eastAsiaTheme="majorEastAsia"/>
          <w:color w:val="auto"/>
        </w:rPr>
        <w:t>），说明项目地表周边水环境质量良好。</w:t>
      </w:r>
    </w:p>
    <w:p>
      <w:pPr>
        <w:pStyle w:val="6"/>
        <w:numPr>
          <w:ilvl w:val="0"/>
          <w:numId w:val="0"/>
        </w:numPr>
        <w:rPr>
          <w:rFonts w:ascii="Times New Roman" w:hAnsi="Times New Roman" w:eastAsia="宋体"/>
          <w:szCs w:val="30"/>
        </w:rPr>
      </w:pPr>
      <w:bookmarkStart w:id="277" w:name="_Toc123886413"/>
      <w:bookmarkStart w:id="278" w:name="_Toc487117473"/>
      <w:bookmarkStart w:id="279" w:name="_Toc6325"/>
      <w:r>
        <w:rPr>
          <w:rFonts w:ascii="Times New Roman" w:hAnsi="Times New Roman" w:eastAsia="宋体"/>
          <w:szCs w:val="30"/>
        </w:rPr>
        <w:t>5.3</w:t>
      </w:r>
      <w:r>
        <w:rPr>
          <w:rFonts w:hint="eastAsia" w:ascii="Times New Roman" w:hAnsi="Times New Roman" w:eastAsia="宋体"/>
          <w:szCs w:val="30"/>
        </w:rPr>
        <w:t xml:space="preserve"> </w:t>
      </w:r>
      <w:r>
        <w:rPr>
          <w:rFonts w:ascii="Times New Roman" w:hAnsi="Times New Roman" w:eastAsia="宋体"/>
          <w:szCs w:val="30"/>
        </w:rPr>
        <w:t>地下水质量现状监测与评价</w:t>
      </w:r>
      <w:bookmarkEnd w:id="277"/>
      <w:bookmarkEnd w:id="278"/>
      <w:bookmarkEnd w:id="279"/>
    </w:p>
    <w:p>
      <w:pPr>
        <w:adjustRightInd w:val="0"/>
        <w:snapToGrid w:val="0"/>
        <w:spacing w:line="360" w:lineRule="auto"/>
        <w:ind w:firstLine="480" w:firstLineChars="200"/>
        <w:rPr>
          <w:sz w:val="24"/>
        </w:rPr>
      </w:pPr>
      <w:r>
        <w:rPr>
          <w:sz w:val="24"/>
        </w:rPr>
        <w:t>为了了解拟建地区域地下水质量现状，本次评价期间委托湖南中雁环保科技有限公司于20</w:t>
      </w:r>
      <w:r>
        <w:rPr>
          <w:rFonts w:hint="eastAsia"/>
          <w:sz w:val="24"/>
        </w:rPr>
        <w:t>22</w:t>
      </w:r>
      <w:r>
        <w:rPr>
          <w:sz w:val="24"/>
        </w:rPr>
        <w:t>年</w:t>
      </w:r>
      <w:r>
        <w:rPr>
          <w:rFonts w:hint="eastAsia"/>
          <w:sz w:val="24"/>
        </w:rPr>
        <w:t>12月29日</w:t>
      </w:r>
      <w:r>
        <w:rPr>
          <w:sz w:val="24"/>
        </w:rPr>
        <w:t>对项目拟建地</w:t>
      </w:r>
      <w:r>
        <w:rPr>
          <w:rFonts w:hint="eastAsia"/>
          <w:sz w:val="24"/>
        </w:rPr>
        <w:t>西南面绿丫塘居民点水井</w:t>
      </w:r>
      <w:r>
        <w:rPr>
          <w:sz w:val="24"/>
        </w:rPr>
        <w:t>、项目拟建地</w:t>
      </w:r>
      <w:r>
        <w:rPr>
          <w:rFonts w:hint="eastAsia"/>
          <w:sz w:val="24"/>
        </w:rPr>
        <w:t>南面楼堂居民点水井</w:t>
      </w:r>
      <w:r>
        <w:rPr>
          <w:sz w:val="24"/>
        </w:rPr>
        <w:t>、项目拟建地</w:t>
      </w:r>
      <w:r>
        <w:rPr>
          <w:rFonts w:hint="eastAsia"/>
          <w:sz w:val="24"/>
        </w:rPr>
        <w:t>西北面长岭居民点水井</w:t>
      </w:r>
      <w:r>
        <w:rPr>
          <w:sz w:val="24"/>
        </w:rPr>
        <w:t>进行了水质现状监测。</w:t>
      </w:r>
    </w:p>
    <w:p>
      <w:pPr>
        <w:pStyle w:val="7"/>
        <w:adjustRightInd w:val="0"/>
        <w:snapToGrid w:val="0"/>
        <w:spacing w:before="0" w:after="0" w:line="360" w:lineRule="auto"/>
        <w:jc w:val="left"/>
        <w:rPr>
          <w:sz w:val="24"/>
          <w:szCs w:val="24"/>
        </w:rPr>
      </w:pPr>
      <w:r>
        <w:rPr>
          <w:sz w:val="24"/>
          <w:szCs w:val="24"/>
        </w:rPr>
        <w:t>5.3.</w:t>
      </w:r>
      <w:r>
        <w:rPr>
          <w:rFonts w:hint="eastAsia"/>
          <w:sz w:val="24"/>
          <w:szCs w:val="24"/>
        </w:rPr>
        <w:t xml:space="preserve">1 </w:t>
      </w:r>
      <w:r>
        <w:rPr>
          <w:sz w:val="24"/>
          <w:szCs w:val="24"/>
        </w:rPr>
        <w:t>地下水水环境质量监测</w:t>
      </w:r>
    </w:p>
    <w:p>
      <w:pPr>
        <w:adjustRightInd w:val="0"/>
        <w:snapToGrid w:val="0"/>
        <w:spacing w:line="360" w:lineRule="auto"/>
        <w:ind w:firstLine="482" w:firstLineChars="200"/>
        <w:rPr>
          <w:b/>
          <w:sz w:val="24"/>
        </w:rPr>
      </w:pPr>
      <w:r>
        <w:rPr>
          <w:rFonts w:hint="eastAsia"/>
          <w:b/>
          <w:sz w:val="24"/>
        </w:rPr>
        <w:t>1、监测点位：</w:t>
      </w:r>
    </w:p>
    <w:p>
      <w:pPr>
        <w:pStyle w:val="2"/>
        <w:spacing w:after="0" w:line="360" w:lineRule="auto"/>
        <w:ind w:firstLine="480" w:firstLineChars="200"/>
        <w:rPr>
          <w:sz w:val="24"/>
        </w:rPr>
      </w:pPr>
      <w:r>
        <w:rPr>
          <w:rFonts w:hint="eastAsia"/>
          <w:sz w:val="24"/>
        </w:rPr>
        <w:t>共设3个监测点位：D1</w:t>
      </w:r>
      <w:r>
        <w:rPr>
          <w:sz w:val="24"/>
        </w:rPr>
        <w:t>项目拟建地</w:t>
      </w:r>
      <w:r>
        <w:rPr>
          <w:rFonts w:hint="eastAsia"/>
          <w:sz w:val="24"/>
        </w:rPr>
        <w:t>西南面绿丫塘居民点水井</w:t>
      </w:r>
      <w:r>
        <w:rPr>
          <w:sz w:val="24"/>
        </w:rPr>
        <w:t>、</w:t>
      </w:r>
      <w:r>
        <w:rPr>
          <w:rFonts w:hint="eastAsia"/>
          <w:bCs/>
          <w:sz w:val="24"/>
        </w:rPr>
        <w:t>D2</w:t>
      </w:r>
      <w:r>
        <w:rPr>
          <w:sz w:val="24"/>
        </w:rPr>
        <w:t>项目拟建地</w:t>
      </w:r>
      <w:r>
        <w:rPr>
          <w:rFonts w:hint="eastAsia"/>
          <w:sz w:val="24"/>
        </w:rPr>
        <w:t>南面楼堂居民点水井</w:t>
      </w:r>
      <w:r>
        <w:rPr>
          <w:sz w:val="24"/>
        </w:rPr>
        <w:t>、</w:t>
      </w:r>
      <w:r>
        <w:rPr>
          <w:rFonts w:hint="eastAsia"/>
          <w:bCs/>
          <w:sz w:val="24"/>
        </w:rPr>
        <w:t>D3</w:t>
      </w:r>
      <w:r>
        <w:rPr>
          <w:sz w:val="24"/>
        </w:rPr>
        <w:t>项目拟建地</w:t>
      </w:r>
      <w:r>
        <w:rPr>
          <w:rFonts w:hint="eastAsia"/>
          <w:sz w:val="24"/>
        </w:rPr>
        <w:t>西北面长岭居民点水井。</w:t>
      </w:r>
    </w:p>
    <w:p>
      <w:pPr>
        <w:pStyle w:val="2"/>
        <w:spacing w:after="0" w:line="360" w:lineRule="auto"/>
        <w:ind w:firstLine="482" w:firstLineChars="200"/>
        <w:rPr>
          <w:b/>
          <w:sz w:val="24"/>
        </w:rPr>
      </w:pPr>
      <w:r>
        <w:rPr>
          <w:rFonts w:hint="eastAsia"/>
          <w:b/>
          <w:sz w:val="24"/>
        </w:rPr>
        <w:t>2、</w:t>
      </w:r>
      <w:r>
        <w:rPr>
          <w:b/>
          <w:sz w:val="24"/>
        </w:rPr>
        <w:t>监测项目</w:t>
      </w:r>
    </w:p>
    <w:p>
      <w:pPr>
        <w:pStyle w:val="2"/>
        <w:spacing w:after="0" w:line="360" w:lineRule="auto"/>
        <w:ind w:firstLine="480" w:firstLineChars="200"/>
        <w:rPr>
          <w:sz w:val="24"/>
        </w:rPr>
      </w:pPr>
      <w:r>
        <w:rPr>
          <w:sz w:val="24"/>
        </w:rPr>
        <w:t>化学指标：Na</w:t>
      </w:r>
      <w:r>
        <w:rPr>
          <w:sz w:val="24"/>
          <w:vertAlign w:val="superscript"/>
        </w:rPr>
        <w:t>+</w:t>
      </w:r>
      <w:r>
        <w:rPr>
          <w:sz w:val="24"/>
        </w:rPr>
        <w:t>、K</w:t>
      </w:r>
      <w:r>
        <w:rPr>
          <w:sz w:val="24"/>
          <w:vertAlign w:val="superscript"/>
        </w:rPr>
        <w:t>+</w:t>
      </w:r>
      <w:r>
        <w:rPr>
          <w:sz w:val="24"/>
        </w:rPr>
        <w:t>、Ca</w:t>
      </w:r>
      <w:r>
        <w:rPr>
          <w:sz w:val="24"/>
          <w:vertAlign w:val="superscript"/>
        </w:rPr>
        <w:t>2+</w:t>
      </w:r>
      <w:r>
        <w:rPr>
          <w:sz w:val="24"/>
        </w:rPr>
        <w:t>、Mg</w:t>
      </w:r>
      <w:r>
        <w:rPr>
          <w:sz w:val="24"/>
          <w:vertAlign w:val="superscript"/>
        </w:rPr>
        <w:t>2+</w:t>
      </w:r>
      <w:r>
        <w:rPr>
          <w:sz w:val="24"/>
        </w:rPr>
        <w:t>、CO</w:t>
      </w:r>
      <w:r>
        <w:rPr>
          <w:sz w:val="24"/>
          <w:vertAlign w:val="subscript"/>
        </w:rPr>
        <w:t>3</w:t>
      </w:r>
      <w:r>
        <w:rPr>
          <w:sz w:val="24"/>
          <w:vertAlign w:val="superscript"/>
        </w:rPr>
        <w:t>2-</w:t>
      </w:r>
      <w:r>
        <w:rPr>
          <w:sz w:val="24"/>
        </w:rPr>
        <w:t>、HCO</w:t>
      </w:r>
      <w:r>
        <w:rPr>
          <w:sz w:val="24"/>
          <w:vertAlign w:val="subscript"/>
        </w:rPr>
        <w:t>3</w:t>
      </w:r>
      <w:r>
        <w:rPr>
          <w:sz w:val="24"/>
          <w:vertAlign w:val="superscript"/>
        </w:rPr>
        <w:t>-</w:t>
      </w:r>
      <w:r>
        <w:rPr>
          <w:rFonts w:hint="eastAsia" w:hAnsi="宋体"/>
          <w:sz w:val="24"/>
        </w:rPr>
        <w:t>、</w:t>
      </w:r>
      <w:r>
        <w:rPr>
          <w:rFonts w:hAnsi="宋体"/>
          <w:sz w:val="24"/>
        </w:rPr>
        <w:t>Cl</w:t>
      </w:r>
      <w:r>
        <w:rPr>
          <w:rFonts w:hAnsi="宋体"/>
          <w:sz w:val="24"/>
          <w:vertAlign w:val="superscript"/>
        </w:rPr>
        <w:t>-</w:t>
      </w:r>
      <w:r>
        <w:rPr>
          <w:rFonts w:hint="eastAsia" w:hAnsi="宋体"/>
          <w:sz w:val="24"/>
        </w:rPr>
        <w:t>、</w:t>
      </w:r>
      <w:r>
        <w:rPr>
          <w:rFonts w:hAnsi="宋体"/>
          <w:sz w:val="24"/>
        </w:rPr>
        <w:t>SO</w:t>
      </w:r>
      <w:r>
        <w:rPr>
          <w:rFonts w:hAnsi="宋体"/>
          <w:sz w:val="24"/>
          <w:vertAlign w:val="subscript"/>
        </w:rPr>
        <w:t>4</w:t>
      </w:r>
      <w:r>
        <w:rPr>
          <w:rFonts w:hAnsi="宋体"/>
          <w:sz w:val="24"/>
          <w:vertAlign w:val="superscript"/>
        </w:rPr>
        <w:t>2-</w:t>
      </w:r>
      <w:r>
        <w:rPr>
          <w:sz w:val="24"/>
        </w:rPr>
        <w:t>、pH、总硬度、耗氧量、氨氮、硝酸盐、亚硝酸盐、总大肠菌群，共计</w:t>
      </w:r>
      <w:r>
        <w:rPr>
          <w:rFonts w:hint="eastAsia"/>
          <w:sz w:val="24"/>
        </w:rPr>
        <w:t>15</w:t>
      </w:r>
      <w:r>
        <w:rPr>
          <w:sz w:val="24"/>
        </w:rPr>
        <w:t>项。</w:t>
      </w:r>
    </w:p>
    <w:p>
      <w:pPr>
        <w:pStyle w:val="2"/>
        <w:spacing w:after="0" w:line="360" w:lineRule="auto"/>
        <w:ind w:firstLine="482" w:firstLineChars="200"/>
        <w:rPr>
          <w:b/>
          <w:sz w:val="24"/>
        </w:rPr>
      </w:pPr>
      <w:r>
        <w:rPr>
          <w:rFonts w:hint="eastAsia"/>
          <w:b/>
          <w:sz w:val="24"/>
        </w:rPr>
        <w:t>3、</w:t>
      </w:r>
      <w:r>
        <w:rPr>
          <w:b/>
          <w:sz w:val="24"/>
        </w:rPr>
        <w:t>监测时间</w:t>
      </w:r>
    </w:p>
    <w:p>
      <w:pPr>
        <w:pStyle w:val="2"/>
        <w:spacing w:after="0" w:line="360" w:lineRule="auto"/>
        <w:ind w:firstLine="480" w:firstLineChars="200"/>
        <w:rPr>
          <w:sz w:val="24"/>
        </w:rPr>
      </w:pPr>
      <w:r>
        <w:rPr>
          <w:sz w:val="24"/>
        </w:rPr>
        <w:t>由湖南中雁环保科技有限公司于20</w:t>
      </w:r>
      <w:r>
        <w:rPr>
          <w:rFonts w:hint="eastAsia"/>
          <w:sz w:val="24"/>
        </w:rPr>
        <w:t>22</w:t>
      </w:r>
      <w:r>
        <w:rPr>
          <w:sz w:val="24"/>
        </w:rPr>
        <w:t>年</w:t>
      </w:r>
      <w:r>
        <w:rPr>
          <w:rFonts w:hint="eastAsia"/>
          <w:sz w:val="24"/>
        </w:rPr>
        <w:t>12</w:t>
      </w:r>
      <w:r>
        <w:rPr>
          <w:sz w:val="24"/>
        </w:rPr>
        <w:t>月</w:t>
      </w:r>
      <w:r>
        <w:rPr>
          <w:rFonts w:hint="eastAsia"/>
          <w:sz w:val="24"/>
        </w:rPr>
        <w:t>29</w:t>
      </w:r>
      <w:r>
        <w:rPr>
          <w:sz w:val="24"/>
        </w:rPr>
        <w:t>日对地下水环境现状进行监测，连续监测</w:t>
      </w:r>
      <w:r>
        <w:rPr>
          <w:rFonts w:hint="eastAsia"/>
          <w:sz w:val="24"/>
        </w:rPr>
        <w:t>1</w:t>
      </w:r>
      <w:r>
        <w:rPr>
          <w:sz w:val="24"/>
        </w:rPr>
        <w:t>天，每天1次。</w:t>
      </w:r>
    </w:p>
    <w:p>
      <w:pPr>
        <w:pStyle w:val="2"/>
        <w:spacing w:after="0" w:line="360" w:lineRule="auto"/>
        <w:ind w:firstLine="482" w:firstLineChars="200"/>
        <w:rPr>
          <w:b/>
          <w:sz w:val="24"/>
        </w:rPr>
      </w:pPr>
      <w:r>
        <w:rPr>
          <w:rFonts w:hint="eastAsia"/>
          <w:b/>
          <w:sz w:val="24"/>
        </w:rPr>
        <w:t>4、</w:t>
      </w:r>
      <w:r>
        <w:rPr>
          <w:b/>
          <w:sz w:val="24"/>
        </w:rPr>
        <w:t>评价方法</w:t>
      </w:r>
    </w:p>
    <w:p>
      <w:pPr>
        <w:pStyle w:val="2"/>
        <w:spacing w:after="0" w:line="360" w:lineRule="auto"/>
        <w:ind w:firstLine="480" w:firstLineChars="200"/>
        <w:rPr>
          <w:sz w:val="24"/>
        </w:rPr>
      </w:pPr>
      <w:r>
        <w:rPr>
          <w:sz w:val="24"/>
        </w:rPr>
        <w:t>根据《环境影响评价技术导则—地下水环境》（HJ610-2016），地下水水质现状评价应采用标准指数法进行评价。标准指数&gt;1，表明该水质因子已超过了规定的水质标准，指数值越大，超标越严重。标准指数计算公式分为以下两种情况：</w:t>
      </w:r>
    </w:p>
    <w:p>
      <w:pPr>
        <w:pStyle w:val="2"/>
        <w:spacing w:after="0" w:line="360" w:lineRule="auto"/>
        <w:ind w:firstLine="480" w:firstLineChars="200"/>
        <w:rPr>
          <w:sz w:val="24"/>
        </w:rPr>
      </w:pPr>
      <w:r>
        <w:rPr>
          <w:rFonts w:hint="eastAsia" w:ascii="宋体" w:hAnsi="宋体" w:cs="宋体"/>
          <w:sz w:val="24"/>
        </w:rPr>
        <w:t>①</w:t>
      </w:r>
      <w:r>
        <w:rPr>
          <w:sz w:val="24"/>
        </w:rPr>
        <w:t>对于评价标准为定值的水质因子，其标准指数计算公式：</w:t>
      </w:r>
    </w:p>
    <w:p>
      <w:pPr>
        <w:tabs>
          <w:tab w:val="left" w:pos="1021"/>
        </w:tabs>
        <w:spacing w:line="360" w:lineRule="auto"/>
        <w:ind w:firstLine="600" w:firstLineChars="250"/>
        <w:jc w:val="center"/>
        <w:rPr>
          <w:sz w:val="24"/>
          <w:vertAlign w:val="subscript"/>
        </w:rPr>
      </w:pPr>
      <w:r>
        <w:rPr>
          <w:sz w:val="24"/>
        </w:rPr>
        <w:t>P</w:t>
      </w:r>
      <w:r>
        <w:rPr>
          <w:sz w:val="24"/>
          <w:vertAlign w:val="subscript"/>
        </w:rPr>
        <w:t xml:space="preserve">i </w:t>
      </w:r>
      <w:r>
        <w:rPr>
          <w:sz w:val="24"/>
        </w:rPr>
        <w:t>=C</w:t>
      </w:r>
      <w:r>
        <w:rPr>
          <w:sz w:val="24"/>
          <w:vertAlign w:val="subscript"/>
        </w:rPr>
        <w:t xml:space="preserve">i </w:t>
      </w:r>
      <w:r>
        <w:rPr>
          <w:sz w:val="24"/>
        </w:rPr>
        <w:t>/C</w:t>
      </w:r>
      <w:r>
        <w:rPr>
          <w:sz w:val="24"/>
          <w:vertAlign w:val="subscript"/>
        </w:rPr>
        <w:t>si</w:t>
      </w:r>
    </w:p>
    <w:p>
      <w:pPr>
        <w:tabs>
          <w:tab w:val="left" w:pos="1021"/>
        </w:tabs>
        <w:spacing w:line="360" w:lineRule="auto"/>
        <w:ind w:firstLine="480" w:firstLineChars="200"/>
        <w:rPr>
          <w:sz w:val="24"/>
        </w:rPr>
      </w:pPr>
      <w:r>
        <w:rPr>
          <w:sz w:val="24"/>
        </w:rPr>
        <w:t>式中：P</w:t>
      </w:r>
      <w:r>
        <w:rPr>
          <w:sz w:val="24"/>
          <w:vertAlign w:val="subscript"/>
        </w:rPr>
        <w:t>i</w:t>
      </w:r>
      <w:r>
        <w:rPr>
          <w:sz w:val="24"/>
        </w:rPr>
        <w:t>—第 i 个水质因子的标准指数，量纲为一；</w:t>
      </w:r>
    </w:p>
    <w:p>
      <w:pPr>
        <w:tabs>
          <w:tab w:val="left" w:pos="1021"/>
        </w:tabs>
        <w:spacing w:line="360" w:lineRule="auto"/>
        <w:ind w:firstLine="480" w:firstLineChars="200"/>
        <w:rPr>
          <w:sz w:val="24"/>
        </w:rPr>
      </w:pPr>
      <w:r>
        <w:rPr>
          <w:sz w:val="24"/>
        </w:rPr>
        <w:t xml:space="preserve">      C</w:t>
      </w:r>
      <w:r>
        <w:rPr>
          <w:sz w:val="24"/>
          <w:vertAlign w:val="subscript"/>
        </w:rPr>
        <w:t>i</w:t>
      </w:r>
      <w:r>
        <w:rPr>
          <w:sz w:val="24"/>
        </w:rPr>
        <w:t>—第 i 个水质因子的监测质量浓度值，mg/L；</w:t>
      </w:r>
    </w:p>
    <w:p>
      <w:pPr>
        <w:tabs>
          <w:tab w:val="left" w:pos="1021"/>
        </w:tabs>
        <w:spacing w:line="360" w:lineRule="auto"/>
        <w:ind w:firstLine="480" w:firstLineChars="200"/>
        <w:rPr>
          <w:sz w:val="24"/>
        </w:rPr>
      </w:pPr>
      <w:r>
        <w:rPr>
          <w:sz w:val="24"/>
        </w:rPr>
        <w:t xml:space="preserve">      C</w:t>
      </w:r>
      <w:r>
        <w:rPr>
          <w:sz w:val="24"/>
          <w:vertAlign w:val="subscript"/>
        </w:rPr>
        <w:t>si</w:t>
      </w:r>
      <w:r>
        <w:rPr>
          <w:sz w:val="24"/>
        </w:rPr>
        <w:t>—第 i 个水质因子的标准质量浓度值，mg/L。</w:t>
      </w:r>
    </w:p>
    <w:p>
      <w:pPr>
        <w:tabs>
          <w:tab w:val="left" w:pos="1021"/>
        </w:tabs>
        <w:spacing w:line="360" w:lineRule="auto"/>
        <w:ind w:firstLine="480" w:firstLineChars="200"/>
        <w:rPr>
          <w:sz w:val="24"/>
        </w:rPr>
      </w:pPr>
      <w:r>
        <w:rPr>
          <w:rFonts w:hint="eastAsia" w:ascii="宋体" w:hAnsi="宋体" w:cs="宋体"/>
          <w:sz w:val="24"/>
        </w:rPr>
        <w:t>②</w:t>
      </w:r>
      <w:r>
        <w:rPr>
          <w:sz w:val="24"/>
        </w:rPr>
        <w:t>对于评价标准为区间值的水质因子（如pH值），其标准指数计算公式：</w:t>
      </w:r>
    </w:p>
    <w:p>
      <w:pPr>
        <w:tabs>
          <w:tab w:val="left" w:pos="1021"/>
        </w:tabs>
        <w:spacing w:line="360" w:lineRule="auto"/>
        <w:ind w:firstLine="480" w:firstLineChars="200"/>
        <w:jc w:val="center"/>
        <w:rPr>
          <w:sz w:val="24"/>
        </w:rPr>
      </w:pPr>
      <w:r>
        <w:rPr>
          <w:position w:val="-30"/>
          <w:sz w:val="24"/>
        </w:rPr>
        <w:object>
          <v:shape id="_x0000_i1028" o:spt="75" type="#_x0000_t75" style="height:33pt;width:86.25pt;" o:ole="t" filled="f" coordsize="21600,21600">
            <v:path/>
            <v:fill on="f" focussize="0,0"/>
            <v:stroke/>
            <v:imagedata r:id="rId31" o:title=""/>
            <o:lock v:ext="edit" aspectratio="t"/>
            <w10:wrap type="none"/>
            <w10:anchorlock/>
          </v:shape>
          <o:OLEObject Type="Embed" ProgID="Equation.3" ShapeID="_x0000_i1028" DrawAspect="Content" ObjectID="_1468075728" r:id="rId30">
            <o:LockedField>false</o:LockedField>
          </o:OLEObject>
        </w:object>
      </w:r>
      <w:r>
        <w:rPr>
          <w:sz w:val="24"/>
        </w:rPr>
        <w:t xml:space="preserve">       pH≤7.0</w:t>
      </w:r>
    </w:p>
    <w:p>
      <w:pPr>
        <w:tabs>
          <w:tab w:val="left" w:pos="1021"/>
        </w:tabs>
        <w:spacing w:line="360" w:lineRule="auto"/>
        <w:ind w:firstLine="480" w:firstLineChars="200"/>
        <w:jc w:val="center"/>
        <w:rPr>
          <w:sz w:val="24"/>
        </w:rPr>
      </w:pPr>
      <w:r>
        <w:rPr>
          <w:position w:val="-30"/>
          <w:sz w:val="24"/>
        </w:rPr>
        <w:object>
          <v:shape id="_x0000_i1029" o:spt="75" type="#_x0000_t75" style="height:33pt;width:86.25pt;" o:ole="t" filled="f" coordsize="21600,21600">
            <v:path/>
            <v:fill on="f" focussize="0,0"/>
            <v:stroke/>
            <v:imagedata r:id="rId33" o:title=""/>
            <o:lock v:ext="edit" aspectratio="t"/>
            <w10:wrap type="none"/>
            <w10:anchorlock/>
          </v:shape>
          <o:OLEObject Type="Embed" ProgID="Equation.3" ShapeID="_x0000_i1029" DrawAspect="Content" ObjectID="_1468075729" r:id="rId32">
            <o:LockedField>false</o:LockedField>
          </o:OLEObject>
        </w:object>
      </w:r>
      <w:r>
        <w:rPr>
          <w:sz w:val="24"/>
        </w:rPr>
        <w:t xml:space="preserve">       pH＞7.0</w:t>
      </w:r>
    </w:p>
    <w:p>
      <w:pPr>
        <w:tabs>
          <w:tab w:val="left" w:pos="1021"/>
        </w:tabs>
        <w:spacing w:line="360" w:lineRule="auto"/>
        <w:ind w:firstLine="480" w:firstLineChars="200"/>
        <w:rPr>
          <w:sz w:val="24"/>
        </w:rPr>
      </w:pPr>
      <w:r>
        <w:rPr>
          <w:sz w:val="24"/>
        </w:rPr>
        <w:t>式中：P</w:t>
      </w:r>
      <w:r>
        <w:rPr>
          <w:sz w:val="24"/>
          <w:vertAlign w:val="subscript"/>
        </w:rPr>
        <w:t xml:space="preserve">pH </w:t>
      </w:r>
      <w:r>
        <w:rPr>
          <w:sz w:val="24"/>
        </w:rPr>
        <w:t>—pH 的标准指数，量纲为一；</w:t>
      </w:r>
    </w:p>
    <w:p>
      <w:pPr>
        <w:tabs>
          <w:tab w:val="left" w:pos="1021"/>
        </w:tabs>
        <w:spacing w:line="360" w:lineRule="auto"/>
        <w:ind w:firstLine="480" w:firstLineChars="200"/>
        <w:rPr>
          <w:sz w:val="24"/>
        </w:rPr>
      </w:pPr>
      <w:r>
        <w:rPr>
          <w:sz w:val="24"/>
        </w:rPr>
        <w:t xml:space="preserve">      pH—pH 监测值；</w:t>
      </w:r>
    </w:p>
    <w:p>
      <w:pPr>
        <w:tabs>
          <w:tab w:val="left" w:pos="1021"/>
        </w:tabs>
        <w:spacing w:line="360" w:lineRule="auto"/>
        <w:ind w:firstLine="480" w:firstLineChars="200"/>
        <w:rPr>
          <w:sz w:val="24"/>
        </w:rPr>
      </w:pPr>
      <w:r>
        <w:rPr>
          <w:sz w:val="24"/>
        </w:rPr>
        <w:t xml:space="preserve">      pH</w:t>
      </w:r>
      <w:r>
        <w:rPr>
          <w:sz w:val="24"/>
          <w:vertAlign w:val="subscript"/>
        </w:rPr>
        <w:t>su</w:t>
      </w:r>
      <w:r>
        <w:rPr>
          <w:sz w:val="24"/>
        </w:rPr>
        <w:t>—标准中pH的上限值；</w:t>
      </w:r>
    </w:p>
    <w:p>
      <w:pPr>
        <w:tabs>
          <w:tab w:val="left" w:pos="1021"/>
        </w:tabs>
        <w:spacing w:line="360" w:lineRule="auto"/>
        <w:ind w:firstLine="480" w:firstLineChars="200"/>
        <w:rPr>
          <w:sz w:val="24"/>
        </w:rPr>
      </w:pPr>
      <w:r>
        <w:rPr>
          <w:sz w:val="24"/>
        </w:rPr>
        <w:t xml:space="preserve">      pH</w:t>
      </w:r>
      <w:r>
        <w:rPr>
          <w:sz w:val="24"/>
          <w:vertAlign w:val="subscript"/>
        </w:rPr>
        <w:t>sd</w:t>
      </w:r>
      <w:r>
        <w:rPr>
          <w:sz w:val="24"/>
        </w:rPr>
        <w:t>—标准中pH的下限值。</w:t>
      </w:r>
    </w:p>
    <w:p>
      <w:pPr>
        <w:pStyle w:val="243"/>
        <w:spacing w:line="360" w:lineRule="auto"/>
        <w:ind w:firstLine="482" w:firstLineChars="200"/>
        <w:rPr>
          <w:rFonts w:eastAsia="宋体" w:cs="Times New Roman"/>
          <w:b/>
          <w:color w:val="auto"/>
          <w:szCs w:val="24"/>
        </w:rPr>
      </w:pPr>
      <w:r>
        <w:rPr>
          <w:rFonts w:hint="eastAsia" w:eastAsia="宋体" w:cs="Times New Roman"/>
          <w:b/>
          <w:color w:val="auto"/>
          <w:szCs w:val="24"/>
        </w:rPr>
        <w:t>5、</w:t>
      </w:r>
      <w:r>
        <w:rPr>
          <w:rFonts w:eastAsia="宋体" w:cs="Times New Roman"/>
          <w:b/>
          <w:color w:val="auto"/>
          <w:szCs w:val="24"/>
        </w:rPr>
        <w:t>监测结果</w:t>
      </w:r>
    </w:p>
    <w:p>
      <w:pPr>
        <w:widowControl/>
        <w:spacing w:line="360" w:lineRule="auto"/>
        <w:ind w:firstLine="200"/>
        <w:rPr>
          <w:sz w:val="24"/>
        </w:rPr>
      </w:pPr>
      <w:r>
        <w:rPr>
          <w:sz w:val="24"/>
        </w:rPr>
        <w:t>水质监测结果见表</w:t>
      </w:r>
      <w:r>
        <w:rPr>
          <w:rFonts w:hint="eastAsia"/>
          <w:sz w:val="24"/>
        </w:rPr>
        <w:t>5.3-1</w:t>
      </w:r>
      <w:r>
        <w:rPr>
          <w:sz w:val="24"/>
        </w:rPr>
        <w:t>：</w:t>
      </w:r>
    </w:p>
    <w:p>
      <w:pPr>
        <w:pStyle w:val="17"/>
        <w:spacing w:beforeLines="50"/>
        <w:rPr>
          <w:rFonts w:ascii="Times New Roman" w:hAnsi="Times New Roman" w:cs="Times New Roman"/>
          <w:color w:val="auto"/>
          <w:sz w:val="21"/>
        </w:rPr>
      </w:pPr>
      <w:r>
        <w:rPr>
          <w:rFonts w:ascii="Times New Roman" w:hAnsi="Times New Roman" w:cs="Times New Roman"/>
          <w:color w:val="auto"/>
          <w:sz w:val="21"/>
        </w:rPr>
        <w:t>表5.3-</w:t>
      </w:r>
      <w:r>
        <w:rPr>
          <w:rFonts w:hint="eastAsia" w:ascii="Times New Roman" w:hAnsi="Times New Roman" w:cs="Times New Roman"/>
          <w:color w:val="auto"/>
          <w:sz w:val="21"/>
        </w:rPr>
        <w:t>1</w:t>
      </w:r>
      <w:r>
        <w:rPr>
          <w:rFonts w:ascii="Times New Roman" w:hAnsi="Times New Roman" w:cs="Times New Roman"/>
          <w:color w:val="auto"/>
          <w:sz w:val="21"/>
        </w:rPr>
        <w:t xml:space="preserve">  地下水现状监测结果统计表</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938"/>
        <w:gridCol w:w="851"/>
        <w:gridCol w:w="993"/>
        <w:gridCol w:w="849"/>
        <w:gridCol w:w="1064"/>
        <w:gridCol w:w="943"/>
        <w:gridCol w:w="11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tcBorders>
              <w:tl2br w:val="nil"/>
              <w:tr2bl w:val="nil"/>
            </w:tcBorders>
            <w:vAlign w:val="center"/>
          </w:tcPr>
          <w:p>
            <w:pPr>
              <w:jc w:val="center"/>
              <w:rPr>
                <w:rFonts w:eastAsiaTheme="minorEastAsia"/>
                <w:b/>
                <w:szCs w:val="21"/>
              </w:rPr>
            </w:pPr>
            <w:r>
              <w:rPr>
                <w:rFonts w:hAnsiTheme="minorEastAsia" w:eastAsiaTheme="minorEastAsia"/>
                <w:b/>
                <w:szCs w:val="21"/>
              </w:rPr>
              <w:t>序号</w:t>
            </w:r>
          </w:p>
        </w:tc>
        <w:tc>
          <w:tcPr>
            <w:tcW w:w="1136" w:type="pct"/>
            <w:tcBorders>
              <w:tl2br w:val="nil"/>
              <w:tr2bl w:val="nil"/>
            </w:tcBorders>
            <w:vAlign w:val="center"/>
          </w:tcPr>
          <w:p>
            <w:pPr>
              <w:jc w:val="center"/>
              <w:rPr>
                <w:rFonts w:eastAsiaTheme="minorEastAsia"/>
                <w:b/>
                <w:szCs w:val="21"/>
              </w:rPr>
            </w:pPr>
            <w:r>
              <w:rPr>
                <w:rFonts w:hAnsiTheme="minorEastAsia" w:eastAsiaTheme="minorEastAsia"/>
                <w:b/>
                <w:szCs w:val="21"/>
              </w:rPr>
              <w:t>检验项目</w:t>
            </w:r>
          </w:p>
        </w:tc>
        <w:tc>
          <w:tcPr>
            <w:tcW w:w="499" w:type="pct"/>
            <w:tcBorders>
              <w:tl2br w:val="nil"/>
              <w:tr2bl w:val="nil"/>
            </w:tcBorders>
            <w:vAlign w:val="center"/>
          </w:tcPr>
          <w:p>
            <w:pPr>
              <w:jc w:val="center"/>
              <w:rPr>
                <w:rFonts w:eastAsiaTheme="minorEastAsia"/>
                <w:b/>
                <w:szCs w:val="21"/>
              </w:rPr>
            </w:pPr>
            <w:r>
              <w:rPr>
                <w:rFonts w:hAnsiTheme="minorEastAsia" w:eastAsiaTheme="minorEastAsia"/>
                <w:b/>
                <w:szCs w:val="21"/>
              </w:rPr>
              <w:t>单位</w:t>
            </w:r>
          </w:p>
        </w:tc>
        <w:tc>
          <w:tcPr>
            <w:tcW w:w="582" w:type="pct"/>
            <w:tcBorders>
              <w:tl2br w:val="nil"/>
              <w:tr2bl w:val="nil"/>
            </w:tcBorders>
            <w:vAlign w:val="center"/>
          </w:tcPr>
          <w:p>
            <w:pPr>
              <w:jc w:val="center"/>
              <w:rPr>
                <w:rFonts w:eastAsiaTheme="minorEastAsia"/>
                <w:b/>
                <w:szCs w:val="21"/>
              </w:rPr>
            </w:pPr>
            <w:r>
              <w:rPr>
                <w:rFonts w:eastAsiaTheme="minorEastAsia"/>
                <w:b/>
                <w:szCs w:val="21"/>
              </w:rPr>
              <w:t>D1</w:t>
            </w:r>
          </w:p>
        </w:tc>
        <w:tc>
          <w:tcPr>
            <w:tcW w:w="498" w:type="pct"/>
            <w:tcBorders>
              <w:tl2br w:val="nil"/>
              <w:tr2bl w:val="nil"/>
            </w:tcBorders>
            <w:vAlign w:val="center"/>
          </w:tcPr>
          <w:p>
            <w:pPr>
              <w:jc w:val="center"/>
              <w:rPr>
                <w:rFonts w:eastAsiaTheme="minorEastAsia"/>
                <w:b/>
                <w:szCs w:val="21"/>
              </w:rPr>
            </w:pPr>
            <w:r>
              <w:rPr>
                <w:rFonts w:eastAsiaTheme="minorEastAsia"/>
                <w:b/>
                <w:szCs w:val="21"/>
              </w:rPr>
              <w:t>D2</w:t>
            </w:r>
          </w:p>
        </w:tc>
        <w:tc>
          <w:tcPr>
            <w:tcW w:w="624" w:type="pct"/>
            <w:tcBorders>
              <w:tl2br w:val="nil"/>
              <w:tr2bl w:val="nil"/>
            </w:tcBorders>
            <w:vAlign w:val="center"/>
          </w:tcPr>
          <w:p>
            <w:pPr>
              <w:jc w:val="center"/>
              <w:rPr>
                <w:rFonts w:eastAsiaTheme="minorEastAsia"/>
                <w:b/>
                <w:szCs w:val="21"/>
              </w:rPr>
            </w:pPr>
            <w:r>
              <w:rPr>
                <w:rFonts w:eastAsiaTheme="minorEastAsia"/>
                <w:b/>
                <w:szCs w:val="21"/>
              </w:rPr>
              <w:t>D3</w:t>
            </w:r>
          </w:p>
        </w:tc>
        <w:tc>
          <w:tcPr>
            <w:tcW w:w="553" w:type="pct"/>
            <w:tcBorders>
              <w:tl2br w:val="nil"/>
              <w:tr2bl w:val="nil"/>
            </w:tcBorders>
            <w:vAlign w:val="center"/>
          </w:tcPr>
          <w:p>
            <w:pPr>
              <w:jc w:val="center"/>
              <w:rPr>
                <w:rFonts w:eastAsiaTheme="minorEastAsia"/>
                <w:b/>
                <w:szCs w:val="21"/>
              </w:rPr>
            </w:pPr>
            <w:r>
              <w:rPr>
                <w:rFonts w:hAnsiTheme="minorEastAsia" w:eastAsiaTheme="minorEastAsia"/>
                <w:b/>
                <w:szCs w:val="21"/>
              </w:rPr>
              <w:t>标准值</w:t>
            </w:r>
          </w:p>
        </w:tc>
        <w:tc>
          <w:tcPr>
            <w:tcW w:w="685" w:type="pct"/>
            <w:tcBorders>
              <w:tl2br w:val="nil"/>
              <w:tr2bl w:val="nil"/>
            </w:tcBorders>
            <w:vAlign w:val="center"/>
          </w:tcPr>
          <w:p>
            <w:pPr>
              <w:jc w:val="center"/>
              <w:rPr>
                <w:rFonts w:eastAsiaTheme="minorEastAsia"/>
                <w:b/>
                <w:szCs w:val="21"/>
              </w:rPr>
            </w:pPr>
            <w:r>
              <w:rPr>
                <w:rFonts w:hAnsiTheme="minorEastAsia" w:eastAsiaTheme="minorEastAsia"/>
                <w:b/>
                <w:szCs w:val="21"/>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tcBorders>
              <w:tl2br w:val="nil"/>
              <w:tr2bl w:val="nil"/>
            </w:tcBorders>
            <w:vAlign w:val="center"/>
          </w:tcPr>
          <w:p>
            <w:pPr>
              <w:jc w:val="center"/>
              <w:rPr>
                <w:rFonts w:eastAsiaTheme="minorEastAsia"/>
                <w:szCs w:val="21"/>
              </w:rPr>
            </w:pPr>
            <w:r>
              <w:rPr>
                <w:rFonts w:eastAsiaTheme="minorEastAsia"/>
                <w:szCs w:val="21"/>
              </w:rPr>
              <w:t>1</w:t>
            </w:r>
          </w:p>
        </w:tc>
        <w:tc>
          <w:tcPr>
            <w:tcW w:w="1136" w:type="pct"/>
            <w:tcBorders>
              <w:tl2br w:val="nil"/>
              <w:tr2bl w:val="nil"/>
            </w:tcBorders>
            <w:vAlign w:val="center"/>
          </w:tcPr>
          <w:p>
            <w:pPr>
              <w:spacing w:line="240" w:lineRule="exact"/>
              <w:jc w:val="center"/>
              <w:rPr>
                <w:rFonts w:eastAsiaTheme="minorEastAsia"/>
                <w:szCs w:val="21"/>
              </w:rPr>
            </w:pPr>
            <w:r>
              <w:rPr>
                <w:rFonts w:eastAsiaTheme="minorEastAsia"/>
                <w:szCs w:val="21"/>
              </w:rPr>
              <w:t>Na</w:t>
            </w:r>
            <w:r>
              <w:rPr>
                <w:rFonts w:eastAsiaTheme="minorEastAsia"/>
                <w:szCs w:val="21"/>
                <w:vertAlign w:val="superscript"/>
              </w:rPr>
              <w:t>+</w:t>
            </w:r>
          </w:p>
        </w:tc>
        <w:tc>
          <w:tcPr>
            <w:tcW w:w="499" w:type="pct"/>
            <w:tcBorders>
              <w:tl2br w:val="nil"/>
              <w:tr2bl w:val="nil"/>
            </w:tcBorders>
            <w:vAlign w:val="center"/>
          </w:tcPr>
          <w:p>
            <w:pPr>
              <w:widowControl/>
              <w:spacing w:line="240" w:lineRule="exact"/>
              <w:jc w:val="center"/>
              <w:rPr>
                <w:rFonts w:eastAsiaTheme="minorEastAsia"/>
                <w:kern w:val="0"/>
                <w:szCs w:val="21"/>
              </w:rPr>
            </w:pPr>
            <w:r>
              <w:rPr>
                <w:rFonts w:eastAsiaTheme="minorEastAsia"/>
                <w:kern w:val="0"/>
                <w:szCs w:val="21"/>
              </w:rPr>
              <w:t>mg/L</w:t>
            </w:r>
          </w:p>
        </w:tc>
        <w:tc>
          <w:tcPr>
            <w:tcW w:w="582" w:type="pct"/>
            <w:tcBorders>
              <w:tl2br w:val="nil"/>
              <w:tr2bl w:val="nil"/>
            </w:tcBorders>
            <w:vAlign w:val="center"/>
          </w:tcPr>
          <w:p>
            <w:pPr>
              <w:jc w:val="center"/>
              <w:textAlignment w:val="bottom"/>
              <w:rPr>
                <w:rFonts w:eastAsiaTheme="minorEastAsia"/>
                <w:szCs w:val="21"/>
              </w:rPr>
            </w:pPr>
            <w:r>
              <w:rPr>
                <w:rFonts w:eastAsiaTheme="minorEastAsia"/>
                <w:szCs w:val="21"/>
              </w:rPr>
              <w:t>17.7</w:t>
            </w:r>
          </w:p>
        </w:tc>
        <w:tc>
          <w:tcPr>
            <w:tcW w:w="498" w:type="pct"/>
            <w:tcBorders>
              <w:tl2br w:val="nil"/>
              <w:tr2bl w:val="nil"/>
            </w:tcBorders>
            <w:vAlign w:val="center"/>
          </w:tcPr>
          <w:p>
            <w:pPr>
              <w:jc w:val="center"/>
              <w:textAlignment w:val="bottom"/>
              <w:rPr>
                <w:rFonts w:eastAsiaTheme="minorEastAsia"/>
                <w:szCs w:val="21"/>
              </w:rPr>
            </w:pPr>
            <w:r>
              <w:rPr>
                <w:rFonts w:eastAsiaTheme="minorEastAsia"/>
                <w:szCs w:val="21"/>
              </w:rPr>
              <w:t>13.6</w:t>
            </w:r>
          </w:p>
        </w:tc>
        <w:tc>
          <w:tcPr>
            <w:tcW w:w="624" w:type="pct"/>
            <w:tcBorders>
              <w:tl2br w:val="nil"/>
              <w:tr2bl w:val="nil"/>
            </w:tcBorders>
            <w:vAlign w:val="center"/>
          </w:tcPr>
          <w:p>
            <w:pPr>
              <w:jc w:val="center"/>
              <w:textAlignment w:val="bottom"/>
              <w:rPr>
                <w:rFonts w:eastAsiaTheme="minorEastAsia"/>
                <w:szCs w:val="21"/>
              </w:rPr>
            </w:pPr>
            <w:r>
              <w:rPr>
                <w:rFonts w:eastAsiaTheme="minorEastAsia"/>
                <w:szCs w:val="21"/>
              </w:rPr>
              <w:t>15.0</w:t>
            </w:r>
          </w:p>
        </w:tc>
        <w:tc>
          <w:tcPr>
            <w:tcW w:w="553" w:type="pct"/>
            <w:tcBorders>
              <w:tl2br w:val="nil"/>
              <w:tr2bl w:val="nil"/>
            </w:tcBorders>
            <w:vAlign w:val="center"/>
          </w:tcPr>
          <w:p>
            <w:pPr>
              <w:jc w:val="center"/>
              <w:rPr>
                <w:rFonts w:eastAsiaTheme="minorEastAsia"/>
                <w:szCs w:val="21"/>
              </w:rPr>
            </w:pPr>
            <w:r>
              <w:rPr>
                <w:rFonts w:eastAsiaTheme="minorEastAsia"/>
                <w:szCs w:val="21"/>
              </w:rPr>
              <w:t>200</w:t>
            </w:r>
          </w:p>
        </w:tc>
        <w:tc>
          <w:tcPr>
            <w:tcW w:w="685" w:type="pct"/>
            <w:tcBorders>
              <w:tl2br w:val="nil"/>
              <w:tr2bl w:val="nil"/>
            </w:tcBorders>
            <w:vAlign w:val="center"/>
          </w:tcPr>
          <w:p>
            <w:pPr>
              <w:jc w:val="center"/>
              <w:rPr>
                <w:rFonts w:eastAsiaTheme="minorEastAsia"/>
                <w:szCs w:val="21"/>
              </w:rPr>
            </w:pPr>
            <w:r>
              <w:rPr>
                <w:rFonts w:hAnsiTheme="minorEastAsia" w:eastAsiaTheme="minorEastAsia"/>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tcBorders>
              <w:tl2br w:val="nil"/>
              <w:tr2bl w:val="nil"/>
            </w:tcBorders>
            <w:vAlign w:val="center"/>
          </w:tcPr>
          <w:p>
            <w:pPr>
              <w:jc w:val="center"/>
              <w:rPr>
                <w:rFonts w:eastAsiaTheme="minorEastAsia"/>
                <w:szCs w:val="21"/>
              </w:rPr>
            </w:pPr>
            <w:r>
              <w:rPr>
                <w:rFonts w:eastAsiaTheme="minorEastAsia"/>
                <w:szCs w:val="21"/>
              </w:rPr>
              <w:t>2</w:t>
            </w:r>
          </w:p>
        </w:tc>
        <w:tc>
          <w:tcPr>
            <w:tcW w:w="1136" w:type="pct"/>
            <w:tcBorders>
              <w:tl2br w:val="nil"/>
              <w:tr2bl w:val="nil"/>
            </w:tcBorders>
            <w:vAlign w:val="center"/>
          </w:tcPr>
          <w:p>
            <w:pPr>
              <w:spacing w:line="240" w:lineRule="exact"/>
              <w:jc w:val="center"/>
              <w:rPr>
                <w:rFonts w:eastAsiaTheme="minorEastAsia"/>
                <w:szCs w:val="21"/>
              </w:rPr>
            </w:pPr>
            <w:r>
              <w:rPr>
                <w:rFonts w:eastAsiaTheme="minorEastAsia"/>
                <w:szCs w:val="21"/>
              </w:rPr>
              <w:t>K</w:t>
            </w:r>
            <w:r>
              <w:rPr>
                <w:rFonts w:eastAsiaTheme="minorEastAsia"/>
                <w:szCs w:val="21"/>
                <w:vertAlign w:val="superscript"/>
              </w:rPr>
              <w:t>+</w:t>
            </w:r>
          </w:p>
        </w:tc>
        <w:tc>
          <w:tcPr>
            <w:tcW w:w="499" w:type="pct"/>
            <w:tcBorders>
              <w:tl2br w:val="nil"/>
              <w:tr2bl w:val="nil"/>
            </w:tcBorders>
            <w:vAlign w:val="center"/>
          </w:tcPr>
          <w:p>
            <w:pPr>
              <w:widowControl/>
              <w:spacing w:line="240" w:lineRule="exact"/>
              <w:jc w:val="center"/>
              <w:rPr>
                <w:rFonts w:eastAsiaTheme="minorEastAsia"/>
                <w:kern w:val="0"/>
                <w:szCs w:val="21"/>
              </w:rPr>
            </w:pPr>
            <w:r>
              <w:rPr>
                <w:rFonts w:eastAsiaTheme="minorEastAsia"/>
                <w:kern w:val="0"/>
                <w:szCs w:val="21"/>
              </w:rPr>
              <w:t>mg/L</w:t>
            </w:r>
          </w:p>
        </w:tc>
        <w:tc>
          <w:tcPr>
            <w:tcW w:w="582" w:type="pct"/>
            <w:tcBorders>
              <w:tl2br w:val="nil"/>
              <w:tr2bl w:val="nil"/>
            </w:tcBorders>
            <w:vAlign w:val="center"/>
          </w:tcPr>
          <w:p>
            <w:pPr>
              <w:jc w:val="center"/>
              <w:textAlignment w:val="bottom"/>
              <w:rPr>
                <w:rFonts w:eastAsiaTheme="minorEastAsia"/>
                <w:szCs w:val="21"/>
              </w:rPr>
            </w:pPr>
            <w:r>
              <w:rPr>
                <w:rFonts w:eastAsiaTheme="minorEastAsia"/>
                <w:szCs w:val="21"/>
              </w:rPr>
              <w:t>3.82</w:t>
            </w:r>
          </w:p>
        </w:tc>
        <w:tc>
          <w:tcPr>
            <w:tcW w:w="498" w:type="pct"/>
            <w:tcBorders>
              <w:tl2br w:val="nil"/>
              <w:tr2bl w:val="nil"/>
            </w:tcBorders>
            <w:vAlign w:val="center"/>
          </w:tcPr>
          <w:p>
            <w:pPr>
              <w:jc w:val="center"/>
              <w:textAlignment w:val="bottom"/>
              <w:rPr>
                <w:rFonts w:eastAsiaTheme="minorEastAsia"/>
                <w:szCs w:val="21"/>
              </w:rPr>
            </w:pPr>
            <w:r>
              <w:rPr>
                <w:rFonts w:eastAsiaTheme="minorEastAsia"/>
                <w:szCs w:val="21"/>
              </w:rPr>
              <w:t>1.58</w:t>
            </w:r>
          </w:p>
        </w:tc>
        <w:tc>
          <w:tcPr>
            <w:tcW w:w="624" w:type="pct"/>
            <w:tcBorders>
              <w:tl2br w:val="nil"/>
              <w:tr2bl w:val="nil"/>
            </w:tcBorders>
            <w:vAlign w:val="center"/>
          </w:tcPr>
          <w:p>
            <w:pPr>
              <w:jc w:val="center"/>
              <w:textAlignment w:val="bottom"/>
              <w:rPr>
                <w:rFonts w:eastAsiaTheme="minorEastAsia"/>
                <w:szCs w:val="21"/>
              </w:rPr>
            </w:pPr>
            <w:r>
              <w:rPr>
                <w:rFonts w:eastAsiaTheme="minorEastAsia"/>
                <w:szCs w:val="21"/>
              </w:rPr>
              <w:t>0.889</w:t>
            </w:r>
          </w:p>
        </w:tc>
        <w:tc>
          <w:tcPr>
            <w:tcW w:w="553" w:type="pct"/>
            <w:tcBorders>
              <w:tl2br w:val="nil"/>
              <w:tr2bl w:val="nil"/>
            </w:tcBorders>
            <w:vAlign w:val="center"/>
          </w:tcPr>
          <w:p>
            <w:pPr>
              <w:jc w:val="center"/>
              <w:rPr>
                <w:rFonts w:eastAsiaTheme="minorEastAsia"/>
                <w:szCs w:val="21"/>
              </w:rPr>
            </w:pPr>
            <w:r>
              <w:rPr>
                <w:rFonts w:eastAsiaTheme="minorEastAsia"/>
                <w:szCs w:val="21"/>
              </w:rPr>
              <w:t>/</w:t>
            </w:r>
          </w:p>
        </w:tc>
        <w:tc>
          <w:tcPr>
            <w:tcW w:w="685" w:type="pct"/>
            <w:tcBorders>
              <w:tl2br w:val="nil"/>
              <w:tr2bl w:val="nil"/>
            </w:tcBorders>
            <w:vAlign w:val="center"/>
          </w:tcPr>
          <w:p>
            <w:pPr>
              <w:jc w:val="center"/>
              <w:rPr>
                <w:rFonts w:eastAsiaTheme="minorEastAsia"/>
                <w:szCs w:val="21"/>
              </w:rPr>
            </w:pPr>
            <w:r>
              <w:rPr>
                <w:rFonts w:hAnsiTheme="minorEastAsia" w:eastAsiaTheme="minorEastAsia"/>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tcBorders>
              <w:tl2br w:val="nil"/>
              <w:tr2bl w:val="nil"/>
            </w:tcBorders>
            <w:vAlign w:val="center"/>
          </w:tcPr>
          <w:p>
            <w:pPr>
              <w:jc w:val="center"/>
              <w:rPr>
                <w:rFonts w:eastAsiaTheme="minorEastAsia"/>
                <w:szCs w:val="21"/>
              </w:rPr>
            </w:pPr>
            <w:r>
              <w:rPr>
                <w:rFonts w:eastAsiaTheme="minorEastAsia"/>
                <w:szCs w:val="21"/>
              </w:rPr>
              <w:t>3</w:t>
            </w:r>
          </w:p>
        </w:tc>
        <w:tc>
          <w:tcPr>
            <w:tcW w:w="1136" w:type="pct"/>
            <w:tcBorders>
              <w:tl2br w:val="nil"/>
              <w:tr2bl w:val="nil"/>
            </w:tcBorders>
            <w:vAlign w:val="center"/>
          </w:tcPr>
          <w:p>
            <w:pPr>
              <w:spacing w:line="240" w:lineRule="exact"/>
              <w:jc w:val="center"/>
              <w:rPr>
                <w:rFonts w:eastAsiaTheme="minorEastAsia"/>
                <w:szCs w:val="21"/>
              </w:rPr>
            </w:pPr>
            <w:r>
              <w:rPr>
                <w:rFonts w:eastAsiaTheme="minorEastAsia"/>
                <w:szCs w:val="21"/>
              </w:rPr>
              <w:t>Ca</w:t>
            </w:r>
            <w:r>
              <w:rPr>
                <w:rFonts w:eastAsiaTheme="minorEastAsia"/>
                <w:szCs w:val="21"/>
                <w:vertAlign w:val="superscript"/>
              </w:rPr>
              <w:t>2+</w:t>
            </w:r>
          </w:p>
        </w:tc>
        <w:tc>
          <w:tcPr>
            <w:tcW w:w="499" w:type="pct"/>
            <w:tcBorders>
              <w:tl2br w:val="nil"/>
              <w:tr2bl w:val="nil"/>
            </w:tcBorders>
            <w:vAlign w:val="center"/>
          </w:tcPr>
          <w:p>
            <w:pPr>
              <w:widowControl/>
              <w:spacing w:line="240" w:lineRule="exact"/>
              <w:jc w:val="center"/>
              <w:rPr>
                <w:rFonts w:eastAsiaTheme="minorEastAsia"/>
                <w:kern w:val="0"/>
                <w:szCs w:val="21"/>
              </w:rPr>
            </w:pPr>
            <w:r>
              <w:rPr>
                <w:rFonts w:eastAsiaTheme="minorEastAsia"/>
                <w:kern w:val="0"/>
                <w:szCs w:val="21"/>
              </w:rPr>
              <w:t>mg/L</w:t>
            </w:r>
          </w:p>
        </w:tc>
        <w:tc>
          <w:tcPr>
            <w:tcW w:w="582" w:type="pct"/>
            <w:tcBorders>
              <w:tl2br w:val="nil"/>
              <w:tr2bl w:val="nil"/>
            </w:tcBorders>
            <w:vAlign w:val="center"/>
          </w:tcPr>
          <w:p>
            <w:pPr>
              <w:jc w:val="center"/>
              <w:textAlignment w:val="bottom"/>
              <w:rPr>
                <w:rFonts w:eastAsiaTheme="minorEastAsia"/>
                <w:szCs w:val="21"/>
              </w:rPr>
            </w:pPr>
            <w:r>
              <w:rPr>
                <w:rFonts w:eastAsiaTheme="minorEastAsia"/>
                <w:szCs w:val="21"/>
              </w:rPr>
              <w:t>97.0</w:t>
            </w:r>
          </w:p>
        </w:tc>
        <w:tc>
          <w:tcPr>
            <w:tcW w:w="498" w:type="pct"/>
            <w:tcBorders>
              <w:tl2br w:val="nil"/>
              <w:tr2bl w:val="nil"/>
            </w:tcBorders>
            <w:vAlign w:val="center"/>
          </w:tcPr>
          <w:p>
            <w:pPr>
              <w:jc w:val="center"/>
              <w:textAlignment w:val="bottom"/>
              <w:rPr>
                <w:rFonts w:eastAsiaTheme="minorEastAsia"/>
                <w:szCs w:val="21"/>
              </w:rPr>
            </w:pPr>
            <w:r>
              <w:rPr>
                <w:rFonts w:eastAsiaTheme="minorEastAsia"/>
                <w:szCs w:val="21"/>
              </w:rPr>
              <w:t>112</w:t>
            </w:r>
          </w:p>
        </w:tc>
        <w:tc>
          <w:tcPr>
            <w:tcW w:w="624" w:type="pct"/>
            <w:tcBorders>
              <w:tl2br w:val="nil"/>
              <w:tr2bl w:val="nil"/>
            </w:tcBorders>
            <w:vAlign w:val="center"/>
          </w:tcPr>
          <w:p>
            <w:pPr>
              <w:jc w:val="center"/>
              <w:textAlignment w:val="bottom"/>
              <w:rPr>
                <w:rFonts w:eastAsiaTheme="minorEastAsia"/>
                <w:szCs w:val="21"/>
              </w:rPr>
            </w:pPr>
            <w:r>
              <w:rPr>
                <w:rFonts w:eastAsiaTheme="minorEastAsia"/>
                <w:szCs w:val="21"/>
              </w:rPr>
              <w:t>88.5</w:t>
            </w:r>
          </w:p>
        </w:tc>
        <w:tc>
          <w:tcPr>
            <w:tcW w:w="553" w:type="pct"/>
            <w:tcBorders>
              <w:tl2br w:val="nil"/>
              <w:tr2bl w:val="nil"/>
            </w:tcBorders>
            <w:vAlign w:val="center"/>
          </w:tcPr>
          <w:p>
            <w:pPr>
              <w:jc w:val="center"/>
              <w:rPr>
                <w:rFonts w:eastAsiaTheme="minorEastAsia"/>
                <w:szCs w:val="21"/>
              </w:rPr>
            </w:pPr>
            <w:r>
              <w:rPr>
                <w:rFonts w:eastAsiaTheme="minorEastAsia"/>
                <w:szCs w:val="21"/>
              </w:rPr>
              <w:t>/</w:t>
            </w:r>
          </w:p>
        </w:tc>
        <w:tc>
          <w:tcPr>
            <w:tcW w:w="685" w:type="pct"/>
            <w:tcBorders>
              <w:tl2br w:val="nil"/>
              <w:tr2bl w:val="nil"/>
            </w:tcBorders>
            <w:vAlign w:val="center"/>
          </w:tcPr>
          <w:p>
            <w:pPr>
              <w:jc w:val="center"/>
              <w:rPr>
                <w:rFonts w:eastAsiaTheme="minorEastAsia"/>
                <w:szCs w:val="21"/>
              </w:rPr>
            </w:pPr>
            <w:r>
              <w:rPr>
                <w:rFonts w:hAnsiTheme="minorEastAsia" w:eastAsiaTheme="minorEastAsia"/>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tcBorders>
              <w:tl2br w:val="nil"/>
              <w:tr2bl w:val="nil"/>
            </w:tcBorders>
            <w:vAlign w:val="center"/>
          </w:tcPr>
          <w:p>
            <w:pPr>
              <w:jc w:val="center"/>
              <w:rPr>
                <w:rFonts w:eastAsiaTheme="minorEastAsia"/>
                <w:szCs w:val="21"/>
              </w:rPr>
            </w:pPr>
            <w:r>
              <w:rPr>
                <w:rFonts w:eastAsiaTheme="minorEastAsia"/>
                <w:szCs w:val="21"/>
              </w:rPr>
              <w:t>4</w:t>
            </w:r>
          </w:p>
        </w:tc>
        <w:tc>
          <w:tcPr>
            <w:tcW w:w="1136" w:type="pct"/>
            <w:tcBorders>
              <w:tl2br w:val="nil"/>
              <w:tr2bl w:val="nil"/>
            </w:tcBorders>
            <w:vAlign w:val="center"/>
          </w:tcPr>
          <w:p>
            <w:pPr>
              <w:spacing w:line="240" w:lineRule="exact"/>
              <w:jc w:val="center"/>
              <w:rPr>
                <w:rFonts w:eastAsiaTheme="minorEastAsia"/>
                <w:szCs w:val="21"/>
              </w:rPr>
            </w:pPr>
            <w:r>
              <w:rPr>
                <w:rFonts w:eastAsiaTheme="minorEastAsia"/>
                <w:szCs w:val="21"/>
              </w:rPr>
              <w:t>Mg</w:t>
            </w:r>
            <w:r>
              <w:rPr>
                <w:rFonts w:eastAsiaTheme="minorEastAsia"/>
                <w:szCs w:val="21"/>
                <w:vertAlign w:val="superscript"/>
              </w:rPr>
              <w:t>2+</w:t>
            </w:r>
          </w:p>
        </w:tc>
        <w:tc>
          <w:tcPr>
            <w:tcW w:w="499" w:type="pct"/>
            <w:tcBorders>
              <w:tl2br w:val="nil"/>
              <w:tr2bl w:val="nil"/>
            </w:tcBorders>
            <w:vAlign w:val="center"/>
          </w:tcPr>
          <w:p>
            <w:pPr>
              <w:widowControl/>
              <w:spacing w:line="240" w:lineRule="exact"/>
              <w:jc w:val="center"/>
              <w:rPr>
                <w:rFonts w:eastAsiaTheme="minorEastAsia"/>
                <w:kern w:val="0"/>
                <w:szCs w:val="21"/>
              </w:rPr>
            </w:pPr>
            <w:r>
              <w:rPr>
                <w:rFonts w:eastAsiaTheme="minorEastAsia"/>
                <w:kern w:val="0"/>
                <w:szCs w:val="21"/>
              </w:rPr>
              <w:t>mg/L</w:t>
            </w:r>
          </w:p>
        </w:tc>
        <w:tc>
          <w:tcPr>
            <w:tcW w:w="582" w:type="pct"/>
            <w:tcBorders>
              <w:tl2br w:val="nil"/>
              <w:tr2bl w:val="nil"/>
            </w:tcBorders>
            <w:vAlign w:val="center"/>
          </w:tcPr>
          <w:p>
            <w:pPr>
              <w:jc w:val="center"/>
              <w:textAlignment w:val="bottom"/>
              <w:rPr>
                <w:rFonts w:eastAsiaTheme="minorEastAsia"/>
                <w:szCs w:val="21"/>
              </w:rPr>
            </w:pPr>
            <w:r>
              <w:rPr>
                <w:rFonts w:eastAsiaTheme="minorEastAsia"/>
                <w:szCs w:val="21"/>
              </w:rPr>
              <w:t>17.3</w:t>
            </w:r>
          </w:p>
        </w:tc>
        <w:tc>
          <w:tcPr>
            <w:tcW w:w="498" w:type="pct"/>
            <w:tcBorders>
              <w:tl2br w:val="nil"/>
              <w:tr2bl w:val="nil"/>
            </w:tcBorders>
            <w:vAlign w:val="center"/>
          </w:tcPr>
          <w:p>
            <w:pPr>
              <w:jc w:val="center"/>
              <w:textAlignment w:val="bottom"/>
              <w:rPr>
                <w:rFonts w:eastAsiaTheme="minorEastAsia"/>
                <w:szCs w:val="21"/>
              </w:rPr>
            </w:pPr>
            <w:r>
              <w:rPr>
                <w:rFonts w:eastAsiaTheme="minorEastAsia"/>
                <w:szCs w:val="21"/>
              </w:rPr>
              <w:t>14.7</w:t>
            </w:r>
          </w:p>
        </w:tc>
        <w:tc>
          <w:tcPr>
            <w:tcW w:w="624" w:type="pct"/>
            <w:tcBorders>
              <w:tl2br w:val="nil"/>
              <w:tr2bl w:val="nil"/>
            </w:tcBorders>
            <w:vAlign w:val="center"/>
          </w:tcPr>
          <w:p>
            <w:pPr>
              <w:jc w:val="center"/>
              <w:textAlignment w:val="bottom"/>
              <w:rPr>
                <w:rFonts w:eastAsiaTheme="minorEastAsia"/>
                <w:szCs w:val="21"/>
              </w:rPr>
            </w:pPr>
            <w:r>
              <w:rPr>
                <w:rFonts w:eastAsiaTheme="minorEastAsia"/>
                <w:szCs w:val="21"/>
              </w:rPr>
              <w:t>15.8</w:t>
            </w:r>
          </w:p>
        </w:tc>
        <w:tc>
          <w:tcPr>
            <w:tcW w:w="553" w:type="pct"/>
            <w:tcBorders>
              <w:tl2br w:val="nil"/>
              <w:tr2bl w:val="nil"/>
            </w:tcBorders>
            <w:vAlign w:val="center"/>
          </w:tcPr>
          <w:p>
            <w:pPr>
              <w:jc w:val="center"/>
              <w:rPr>
                <w:rFonts w:eastAsiaTheme="minorEastAsia"/>
                <w:szCs w:val="21"/>
              </w:rPr>
            </w:pPr>
            <w:r>
              <w:rPr>
                <w:rFonts w:eastAsiaTheme="minorEastAsia"/>
                <w:szCs w:val="21"/>
              </w:rPr>
              <w:t>/</w:t>
            </w:r>
          </w:p>
        </w:tc>
        <w:tc>
          <w:tcPr>
            <w:tcW w:w="685" w:type="pct"/>
            <w:tcBorders>
              <w:tl2br w:val="nil"/>
              <w:tr2bl w:val="nil"/>
            </w:tcBorders>
            <w:vAlign w:val="center"/>
          </w:tcPr>
          <w:p>
            <w:pPr>
              <w:jc w:val="center"/>
              <w:rPr>
                <w:rFonts w:eastAsiaTheme="minorEastAsia"/>
                <w:szCs w:val="21"/>
              </w:rPr>
            </w:pPr>
            <w:r>
              <w:rPr>
                <w:rFonts w:hAnsiTheme="minorEastAsia" w:eastAsiaTheme="minorEastAsia"/>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tcBorders>
              <w:tl2br w:val="nil"/>
              <w:tr2bl w:val="nil"/>
            </w:tcBorders>
            <w:vAlign w:val="center"/>
          </w:tcPr>
          <w:p>
            <w:pPr>
              <w:jc w:val="center"/>
              <w:rPr>
                <w:rFonts w:eastAsiaTheme="minorEastAsia"/>
                <w:szCs w:val="21"/>
              </w:rPr>
            </w:pPr>
            <w:r>
              <w:rPr>
                <w:rFonts w:eastAsiaTheme="minorEastAsia"/>
                <w:szCs w:val="21"/>
              </w:rPr>
              <w:t>5</w:t>
            </w:r>
          </w:p>
        </w:tc>
        <w:tc>
          <w:tcPr>
            <w:tcW w:w="1136" w:type="pct"/>
            <w:tcBorders>
              <w:tl2br w:val="nil"/>
              <w:tr2bl w:val="nil"/>
            </w:tcBorders>
            <w:vAlign w:val="center"/>
          </w:tcPr>
          <w:p>
            <w:pPr>
              <w:spacing w:line="240" w:lineRule="exact"/>
              <w:jc w:val="center"/>
              <w:rPr>
                <w:rFonts w:eastAsiaTheme="minorEastAsia"/>
                <w:szCs w:val="21"/>
              </w:rPr>
            </w:pPr>
            <w:r>
              <w:rPr>
                <w:rFonts w:eastAsiaTheme="minorEastAsia"/>
                <w:szCs w:val="21"/>
              </w:rPr>
              <w:t>CO</w:t>
            </w:r>
            <w:r>
              <w:rPr>
                <w:rFonts w:eastAsiaTheme="minorEastAsia"/>
                <w:szCs w:val="21"/>
                <w:vertAlign w:val="subscript"/>
              </w:rPr>
              <w:t>3</w:t>
            </w:r>
            <w:r>
              <w:rPr>
                <w:rFonts w:eastAsiaTheme="minorEastAsia"/>
                <w:szCs w:val="21"/>
                <w:vertAlign w:val="superscript"/>
              </w:rPr>
              <w:t>2-</w:t>
            </w:r>
          </w:p>
        </w:tc>
        <w:tc>
          <w:tcPr>
            <w:tcW w:w="499" w:type="pct"/>
            <w:tcBorders>
              <w:tl2br w:val="nil"/>
              <w:tr2bl w:val="nil"/>
            </w:tcBorders>
            <w:vAlign w:val="center"/>
          </w:tcPr>
          <w:p>
            <w:pPr>
              <w:widowControl/>
              <w:spacing w:line="240" w:lineRule="exact"/>
              <w:jc w:val="center"/>
              <w:rPr>
                <w:rFonts w:eastAsiaTheme="minorEastAsia"/>
                <w:kern w:val="0"/>
                <w:szCs w:val="21"/>
              </w:rPr>
            </w:pPr>
            <w:r>
              <w:rPr>
                <w:rFonts w:eastAsiaTheme="minorEastAsia"/>
                <w:kern w:val="0"/>
                <w:szCs w:val="21"/>
              </w:rPr>
              <w:t>mg/L</w:t>
            </w:r>
          </w:p>
        </w:tc>
        <w:tc>
          <w:tcPr>
            <w:tcW w:w="582" w:type="pct"/>
            <w:tcBorders>
              <w:tl2br w:val="nil"/>
              <w:tr2bl w:val="nil"/>
            </w:tcBorders>
            <w:vAlign w:val="center"/>
          </w:tcPr>
          <w:p>
            <w:pPr>
              <w:jc w:val="center"/>
              <w:textAlignment w:val="bottom"/>
              <w:rPr>
                <w:rFonts w:eastAsiaTheme="minorEastAsia"/>
                <w:szCs w:val="21"/>
              </w:rPr>
            </w:pPr>
            <w:r>
              <w:rPr>
                <w:rFonts w:hAnsiTheme="minorEastAsia" w:eastAsiaTheme="minorEastAsia"/>
                <w:szCs w:val="21"/>
              </w:rPr>
              <w:t>未检出</w:t>
            </w:r>
          </w:p>
        </w:tc>
        <w:tc>
          <w:tcPr>
            <w:tcW w:w="498" w:type="pct"/>
            <w:tcBorders>
              <w:tl2br w:val="nil"/>
              <w:tr2bl w:val="nil"/>
            </w:tcBorders>
            <w:vAlign w:val="center"/>
          </w:tcPr>
          <w:p>
            <w:pPr>
              <w:jc w:val="center"/>
              <w:textAlignment w:val="bottom"/>
              <w:rPr>
                <w:rFonts w:eastAsiaTheme="minorEastAsia"/>
                <w:szCs w:val="21"/>
              </w:rPr>
            </w:pPr>
            <w:r>
              <w:rPr>
                <w:rFonts w:hAnsiTheme="minorEastAsia" w:eastAsiaTheme="minorEastAsia"/>
                <w:szCs w:val="21"/>
              </w:rPr>
              <w:t>未检出</w:t>
            </w:r>
          </w:p>
        </w:tc>
        <w:tc>
          <w:tcPr>
            <w:tcW w:w="624" w:type="pct"/>
            <w:tcBorders>
              <w:tl2br w:val="nil"/>
              <w:tr2bl w:val="nil"/>
            </w:tcBorders>
            <w:vAlign w:val="center"/>
          </w:tcPr>
          <w:p>
            <w:pPr>
              <w:jc w:val="center"/>
              <w:textAlignment w:val="bottom"/>
              <w:rPr>
                <w:rFonts w:eastAsiaTheme="minorEastAsia"/>
                <w:szCs w:val="21"/>
              </w:rPr>
            </w:pPr>
            <w:r>
              <w:rPr>
                <w:rFonts w:hAnsiTheme="minorEastAsia" w:eastAsiaTheme="minorEastAsia"/>
                <w:szCs w:val="21"/>
              </w:rPr>
              <w:t>未检出</w:t>
            </w:r>
          </w:p>
        </w:tc>
        <w:tc>
          <w:tcPr>
            <w:tcW w:w="553" w:type="pct"/>
            <w:tcBorders>
              <w:tl2br w:val="nil"/>
              <w:tr2bl w:val="nil"/>
            </w:tcBorders>
            <w:vAlign w:val="center"/>
          </w:tcPr>
          <w:p>
            <w:pPr>
              <w:jc w:val="center"/>
              <w:rPr>
                <w:rFonts w:eastAsiaTheme="minorEastAsia"/>
                <w:szCs w:val="21"/>
              </w:rPr>
            </w:pPr>
            <w:r>
              <w:rPr>
                <w:rFonts w:eastAsiaTheme="minorEastAsia"/>
                <w:szCs w:val="21"/>
              </w:rPr>
              <w:t>/</w:t>
            </w:r>
          </w:p>
        </w:tc>
        <w:tc>
          <w:tcPr>
            <w:tcW w:w="685" w:type="pct"/>
            <w:tcBorders>
              <w:tl2br w:val="nil"/>
              <w:tr2bl w:val="nil"/>
            </w:tcBorders>
            <w:vAlign w:val="center"/>
          </w:tcPr>
          <w:p>
            <w:pPr>
              <w:jc w:val="center"/>
              <w:rPr>
                <w:rFonts w:eastAsiaTheme="minorEastAsia"/>
                <w:szCs w:val="21"/>
              </w:rPr>
            </w:pPr>
            <w:r>
              <w:rPr>
                <w:rFonts w:hAnsiTheme="minorEastAsia" w:eastAsiaTheme="minorEastAsia"/>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tcBorders>
              <w:tl2br w:val="nil"/>
              <w:tr2bl w:val="nil"/>
            </w:tcBorders>
            <w:vAlign w:val="center"/>
          </w:tcPr>
          <w:p>
            <w:pPr>
              <w:jc w:val="center"/>
              <w:rPr>
                <w:rFonts w:eastAsiaTheme="minorEastAsia"/>
                <w:szCs w:val="21"/>
              </w:rPr>
            </w:pPr>
            <w:r>
              <w:rPr>
                <w:rFonts w:eastAsiaTheme="minorEastAsia"/>
                <w:szCs w:val="21"/>
              </w:rPr>
              <w:t>6</w:t>
            </w:r>
          </w:p>
        </w:tc>
        <w:tc>
          <w:tcPr>
            <w:tcW w:w="1136" w:type="pct"/>
            <w:tcBorders>
              <w:tl2br w:val="nil"/>
              <w:tr2bl w:val="nil"/>
            </w:tcBorders>
            <w:vAlign w:val="center"/>
          </w:tcPr>
          <w:p>
            <w:pPr>
              <w:spacing w:line="240" w:lineRule="exact"/>
              <w:jc w:val="center"/>
              <w:rPr>
                <w:rFonts w:eastAsiaTheme="minorEastAsia"/>
                <w:szCs w:val="21"/>
              </w:rPr>
            </w:pPr>
            <w:r>
              <w:rPr>
                <w:rFonts w:eastAsiaTheme="minorEastAsia"/>
                <w:szCs w:val="21"/>
              </w:rPr>
              <w:t>HCO</w:t>
            </w:r>
            <w:r>
              <w:rPr>
                <w:rFonts w:eastAsiaTheme="minorEastAsia"/>
                <w:szCs w:val="21"/>
                <w:vertAlign w:val="subscript"/>
              </w:rPr>
              <w:t>3</w:t>
            </w:r>
            <w:r>
              <w:rPr>
                <w:rFonts w:eastAsiaTheme="minorEastAsia"/>
                <w:szCs w:val="21"/>
                <w:vertAlign w:val="superscript"/>
              </w:rPr>
              <w:t>-</w:t>
            </w:r>
          </w:p>
        </w:tc>
        <w:tc>
          <w:tcPr>
            <w:tcW w:w="499" w:type="pct"/>
            <w:tcBorders>
              <w:tl2br w:val="nil"/>
              <w:tr2bl w:val="nil"/>
            </w:tcBorders>
            <w:vAlign w:val="center"/>
          </w:tcPr>
          <w:p>
            <w:pPr>
              <w:widowControl/>
              <w:spacing w:line="240" w:lineRule="exact"/>
              <w:jc w:val="center"/>
              <w:rPr>
                <w:rFonts w:eastAsiaTheme="minorEastAsia"/>
                <w:kern w:val="0"/>
                <w:szCs w:val="21"/>
              </w:rPr>
            </w:pPr>
            <w:r>
              <w:rPr>
                <w:rFonts w:eastAsiaTheme="minorEastAsia"/>
                <w:kern w:val="0"/>
                <w:szCs w:val="21"/>
              </w:rPr>
              <w:t>mg/L</w:t>
            </w:r>
          </w:p>
        </w:tc>
        <w:tc>
          <w:tcPr>
            <w:tcW w:w="582" w:type="pct"/>
            <w:tcBorders>
              <w:tl2br w:val="nil"/>
              <w:tr2bl w:val="nil"/>
            </w:tcBorders>
            <w:vAlign w:val="center"/>
          </w:tcPr>
          <w:p>
            <w:pPr>
              <w:jc w:val="center"/>
              <w:textAlignment w:val="bottom"/>
              <w:rPr>
                <w:rFonts w:eastAsiaTheme="minorEastAsia"/>
                <w:szCs w:val="21"/>
              </w:rPr>
            </w:pPr>
            <w:r>
              <w:rPr>
                <w:rFonts w:eastAsiaTheme="minorEastAsia"/>
                <w:szCs w:val="21"/>
              </w:rPr>
              <w:t>317</w:t>
            </w:r>
          </w:p>
        </w:tc>
        <w:tc>
          <w:tcPr>
            <w:tcW w:w="498" w:type="pct"/>
            <w:tcBorders>
              <w:tl2br w:val="nil"/>
              <w:tr2bl w:val="nil"/>
            </w:tcBorders>
            <w:vAlign w:val="center"/>
          </w:tcPr>
          <w:p>
            <w:pPr>
              <w:jc w:val="center"/>
              <w:textAlignment w:val="bottom"/>
              <w:rPr>
                <w:rFonts w:eastAsiaTheme="minorEastAsia"/>
                <w:szCs w:val="21"/>
              </w:rPr>
            </w:pPr>
            <w:r>
              <w:rPr>
                <w:rFonts w:eastAsiaTheme="minorEastAsia"/>
                <w:szCs w:val="21"/>
              </w:rPr>
              <w:t>343</w:t>
            </w:r>
          </w:p>
        </w:tc>
        <w:tc>
          <w:tcPr>
            <w:tcW w:w="624" w:type="pct"/>
            <w:tcBorders>
              <w:tl2br w:val="nil"/>
              <w:tr2bl w:val="nil"/>
            </w:tcBorders>
            <w:vAlign w:val="center"/>
          </w:tcPr>
          <w:p>
            <w:pPr>
              <w:jc w:val="center"/>
              <w:textAlignment w:val="bottom"/>
              <w:rPr>
                <w:rFonts w:eastAsiaTheme="minorEastAsia"/>
                <w:szCs w:val="21"/>
              </w:rPr>
            </w:pPr>
            <w:r>
              <w:rPr>
                <w:rFonts w:eastAsiaTheme="minorEastAsia"/>
                <w:szCs w:val="21"/>
              </w:rPr>
              <w:t>316</w:t>
            </w:r>
          </w:p>
        </w:tc>
        <w:tc>
          <w:tcPr>
            <w:tcW w:w="553" w:type="pct"/>
            <w:tcBorders>
              <w:tl2br w:val="nil"/>
              <w:tr2bl w:val="nil"/>
            </w:tcBorders>
            <w:vAlign w:val="center"/>
          </w:tcPr>
          <w:p>
            <w:pPr>
              <w:jc w:val="center"/>
              <w:rPr>
                <w:rFonts w:eastAsiaTheme="minorEastAsia"/>
                <w:szCs w:val="21"/>
              </w:rPr>
            </w:pPr>
            <w:r>
              <w:rPr>
                <w:rFonts w:eastAsiaTheme="minorEastAsia"/>
                <w:szCs w:val="21"/>
              </w:rPr>
              <w:t>/</w:t>
            </w:r>
          </w:p>
        </w:tc>
        <w:tc>
          <w:tcPr>
            <w:tcW w:w="685" w:type="pct"/>
            <w:tcBorders>
              <w:tl2br w:val="nil"/>
              <w:tr2bl w:val="nil"/>
            </w:tcBorders>
            <w:vAlign w:val="center"/>
          </w:tcPr>
          <w:p>
            <w:pPr>
              <w:jc w:val="center"/>
              <w:rPr>
                <w:rFonts w:eastAsiaTheme="minorEastAsia"/>
                <w:szCs w:val="21"/>
              </w:rPr>
            </w:pPr>
            <w:r>
              <w:rPr>
                <w:rFonts w:hAnsiTheme="minorEastAsia" w:eastAsiaTheme="minorEastAsia"/>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tcBorders>
              <w:tl2br w:val="nil"/>
              <w:tr2bl w:val="nil"/>
            </w:tcBorders>
            <w:vAlign w:val="center"/>
          </w:tcPr>
          <w:p>
            <w:pPr>
              <w:jc w:val="center"/>
              <w:rPr>
                <w:rFonts w:eastAsiaTheme="minorEastAsia"/>
                <w:szCs w:val="21"/>
              </w:rPr>
            </w:pPr>
            <w:r>
              <w:rPr>
                <w:rFonts w:eastAsiaTheme="minorEastAsia"/>
                <w:szCs w:val="21"/>
              </w:rPr>
              <w:t>7</w:t>
            </w:r>
          </w:p>
        </w:tc>
        <w:tc>
          <w:tcPr>
            <w:tcW w:w="1136" w:type="pct"/>
            <w:tcBorders>
              <w:tl2br w:val="nil"/>
              <w:tr2bl w:val="nil"/>
            </w:tcBorders>
            <w:vAlign w:val="center"/>
          </w:tcPr>
          <w:p>
            <w:pPr>
              <w:widowControl/>
              <w:ind w:left="-42" w:leftChars="-20" w:right="-42" w:rightChars="-20"/>
              <w:jc w:val="center"/>
              <w:textAlignment w:val="center"/>
              <w:rPr>
                <w:rFonts w:eastAsiaTheme="minorEastAsia"/>
                <w:szCs w:val="21"/>
              </w:rPr>
            </w:pPr>
            <w:r>
              <w:rPr>
                <w:rFonts w:eastAsiaTheme="minorEastAsia"/>
                <w:szCs w:val="21"/>
              </w:rPr>
              <w:t>Cl</w:t>
            </w:r>
            <w:r>
              <w:rPr>
                <w:rFonts w:eastAsiaTheme="minorEastAsia"/>
                <w:szCs w:val="21"/>
                <w:vertAlign w:val="superscript"/>
              </w:rPr>
              <w:t>-</w:t>
            </w:r>
          </w:p>
        </w:tc>
        <w:tc>
          <w:tcPr>
            <w:tcW w:w="499" w:type="pct"/>
            <w:tcBorders>
              <w:tl2br w:val="nil"/>
              <w:tr2bl w:val="nil"/>
            </w:tcBorders>
            <w:vAlign w:val="center"/>
          </w:tcPr>
          <w:p>
            <w:pPr>
              <w:widowControl/>
              <w:spacing w:line="240" w:lineRule="exact"/>
              <w:jc w:val="center"/>
              <w:rPr>
                <w:rFonts w:eastAsiaTheme="minorEastAsia"/>
                <w:kern w:val="0"/>
                <w:szCs w:val="21"/>
              </w:rPr>
            </w:pPr>
            <w:r>
              <w:rPr>
                <w:rFonts w:eastAsiaTheme="minorEastAsia"/>
                <w:kern w:val="0"/>
                <w:szCs w:val="21"/>
              </w:rPr>
              <w:t>mg/L</w:t>
            </w:r>
          </w:p>
        </w:tc>
        <w:tc>
          <w:tcPr>
            <w:tcW w:w="582" w:type="pct"/>
            <w:tcBorders>
              <w:tl2br w:val="nil"/>
              <w:tr2bl w:val="nil"/>
            </w:tcBorders>
            <w:vAlign w:val="center"/>
          </w:tcPr>
          <w:p>
            <w:pPr>
              <w:jc w:val="center"/>
              <w:textAlignment w:val="bottom"/>
              <w:rPr>
                <w:rFonts w:eastAsiaTheme="minorEastAsia"/>
                <w:szCs w:val="21"/>
              </w:rPr>
            </w:pPr>
            <w:r>
              <w:rPr>
                <w:rFonts w:eastAsiaTheme="minorEastAsia"/>
                <w:szCs w:val="21"/>
              </w:rPr>
              <w:t>6.15</w:t>
            </w:r>
          </w:p>
        </w:tc>
        <w:tc>
          <w:tcPr>
            <w:tcW w:w="498" w:type="pct"/>
            <w:tcBorders>
              <w:tl2br w:val="nil"/>
              <w:tr2bl w:val="nil"/>
            </w:tcBorders>
            <w:vAlign w:val="center"/>
          </w:tcPr>
          <w:p>
            <w:pPr>
              <w:jc w:val="center"/>
              <w:textAlignment w:val="bottom"/>
              <w:rPr>
                <w:rFonts w:eastAsiaTheme="minorEastAsia"/>
                <w:szCs w:val="21"/>
              </w:rPr>
            </w:pPr>
            <w:r>
              <w:rPr>
                <w:rFonts w:eastAsiaTheme="minorEastAsia"/>
                <w:szCs w:val="21"/>
              </w:rPr>
              <w:t>7.24</w:t>
            </w:r>
          </w:p>
        </w:tc>
        <w:tc>
          <w:tcPr>
            <w:tcW w:w="624" w:type="pct"/>
            <w:tcBorders>
              <w:tl2br w:val="nil"/>
              <w:tr2bl w:val="nil"/>
            </w:tcBorders>
            <w:vAlign w:val="center"/>
          </w:tcPr>
          <w:p>
            <w:pPr>
              <w:jc w:val="center"/>
              <w:textAlignment w:val="bottom"/>
              <w:rPr>
                <w:rFonts w:eastAsiaTheme="minorEastAsia"/>
                <w:szCs w:val="21"/>
              </w:rPr>
            </w:pPr>
            <w:r>
              <w:rPr>
                <w:rFonts w:eastAsiaTheme="minorEastAsia"/>
                <w:szCs w:val="21"/>
              </w:rPr>
              <w:t>6.99</w:t>
            </w:r>
          </w:p>
        </w:tc>
        <w:tc>
          <w:tcPr>
            <w:tcW w:w="553" w:type="pct"/>
            <w:tcBorders>
              <w:tl2br w:val="nil"/>
              <w:tr2bl w:val="nil"/>
            </w:tcBorders>
            <w:vAlign w:val="center"/>
          </w:tcPr>
          <w:p>
            <w:pPr>
              <w:jc w:val="center"/>
              <w:rPr>
                <w:rFonts w:eastAsiaTheme="minorEastAsia"/>
                <w:szCs w:val="21"/>
              </w:rPr>
            </w:pPr>
            <w:r>
              <w:rPr>
                <w:rFonts w:eastAsiaTheme="minorEastAsia"/>
                <w:szCs w:val="21"/>
              </w:rPr>
              <w:t>250</w:t>
            </w:r>
          </w:p>
        </w:tc>
        <w:tc>
          <w:tcPr>
            <w:tcW w:w="685" w:type="pct"/>
            <w:tcBorders>
              <w:tl2br w:val="nil"/>
              <w:tr2bl w:val="nil"/>
            </w:tcBorders>
            <w:vAlign w:val="center"/>
          </w:tcPr>
          <w:p>
            <w:pPr>
              <w:jc w:val="center"/>
              <w:rPr>
                <w:rFonts w:eastAsiaTheme="minorEastAsia"/>
                <w:szCs w:val="21"/>
              </w:rPr>
            </w:pPr>
            <w:r>
              <w:rPr>
                <w:rFonts w:hAnsiTheme="minorEastAsia" w:eastAsiaTheme="minorEastAsia"/>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tcBorders>
              <w:tl2br w:val="nil"/>
              <w:tr2bl w:val="nil"/>
            </w:tcBorders>
            <w:vAlign w:val="center"/>
          </w:tcPr>
          <w:p>
            <w:pPr>
              <w:jc w:val="center"/>
              <w:rPr>
                <w:rFonts w:eastAsiaTheme="minorEastAsia"/>
                <w:szCs w:val="21"/>
              </w:rPr>
            </w:pPr>
            <w:r>
              <w:rPr>
                <w:rFonts w:eastAsiaTheme="minorEastAsia"/>
                <w:szCs w:val="21"/>
              </w:rPr>
              <w:t>8</w:t>
            </w:r>
          </w:p>
        </w:tc>
        <w:tc>
          <w:tcPr>
            <w:tcW w:w="1136" w:type="pct"/>
            <w:tcBorders>
              <w:tl2br w:val="nil"/>
              <w:tr2bl w:val="nil"/>
            </w:tcBorders>
            <w:vAlign w:val="center"/>
          </w:tcPr>
          <w:p>
            <w:pPr>
              <w:spacing w:line="260" w:lineRule="exact"/>
              <w:jc w:val="center"/>
              <w:rPr>
                <w:rFonts w:eastAsiaTheme="minorEastAsia"/>
                <w:szCs w:val="21"/>
              </w:rPr>
            </w:pPr>
            <w:r>
              <w:rPr>
                <w:rFonts w:eastAsiaTheme="minorEastAsia"/>
                <w:szCs w:val="21"/>
              </w:rPr>
              <w:t>SO</w:t>
            </w:r>
            <w:r>
              <w:rPr>
                <w:rFonts w:eastAsiaTheme="minorEastAsia"/>
                <w:szCs w:val="21"/>
                <w:vertAlign w:val="subscript"/>
              </w:rPr>
              <w:t>4</w:t>
            </w:r>
            <w:r>
              <w:rPr>
                <w:rFonts w:eastAsiaTheme="minorEastAsia"/>
                <w:szCs w:val="21"/>
                <w:vertAlign w:val="superscript"/>
              </w:rPr>
              <w:t>2-</w:t>
            </w:r>
          </w:p>
        </w:tc>
        <w:tc>
          <w:tcPr>
            <w:tcW w:w="499" w:type="pct"/>
            <w:tcBorders>
              <w:tl2br w:val="nil"/>
              <w:tr2bl w:val="nil"/>
            </w:tcBorders>
            <w:vAlign w:val="center"/>
          </w:tcPr>
          <w:p>
            <w:pPr>
              <w:widowControl/>
              <w:spacing w:line="240" w:lineRule="exact"/>
              <w:jc w:val="center"/>
              <w:rPr>
                <w:rFonts w:eastAsiaTheme="minorEastAsia"/>
                <w:kern w:val="0"/>
                <w:szCs w:val="21"/>
              </w:rPr>
            </w:pPr>
            <w:r>
              <w:rPr>
                <w:rFonts w:eastAsiaTheme="minorEastAsia"/>
                <w:kern w:val="0"/>
                <w:szCs w:val="21"/>
              </w:rPr>
              <w:t>mg/L</w:t>
            </w:r>
          </w:p>
        </w:tc>
        <w:tc>
          <w:tcPr>
            <w:tcW w:w="582" w:type="pct"/>
            <w:tcBorders>
              <w:tl2br w:val="nil"/>
              <w:tr2bl w:val="nil"/>
            </w:tcBorders>
            <w:vAlign w:val="center"/>
          </w:tcPr>
          <w:p>
            <w:pPr>
              <w:jc w:val="center"/>
              <w:textAlignment w:val="bottom"/>
              <w:rPr>
                <w:rFonts w:eastAsiaTheme="minorEastAsia"/>
                <w:szCs w:val="21"/>
              </w:rPr>
            </w:pPr>
            <w:r>
              <w:rPr>
                <w:rFonts w:eastAsiaTheme="minorEastAsia"/>
                <w:szCs w:val="21"/>
              </w:rPr>
              <w:t>25.6</w:t>
            </w:r>
          </w:p>
        </w:tc>
        <w:tc>
          <w:tcPr>
            <w:tcW w:w="498" w:type="pct"/>
            <w:tcBorders>
              <w:tl2br w:val="nil"/>
              <w:tr2bl w:val="nil"/>
            </w:tcBorders>
            <w:vAlign w:val="center"/>
          </w:tcPr>
          <w:p>
            <w:pPr>
              <w:jc w:val="center"/>
              <w:textAlignment w:val="bottom"/>
              <w:rPr>
                <w:rFonts w:eastAsiaTheme="minorEastAsia"/>
                <w:szCs w:val="21"/>
              </w:rPr>
            </w:pPr>
            <w:r>
              <w:rPr>
                <w:rFonts w:eastAsiaTheme="minorEastAsia"/>
                <w:szCs w:val="21"/>
              </w:rPr>
              <w:t>25.5</w:t>
            </w:r>
          </w:p>
        </w:tc>
        <w:tc>
          <w:tcPr>
            <w:tcW w:w="624" w:type="pct"/>
            <w:tcBorders>
              <w:tl2br w:val="nil"/>
              <w:tr2bl w:val="nil"/>
            </w:tcBorders>
            <w:vAlign w:val="center"/>
          </w:tcPr>
          <w:p>
            <w:pPr>
              <w:jc w:val="center"/>
              <w:textAlignment w:val="bottom"/>
              <w:rPr>
                <w:rFonts w:eastAsiaTheme="minorEastAsia"/>
                <w:szCs w:val="21"/>
              </w:rPr>
            </w:pPr>
            <w:r>
              <w:rPr>
                <w:rFonts w:eastAsiaTheme="minorEastAsia"/>
                <w:szCs w:val="21"/>
              </w:rPr>
              <w:t>23.2</w:t>
            </w:r>
          </w:p>
        </w:tc>
        <w:tc>
          <w:tcPr>
            <w:tcW w:w="553" w:type="pct"/>
            <w:tcBorders>
              <w:tl2br w:val="nil"/>
              <w:tr2bl w:val="nil"/>
            </w:tcBorders>
            <w:vAlign w:val="center"/>
          </w:tcPr>
          <w:p>
            <w:pPr>
              <w:jc w:val="center"/>
              <w:rPr>
                <w:rFonts w:eastAsiaTheme="minorEastAsia"/>
                <w:szCs w:val="21"/>
              </w:rPr>
            </w:pPr>
            <w:r>
              <w:rPr>
                <w:rFonts w:eastAsiaTheme="minorEastAsia"/>
                <w:szCs w:val="21"/>
              </w:rPr>
              <w:t>250</w:t>
            </w:r>
          </w:p>
        </w:tc>
        <w:tc>
          <w:tcPr>
            <w:tcW w:w="685" w:type="pct"/>
            <w:tcBorders>
              <w:tl2br w:val="nil"/>
              <w:tr2bl w:val="nil"/>
            </w:tcBorders>
            <w:vAlign w:val="center"/>
          </w:tcPr>
          <w:p>
            <w:pPr>
              <w:jc w:val="center"/>
              <w:rPr>
                <w:rFonts w:eastAsiaTheme="minorEastAsia"/>
                <w:szCs w:val="21"/>
              </w:rPr>
            </w:pPr>
            <w:r>
              <w:rPr>
                <w:rFonts w:hAnsiTheme="minorEastAsia" w:eastAsiaTheme="minorEastAsia"/>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tcBorders>
              <w:tl2br w:val="nil"/>
              <w:tr2bl w:val="nil"/>
            </w:tcBorders>
            <w:vAlign w:val="center"/>
          </w:tcPr>
          <w:p>
            <w:pPr>
              <w:jc w:val="center"/>
              <w:rPr>
                <w:rFonts w:eastAsiaTheme="minorEastAsia"/>
                <w:szCs w:val="21"/>
              </w:rPr>
            </w:pPr>
            <w:r>
              <w:rPr>
                <w:rFonts w:eastAsiaTheme="minorEastAsia"/>
                <w:szCs w:val="21"/>
              </w:rPr>
              <w:t>9</w:t>
            </w:r>
          </w:p>
        </w:tc>
        <w:tc>
          <w:tcPr>
            <w:tcW w:w="1136" w:type="pct"/>
            <w:tcBorders>
              <w:tl2br w:val="nil"/>
              <w:tr2bl w:val="nil"/>
            </w:tcBorders>
            <w:vAlign w:val="center"/>
          </w:tcPr>
          <w:p>
            <w:pPr>
              <w:spacing w:line="240" w:lineRule="exact"/>
              <w:jc w:val="center"/>
              <w:rPr>
                <w:rFonts w:eastAsiaTheme="minorEastAsia"/>
                <w:szCs w:val="21"/>
              </w:rPr>
            </w:pPr>
            <w:r>
              <w:rPr>
                <w:rFonts w:eastAsiaTheme="minorEastAsia"/>
                <w:szCs w:val="21"/>
              </w:rPr>
              <w:t>pH</w:t>
            </w:r>
            <w:r>
              <w:rPr>
                <w:rFonts w:hAnsiTheme="minorEastAsia" w:eastAsiaTheme="minorEastAsia"/>
                <w:szCs w:val="21"/>
              </w:rPr>
              <w:t>值</w:t>
            </w:r>
          </w:p>
        </w:tc>
        <w:tc>
          <w:tcPr>
            <w:tcW w:w="499" w:type="pct"/>
            <w:tcBorders>
              <w:tl2br w:val="nil"/>
              <w:tr2bl w:val="nil"/>
            </w:tcBorders>
            <w:vAlign w:val="center"/>
          </w:tcPr>
          <w:p>
            <w:pPr>
              <w:widowControl/>
              <w:spacing w:line="240" w:lineRule="exact"/>
              <w:jc w:val="center"/>
              <w:rPr>
                <w:rFonts w:eastAsiaTheme="minorEastAsia"/>
                <w:kern w:val="0"/>
                <w:szCs w:val="21"/>
              </w:rPr>
            </w:pPr>
            <w:r>
              <w:rPr>
                <w:rFonts w:hAnsiTheme="minorEastAsia" w:eastAsiaTheme="minorEastAsia"/>
                <w:kern w:val="0"/>
                <w:szCs w:val="21"/>
              </w:rPr>
              <w:t>无量纲</w:t>
            </w:r>
          </w:p>
        </w:tc>
        <w:tc>
          <w:tcPr>
            <w:tcW w:w="582" w:type="pct"/>
            <w:tcBorders>
              <w:tl2br w:val="nil"/>
              <w:tr2bl w:val="nil"/>
            </w:tcBorders>
            <w:vAlign w:val="center"/>
          </w:tcPr>
          <w:p>
            <w:pPr>
              <w:jc w:val="center"/>
              <w:textAlignment w:val="bottom"/>
              <w:rPr>
                <w:rFonts w:eastAsiaTheme="minorEastAsia"/>
                <w:szCs w:val="21"/>
              </w:rPr>
            </w:pPr>
            <w:r>
              <w:rPr>
                <w:rFonts w:eastAsiaTheme="minorEastAsia"/>
                <w:szCs w:val="21"/>
              </w:rPr>
              <w:t>7.2</w:t>
            </w:r>
          </w:p>
        </w:tc>
        <w:tc>
          <w:tcPr>
            <w:tcW w:w="498" w:type="pct"/>
            <w:tcBorders>
              <w:tl2br w:val="nil"/>
              <w:tr2bl w:val="nil"/>
            </w:tcBorders>
            <w:vAlign w:val="center"/>
          </w:tcPr>
          <w:p>
            <w:pPr>
              <w:jc w:val="center"/>
              <w:textAlignment w:val="bottom"/>
              <w:rPr>
                <w:rFonts w:eastAsiaTheme="minorEastAsia"/>
                <w:szCs w:val="21"/>
              </w:rPr>
            </w:pPr>
            <w:r>
              <w:rPr>
                <w:rFonts w:eastAsiaTheme="minorEastAsia"/>
                <w:szCs w:val="21"/>
              </w:rPr>
              <w:t>7.3</w:t>
            </w:r>
          </w:p>
        </w:tc>
        <w:tc>
          <w:tcPr>
            <w:tcW w:w="624" w:type="pct"/>
            <w:tcBorders>
              <w:tl2br w:val="nil"/>
              <w:tr2bl w:val="nil"/>
            </w:tcBorders>
            <w:vAlign w:val="center"/>
          </w:tcPr>
          <w:p>
            <w:pPr>
              <w:jc w:val="center"/>
              <w:textAlignment w:val="bottom"/>
              <w:rPr>
                <w:rFonts w:eastAsiaTheme="minorEastAsia"/>
                <w:szCs w:val="21"/>
              </w:rPr>
            </w:pPr>
            <w:r>
              <w:rPr>
                <w:rFonts w:eastAsiaTheme="minorEastAsia"/>
                <w:szCs w:val="21"/>
              </w:rPr>
              <w:t>7.3</w:t>
            </w:r>
          </w:p>
        </w:tc>
        <w:tc>
          <w:tcPr>
            <w:tcW w:w="553" w:type="pct"/>
            <w:tcBorders>
              <w:tl2br w:val="nil"/>
              <w:tr2bl w:val="nil"/>
            </w:tcBorders>
            <w:vAlign w:val="center"/>
          </w:tcPr>
          <w:p>
            <w:pPr>
              <w:jc w:val="center"/>
              <w:rPr>
                <w:rFonts w:eastAsiaTheme="minorEastAsia"/>
                <w:szCs w:val="21"/>
              </w:rPr>
            </w:pPr>
            <w:r>
              <w:rPr>
                <w:rFonts w:eastAsiaTheme="minorEastAsia"/>
                <w:szCs w:val="21"/>
              </w:rPr>
              <w:t>6.5~8.5</w:t>
            </w:r>
          </w:p>
        </w:tc>
        <w:tc>
          <w:tcPr>
            <w:tcW w:w="685" w:type="pct"/>
            <w:tcBorders>
              <w:tl2br w:val="nil"/>
              <w:tr2bl w:val="nil"/>
            </w:tcBorders>
            <w:vAlign w:val="center"/>
          </w:tcPr>
          <w:p>
            <w:pPr>
              <w:jc w:val="center"/>
              <w:rPr>
                <w:rFonts w:eastAsiaTheme="minorEastAsia"/>
                <w:szCs w:val="21"/>
              </w:rPr>
            </w:pPr>
            <w:r>
              <w:rPr>
                <w:rFonts w:hAnsiTheme="minorEastAsia" w:eastAsiaTheme="minorEastAsia"/>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tcBorders>
              <w:tl2br w:val="nil"/>
              <w:tr2bl w:val="nil"/>
            </w:tcBorders>
            <w:vAlign w:val="center"/>
          </w:tcPr>
          <w:p>
            <w:pPr>
              <w:jc w:val="center"/>
              <w:rPr>
                <w:rFonts w:eastAsiaTheme="minorEastAsia"/>
                <w:szCs w:val="21"/>
              </w:rPr>
            </w:pPr>
            <w:r>
              <w:rPr>
                <w:rFonts w:eastAsiaTheme="minorEastAsia"/>
                <w:szCs w:val="21"/>
              </w:rPr>
              <w:t>10</w:t>
            </w:r>
          </w:p>
        </w:tc>
        <w:tc>
          <w:tcPr>
            <w:tcW w:w="1136" w:type="pct"/>
            <w:tcBorders>
              <w:tl2br w:val="nil"/>
              <w:tr2bl w:val="nil"/>
            </w:tcBorders>
            <w:vAlign w:val="center"/>
          </w:tcPr>
          <w:p>
            <w:pPr>
              <w:spacing w:line="240" w:lineRule="exact"/>
              <w:jc w:val="center"/>
              <w:rPr>
                <w:rFonts w:eastAsiaTheme="minorEastAsia"/>
                <w:szCs w:val="21"/>
              </w:rPr>
            </w:pPr>
            <w:r>
              <w:rPr>
                <w:rFonts w:hAnsiTheme="minorEastAsia" w:eastAsiaTheme="minorEastAsia"/>
                <w:szCs w:val="21"/>
              </w:rPr>
              <w:t>总硬度（以</w:t>
            </w:r>
            <w:r>
              <w:rPr>
                <w:rFonts w:eastAsiaTheme="minorEastAsia"/>
                <w:szCs w:val="21"/>
              </w:rPr>
              <w:t>CaCO</w:t>
            </w:r>
            <w:r>
              <w:rPr>
                <w:rFonts w:eastAsiaTheme="minorEastAsia"/>
                <w:szCs w:val="21"/>
                <w:vertAlign w:val="subscript"/>
              </w:rPr>
              <w:t>3</w:t>
            </w:r>
            <w:r>
              <w:rPr>
                <w:rFonts w:hAnsiTheme="minorEastAsia" w:eastAsiaTheme="minorEastAsia"/>
                <w:szCs w:val="21"/>
              </w:rPr>
              <w:t>）</w:t>
            </w:r>
          </w:p>
        </w:tc>
        <w:tc>
          <w:tcPr>
            <w:tcW w:w="499" w:type="pct"/>
            <w:tcBorders>
              <w:tl2br w:val="nil"/>
              <w:tr2bl w:val="nil"/>
            </w:tcBorders>
            <w:vAlign w:val="center"/>
          </w:tcPr>
          <w:p>
            <w:pPr>
              <w:widowControl/>
              <w:spacing w:line="240" w:lineRule="exact"/>
              <w:jc w:val="center"/>
              <w:rPr>
                <w:rFonts w:eastAsiaTheme="minorEastAsia"/>
                <w:kern w:val="0"/>
                <w:szCs w:val="21"/>
              </w:rPr>
            </w:pPr>
            <w:r>
              <w:rPr>
                <w:rFonts w:eastAsiaTheme="minorEastAsia"/>
                <w:kern w:val="0"/>
                <w:szCs w:val="21"/>
              </w:rPr>
              <w:t>mg/L</w:t>
            </w:r>
          </w:p>
        </w:tc>
        <w:tc>
          <w:tcPr>
            <w:tcW w:w="582" w:type="pct"/>
            <w:tcBorders>
              <w:tl2br w:val="nil"/>
              <w:tr2bl w:val="nil"/>
            </w:tcBorders>
            <w:vAlign w:val="center"/>
          </w:tcPr>
          <w:p>
            <w:pPr>
              <w:jc w:val="center"/>
              <w:textAlignment w:val="bottom"/>
              <w:rPr>
                <w:rFonts w:eastAsiaTheme="minorEastAsia"/>
                <w:szCs w:val="21"/>
              </w:rPr>
            </w:pPr>
            <w:r>
              <w:rPr>
                <w:rFonts w:eastAsiaTheme="minorEastAsia"/>
                <w:szCs w:val="21"/>
              </w:rPr>
              <w:t>277</w:t>
            </w:r>
          </w:p>
        </w:tc>
        <w:tc>
          <w:tcPr>
            <w:tcW w:w="498" w:type="pct"/>
            <w:tcBorders>
              <w:tl2br w:val="nil"/>
              <w:tr2bl w:val="nil"/>
            </w:tcBorders>
            <w:vAlign w:val="center"/>
          </w:tcPr>
          <w:p>
            <w:pPr>
              <w:jc w:val="center"/>
              <w:textAlignment w:val="bottom"/>
              <w:rPr>
                <w:rFonts w:eastAsiaTheme="minorEastAsia"/>
                <w:szCs w:val="21"/>
              </w:rPr>
            </w:pPr>
            <w:r>
              <w:rPr>
                <w:rFonts w:eastAsiaTheme="minorEastAsia"/>
                <w:szCs w:val="21"/>
              </w:rPr>
              <w:t>298</w:t>
            </w:r>
          </w:p>
        </w:tc>
        <w:tc>
          <w:tcPr>
            <w:tcW w:w="624" w:type="pct"/>
            <w:tcBorders>
              <w:tl2br w:val="nil"/>
              <w:tr2bl w:val="nil"/>
            </w:tcBorders>
            <w:vAlign w:val="center"/>
          </w:tcPr>
          <w:p>
            <w:pPr>
              <w:jc w:val="center"/>
              <w:textAlignment w:val="bottom"/>
              <w:rPr>
                <w:rFonts w:eastAsiaTheme="minorEastAsia"/>
                <w:szCs w:val="21"/>
              </w:rPr>
            </w:pPr>
            <w:r>
              <w:rPr>
                <w:rFonts w:eastAsiaTheme="minorEastAsia"/>
                <w:szCs w:val="21"/>
              </w:rPr>
              <w:t>272</w:t>
            </w:r>
          </w:p>
        </w:tc>
        <w:tc>
          <w:tcPr>
            <w:tcW w:w="553" w:type="pct"/>
            <w:tcBorders>
              <w:tl2br w:val="nil"/>
              <w:tr2bl w:val="nil"/>
            </w:tcBorders>
            <w:vAlign w:val="center"/>
          </w:tcPr>
          <w:p>
            <w:pPr>
              <w:jc w:val="center"/>
              <w:rPr>
                <w:rFonts w:eastAsiaTheme="minorEastAsia"/>
                <w:szCs w:val="21"/>
              </w:rPr>
            </w:pPr>
            <w:r>
              <w:rPr>
                <w:rFonts w:eastAsiaTheme="minorEastAsia"/>
                <w:szCs w:val="21"/>
              </w:rPr>
              <w:t>450</w:t>
            </w:r>
          </w:p>
        </w:tc>
        <w:tc>
          <w:tcPr>
            <w:tcW w:w="685" w:type="pct"/>
            <w:tcBorders>
              <w:tl2br w:val="nil"/>
              <w:tr2bl w:val="nil"/>
            </w:tcBorders>
            <w:vAlign w:val="center"/>
          </w:tcPr>
          <w:p>
            <w:pPr>
              <w:jc w:val="center"/>
              <w:rPr>
                <w:rFonts w:eastAsiaTheme="minorEastAsia"/>
                <w:szCs w:val="21"/>
              </w:rPr>
            </w:pPr>
            <w:r>
              <w:rPr>
                <w:rFonts w:hAnsiTheme="minorEastAsia" w:eastAsiaTheme="minorEastAsia"/>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tcBorders>
              <w:tl2br w:val="nil"/>
              <w:tr2bl w:val="nil"/>
            </w:tcBorders>
            <w:vAlign w:val="center"/>
          </w:tcPr>
          <w:p>
            <w:pPr>
              <w:jc w:val="center"/>
              <w:rPr>
                <w:rFonts w:eastAsiaTheme="minorEastAsia"/>
                <w:szCs w:val="21"/>
              </w:rPr>
            </w:pPr>
            <w:r>
              <w:rPr>
                <w:rFonts w:eastAsiaTheme="minorEastAsia"/>
                <w:szCs w:val="21"/>
              </w:rPr>
              <w:t>11</w:t>
            </w:r>
          </w:p>
        </w:tc>
        <w:tc>
          <w:tcPr>
            <w:tcW w:w="1136" w:type="pct"/>
            <w:tcBorders>
              <w:tl2br w:val="nil"/>
              <w:tr2bl w:val="nil"/>
            </w:tcBorders>
            <w:vAlign w:val="center"/>
          </w:tcPr>
          <w:p>
            <w:pPr>
              <w:spacing w:line="240" w:lineRule="exact"/>
              <w:jc w:val="center"/>
              <w:rPr>
                <w:rFonts w:eastAsiaTheme="minorEastAsia"/>
                <w:szCs w:val="21"/>
              </w:rPr>
            </w:pPr>
            <w:r>
              <w:rPr>
                <w:rFonts w:hAnsiTheme="minorEastAsia" w:eastAsiaTheme="minorEastAsia"/>
                <w:szCs w:val="21"/>
              </w:rPr>
              <w:t>耗氧量（以</w:t>
            </w:r>
            <w:r>
              <w:rPr>
                <w:rFonts w:eastAsiaTheme="minorEastAsia"/>
                <w:szCs w:val="21"/>
              </w:rPr>
              <w:t>O</w:t>
            </w:r>
            <w:r>
              <w:rPr>
                <w:rFonts w:eastAsiaTheme="minorEastAsia"/>
                <w:szCs w:val="21"/>
                <w:vertAlign w:val="subscript"/>
              </w:rPr>
              <w:t>2</w:t>
            </w:r>
            <w:r>
              <w:rPr>
                <w:rFonts w:hAnsiTheme="minorEastAsia" w:eastAsiaTheme="minorEastAsia"/>
                <w:szCs w:val="21"/>
              </w:rPr>
              <w:t>计）</w:t>
            </w:r>
          </w:p>
        </w:tc>
        <w:tc>
          <w:tcPr>
            <w:tcW w:w="499" w:type="pct"/>
            <w:tcBorders>
              <w:tl2br w:val="nil"/>
              <w:tr2bl w:val="nil"/>
            </w:tcBorders>
            <w:vAlign w:val="center"/>
          </w:tcPr>
          <w:p>
            <w:pPr>
              <w:widowControl/>
              <w:spacing w:line="240" w:lineRule="exact"/>
              <w:jc w:val="center"/>
              <w:rPr>
                <w:rFonts w:eastAsiaTheme="minorEastAsia"/>
                <w:kern w:val="0"/>
                <w:szCs w:val="21"/>
              </w:rPr>
            </w:pPr>
            <w:r>
              <w:rPr>
                <w:rFonts w:eastAsiaTheme="minorEastAsia"/>
                <w:kern w:val="0"/>
                <w:szCs w:val="21"/>
              </w:rPr>
              <w:t>mg/L</w:t>
            </w:r>
          </w:p>
        </w:tc>
        <w:tc>
          <w:tcPr>
            <w:tcW w:w="582" w:type="pct"/>
            <w:tcBorders>
              <w:tl2br w:val="nil"/>
              <w:tr2bl w:val="nil"/>
            </w:tcBorders>
            <w:vAlign w:val="center"/>
          </w:tcPr>
          <w:p>
            <w:pPr>
              <w:jc w:val="center"/>
              <w:textAlignment w:val="bottom"/>
              <w:rPr>
                <w:rFonts w:eastAsiaTheme="minorEastAsia"/>
                <w:szCs w:val="21"/>
              </w:rPr>
            </w:pPr>
            <w:r>
              <w:rPr>
                <w:rFonts w:eastAsiaTheme="minorEastAsia"/>
                <w:szCs w:val="21"/>
              </w:rPr>
              <w:t>0.7</w:t>
            </w:r>
          </w:p>
        </w:tc>
        <w:tc>
          <w:tcPr>
            <w:tcW w:w="498" w:type="pct"/>
            <w:tcBorders>
              <w:tl2br w:val="nil"/>
              <w:tr2bl w:val="nil"/>
            </w:tcBorders>
            <w:vAlign w:val="center"/>
          </w:tcPr>
          <w:p>
            <w:pPr>
              <w:jc w:val="center"/>
              <w:textAlignment w:val="bottom"/>
              <w:rPr>
                <w:rFonts w:eastAsiaTheme="minorEastAsia"/>
                <w:szCs w:val="21"/>
              </w:rPr>
            </w:pPr>
            <w:r>
              <w:rPr>
                <w:rFonts w:eastAsiaTheme="minorEastAsia"/>
                <w:szCs w:val="21"/>
              </w:rPr>
              <w:t>0.9</w:t>
            </w:r>
          </w:p>
        </w:tc>
        <w:tc>
          <w:tcPr>
            <w:tcW w:w="624" w:type="pct"/>
            <w:tcBorders>
              <w:tl2br w:val="nil"/>
              <w:tr2bl w:val="nil"/>
            </w:tcBorders>
            <w:vAlign w:val="center"/>
          </w:tcPr>
          <w:p>
            <w:pPr>
              <w:jc w:val="center"/>
              <w:textAlignment w:val="bottom"/>
              <w:rPr>
                <w:rFonts w:eastAsiaTheme="minorEastAsia"/>
                <w:szCs w:val="21"/>
              </w:rPr>
            </w:pPr>
            <w:r>
              <w:rPr>
                <w:rFonts w:eastAsiaTheme="minorEastAsia"/>
                <w:szCs w:val="21"/>
              </w:rPr>
              <w:t>0.8</w:t>
            </w:r>
          </w:p>
        </w:tc>
        <w:tc>
          <w:tcPr>
            <w:tcW w:w="553" w:type="pct"/>
            <w:tcBorders>
              <w:tl2br w:val="nil"/>
              <w:tr2bl w:val="nil"/>
            </w:tcBorders>
            <w:vAlign w:val="center"/>
          </w:tcPr>
          <w:p>
            <w:pPr>
              <w:jc w:val="center"/>
              <w:rPr>
                <w:rFonts w:eastAsiaTheme="minorEastAsia"/>
                <w:szCs w:val="21"/>
              </w:rPr>
            </w:pPr>
            <w:r>
              <w:rPr>
                <w:rFonts w:eastAsiaTheme="minorEastAsia"/>
                <w:szCs w:val="21"/>
              </w:rPr>
              <w:t>3.0</w:t>
            </w:r>
          </w:p>
        </w:tc>
        <w:tc>
          <w:tcPr>
            <w:tcW w:w="685" w:type="pct"/>
            <w:tcBorders>
              <w:tl2br w:val="nil"/>
              <w:tr2bl w:val="nil"/>
            </w:tcBorders>
            <w:vAlign w:val="center"/>
          </w:tcPr>
          <w:p>
            <w:pPr>
              <w:jc w:val="center"/>
              <w:rPr>
                <w:rFonts w:eastAsiaTheme="minorEastAsia"/>
                <w:szCs w:val="21"/>
              </w:rPr>
            </w:pPr>
            <w:r>
              <w:rPr>
                <w:rFonts w:hAnsiTheme="minorEastAsia" w:eastAsiaTheme="minorEastAsia"/>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tcBorders>
              <w:tl2br w:val="nil"/>
              <w:tr2bl w:val="nil"/>
            </w:tcBorders>
            <w:vAlign w:val="center"/>
          </w:tcPr>
          <w:p>
            <w:pPr>
              <w:jc w:val="center"/>
              <w:rPr>
                <w:rFonts w:eastAsiaTheme="minorEastAsia"/>
                <w:szCs w:val="21"/>
              </w:rPr>
            </w:pPr>
            <w:r>
              <w:rPr>
                <w:rFonts w:eastAsiaTheme="minorEastAsia"/>
                <w:szCs w:val="21"/>
              </w:rPr>
              <w:t>12</w:t>
            </w:r>
          </w:p>
        </w:tc>
        <w:tc>
          <w:tcPr>
            <w:tcW w:w="1136" w:type="pct"/>
            <w:tcBorders>
              <w:tl2br w:val="nil"/>
              <w:tr2bl w:val="nil"/>
            </w:tcBorders>
            <w:vAlign w:val="center"/>
          </w:tcPr>
          <w:p>
            <w:pPr>
              <w:spacing w:line="240" w:lineRule="exact"/>
              <w:jc w:val="center"/>
              <w:rPr>
                <w:rFonts w:eastAsiaTheme="minorEastAsia"/>
                <w:szCs w:val="21"/>
              </w:rPr>
            </w:pPr>
            <w:r>
              <w:rPr>
                <w:rFonts w:hAnsiTheme="minorEastAsia" w:eastAsiaTheme="minorEastAsia"/>
                <w:szCs w:val="21"/>
              </w:rPr>
              <w:t>氨氮</w:t>
            </w:r>
          </w:p>
        </w:tc>
        <w:tc>
          <w:tcPr>
            <w:tcW w:w="499" w:type="pct"/>
            <w:tcBorders>
              <w:tl2br w:val="nil"/>
              <w:tr2bl w:val="nil"/>
            </w:tcBorders>
            <w:vAlign w:val="center"/>
          </w:tcPr>
          <w:p>
            <w:pPr>
              <w:widowControl/>
              <w:spacing w:line="240" w:lineRule="exact"/>
              <w:jc w:val="center"/>
              <w:rPr>
                <w:rFonts w:eastAsiaTheme="minorEastAsia"/>
                <w:kern w:val="0"/>
                <w:szCs w:val="21"/>
              </w:rPr>
            </w:pPr>
            <w:r>
              <w:rPr>
                <w:rFonts w:eastAsiaTheme="minorEastAsia"/>
                <w:kern w:val="0"/>
                <w:szCs w:val="21"/>
              </w:rPr>
              <w:t>mg/L</w:t>
            </w:r>
          </w:p>
        </w:tc>
        <w:tc>
          <w:tcPr>
            <w:tcW w:w="582" w:type="pct"/>
            <w:tcBorders>
              <w:tl2br w:val="nil"/>
              <w:tr2bl w:val="nil"/>
            </w:tcBorders>
            <w:vAlign w:val="center"/>
          </w:tcPr>
          <w:p>
            <w:pPr>
              <w:jc w:val="center"/>
              <w:textAlignment w:val="bottom"/>
              <w:rPr>
                <w:rFonts w:eastAsiaTheme="minorEastAsia"/>
                <w:szCs w:val="21"/>
              </w:rPr>
            </w:pPr>
            <w:r>
              <w:rPr>
                <w:rFonts w:eastAsiaTheme="minorEastAsia"/>
                <w:szCs w:val="21"/>
              </w:rPr>
              <w:t>0.025L</w:t>
            </w:r>
          </w:p>
        </w:tc>
        <w:tc>
          <w:tcPr>
            <w:tcW w:w="498" w:type="pct"/>
            <w:tcBorders>
              <w:tl2br w:val="nil"/>
              <w:tr2bl w:val="nil"/>
            </w:tcBorders>
            <w:vAlign w:val="center"/>
          </w:tcPr>
          <w:p>
            <w:pPr>
              <w:jc w:val="center"/>
              <w:textAlignment w:val="bottom"/>
              <w:rPr>
                <w:rFonts w:eastAsiaTheme="minorEastAsia"/>
                <w:szCs w:val="21"/>
              </w:rPr>
            </w:pPr>
            <w:r>
              <w:rPr>
                <w:rFonts w:eastAsiaTheme="minorEastAsia"/>
                <w:szCs w:val="21"/>
              </w:rPr>
              <w:t>0.025L</w:t>
            </w:r>
          </w:p>
        </w:tc>
        <w:tc>
          <w:tcPr>
            <w:tcW w:w="624" w:type="pct"/>
            <w:tcBorders>
              <w:tl2br w:val="nil"/>
              <w:tr2bl w:val="nil"/>
            </w:tcBorders>
            <w:vAlign w:val="center"/>
          </w:tcPr>
          <w:p>
            <w:pPr>
              <w:jc w:val="center"/>
              <w:textAlignment w:val="bottom"/>
              <w:rPr>
                <w:rFonts w:eastAsiaTheme="minorEastAsia"/>
                <w:szCs w:val="21"/>
              </w:rPr>
            </w:pPr>
            <w:r>
              <w:rPr>
                <w:rFonts w:eastAsiaTheme="minorEastAsia"/>
                <w:szCs w:val="21"/>
              </w:rPr>
              <w:t>0.025L</w:t>
            </w:r>
          </w:p>
        </w:tc>
        <w:tc>
          <w:tcPr>
            <w:tcW w:w="553" w:type="pct"/>
            <w:tcBorders>
              <w:tl2br w:val="nil"/>
              <w:tr2bl w:val="nil"/>
            </w:tcBorders>
            <w:vAlign w:val="center"/>
          </w:tcPr>
          <w:p>
            <w:pPr>
              <w:jc w:val="center"/>
              <w:rPr>
                <w:rFonts w:eastAsiaTheme="minorEastAsia"/>
                <w:szCs w:val="21"/>
              </w:rPr>
            </w:pPr>
            <w:r>
              <w:rPr>
                <w:rFonts w:eastAsiaTheme="minorEastAsia"/>
                <w:szCs w:val="21"/>
              </w:rPr>
              <w:t>0.5</w:t>
            </w:r>
          </w:p>
        </w:tc>
        <w:tc>
          <w:tcPr>
            <w:tcW w:w="685" w:type="pct"/>
            <w:tcBorders>
              <w:tl2br w:val="nil"/>
              <w:tr2bl w:val="nil"/>
            </w:tcBorders>
            <w:vAlign w:val="center"/>
          </w:tcPr>
          <w:p>
            <w:pPr>
              <w:jc w:val="center"/>
              <w:rPr>
                <w:rFonts w:eastAsiaTheme="minorEastAsia"/>
                <w:szCs w:val="21"/>
              </w:rPr>
            </w:pPr>
            <w:r>
              <w:rPr>
                <w:rFonts w:hAnsiTheme="minorEastAsia" w:eastAsiaTheme="minorEastAsia"/>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tcBorders>
              <w:tl2br w:val="nil"/>
              <w:tr2bl w:val="nil"/>
            </w:tcBorders>
            <w:vAlign w:val="center"/>
          </w:tcPr>
          <w:p>
            <w:pPr>
              <w:jc w:val="center"/>
              <w:rPr>
                <w:rFonts w:eastAsiaTheme="minorEastAsia"/>
                <w:szCs w:val="21"/>
              </w:rPr>
            </w:pPr>
            <w:r>
              <w:rPr>
                <w:rFonts w:eastAsiaTheme="minorEastAsia"/>
                <w:szCs w:val="21"/>
              </w:rPr>
              <w:t>13</w:t>
            </w:r>
          </w:p>
        </w:tc>
        <w:tc>
          <w:tcPr>
            <w:tcW w:w="1136" w:type="pct"/>
            <w:tcBorders>
              <w:tl2br w:val="nil"/>
              <w:tr2bl w:val="nil"/>
            </w:tcBorders>
            <w:vAlign w:val="center"/>
          </w:tcPr>
          <w:p>
            <w:pPr>
              <w:spacing w:line="240" w:lineRule="exact"/>
              <w:jc w:val="center"/>
              <w:rPr>
                <w:rFonts w:eastAsiaTheme="minorEastAsia"/>
                <w:szCs w:val="21"/>
              </w:rPr>
            </w:pPr>
            <w:r>
              <w:rPr>
                <w:rFonts w:hAnsiTheme="minorEastAsia" w:eastAsiaTheme="minorEastAsia"/>
                <w:szCs w:val="21"/>
              </w:rPr>
              <w:t>硝酸盐（以</w:t>
            </w:r>
            <w:r>
              <w:rPr>
                <w:rFonts w:eastAsiaTheme="minorEastAsia"/>
                <w:szCs w:val="21"/>
              </w:rPr>
              <w:t>N</w:t>
            </w:r>
            <w:r>
              <w:rPr>
                <w:rFonts w:hAnsiTheme="minorEastAsia" w:eastAsiaTheme="minorEastAsia"/>
                <w:szCs w:val="21"/>
              </w:rPr>
              <w:t>计）</w:t>
            </w:r>
          </w:p>
        </w:tc>
        <w:tc>
          <w:tcPr>
            <w:tcW w:w="499" w:type="pct"/>
            <w:tcBorders>
              <w:tl2br w:val="nil"/>
              <w:tr2bl w:val="nil"/>
            </w:tcBorders>
            <w:vAlign w:val="center"/>
          </w:tcPr>
          <w:p>
            <w:pPr>
              <w:widowControl/>
              <w:spacing w:line="240" w:lineRule="exact"/>
              <w:jc w:val="center"/>
              <w:rPr>
                <w:rFonts w:eastAsiaTheme="minorEastAsia"/>
                <w:kern w:val="0"/>
                <w:szCs w:val="21"/>
              </w:rPr>
            </w:pPr>
            <w:r>
              <w:rPr>
                <w:rFonts w:eastAsiaTheme="minorEastAsia"/>
                <w:kern w:val="0"/>
                <w:szCs w:val="21"/>
              </w:rPr>
              <w:t>mg/L</w:t>
            </w:r>
          </w:p>
        </w:tc>
        <w:tc>
          <w:tcPr>
            <w:tcW w:w="582" w:type="pct"/>
            <w:tcBorders>
              <w:tl2br w:val="nil"/>
              <w:tr2bl w:val="nil"/>
            </w:tcBorders>
            <w:vAlign w:val="center"/>
          </w:tcPr>
          <w:p>
            <w:pPr>
              <w:jc w:val="center"/>
              <w:textAlignment w:val="bottom"/>
              <w:rPr>
                <w:rFonts w:eastAsiaTheme="minorEastAsia"/>
                <w:szCs w:val="21"/>
              </w:rPr>
            </w:pPr>
            <w:r>
              <w:rPr>
                <w:rFonts w:eastAsiaTheme="minorEastAsia"/>
                <w:szCs w:val="21"/>
              </w:rPr>
              <w:t>0.388</w:t>
            </w:r>
          </w:p>
        </w:tc>
        <w:tc>
          <w:tcPr>
            <w:tcW w:w="498" w:type="pct"/>
            <w:tcBorders>
              <w:tl2br w:val="nil"/>
              <w:tr2bl w:val="nil"/>
            </w:tcBorders>
            <w:vAlign w:val="center"/>
          </w:tcPr>
          <w:p>
            <w:pPr>
              <w:jc w:val="center"/>
              <w:textAlignment w:val="bottom"/>
              <w:rPr>
                <w:rFonts w:eastAsiaTheme="minorEastAsia"/>
                <w:szCs w:val="21"/>
              </w:rPr>
            </w:pPr>
            <w:r>
              <w:rPr>
                <w:rFonts w:eastAsiaTheme="minorEastAsia"/>
                <w:szCs w:val="21"/>
              </w:rPr>
              <w:t>0.279</w:t>
            </w:r>
          </w:p>
        </w:tc>
        <w:tc>
          <w:tcPr>
            <w:tcW w:w="624" w:type="pct"/>
            <w:tcBorders>
              <w:tl2br w:val="nil"/>
              <w:tr2bl w:val="nil"/>
            </w:tcBorders>
            <w:vAlign w:val="center"/>
          </w:tcPr>
          <w:p>
            <w:pPr>
              <w:jc w:val="center"/>
              <w:textAlignment w:val="bottom"/>
              <w:rPr>
                <w:rFonts w:eastAsiaTheme="minorEastAsia"/>
                <w:szCs w:val="21"/>
              </w:rPr>
            </w:pPr>
            <w:r>
              <w:rPr>
                <w:rFonts w:eastAsiaTheme="minorEastAsia"/>
                <w:szCs w:val="21"/>
              </w:rPr>
              <w:t>0.375</w:t>
            </w:r>
          </w:p>
        </w:tc>
        <w:tc>
          <w:tcPr>
            <w:tcW w:w="553" w:type="pct"/>
            <w:tcBorders>
              <w:tl2br w:val="nil"/>
              <w:tr2bl w:val="nil"/>
            </w:tcBorders>
            <w:vAlign w:val="center"/>
          </w:tcPr>
          <w:p>
            <w:pPr>
              <w:jc w:val="center"/>
              <w:rPr>
                <w:rFonts w:eastAsiaTheme="minorEastAsia"/>
                <w:szCs w:val="21"/>
              </w:rPr>
            </w:pPr>
            <w:r>
              <w:rPr>
                <w:rFonts w:eastAsiaTheme="minorEastAsia"/>
                <w:szCs w:val="21"/>
              </w:rPr>
              <w:t>20.0</w:t>
            </w:r>
          </w:p>
        </w:tc>
        <w:tc>
          <w:tcPr>
            <w:tcW w:w="685" w:type="pct"/>
            <w:tcBorders>
              <w:tl2br w:val="nil"/>
              <w:tr2bl w:val="nil"/>
            </w:tcBorders>
            <w:vAlign w:val="center"/>
          </w:tcPr>
          <w:p>
            <w:pPr>
              <w:jc w:val="center"/>
              <w:rPr>
                <w:rFonts w:eastAsiaTheme="minorEastAsia"/>
                <w:szCs w:val="21"/>
              </w:rPr>
            </w:pPr>
            <w:r>
              <w:rPr>
                <w:rFonts w:hAnsiTheme="minorEastAsia" w:eastAsiaTheme="minorEastAsia"/>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tcBorders>
              <w:tl2br w:val="nil"/>
              <w:tr2bl w:val="nil"/>
            </w:tcBorders>
            <w:vAlign w:val="center"/>
          </w:tcPr>
          <w:p>
            <w:pPr>
              <w:jc w:val="center"/>
              <w:rPr>
                <w:rFonts w:eastAsiaTheme="minorEastAsia"/>
                <w:szCs w:val="21"/>
              </w:rPr>
            </w:pPr>
            <w:r>
              <w:rPr>
                <w:rFonts w:eastAsiaTheme="minorEastAsia"/>
                <w:szCs w:val="21"/>
              </w:rPr>
              <w:t>14</w:t>
            </w:r>
          </w:p>
        </w:tc>
        <w:tc>
          <w:tcPr>
            <w:tcW w:w="1136" w:type="pct"/>
            <w:tcBorders>
              <w:tl2br w:val="nil"/>
              <w:tr2bl w:val="nil"/>
            </w:tcBorders>
            <w:vAlign w:val="center"/>
          </w:tcPr>
          <w:p>
            <w:pPr>
              <w:spacing w:line="240" w:lineRule="exact"/>
              <w:jc w:val="center"/>
              <w:rPr>
                <w:rFonts w:eastAsiaTheme="minorEastAsia"/>
                <w:szCs w:val="21"/>
              </w:rPr>
            </w:pPr>
            <w:r>
              <w:rPr>
                <w:rFonts w:hAnsiTheme="minorEastAsia" w:eastAsiaTheme="minorEastAsia"/>
                <w:szCs w:val="21"/>
              </w:rPr>
              <w:t>亚硝酸盐（以</w:t>
            </w:r>
            <w:r>
              <w:rPr>
                <w:rFonts w:eastAsiaTheme="minorEastAsia"/>
                <w:szCs w:val="21"/>
              </w:rPr>
              <w:t>N</w:t>
            </w:r>
            <w:r>
              <w:rPr>
                <w:rFonts w:hAnsiTheme="minorEastAsia" w:eastAsiaTheme="minorEastAsia"/>
                <w:szCs w:val="21"/>
              </w:rPr>
              <w:t>计）</w:t>
            </w:r>
          </w:p>
        </w:tc>
        <w:tc>
          <w:tcPr>
            <w:tcW w:w="499" w:type="pct"/>
            <w:tcBorders>
              <w:tl2br w:val="nil"/>
              <w:tr2bl w:val="nil"/>
            </w:tcBorders>
            <w:vAlign w:val="center"/>
          </w:tcPr>
          <w:p>
            <w:pPr>
              <w:widowControl/>
              <w:spacing w:line="240" w:lineRule="exact"/>
              <w:jc w:val="center"/>
              <w:rPr>
                <w:rFonts w:eastAsiaTheme="minorEastAsia"/>
                <w:kern w:val="0"/>
                <w:szCs w:val="21"/>
              </w:rPr>
            </w:pPr>
            <w:r>
              <w:rPr>
                <w:rFonts w:eastAsiaTheme="minorEastAsia"/>
                <w:kern w:val="0"/>
                <w:szCs w:val="21"/>
              </w:rPr>
              <w:t>mg/L</w:t>
            </w:r>
          </w:p>
        </w:tc>
        <w:tc>
          <w:tcPr>
            <w:tcW w:w="582" w:type="pct"/>
            <w:tcBorders>
              <w:tl2br w:val="nil"/>
              <w:tr2bl w:val="nil"/>
            </w:tcBorders>
            <w:vAlign w:val="center"/>
          </w:tcPr>
          <w:p>
            <w:pPr>
              <w:jc w:val="center"/>
              <w:textAlignment w:val="bottom"/>
              <w:rPr>
                <w:rFonts w:eastAsiaTheme="minorEastAsia"/>
                <w:szCs w:val="21"/>
              </w:rPr>
            </w:pPr>
            <w:r>
              <w:rPr>
                <w:rFonts w:eastAsiaTheme="minorEastAsia"/>
                <w:szCs w:val="21"/>
              </w:rPr>
              <w:t>0.016L</w:t>
            </w:r>
          </w:p>
        </w:tc>
        <w:tc>
          <w:tcPr>
            <w:tcW w:w="498" w:type="pct"/>
            <w:tcBorders>
              <w:tl2br w:val="nil"/>
              <w:tr2bl w:val="nil"/>
            </w:tcBorders>
            <w:vAlign w:val="center"/>
          </w:tcPr>
          <w:p>
            <w:pPr>
              <w:jc w:val="center"/>
              <w:textAlignment w:val="bottom"/>
              <w:rPr>
                <w:rFonts w:eastAsiaTheme="minorEastAsia"/>
                <w:szCs w:val="21"/>
              </w:rPr>
            </w:pPr>
            <w:r>
              <w:rPr>
                <w:rFonts w:eastAsiaTheme="minorEastAsia"/>
                <w:szCs w:val="21"/>
              </w:rPr>
              <w:t>0.016L</w:t>
            </w:r>
          </w:p>
        </w:tc>
        <w:tc>
          <w:tcPr>
            <w:tcW w:w="624" w:type="pct"/>
            <w:tcBorders>
              <w:tl2br w:val="nil"/>
              <w:tr2bl w:val="nil"/>
            </w:tcBorders>
            <w:vAlign w:val="center"/>
          </w:tcPr>
          <w:p>
            <w:pPr>
              <w:jc w:val="center"/>
              <w:textAlignment w:val="bottom"/>
              <w:rPr>
                <w:rFonts w:eastAsiaTheme="minorEastAsia"/>
                <w:szCs w:val="21"/>
              </w:rPr>
            </w:pPr>
            <w:r>
              <w:rPr>
                <w:rFonts w:eastAsiaTheme="minorEastAsia"/>
                <w:szCs w:val="21"/>
              </w:rPr>
              <w:t>0.016L</w:t>
            </w:r>
          </w:p>
        </w:tc>
        <w:tc>
          <w:tcPr>
            <w:tcW w:w="553" w:type="pct"/>
            <w:tcBorders>
              <w:tl2br w:val="nil"/>
              <w:tr2bl w:val="nil"/>
            </w:tcBorders>
            <w:vAlign w:val="center"/>
          </w:tcPr>
          <w:p>
            <w:pPr>
              <w:jc w:val="center"/>
              <w:rPr>
                <w:rFonts w:eastAsiaTheme="minorEastAsia"/>
                <w:szCs w:val="21"/>
              </w:rPr>
            </w:pPr>
            <w:r>
              <w:rPr>
                <w:rFonts w:eastAsiaTheme="minorEastAsia"/>
                <w:szCs w:val="21"/>
              </w:rPr>
              <w:t>1.0</w:t>
            </w:r>
          </w:p>
        </w:tc>
        <w:tc>
          <w:tcPr>
            <w:tcW w:w="685" w:type="pct"/>
            <w:tcBorders>
              <w:tl2br w:val="nil"/>
              <w:tr2bl w:val="nil"/>
            </w:tcBorders>
            <w:vAlign w:val="center"/>
          </w:tcPr>
          <w:p>
            <w:pPr>
              <w:jc w:val="center"/>
              <w:rPr>
                <w:rFonts w:eastAsiaTheme="minorEastAsia"/>
                <w:szCs w:val="21"/>
              </w:rPr>
            </w:pPr>
            <w:r>
              <w:rPr>
                <w:rFonts w:hAnsiTheme="minorEastAsia" w:eastAsiaTheme="minorEastAsia"/>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3" w:type="pct"/>
            <w:tcBorders>
              <w:tl2br w:val="nil"/>
              <w:tr2bl w:val="nil"/>
            </w:tcBorders>
            <w:vAlign w:val="center"/>
          </w:tcPr>
          <w:p>
            <w:pPr>
              <w:jc w:val="center"/>
              <w:rPr>
                <w:rFonts w:eastAsiaTheme="minorEastAsia"/>
                <w:szCs w:val="21"/>
              </w:rPr>
            </w:pPr>
            <w:r>
              <w:rPr>
                <w:rFonts w:eastAsiaTheme="minorEastAsia"/>
                <w:szCs w:val="21"/>
              </w:rPr>
              <w:t>15</w:t>
            </w:r>
          </w:p>
        </w:tc>
        <w:tc>
          <w:tcPr>
            <w:tcW w:w="1136" w:type="pct"/>
            <w:tcBorders>
              <w:tl2br w:val="nil"/>
              <w:tr2bl w:val="nil"/>
            </w:tcBorders>
            <w:vAlign w:val="center"/>
          </w:tcPr>
          <w:p>
            <w:pPr>
              <w:spacing w:line="240" w:lineRule="exact"/>
              <w:jc w:val="center"/>
              <w:rPr>
                <w:rFonts w:eastAsiaTheme="minorEastAsia"/>
                <w:szCs w:val="21"/>
              </w:rPr>
            </w:pPr>
            <w:r>
              <w:rPr>
                <w:rFonts w:hAnsiTheme="minorEastAsia" w:eastAsiaTheme="minorEastAsia"/>
                <w:szCs w:val="21"/>
              </w:rPr>
              <w:t>总大肠菌群</w:t>
            </w:r>
          </w:p>
        </w:tc>
        <w:tc>
          <w:tcPr>
            <w:tcW w:w="499" w:type="pct"/>
            <w:tcBorders>
              <w:tl2br w:val="nil"/>
              <w:tr2bl w:val="nil"/>
            </w:tcBorders>
            <w:vAlign w:val="center"/>
          </w:tcPr>
          <w:p>
            <w:pPr>
              <w:widowControl/>
              <w:spacing w:line="240" w:lineRule="exact"/>
              <w:ind w:left="-105" w:leftChars="-50" w:right="-105" w:rightChars="-50"/>
              <w:jc w:val="center"/>
              <w:rPr>
                <w:rFonts w:eastAsiaTheme="minorEastAsia"/>
                <w:kern w:val="0"/>
                <w:szCs w:val="21"/>
              </w:rPr>
            </w:pPr>
            <w:r>
              <w:rPr>
                <w:rFonts w:eastAsiaTheme="minorEastAsia"/>
                <w:kern w:val="0"/>
                <w:szCs w:val="21"/>
              </w:rPr>
              <w:t>MPN</w:t>
            </w:r>
            <w:r>
              <w:rPr>
                <w:rFonts w:eastAsiaTheme="minorEastAsia"/>
                <w:kern w:val="0"/>
                <w:szCs w:val="21"/>
                <w:vertAlign w:val="superscript"/>
              </w:rPr>
              <w:t>b</w:t>
            </w:r>
            <w:r>
              <w:rPr>
                <w:rFonts w:eastAsiaTheme="minorEastAsia"/>
                <w:kern w:val="0"/>
                <w:szCs w:val="21"/>
              </w:rPr>
              <w:t>/100mL</w:t>
            </w:r>
          </w:p>
        </w:tc>
        <w:tc>
          <w:tcPr>
            <w:tcW w:w="582" w:type="pct"/>
            <w:tcBorders>
              <w:tl2br w:val="nil"/>
              <w:tr2bl w:val="nil"/>
            </w:tcBorders>
            <w:vAlign w:val="center"/>
          </w:tcPr>
          <w:p>
            <w:pPr>
              <w:jc w:val="center"/>
              <w:textAlignment w:val="bottom"/>
              <w:rPr>
                <w:rFonts w:eastAsiaTheme="minorEastAsia"/>
                <w:szCs w:val="21"/>
              </w:rPr>
            </w:pPr>
            <w:r>
              <w:rPr>
                <w:rFonts w:hAnsiTheme="minorEastAsia" w:eastAsiaTheme="minorEastAsia"/>
                <w:szCs w:val="21"/>
              </w:rPr>
              <w:t>未检出</w:t>
            </w:r>
          </w:p>
        </w:tc>
        <w:tc>
          <w:tcPr>
            <w:tcW w:w="498" w:type="pct"/>
            <w:tcBorders>
              <w:tl2br w:val="nil"/>
              <w:tr2bl w:val="nil"/>
            </w:tcBorders>
            <w:vAlign w:val="center"/>
          </w:tcPr>
          <w:p>
            <w:pPr>
              <w:jc w:val="center"/>
              <w:textAlignment w:val="bottom"/>
              <w:rPr>
                <w:rFonts w:eastAsiaTheme="minorEastAsia"/>
                <w:szCs w:val="21"/>
              </w:rPr>
            </w:pPr>
            <w:r>
              <w:rPr>
                <w:rFonts w:hAnsiTheme="minorEastAsia" w:eastAsiaTheme="minorEastAsia"/>
                <w:szCs w:val="21"/>
              </w:rPr>
              <w:t>未检出</w:t>
            </w:r>
          </w:p>
        </w:tc>
        <w:tc>
          <w:tcPr>
            <w:tcW w:w="624" w:type="pct"/>
            <w:tcBorders>
              <w:tl2br w:val="nil"/>
              <w:tr2bl w:val="nil"/>
            </w:tcBorders>
            <w:vAlign w:val="center"/>
          </w:tcPr>
          <w:p>
            <w:pPr>
              <w:jc w:val="center"/>
              <w:textAlignment w:val="bottom"/>
              <w:rPr>
                <w:rFonts w:eastAsiaTheme="minorEastAsia"/>
                <w:szCs w:val="21"/>
              </w:rPr>
            </w:pPr>
            <w:r>
              <w:rPr>
                <w:rFonts w:hAnsiTheme="minorEastAsia" w:eastAsiaTheme="minorEastAsia"/>
                <w:szCs w:val="21"/>
              </w:rPr>
              <w:t>未检出</w:t>
            </w:r>
          </w:p>
        </w:tc>
        <w:tc>
          <w:tcPr>
            <w:tcW w:w="553" w:type="pct"/>
            <w:tcBorders>
              <w:tl2br w:val="nil"/>
              <w:tr2bl w:val="nil"/>
            </w:tcBorders>
            <w:vAlign w:val="center"/>
          </w:tcPr>
          <w:p>
            <w:pPr>
              <w:jc w:val="center"/>
              <w:rPr>
                <w:rFonts w:eastAsiaTheme="minorEastAsia"/>
                <w:szCs w:val="21"/>
              </w:rPr>
            </w:pPr>
            <w:r>
              <w:rPr>
                <w:rFonts w:eastAsiaTheme="minorEastAsia"/>
                <w:szCs w:val="21"/>
              </w:rPr>
              <w:t>3.0</w:t>
            </w:r>
          </w:p>
        </w:tc>
        <w:tc>
          <w:tcPr>
            <w:tcW w:w="685" w:type="pct"/>
            <w:tcBorders>
              <w:tl2br w:val="nil"/>
              <w:tr2bl w:val="nil"/>
            </w:tcBorders>
            <w:vAlign w:val="center"/>
          </w:tcPr>
          <w:p>
            <w:pPr>
              <w:jc w:val="center"/>
              <w:rPr>
                <w:rFonts w:eastAsiaTheme="minorEastAsia"/>
                <w:szCs w:val="21"/>
              </w:rPr>
            </w:pPr>
            <w:r>
              <w:rPr>
                <w:rFonts w:hAnsiTheme="minorEastAsia" w:eastAsiaTheme="minorEastAsia"/>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8"/>
            <w:tcBorders>
              <w:tl2br w:val="nil"/>
              <w:tr2bl w:val="nil"/>
            </w:tcBorders>
            <w:vAlign w:val="center"/>
          </w:tcPr>
          <w:p>
            <w:pPr>
              <w:jc w:val="left"/>
              <w:rPr>
                <w:rFonts w:hint="eastAsia" w:eastAsiaTheme="majorEastAsia"/>
                <w:szCs w:val="21"/>
                <w:lang w:eastAsia="zh-CN"/>
              </w:rPr>
            </w:pPr>
            <w:r>
              <w:rPr>
                <w:rFonts w:hAnsiTheme="minorEastAsia" w:eastAsiaTheme="minorEastAsia"/>
                <w:szCs w:val="21"/>
              </w:rPr>
              <w:t>注：检测数据后</w:t>
            </w:r>
            <w:r>
              <w:rPr>
                <w:rFonts w:asciiTheme="majorEastAsia" w:hAnsiTheme="majorEastAsia" w:eastAsiaTheme="majorEastAsia"/>
                <w:szCs w:val="21"/>
              </w:rPr>
              <w:t>加“</w:t>
            </w:r>
            <w:r>
              <w:rPr>
                <w:rFonts w:eastAsiaTheme="majorEastAsia"/>
                <w:szCs w:val="21"/>
              </w:rPr>
              <w:t>L</w:t>
            </w:r>
            <w:r>
              <w:rPr>
                <w:rFonts w:asciiTheme="majorEastAsia" w:hAnsiTheme="majorEastAsia" w:eastAsiaTheme="majorEastAsia"/>
                <w:szCs w:val="21"/>
              </w:rPr>
              <w:t>”</w:t>
            </w:r>
            <w:r>
              <w:rPr>
                <w:rFonts w:hint="eastAsia" w:asciiTheme="majorEastAsia" w:hAnsiTheme="majorEastAsia" w:eastAsiaTheme="majorEastAsia"/>
                <w:szCs w:val="21"/>
                <w:lang w:eastAsia="zh-CN"/>
              </w:rPr>
              <w:t>：</w:t>
            </w:r>
            <w:r>
              <w:rPr>
                <w:rFonts w:hint="eastAsia" w:asciiTheme="majorEastAsia" w:hAnsiTheme="majorEastAsia" w:eastAsiaTheme="majorEastAsia"/>
                <w:szCs w:val="21"/>
              </w:rPr>
              <w:t>该项目的检测结果低于该方法的检出限</w:t>
            </w:r>
            <w:r>
              <w:rPr>
                <w:rFonts w:hint="eastAsia" w:asciiTheme="majorEastAsia" w:hAnsiTheme="majorEastAsia" w:eastAsiaTheme="majorEastAsia"/>
                <w:szCs w:val="21"/>
                <w:lang w:eastAsia="zh-CN"/>
              </w:rPr>
              <w:t>。</w:t>
            </w:r>
          </w:p>
        </w:tc>
      </w:tr>
    </w:tbl>
    <w:p>
      <w:pPr>
        <w:spacing w:line="360" w:lineRule="auto"/>
        <w:ind w:firstLine="480" w:firstLineChars="200"/>
        <w:rPr>
          <w:sz w:val="24"/>
        </w:rPr>
      </w:pPr>
      <w:r>
        <w:rPr>
          <w:rFonts w:hint="eastAsia"/>
          <w:sz w:val="24"/>
        </w:rPr>
        <w:t>由上表可知，项目所在区域三个地下水监测点位各项</w:t>
      </w:r>
      <w:r>
        <w:rPr>
          <w:sz w:val="24"/>
        </w:rPr>
        <w:t>监测因子均符合《地下水环境质量标准》（GB/T14848-2017）中的</w:t>
      </w:r>
      <w:r>
        <w:rPr>
          <w:rFonts w:hint="eastAsia"/>
          <w:sz w:val="24"/>
        </w:rPr>
        <w:t>Ⅲ</w:t>
      </w:r>
      <w:r>
        <w:rPr>
          <w:sz w:val="24"/>
        </w:rPr>
        <w:t>类水质标准，评价区域地下水质量状况良好。</w:t>
      </w:r>
    </w:p>
    <w:p>
      <w:pPr>
        <w:pStyle w:val="7"/>
        <w:adjustRightInd w:val="0"/>
        <w:snapToGrid w:val="0"/>
        <w:spacing w:before="0" w:after="0" w:line="360" w:lineRule="auto"/>
        <w:jc w:val="left"/>
        <w:rPr>
          <w:sz w:val="24"/>
          <w:szCs w:val="24"/>
        </w:rPr>
      </w:pPr>
      <w:r>
        <w:rPr>
          <w:sz w:val="24"/>
          <w:szCs w:val="24"/>
        </w:rPr>
        <w:t>5.3.</w:t>
      </w:r>
      <w:r>
        <w:rPr>
          <w:rFonts w:hint="eastAsia"/>
          <w:sz w:val="24"/>
          <w:szCs w:val="24"/>
        </w:rPr>
        <w:t xml:space="preserve">2 </w:t>
      </w:r>
      <w:r>
        <w:rPr>
          <w:sz w:val="24"/>
          <w:szCs w:val="24"/>
        </w:rPr>
        <w:t>地下水水位监测</w:t>
      </w:r>
    </w:p>
    <w:p>
      <w:pPr>
        <w:pStyle w:val="243"/>
        <w:spacing w:line="360" w:lineRule="auto"/>
        <w:ind w:firstLine="480" w:firstLineChars="200"/>
        <w:rPr>
          <w:rFonts w:eastAsia="宋体" w:cs="Times New Roman"/>
          <w:color w:val="auto"/>
        </w:rPr>
      </w:pPr>
      <w:r>
        <w:rPr>
          <w:rFonts w:eastAsia="宋体" w:cs="Times New Roman"/>
          <w:color w:val="auto"/>
        </w:rPr>
        <w:t>本次地下水环境质量现状监测过程中，选取了</w:t>
      </w:r>
      <w:r>
        <w:rPr>
          <w:rFonts w:hint="eastAsia" w:eastAsia="宋体" w:cs="Times New Roman"/>
          <w:color w:val="auto"/>
        </w:rPr>
        <w:t>6个点位进行了地下水水位测量，并根据测量结果初步判定区域地下水流场为自西向东。地下水水位测量点位及结果见表5.3-2</w:t>
      </w:r>
      <w:r>
        <w:rPr>
          <w:rFonts w:eastAsia="宋体" w:cs="Times New Roman"/>
          <w:color w:val="auto"/>
        </w:rPr>
        <w:t>。</w:t>
      </w:r>
    </w:p>
    <w:p>
      <w:pPr>
        <w:pStyle w:val="17"/>
        <w:spacing w:beforeLines="50"/>
        <w:rPr>
          <w:rFonts w:ascii="Times New Roman" w:hAnsi="Times New Roman" w:cs="Times New Roman"/>
          <w:color w:val="auto"/>
          <w:sz w:val="21"/>
        </w:rPr>
      </w:pPr>
      <w:r>
        <w:rPr>
          <w:rFonts w:ascii="Times New Roman" w:hAnsi="Times New Roman" w:cs="Times New Roman"/>
          <w:color w:val="auto"/>
          <w:sz w:val="21"/>
        </w:rPr>
        <w:t>表5.3-</w:t>
      </w:r>
      <w:r>
        <w:rPr>
          <w:rFonts w:hint="eastAsia" w:ascii="Times New Roman" w:hAnsi="Times New Roman" w:cs="Times New Roman"/>
          <w:color w:val="auto"/>
          <w:sz w:val="21"/>
        </w:rPr>
        <w:t>2</w:t>
      </w:r>
      <w:r>
        <w:rPr>
          <w:rFonts w:ascii="Times New Roman" w:hAnsi="Times New Roman" w:cs="Times New Roman"/>
          <w:color w:val="auto"/>
          <w:sz w:val="21"/>
        </w:rPr>
        <w:t xml:space="preserve"> </w:t>
      </w:r>
      <w:r>
        <w:rPr>
          <w:rFonts w:hint="eastAsia" w:ascii="Times New Roman" w:hAnsi="Times New Roman" w:cs="Times New Roman"/>
          <w:color w:val="auto"/>
          <w:sz w:val="21"/>
        </w:rPr>
        <w:t xml:space="preserve"> </w:t>
      </w:r>
      <w:r>
        <w:rPr>
          <w:rFonts w:ascii="Times New Roman" w:hAnsi="Times New Roman" w:cs="Times New Roman"/>
          <w:color w:val="auto"/>
          <w:sz w:val="21"/>
        </w:rPr>
        <w:t>地下水水位现状监测结果</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28"/>
        <w:gridCol w:w="1525"/>
        <w:gridCol w:w="24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655" w:type="pct"/>
            <w:tcBorders>
              <w:tl2br w:val="nil"/>
              <w:tr2bl w:val="nil"/>
            </w:tcBorders>
            <w:vAlign w:val="center"/>
          </w:tcPr>
          <w:p>
            <w:pPr>
              <w:jc w:val="center"/>
              <w:rPr>
                <w:rFonts w:eastAsiaTheme="minorEastAsia"/>
                <w:b/>
                <w:szCs w:val="21"/>
              </w:rPr>
            </w:pPr>
            <w:r>
              <w:rPr>
                <w:rFonts w:hint="eastAsia" w:eastAsiaTheme="minorEastAsia"/>
                <w:b/>
                <w:szCs w:val="21"/>
              </w:rPr>
              <w:t>监测点位</w:t>
            </w:r>
          </w:p>
        </w:tc>
        <w:tc>
          <w:tcPr>
            <w:tcW w:w="894" w:type="pct"/>
            <w:tcBorders>
              <w:tl2br w:val="nil"/>
              <w:tr2bl w:val="nil"/>
            </w:tcBorders>
            <w:vAlign w:val="center"/>
          </w:tcPr>
          <w:p>
            <w:pPr>
              <w:jc w:val="center"/>
              <w:rPr>
                <w:rFonts w:eastAsiaTheme="minorEastAsia"/>
                <w:b/>
                <w:szCs w:val="21"/>
              </w:rPr>
            </w:pPr>
            <w:r>
              <w:rPr>
                <w:rFonts w:hAnsiTheme="minorEastAsia" w:eastAsiaTheme="minorEastAsia"/>
                <w:b/>
                <w:szCs w:val="21"/>
              </w:rPr>
              <w:t>埋深（</w:t>
            </w:r>
            <w:r>
              <w:rPr>
                <w:rFonts w:eastAsiaTheme="minorEastAsia"/>
                <w:b/>
                <w:szCs w:val="21"/>
              </w:rPr>
              <w:t>m</w:t>
            </w:r>
            <w:r>
              <w:rPr>
                <w:rFonts w:hAnsiTheme="minorEastAsia" w:eastAsiaTheme="minorEastAsia"/>
                <w:b/>
                <w:szCs w:val="21"/>
              </w:rPr>
              <w:t>）</w:t>
            </w:r>
          </w:p>
        </w:tc>
        <w:tc>
          <w:tcPr>
            <w:tcW w:w="1451" w:type="pct"/>
            <w:tcBorders>
              <w:tl2br w:val="nil"/>
              <w:tr2bl w:val="nil"/>
            </w:tcBorders>
            <w:vAlign w:val="center"/>
          </w:tcPr>
          <w:p>
            <w:pPr>
              <w:jc w:val="center"/>
              <w:rPr>
                <w:rFonts w:eastAsiaTheme="minorEastAsia"/>
                <w:b/>
                <w:szCs w:val="21"/>
              </w:rPr>
            </w:pPr>
            <w:r>
              <w:rPr>
                <w:rFonts w:hAnsiTheme="minorEastAsia" w:eastAsiaTheme="minorEastAsia"/>
                <w:b/>
                <w:szCs w:val="21"/>
              </w:rPr>
              <w:t>观测日期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5" w:type="pct"/>
            <w:tcBorders>
              <w:tl2br w:val="nil"/>
              <w:tr2bl w:val="nil"/>
            </w:tcBorders>
            <w:vAlign w:val="center"/>
          </w:tcPr>
          <w:p>
            <w:pPr>
              <w:spacing w:line="320" w:lineRule="exact"/>
              <w:ind w:firstLine="210" w:firstLineChars="100"/>
              <w:jc w:val="center"/>
              <w:rPr>
                <w:kern w:val="0"/>
                <w:szCs w:val="21"/>
              </w:rPr>
            </w:pPr>
            <w:r>
              <w:rPr>
                <w:szCs w:val="21"/>
              </w:rPr>
              <w:t>D1</w:t>
            </w:r>
            <w:r>
              <w:rPr>
                <w:rFonts w:hAnsi="宋体"/>
                <w:szCs w:val="21"/>
              </w:rPr>
              <w:t>项目西南面</w:t>
            </w:r>
            <w:r>
              <w:rPr>
                <w:rFonts w:hint="eastAsia" w:hAnsi="宋体"/>
                <w:szCs w:val="21"/>
              </w:rPr>
              <w:t>绿</w:t>
            </w:r>
            <w:r>
              <w:rPr>
                <w:rFonts w:hAnsi="宋体"/>
                <w:szCs w:val="21"/>
              </w:rPr>
              <w:t>丫塘</w:t>
            </w:r>
            <w:r>
              <w:rPr>
                <w:rFonts w:hint="eastAsia" w:hAnsi="宋体"/>
                <w:szCs w:val="21"/>
              </w:rPr>
              <w:t>居民点</w:t>
            </w:r>
            <w:r>
              <w:rPr>
                <w:rFonts w:hAnsi="宋体"/>
                <w:szCs w:val="21"/>
              </w:rPr>
              <w:t>水井</w:t>
            </w:r>
          </w:p>
        </w:tc>
        <w:tc>
          <w:tcPr>
            <w:tcW w:w="894" w:type="pct"/>
            <w:tcBorders>
              <w:tl2br w:val="nil"/>
              <w:tr2bl w:val="nil"/>
            </w:tcBorders>
            <w:vAlign w:val="center"/>
          </w:tcPr>
          <w:p>
            <w:pPr>
              <w:jc w:val="center"/>
              <w:rPr>
                <w:rFonts w:eastAsiaTheme="minorEastAsia"/>
                <w:szCs w:val="21"/>
              </w:rPr>
            </w:pPr>
            <w:r>
              <w:rPr>
                <w:rFonts w:hint="eastAsia" w:eastAsiaTheme="minorEastAsia"/>
                <w:szCs w:val="21"/>
              </w:rPr>
              <w:t>15</w:t>
            </w:r>
          </w:p>
        </w:tc>
        <w:tc>
          <w:tcPr>
            <w:tcW w:w="1451" w:type="pct"/>
            <w:vMerge w:val="restart"/>
            <w:tcBorders>
              <w:tl2br w:val="nil"/>
              <w:tr2bl w:val="nil"/>
            </w:tcBorders>
            <w:vAlign w:val="center"/>
          </w:tcPr>
          <w:p>
            <w:pPr>
              <w:jc w:val="center"/>
              <w:rPr>
                <w:rFonts w:eastAsiaTheme="minorEastAsia"/>
                <w:szCs w:val="21"/>
              </w:rPr>
            </w:pPr>
            <w:r>
              <w:rPr>
                <w:rFonts w:hint="eastAsia" w:eastAsiaTheme="minorEastAsia"/>
                <w:szCs w:val="21"/>
              </w:rPr>
              <w:t>2022.12.19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5" w:type="pct"/>
            <w:tcBorders>
              <w:tl2br w:val="nil"/>
              <w:tr2bl w:val="nil"/>
            </w:tcBorders>
            <w:vAlign w:val="center"/>
          </w:tcPr>
          <w:p>
            <w:pPr>
              <w:spacing w:line="320" w:lineRule="exact"/>
              <w:ind w:firstLine="210" w:firstLineChars="100"/>
              <w:jc w:val="center"/>
              <w:rPr>
                <w:kern w:val="0"/>
                <w:szCs w:val="21"/>
              </w:rPr>
            </w:pPr>
            <w:r>
              <w:rPr>
                <w:szCs w:val="21"/>
              </w:rPr>
              <w:t>D2</w:t>
            </w:r>
            <w:r>
              <w:rPr>
                <w:rFonts w:hAnsi="宋体"/>
                <w:szCs w:val="21"/>
              </w:rPr>
              <w:t>项目南面楼堂</w:t>
            </w:r>
            <w:r>
              <w:rPr>
                <w:rFonts w:hint="eastAsia" w:hAnsi="宋体"/>
                <w:szCs w:val="21"/>
              </w:rPr>
              <w:t>居民点</w:t>
            </w:r>
            <w:r>
              <w:rPr>
                <w:rFonts w:hAnsi="宋体"/>
                <w:szCs w:val="21"/>
              </w:rPr>
              <w:t>水井</w:t>
            </w:r>
          </w:p>
        </w:tc>
        <w:tc>
          <w:tcPr>
            <w:tcW w:w="894" w:type="pct"/>
            <w:tcBorders>
              <w:tl2br w:val="nil"/>
              <w:tr2bl w:val="nil"/>
            </w:tcBorders>
            <w:vAlign w:val="center"/>
          </w:tcPr>
          <w:p>
            <w:pPr>
              <w:jc w:val="center"/>
              <w:rPr>
                <w:rFonts w:eastAsiaTheme="minorEastAsia"/>
                <w:szCs w:val="21"/>
              </w:rPr>
            </w:pPr>
            <w:r>
              <w:rPr>
                <w:rFonts w:hint="eastAsia" w:eastAsiaTheme="minorEastAsia"/>
                <w:szCs w:val="21"/>
              </w:rPr>
              <w:t>23</w:t>
            </w:r>
          </w:p>
        </w:tc>
        <w:tc>
          <w:tcPr>
            <w:tcW w:w="1451" w:type="pct"/>
            <w:vMerge w:val="continue"/>
            <w:tcBorders>
              <w:tl2br w:val="nil"/>
              <w:tr2bl w:val="nil"/>
            </w:tcBorders>
            <w:vAlign w:val="center"/>
          </w:tcPr>
          <w:p>
            <w:pPr>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5" w:type="pct"/>
            <w:tcBorders>
              <w:tl2br w:val="nil"/>
              <w:tr2bl w:val="nil"/>
            </w:tcBorders>
            <w:vAlign w:val="center"/>
          </w:tcPr>
          <w:p>
            <w:pPr>
              <w:spacing w:line="320" w:lineRule="exact"/>
              <w:ind w:firstLine="210" w:firstLineChars="100"/>
              <w:jc w:val="center"/>
              <w:rPr>
                <w:kern w:val="0"/>
                <w:szCs w:val="21"/>
              </w:rPr>
            </w:pPr>
            <w:r>
              <w:rPr>
                <w:szCs w:val="21"/>
              </w:rPr>
              <w:t>D3</w:t>
            </w:r>
            <w:r>
              <w:rPr>
                <w:rFonts w:hAnsi="宋体"/>
                <w:szCs w:val="21"/>
              </w:rPr>
              <w:t>项目西北面</w:t>
            </w:r>
            <w:r>
              <w:rPr>
                <w:rFonts w:hint="eastAsia" w:hAnsi="宋体"/>
                <w:szCs w:val="21"/>
              </w:rPr>
              <w:t>长</w:t>
            </w:r>
            <w:r>
              <w:rPr>
                <w:rFonts w:hAnsi="宋体"/>
                <w:szCs w:val="21"/>
              </w:rPr>
              <w:t>岭</w:t>
            </w:r>
            <w:r>
              <w:rPr>
                <w:rFonts w:hint="eastAsia" w:hAnsi="宋体"/>
                <w:szCs w:val="21"/>
              </w:rPr>
              <w:t>居民点</w:t>
            </w:r>
            <w:r>
              <w:rPr>
                <w:rFonts w:hAnsi="宋体"/>
                <w:szCs w:val="21"/>
              </w:rPr>
              <w:t>水井</w:t>
            </w:r>
          </w:p>
        </w:tc>
        <w:tc>
          <w:tcPr>
            <w:tcW w:w="894" w:type="pct"/>
            <w:tcBorders>
              <w:tl2br w:val="nil"/>
              <w:tr2bl w:val="nil"/>
            </w:tcBorders>
            <w:vAlign w:val="center"/>
          </w:tcPr>
          <w:p>
            <w:pPr>
              <w:jc w:val="center"/>
              <w:rPr>
                <w:rFonts w:eastAsiaTheme="minorEastAsia"/>
                <w:szCs w:val="21"/>
              </w:rPr>
            </w:pPr>
            <w:r>
              <w:rPr>
                <w:rFonts w:hint="eastAsia" w:eastAsiaTheme="minorEastAsia"/>
                <w:szCs w:val="21"/>
              </w:rPr>
              <w:t>17</w:t>
            </w:r>
          </w:p>
        </w:tc>
        <w:tc>
          <w:tcPr>
            <w:tcW w:w="1451" w:type="pct"/>
            <w:vMerge w:val="continue"/>
            <w:tcBorders>
              <w:tl2br w:val="nil"/>
              <w:tr2bl w:val="nil"/>
            </w:tcBorders>
            <w:vAlign w:val="center"/>
          </w:tcPr>
          <w:p>
            <w:pPr>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5" w:type="pct"/>
            <w:tcBorders>
              <w:tl2br w:val="nil"/>
              <w:tr2bl w:val="nil"/>
            </w:tcBorders>
            <w:vAlign w:val="center"/>
          </w:tcPr>
          <w:p>
            <w:pPr>
              <w:pStyle w:val="146"/>
              <w:autoSpaceDE/>
              <w:autoSpaceDN/>
              <w:adjustRightInd/>
              <w:spacing w:line="320" w:lineRule="exact"/>
              <w:ind w:firstLine="210" w:firstLineChars="100"/>
              <w:jc w:val="center"/>
              <w:rPr>
                <w:rFonts w:ascii="Times New Roman" w:cs="Times New Roman"/>
                <w:sz w:val="21"/>
                <w:szCs w:val="21"/>
              </w:rPr>
            </w:pPr>
            <w:r>
              <w:rPr>
                <w:rFonts w:ascii="Times New Roman" w:eastAsia="宋体" w:cs="Times New Roman"/>
                <w:color w:val="auto"/>
                <w:sz w:val="21"/>
                <w:szCs w:val="21"/>
              </w:rPr>
              <w:t>D4</w:t>
            </w:r>
            <w:r>
              <w:rPr>
                <w:rFonts w:ascii="Times New Roman" w:hAnsi="宋体" w:eastAsia="宋体" w:cs="Times New Roman"/>
                <w:sz w:val="21"/>
                <w:szCs w:val="21"/>
              </w:rPr>
              <w:t>项目北面近斯塘</w:t>
            </w:r>
            <w:r>
              <w:rPr>
                <w:rFonts w:hint="eastAsia" w:ascii="Times New Roman" w:hAnsi="宋体" w:eastAsia="宋体" w:cs="Times New Roman"/>
                <w:sz w:val="21"/>
                <w:szCs w:val="21"/>
              </w:rPr>
              <w:t>村居民点</w:t>
            </w:r>
            <w:r>
              <w:rPr>
                <w:rFonts w:ascii="Times New Roman" w:hAnsi="宋体" w:eastAsia="宋体" w:cs="Times New Roman"/>
                <w:sz w:val="21"/>
                <w:szCs w:val="21"/>
              </w:rPr>
              <w:t>水井</w:t>
            </w:r>
          </w:p>
        </w:tc>
        <w:tc>
          <w:tcPr>
            <w:tcW w:w="894" w:type="pct"/>
            <w:tcBorders>
              <w:tl2br w:val="nil"/>
              <w:tr2bl w:val="nil"/>
            </w:tcBorders>
            <w:vAlign w:val="center"/>
          </w:tcPr>
          <w:p>
            <w:pPr>
              <w:jc w:val="center"/>
              <w:rPr>
                <w:rFonts w:eastAsiaTheme="minorEastAsia"/>
                <w:szCs w:val="21"/>
              </w:rPr>
            </w:pPr>
            <w:r>
              <w:rPr>
                <w:rFonts w:hint="eastAsia" w:eastAsiaTheme="minorEastAsia"/>
                <w:szCs w:val="21"/>
              </w:rPr>
              <w:t>21</w:t>
            </w:r>
          </w:p>
        </w:tc>
        <w:tc>
          <w:tcPr>
            <w:tcW w:w="1451" w:type="pct"/>
            <w:vMerge w:val="continue"/>
            <w:tcBorders>
              <w:tl2br w:val="nil"/>
              <w:tr2bl w:val="nil"/>
            </w:tcBorders>
            <w:vAlign w:val="center"/>
          </w:tcPr>
          <w:p>
            <w:pPr>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5" w:type="pct"/>
            <w:tcBorders>
              <w:tl2br w:val="nil"/>
              <w:tr2bl w:val="nil"/>
            </w:tcBorders>
            <w:vAlign w:val="center"/>
          </w:tcPr>
          <w:p>
            <w:pPr>
              <w:spacing w:line="320" w:lineRule="exact"/>
              <w:ind w:firstLine="210" w:firstLineChars="100"/>
              <w:jc w:val="center"/>
              <w:rPr>
                <w:szCs w:val="21"/>
              </w:rPr>
            </w:pPr>
            <w:r>
              <w:rPr>
                <w:kern w:val="0"/>
                <w:szCs w:val="21"/>
              </w:rPr>
              <w:t>D5</w:t>
            </w:r>
            <w:r>
              <w:rPr>
                <w:rFonts w:hAnsi="宋体"/>
                <w:szCs w:val="21"/>
              </w:rPr>
              <w:t>项目东北面荷叶冲</w:t>
            </w:r>
            <w:r>
              <w:rPr>
                <w:rFonts w:hint="eastAsia" w:hAnsi="宋体"/>
                <w:szCs w:val="21"/>
              </w:rPr>
              <w:t>居民点</w:t>
            </w:r>
            <w:r>
              <w:rPr>
                <w:rFonts w:hAnsi="宋体"/>
                <w:szCs w:val="21"/>
              </w:rPr>
              <w:t>水井</w:t>
            </w:r>
          </w:p>
        </w:tc>
        <w:tc>
          <w:tcPr>
            <w:tcW w:w="894" w:type="pct"/>
            <w:tcBorders>
              <w:tl2br w:val="nil"/>
              <w:tr2bl w:val="nil"/>
            </w:tcBorders>
            <w:vAlign w:val="center"/>
          </w:tcPr>
          <w:p>
            <w:pPr>
              <w:jc w:val="center"/>
              <w:rPr>
                <w:rFonts w:eastAsiaTheme="minorEastAsia"/>
                <w:szCs w:val="21"/>
              </w:rPr>
            </w:pPr>
            <w:r>
              <w:rPr>
                <w:rFonts w:hint="eastAsia" w:eastAsiaTheme="minorEastAsia"/>
                <w:szCs w:val="21"/>
              </w:rPr>
              <w:t>23</w:t>
            </w:r>
          </w:p>
        </w:tc>
        <w:tc>
          <w:tcPr>
            <w:tcW w:w="1451" w:type="pct"/>
            <w:vMerge w:val="continue"/>
            <w:tcBorders>
              <w:tl2br w:val="nil"/>
              <w:tr2bl w:val="nil"/>
            </w:tcBorders>
            <w:vAlign w:val="center"/>
          </w:tcPr>
          <w:p>
            <w:pPr>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55" w:type="pct"/>
            <w:tcBorders>
              <w:tl2br w:val="nil"/>
              <w:tr2bl w:val="nil"/>
            </w:tcBorders>
            <w:vAlign w:val="center"/>
          </w:tcPr>
          <w:p>
            <w:pPr>
              <w:spacing w:line="320" w:lineRule="exact"/>
              <w:ind w:firstLine="210" w:firstLineChars="100"/>
              <w:jc w:val="center"/>
              <w:rPr>
                <w:szCs w:val="21"/>
              </w:rPr>
            </w:pPr>
            <w:r>
              <w:rPr>
                <w:kern w:val="0"/>
                <w:szCs w:val="21"/>
              </w:rPr>
              <w:t>D6</w:t>
            </w:r>
            <w:r>
              <w:rPr>
                <w:rFonts w:hAnsi="宋体"/>
                <w:szCs w:val="21"/>
              </w:rPr>
              <w:t>项目西南面洗牛塘</w:t>
            </w:r>
            <w:r>
              <w:rPr>
                <w:rFonts w:hint="eastAsia" w:hAnsi="宋体"/>
                <w:szCs w:val="21"/>
              </w:rPr>
              <w:t>居民点</w:t>
            </w:r>
            <w:r>
              <w:rPr>
                <w:rFonts w:hAnsi="宋体"/>
                <w:szCs w:val="21"/>
              </w:rPr>
              <w:t>水井</w:t>
            </w:r>
          </w:p>
        </w:tc>
        <w:tc>
          <w:tcPr>
            <w:tcW w:w="894" w:type="pct"/>
            <w:tcBorders>
              <w:tl2br w:val="nil"/>
              <w:tr2bl w:val="nil"/>
            </w:tcBorders>
            <w:vAlign w:val="center"/>
          </w:tcPr>
          <w:p>
            <w:pPr>
              <w:jc w:val="center"/>
              <w:rPr>
                <w:rFonts w:eastAsiaTheme="minorEastAsia"/>
                <w:szCs w:val="21"/>
              </w:rPr>
            </w:pPr>
            <w:r>
              <w:rPr>
                <w:rFonts w:hint="eastAsia" w:eastAsiaTheme="minorEastAsia"/>
                <w:szCs w:val="21"/>
              </w:rPr>
              <w:t>19</w:t>
            </w:r>
          </w:p>
        </w:tc>
        <w:tc>
          <w:tcPr>
            <w:tcW w:w="1451" w:type="pct"/>
            <w:vMerge w:val="continue"/>
            <w:tcBorders>
              <w:tl2br w:val="nil"/>
              <w:tr2bl w:val="nil"/>
            </w:tcBorders>
            <w:vAlign w:val="center"/>
          </w:tcPr>
          <w:p>
            <w:pPr>
              <w:jc w:val="center"/>
              <w:rPr>
                <w:rFonts w:eastAsiaTheme="minorEastAsia"/>
                <w:szCs w:val="21"/>
              </w:rPr>
            </w:pPr>
          </w:p>
        </w:tc>
      </w:tr>
    </w:tbl>
    <w:p>
      <w:pPr>
        <w:pStyle w:val="6"/>
        <w:numPr>
          <w:ilvl w:val="0"/>
          <w:numId w:val="0"/>
        </w:numPr>
        <w:rPr>
          <w:rFonts w:ascii="Times New Roman" w:hAnsi="Times New Roman" w:eastAsia="宋体"/>
          <w:szCs w:val="30"/>
        </w:rPr>
      </w:pPr>
      <w:bookmarkStart w:id="280" w:name="_Toc123886414"/>
      <w:bookmarkStart w:id="281" w:name="_Toc487117475"/>
      <w:bookmarkStart w:id="282" w:name="_Toc29588"/>
      <w:r>
        <w:rPr>
          <w:rFonts w:ascii="Times New Roman" w:hAnsi="Times New Roman" w:eastAsia="宋体"/>
          <w:szCs w:val="30"/>
        </w:rPr>
        <w:t>5.</w:t>
      </w:r>
      <w:r>
        <w:rPr>
          <w:rFonts w:hint="eastAsia" w:ascii="Times New Roman" w:hAnsi="Times New Roman" w:eastAsia="宋体"/>
          <w:szCs w:val="30"/>
        </w:rPr>
        <w:t xml:space="preserve">4 </w:t>
      </w:r>
      <w:r>
        <w:rPr>
          <w:rFonts w:ascii="Times New Roman" w:hAnsi="Times New Roman" w:eastAsia="宋体"/>
          <w:szCs w:val="30"/>
        </w:rPr>
        <w:t>声环境质量现状调查与评价</w:t>
      </w:r>
      <w:bookmarkEnd w:id="280"/>
      <w:bookmarkEnd w:id="281"/>
      <w:bookmarkEnd w:id="282"/>
    </w:p>
    <w:p>
      <w:pPr>
        <w:spacing w:line="360" w:lineRule="auto"/>
        <w:ind w:firstLine="480" w:firstLineChars="200"/>
        <w:rPr>
          <w:sz w:val="24"/>
        </w:rPr>
      </w:pPr>
      <w:r>
        <w:rPr>
          <w:sz w:val="24"/>
        </w:rPr>
        <w:t>本次评价委托湖南中雁环保科技有限公司于20</w:t>
      </w:r>
      <w:r>
        <w:rPr>
          <w:rFonts w:hint="eastAsia"/>
          <w:sz w:val="24"/>
        </w:rPr>
        <w:t>22</w:t>
      </w:r>
      <w:r>
        <w:rPr>
          <w:sz w:val="24"/>
        </w:rPr>
        <w:t>年</w:t>
      </w:r>
      <w:r>
        <w:rPr>
          <w:rFonts w:hint="eastAsia"/>
          <w:sz w:val="24"/>
        </w:rPr>
        <w:t>12</w:t>
      </w:r>
      <w:r>
        <w:rPr>
          <w:sz w:val="24"/>
        </w:rPr>
        <w:t>月</w:t>
      </w:r>
      <w:r>
        <w:rPr>
          <w:rFonts w:hint="eastAsia"/>
          <w:sz w:val="24"/>
        </w:rPr>
        <w:t>19</w:t>
      </w:r>
      <w:r>
        <w:rPr>
          <w:sz w:val="24"/>
        </w:rPr>
        <w:t>日</w:t>
      </w:r>
      <w:r>
        <w:rPr>
          <w:rFonts w:hint="eastAsia"/>
          <w:sz w:val="24"/>
        </w:rPr>
        <w:t>~2022年12月20日</w:t>
      </w:r>
      <w:r>
        <w:rPr>
          <w:sz w:val="24"/>
        </w:rPr>
        <w:t>对本项目评价区域的声环境质量进行现状监测。</w:t>
      </w:r>
    </w:p>
    <w:p>
      <w:pPr>
        <w:spacing w:line="360" w:lineRule="auto"/>
        <w:ind w:firstLine="482" w:firstLineChars="200"/>
        <w:rPr>
          <w:b/>
          <w:sz w:val="24"/>
        </w:rPr>
      </w:pPr>
      <w:r>
        <w:rPr>
          <w:rFonts w:hint="eastAsia"/>
          <w:b/>
          <w:sz w:val="24"/>
        </w:rPr>
        <w:t>1、</w:t>
      </w:r>
      <w:r>
        <w:rPr>
          <w:b/>
          <w:sz w:val="24"/>
        </w:rPr>
        <w:t>监测布点</w:t>
      </w:r>
    </w:p>
    <w:p>
      <w:pPr>
        <w:spacing w:line="360" w:lineRule="auto"/>
        <w:ind w:firstLine="480" w:firstLineChars="200"/>
        <w:rPr>
          <w:sz w:val="24"/>
        </w:rPr>
      </w:pPr>
      <w:r>
        <w:rPr>
          <w:sz w:val="24"/>
        </w:rPr>
        <w:t>在评价区域内共布设</w:t>
      </w:r>
      <w:r>
        <w:rPr>
          <w:rFonts w:hint="eastAsia"/>
          <w:sz w:val="24"/>
        </w:rPr>
        <w:t>5</w:t>
      </w:r>
      <w:r>
        <w:rPr>
          <w:sz w:val="24"/>
        </w:rPr>
        <w:t>个声环境质量现状监测点，监测点位置见</w:t>
      </w:r>
      <w:r>
        <w:fldChar w:fldCharType="begin"/>
      </w:r>
      <w:r>
        <w:instrText xml:space="preserve"> REF _Ref476907825 \h  \* MERGEFORMAT </w:instrText>
      </w:r>
      <w:r>
        <w:fldChar w:fldCharType="separate"/>
      </w:r>
      <w:r>
        <w:t>表</w:t>
      </w:r>
      <w:r>
        <w:fldChar w:fldCharType="end"/>
      </w:r>
      <w:r>
        <w:rPr>
          <w:rFonts w:hint="eastAsia"/>
          <w:sz w:val="24"/>
        </w:rPr>
        <w:t>5</w:t>
      </w:r>
      <w:r>
        <w:rPr>
          <w:sz w:val="24"/>
        </w:rPr>
        <w:t>.</w:t>
      </w:r>
      <w:r>
        <w:rPr>
          <w:rFonts w:hint="eastAsia"/>
          <w:sz w:val="24"/>
        </w:rPr>
        <w:t>4</w:t>
      </w:r>
      <w:r>
        <w:rPr>
          <w:sz w:val="24"/>
        </w:rPr>
        <w:t>-1。</w:t>
      </w:r>
    </w:p>
    <w:p>
      <w:pPr>
        <w:pStyle w:val="17"/>
        <w:spacing w:beforeLines="50"/>
        <w:rPr>
          <w:rFonts w:ascii="Times New Roman" w:hAnsi="Times New Roman" w:cs="Times New Roman"/>
          <w:color w:val="auto"/>
          <w:sz w:val="21"/>
        </w:rPr>
      </w:pPr>
      <w:bookmarkStart w:id="283" w:name="_Ref476907825"/>
      <w:r>
        <w:rPr>
          <w:rFonts w:ascii="Times New Roman" w:hAnsi="Times New Roman" w:cs="Times New Roman"/>
          <w:color w:val="auto"/>
          <w:sz w:val="21"/>
        </w:rPr>
        <w:t>表</w:t>
      </w:r>
      <w:bookmarkEnd w:id="283"/>
      <w:r>
        <w:rPr>
          <w:rFonts w:ascii="Times New Roman" w:hAnsi="Times New Roman" w:cs="Times New Roman"/>
          <w:color w:val="auto"/>
          <w:sz w:val="21"/>
        </w:rPr>
        <w:t>5.</w:t>
      </w:r>
      <w:r>
        <w:rPr>
          <w:rFonts w:hint="eastAsia" w:ascii="Times New Roman" w:hAnsi="Times New Roman" w:cs="Times New Roman"/>
          <w:color w:val="auto"/>
          <w:sz w:val="21"/>
        </w:rPr>
        <w:t>4</w:t>
      </w:r>
      <w:r>
        <w:rPr>
          <w:rFonts w:ascii="Times New Roman" w:hAnsi="Times New Roman" w:cs="Times New Roman"/>
          <w:color w:val="auto"/>
          <w:sz w:val="21"/>
        </w:rPr>
        <w:t>-1</w:t>
      </w:r>
      <w:r>
        <w:rPr>
          <w:rFonts w:hint="eastAsia" w:ascii="Times New Roman" w:hAnsi="Times New Roman" w:cs="Times New Roman"/>
          <w:color w:val="auto"/>
          <w:sz w:val="21"/>
        </w:rPr>
        <w:t xml:space="preserve">  </w:t>
      </w:r>
      <w:r>
        <w:rPr>
          <w:rFonts w:ascii="Times New Roman" w:hAnsi="Times New Roman" w:cs="Times New Roman"/>
          <w:color w:val="auto"/>
          <w:sz w:val="21"/>
        </w:rPr>
        <w:t>声环境质量现状监测布点表</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56"/>
        <w:gridCol w:w="3027"/>
        <w:gridCol w:w="36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8" w:type="pct"/>
            <w:tcBorders>
              <w:tl2br w:val="nil"/>
              <w:tr2bl w:val="nil"/>
            </w:tcBorders>
            <w:vAlign w:val="center"/>
          </w:tcPr>
          <w:p>
            <w:pPr>
              <w:jc w:val="center"/>
              <w:rPr>
                <w:b/>
                <w:szCs w:val="21"/>
              </w:rPr>
            </w:pPr>
            <w:r>
              <w:rPr>
                <w:b/>
                <w:szCs w:val="21"/>
              </w:rPr>
              <w:t>监测点号</w:t>
            </w:r>
          </w:p>
        </w:tc>
        <w:tc>
          <w:tcPr>
            <w:tcW w:w="1775" w:type="pct"/>
            <w:tcBorders>
              <w:tl2br w:val="nil"/>
              <w:tr2bl w:val="nil"/>
            </w:tcBorders>
            <w:vAlign w:val="center"/>
          </w:tcPr>
          <w:p>
            <w:pPr>
              <w:jc w:val="center"/>
              <w:rPr>
                <w:b/>
                <w:szCs w:val="21"/>
              </w:rPr>
            </w:pPr>
            <w:r>
              <w:rPr>
                <w:b/>
                <w:szCs w:val="21"/>
              </w:rPr>
              <w:t>监测点名称</w:t>
            </w:r>
          </w:p>
        </w:tc>
        <w:tc>
          <w:tcPr>
            <w:tcW w:w="2137" w:type="pct"/>
            <w:tcBorders>
              <w:tl2br w:val="nil"/>
              <w:tr2bl w:val="nil"/>
            </w:tcBorders>
            <w:vAlign w:val="center"/>
          </w:tcPr>
          <w:p>
            <w:pPr>
              <w:jc w:val="center"/>
              <w:rPr>
                <w:b/>
                <w:szCs w:val="21"/>
              </w:rPr>
            </w:pPr>
            <w:r>
              <w:rPr>
                <w:b/>
                <w:szCs w:val="21"/>
              </w:rPr>
              <w:t>功能性质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088" w:type="pct"/>
            <w:tcBorders>
              <w:tl2br w:val="nil"/>
              <w:tr2bl w:val="nil"/>
            </w:tcBorders>
            <w:vAlign w:val="center"/>
          </w:tcPr>
          <w:p>
            <w:pPr>
              <w:jc w:val="center"/>
              <w:rPr>
                <w:szCs w:val="21"/>
              </w:rPr>
            </w:pPr>
            <w:r>
              <w:rPr>
                <w:szCs w:val="21"/>
              </w:rPr>
              <w:t>N1</w:t>
            </w:r>
          </w:p>
        </w:tc>
        <w:tc>
          <w:tcPr>
            <w:tcW w:w="1775" w:type="pct"/>
            <w:tcBorders>
              <w:tl2br w:val="nil"/>
              <w:tr2bl w:val="nil"/>
            </w:tcBorders>
            <w:vAlign w:val="center"/>
          </w:tcPr>
          <w:p>
            <w:pPr>
              <w:jc w:val="center"/>
              <w:rPr>
                <w:szCs w:val="21"/>
              </w:rPr>
            </w:pPr>
            <w:r>
              <w:rPr>
                <w:szCs w:val="21"/>
              </w:rPr>
              <w:t>项目东边界</w:t>
            </w:r>
          </w:p>
        </w:tc>
        <w:tc>
          <w:tcPr>
            <w:tcW w:w="2137" w:type="pct"/>
            <w:tcBorders>
              <w:tl2br w:val="nil"/>
              <w:tr2bl w:val="nil"/>
            </w:tcBorders>
            <w:vAlign w:val="center"/>
          </w:tcPr>
          <w:p>
            <w:pPr>
              <w:jc w:val="center"/>
              <w:rPr>
                <w:szCs w:val="21"/>
              </w:rPr>
            </w:pPr>
            <w:r>
              <w:rPr>
                <w:szCs w:val="21"/>
              </w:rPr>
              <w:t>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088" w:type="pct"/>
            <w:tcBorders>
              <w:tl2br w:val="nil"/>
              <w:tr2bl w:val="nil"/>
            </w:tcBorders>
            <w:vAlign w:val="center"/>
          </w:tcPr>
          <w:p>
            <w:pPr>
              <w:jc w:val="center"/>
              <w:rPr>
                <w:szCs w:val="21"/>
              </w:rPr>
            </w:pPr>
            <w:r>
              <w:rPr>
                <w:szCs w:val="21"/>
              </w:rPr>
              <w:t>N2</w:t>
            </w:r>
          </w:p>
        </w:tc>
        <w:tc>
          <w:tcPr>
            <w:tcW w:w="1775" w:type="pct"/>
            <w:tcBorders>
              <w:tl2br w:val="nil"/>
              <w:tr2bl w:val="nil"/>
            </w:tcBorders>
            <w:vAlign w:val="center"/>
          </w:tcPr>
          <w:p>
            <w:pPr>
              <w:jc w:val="center"/>
              <w:rPr>
                <w:szCs w:val="21"/>
              </w:rPr>
            </w:pPr>
            <w:r>
              <w:rPr>
                <w:szCs w:val="21"/>
              </w:rPr>
              <w:t>项目南边界</w:t>
            </w:r>
          </w:p>
        </w:tc>
        <w:tc>
          <w:tcPr>
            <w:tcW w:w="2137" w:type="pct"/>
            <w:tcBorders>
              <w:tl2br w:val="nil"/>
              <w:tr2bl w:val="nil"/>
            </w:tcBorders>
            <w:vAlign w:val="center"/>
          </w:tcPr>
          <w:p>
            <w:pPr>
              <w:jc w:val="center"/>
              <w:rPr>
                <w:szCs w:val="21"/>
              </w:rPr>
            </w:pPr>
            <w:r>
              <w:rPr>
                <w:szCs w:val="21"/>
              </w:rPr>
              <w:t>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088" w:type="pct"/>
            <w:tcBorders>
              <w:tl2br w:val="nil"/>
              <w:tr2bl w:val="nil"/>
            </w:tcBorders>
            <w:vAlign w:val="center"/>
          </w:tcPr>
          <w:p>
            <w:pPr>
              <w:jc w:val="center"/>
              <w:rPr>
                <w:szCs w:val="21"/>
              </w:rPr>
            </w:pPr>
            <w:r>
              <w:rPr>
                <w:szCs w:val="21"/>
              </w:rPr>
              <w:t>N3</w:t>
            </w:r>
          </w:p>
        </w:tc>
        <w:tc>
          <w:tcPr>
            <w:tcW w:w="1775" w:type="pct"/>
            <w:tcBorders>
              <w:tl2br w:val="nil"/>
              <w:tr2bl w:val="nil"/>
            </w:tcBorders>
            <w:vAlign w:val="center"/>
          </w:tcPr>
          <w:p>
            <w:pPr>
              <w:jc w:val="center"/>
              <w:rPr>
                <w:szCs w:val="21"/>
              </w:rPr>
            </w:pPr>
            <w:r>
              <w:rPr>
                <w:szCs w:val="21"/>
              </w:rPr>
              <w:t>项目西边界</w:t>
            </w:r>
          </w:p>
        </w:tc>
        <w:tc>
          <w:tcPr>
            <w:tcW w:w="2137" w:type="pct"/>
            <w:tcBorders>
              <w:tl2br w:val="nil"/>
              <w:tr2bl w:val="nil"/>
            </w:tcBorders>
            <w:vAlign w:val="center"/>
          </w:tcPr>
          <w:p>
            <w:pPr>
              <w:jc w:val="center"/>
              <w:rPr>
                <w:szCs w:val="21"/>
              </w:rPr>
            </w:pPr>
            <w:r>
              <w:rPr>
                <w:szCs w:val="21"/>
              </w:rPr>
              <w:t>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088" w:type="pct"/>
            <w:tcBorders>
              <w:tl2br w:val="nil"/>
              <w:tr2bl w:val="nil"/>
            </w:tcBorders>
            <w:vAlign w:val="center"/>
          </w:tcPr>
          <w:p>
            <w:pPr>
              <w:jc w:val="center"/>
              <w:rPr>
                <w:szCs w:val="21"/>
              </w:rPr>
            </w:pPr>
            <w:r>
              <w:rPr>
                <w:szCs w:val="21"/>
              </w:rPr>
              <w:t>N4</w:t>
            </w:r>
          </w:p>
        </w:tc>
        <w:tc>
          <w:tcPr>
            <w:tcW w:w="1775" w:type="pct"/>
            <w:tcBorders>
              <w:tl2br w:val="nil"/>
              <w:tr2bl w:val="nil"/>
            </w:tcBorders>
            <w:vAlign w:val="center"/>
          </w:tcPr>
          <w:p>
            <w:pPr>
              <w:jc w:val="center"/>
              <w:rPr>
                <w:szCs w:val="21"/>
              </w:rPr>
            </w:pPr>
            <w:r>
              <w:rPr>
                <w:szCs w:val="21"/>
              </w:rPr>
              <w:t>项目北边界</w:t>
            </w:r>
          </w:p>
        </w:tc>
        <w:tc>
          <w:tcPr>
            <w:tcW w:w="2137" w:type="pct"/>
            <w:tcBorders>
              <w:tl2br w:val="nil"/>
              <w:tr2bl w:val="nil"/>
            </w:tcBorders>
            <w:vAlign w:val="center"/>
          </w:tcPr>
          <w:p>
            <w:pPr>
              <w:jc w:val="center"/>
              <w:rPr>
                <w:szCs w:val="21"/>
              </w:rPr>
            </w:pPr>
            <w:r>
              <w:rPr>
                <w:szCs w:val="21"/>
              </w:rPr>
              <w:t>厂界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088" w:type="pct"/>
            <w:tcBorders>
              <w:tl2br w:val="nil"/>
              <w:tr2bl w:val="nil"/>
            </w:tcBorders>
            <w:vAlign w:val="center"/>
          </w:tcPr>
          <w:p>
            <w:pPr>
              <w:jc w:val="center"/>
              <w:rPr>
                <w:szCs w:val="21"/>
              </w:rPr>
            </w:pPr>
            <w:r>
              <w:rPr>
                <w:rFonts w:hint="eastAsia"/>
                <w:szCs w:val="21"/>
              </w:rPr>
              <w:t>N5</w:t>
            </w:r>
          </w:p>
        </w:tc>
        <w:tc>
          <w:tcPr>
            <w:tcW w:w="1775" w:type="pct"/>
            <w:tcBorders>
              <w:tl2br w:val="nil"/>
              <w:tr2bl w:val="nil"/>
            </w:tcBorders>
            <w:vAlign w:val="center"/>
          </w:tcPr>
          <w:p>
            <w:pPr>
              <w:jc w:val="center"/>
              <w:rPr>
                <w:szCs w:val="21"/>
              </w:rPr>
            </w:pPr>
            <w:r>
              <w:rPr>
                <w:rFonts w:hint="eastAsia"/>
                <w:szCs w:val="21"/>
              </w:rPr>
              <w:t>项目南面楼堂居民点</w:t>
            </w:r>
          </w:p>
        </w:tc>
        <w:tc>
          <w:tcPr>
            <w:tcW w:w="2137" w:type="pct"/>
            <w:tcBorders>
              <w:tl2br w:val="nil"/>
              <w:tr2bl w:val="nil"/>
            </w:tcBorders>
            <w:vAlign w:val="center"/>
          </w:tcPr>
          <w:p>
            <w:pPr>
              <w:jc w:val="center"/>
              <w:rPr>
                <w:szCs w:val="21"/>
              </w:rPr>
            </w:pPr>
            <w:r>
              <w:rPr>
                <w:szCs w:val="21"/>
              </w:rPr>
              <w:t>敏感点</w:t>
            </w:r>
          </w:p>
        </w:tc>
      </w:tr>
    </w:tbl>
    <w:p>
      <w:pPr>
        <w:spacing w:line="360" w:lineRule="auto"/>
        <w:ind w:firstLine="482" w:firstLineChars="200"/>
        <w:rPr>
          <w:b/>
          <w:sz w:val="24"/>
        </w:rPr>
      </w:pPr>
      <w:r>
        <w:rPr>
          <w:rFonts w:hint="eastAsia"/>
          <w:b/>
          <w:sz w:val="24"/>
        </w:rPr>
        <w:t>2、</w:t>
      </w:r>
      <w:r>
        <w:rPr>
          <w:b/>
          <w:sz w:val="24"/>
        </w:rPr>
        <w:t>监测项目：</w:t>
      </w:r>
    </w:p>
    <w:p>
      <w:pPr>
        <w:spacing w:line="360" w:lineRule="auto"/>
        <w:ind w:firstLine="480" w:firstLineChars="200"/>
        <w:rPr>
          <w:sz w:val="24"/>
        </w:rPr>
      </w:pPr>
      <w:r>
        <w:rPr>
          <w:sz w:val="24"/>
        </w:rPr>
        <w:t>等效连续A声级（L</w:t>
      </w:r>
      <w:r>
        <w:rPr>
          <w:sz w:val="24"/>
          <w:vertAlign w:val="subscript"/>
        </w:rPr>
        <w:t>eq</w:t>
      </w:r>
      <w:r>
        <w:rPr>
          <w:sz w:val="24"/>
        </w:rPr>
        <w:t>）。</w:t>
      </w:r>
    </w:p>
    <w:p>
      <w:pPr>
        <w:spacing w:line="360" w:lineRule="auto"/>
        <w:ind w:firstLine="482" w:firstLineChars="200"/>
        <w:rPr>
          <w:sz w:val="24"/>
        </w:rPr>
      </w:pPr>
      <w:r>
        <w:rPr>
          <w:rFonts w:hint="eastAsia"/>
          <w:b/>
          <w:sz w:val="24"/>
        </w:rPr>
        <w:t>3、</w:t>
      </w:r>
      <w:r>
        <w:rPr>
          <w:b/>
          <w:sz w:val="24"/>
        </w:rPr>
        <w:t>监测时间及监测频率：</w:t>
      </w:r>
    </w:p>
    <w:p>
      <w:pPr>
        <w:spacing w:line="360" w:lineRule="auto"/>
        <w:ind w:firstLine="480" w:firstLineChars="200"/>
        <w:rPr>
          <w:sz w:val="24"/>
        </w:rPr>
      </w:pPr>
      <w:r>
        <w:rPr>
          <w:sz w:val="24"/>
        </w:rPr>
        <w:t>20</w:t>
      </w:r>
      <w:r>
        <w:rPr>
          <w:rFonts w:hint="eastAsia"/>
          <w:sz w:val="24"/>
        </w:rPr>
        <w:t>22</w:t>
      </w:r>
      <w:r>
        <w:rPr>
          <w:sz w:val="24"/>
        </w:rPr>
        <w:t>年</w:t>
      </w:r>
      <w:r>
        <w:rPr>
          <w:rFonts w:hint="eastAsia"/>
          <w:sz w:val="24"/>
        </w:rPr>
        <w:t>12</w:t>
      </w:r>
      <w:r>
        <w:rPr>
          <w:sz w:val="24"/>
        </w:rPr>
        <w:t>月</w:t>
      </w:r>
      <w:r>
        <w:rPr>
          <w:rFonts w:hint="eastAsia"/>
          <w:sz w:val="24"/>
        </w:rPr>
        <w:t>19</w:t>
      </w:r>
      <w:r>
        <w:rPr>
          <w:sz w:val="24"/>
        </w:rPr>
        <w:t>日</w:t>
      </w:r>
      <w:r>
        <w:rPr>
          <w:rFonts w:hint="eastAsia"/>
          <w:sz w:val="24"/>
        </w:rPr>
        <w:t>~2022年12月20日</w:t>
      </w:r>
      <w:r>
        <w:rPr>
          <w:sz w:val="24"/>
        </w:rPr>
        <w:t>，连续监测</w:t>
      </w:r>
      <w:r>
        <w:rPr>
          <w:rFonts w:hint="eastAsia"/>
          <w:sz w:val="24"/>
        </w:rPr>
        <w:t>2日，</w:t>
      </w:r>
      <w:r>
        <w:rPr>
          <w:sz w:val="24"/>
        </w:rPr>
        <w:t>分昼间及夜间各一次。</w:t>
      </w:r>
    </w:p>
    <w:p>
      <w:pPr>
        <w:spacing w:line="360" w:lineRule="auto"/>
        <w:ind w:firstLine="482" w:firstLineChars="200"/>
        <w:rPr>
          <w:sz w:val="24"/>
        </w:rPr>
      </w:pPr>
      <w:r>
        <w:rPr>
          <w:rFonts w:hint="eastAsia"/>
          <w:b/>
          <w:sz w:val="24"/>
        </w:rPr>
        <w:t>4、</w:t>
      </w:r>
      <w:r>
        <w:rPr>
          <w:b/>
          <w:sz w:val="24"/>
        </w:rPr>
        <w:t>监测结果：</w:t>
      </w:r>
    </w:p>
    <w:p>
      <w:pPr>
        <w:spacing w:line="360" w:lineRule="auto"/>
        <w:ind w:firstLine="480" w:firstLineChars="200"/>
        <w:rPr>
          <w:sz w:val="24"/>
        </w:rPr>
      </w:pPr>
      <w:r>
        <w:rPr>
          <w:sz w:val="24"/>
        </w:rPr>
        <w:t>监测结果见</w:t>
      </w:r>
      <w:r>
        <w:fldChar w:fldCharType="begin"/>
      </w:r>
      <w:r>
        <w:instrText xml:space="preserve"> REF _Ref476907877 \h  \* MERGEFORMAT </w:instrText>
      </w:r>
      <w:r>
        <w:fldChar w:fldCharType="separate"/>
      </w:r>
      <w:r>
        <w:t>表</w:t>
      </w:r>
      <w:r>
        <w:fldChar w:fldCharType="end"/>
      </w:r>
      <w:r>
        <w:rPr>
          <w:rFonts w:hint="eastAsia"/>
        </w:rPr>
        <w:t>5</w:t>
      </w:r>
      <w:r>
        <w:rPr>
          <w:sz w:val="24"/>
        </w:rPr>
        <w:t>.</w:t>
      </w:r>
      <w:r>
        <w:rPr>
          <w:rFonts w:hint="eastAsia"/>
          <w:sz w:val="24"/>
        </w:rPr>
        <w:t>4</w:t>
      </w:r>
      <w:r>
        <w:rPr>
          <w:sz w:val="24"/>
        </w:rPr>
        <w:t>-2。</w:t>
      </w:r>
    </w:p>
    <w:p>
      <w:pPr>
        <w:pStyle w:val="17"/>
        <w:spacing w:beforeLines="50"/>
        <w:rPr>
          <w:rFonts w:ascii="Times New Roman" w:hAnsi="Times New Roman" w:cs="Times New Roman"/>
          <w:bCs/>
          <w:color w:val="auto"/>
          <w:sz w:val="21"/>
        </w:rPr>
      </w:pPr>
      <w:bookmarkStart w:id="284" w:name="_Ref476907877"/>
      <w:r>
        <w:rPr>
          <w:rFonts w:ascii="Times New Roman" w:hAnsi="Times New Roman" w:cs="Times New Roman"/>
          <w:bCs/>
          <w:color w:val="auto"/>
          <w:sz w:val="21"/>
        </w:rPr>
        <w:t>表</w:t>
      </w:r>
      <w:bookmarkEnd w:id="284"/>
      <w:r>
        <w:rPr>
          <w:rFonts w:ascii="Times New Roman" w:hAnsi="Times New Roman" w:cs="Times New Roman"/>
          <w:bCs/>
          <w:color w:val="auto"/>
          <w:sz w:val="21"/>
        </w:rPr>
        <w:t>5.</w:t>
      </w:r>
      <w:r>
        <w:rPr>
          <w:rFonts w:hint="eastAsia" w:ascii="Times New Roman" w:hAnsi="Times New Roman" w:cs="Times New Roman"/>
          <w:bCs/>
          <w:color w:val="auto"/>
          <w:sz w:val="21"/>
        </w:rPr>
        <w:t>4</w:t>
      </w:r>
      <w:r>
        <w:rPr>
          <w:rFonts w:ascii="Times New Roman" w:hAnsi="Times New Roman" w:cs="Times New Roman"/>
          <w:bCs/>
          <w:color w:val="auto"/>
          <w:sz w:val="21"/>
        </w:rPr>
        <w:t xml:space="preserve">-2 </w:t>
      </w:r>
      <w:r>
        <w:rPr>
          <w:rFonts w:hint="eastAsia" w:ascii="Times New Roman" w:hAnsi="Times New Roman" w:cs="Times New Roman"/>
          <w:bCs/>
          <w:color w:val="auto"/>
          <w:sz w:val="21"/>
        </w:rPr>
        <w:t xml:space="preserve"> </w:t>
      </w:r>
      <w:r>
        <w:rPr>
          <w:rFonts w:ascii="Times New Roman" w:hAnsi="Times New Roman" w:cs="Times New Roman"/>
          <w:bCs/>
          <w:color w:val="auto"/>
          <w:sz w:val="21"/>
        </w:rPr>
        <w:t>声环境监测结果</w:t>
      </w:r>
      <w:r>
        <w:rPr>
          <w:rFonts w:ascii="Times New Roman" w:hAnsi="Times New Roman" w:cs="Times New Roman"/>
          <w:color w:val="auto"/>
          <w:sz w:val="21"/>
        </w:rPr>
        <w:t>统计表</w:t>
      </w:r>
    </w:p>
    <w:tbl>
      <w:tblPr>
        <w:tblStyle w:val="4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2"/>
        <w:gridCol w:w="1162"/>
        <w:gridCol w:w="1109"/>
        <w:gridCol w:w="1110"/>
        <w:gridCol w:w="1028"/>
        <w:gridCol w:w="986"/>
        <w:gridCol w:w="20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7" w:type="pct"/>
            <w:gridSpan w:val="2"/>
            <w:vMerge w:val="restart"/>
            <w:tcBorders>
              <w:tl2br w:val="nil"/>
              <w:tr2bl w:val="nil"/>
            </w:tcBorders>
            <w:vAlign w:val="center"/>
          </w:tcPr>
          <w:p>
            <w:pPr>
              <w:jc w:val="center"/>
              <w:rPr>
                <w:b/>
                <w:szCs w:val="21"/>
              </w:rPr>
            </w:pPr>
            <w:r>
              <w:rPr>
                <w:b/>
                <w:szCs w:val="21"/>
              </w:rPr>
              <w:t>监测点位</w:t>
            </w:r>
          </w:p>
        </w:tc>
        <w:tc>
          <w:tcPr>
            <w:tcW w:w="1301" w:type="pct"/>
            <w:gridSpan w:val="2"/>
            <w:tcBorders>
              <w:tl2br w:val="nil"/>
              <w:tr2bl w:val="nil"/>
            </w:tcBorders>
            <w:vAlign w:val="center"/>
          </w:tcPr>
          <w:p>
            <w:pPr>
              <w:jc w:val="center"/>
              <w:rPr>
                <w:b/>
                <w:szCs w:val="21"/>
              </w:rPr>
            </w:pPr>
            <w:r>
              <w:rPr>
                <w:b/>
                <w:szCs w:val="21"/>
              </w:rPr>
              <w:t>监测结果</w:t>
            </w:r>
          </w:p>
        </w:tc>
        <w:tc>
          <w:tcPr>
            <w:tcW w:w="1181" w:type="pct"/>
            <w:gridSpan w:val="2"/>
            <w:tcBorders>
              <w:tl2br w:val="nil"/>
              <w:tr2bl w:val="nil"/>
            </w:tcBorders>
            <w:vAlign w:val="center"/>
          </w:tcPr>
          <w:p>
            <w:pPr>
              <w:jc w:val="center"/>
              <w:rPr>
                <w:b/>
                <w:szCs w:val="21"/>
              </w:rPr>
            </w:pPr>
            <w:r>
              <w:rPr>
                <w:b/>
                <w:szCs w:val="21"/>
              </w:rPr>
              <w:t>标准值</w:t>
            </w:r>
          </w:p>
        </w:tc>
        <w:tc>
          <w:tcPr>
            <w:tcW w:w="1191" w:type="pct"/>
            <w:vMerge w:val="restart"/>
            <w:tcBorders>
              <w:tl2br w:val="nil"/>
              <w:tr2bl w:val="nil"/>
            </w:tcBorders>
            <w:vAlign w:val="center"/>
          </w:tcPr>
          <w:p>
            <w:pPr>
              <w:jc w:val="center"/>
              <w:rPr>
                <w:b/>
                <w:szCs w:val="21"/>
              </w:rPr>
            </w:pPr>
            <w:r>
              <w:rPr>
                <w:rFonts w:hint="eastAsia"/>
                <w:b/>
                <w:szCs w:val="21"/>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27" w:type="pct"/>
            <w:gridSpan w:val="2"/>
            <w:vMerge w:val="continue"/>
            <w:tcBorders>
              <w:tl2br w:val="nil"/>
              <w:tr2bl w:val="nil"/>
            </w:tcBorders>
            <w:vAlign w:val="center"/>
          </w:tcPr>
          <w:p>
            <w:pPr>
              <w:jc w:val="center"/>
              <w:rPr>
                <w:b/>
                <w:szCs w:val="21"/>
              </w:rPr>
            </w:pPr>
          </w:p>
        </w:tc>
        <w:tc>
          <w:tcPr>
            <w:tcW w:w="650" w:type="pct"/>
            <w:tcBorders>
              <w:tl2br w:val="nil"/>
              <w:tr2bl w:val="nil"/>
            </w:tcBorders>
            <w:vAlign w:val="center"/>
          </w:tcPr>
          <w:p>
            <w:pPr>
              <w:jc w:val="center"/>
              <w:rPr>
                <w:b/>
                <w:szCs w:val="21"/>
              </w:rPr>
            </w:pPr>
            <w:r>
              <w:rPr>
                <w:b/>
                <w:szCs w:val="21"/>
              </w:rPr>
              <w:t>昼间</w:t>
            </w:r>
          </w:p>
        </w:tc>
        <w:tc>
          <w:tcPr>
            <w:tcW w:w="651" w:type="pct"/>
            <w:tcBorders>
              <w:tl2br w:val="nil"/>
              <w:tr2bl w:val="nil"/>
            </w:tcBorders>
            <w:vAlign w:val="center"/>
          </w:tcPr>
          <w:p>
            <w:pPr>
              <w:jc w:val="center"/>
              <w:rPr>
                <w:b/>
                <w:szCs w:val="21"/>
              </w:rPr>
            </w:pPr>
            <w:r>
              <w:rPr>
                <w:b/>
                <w:szCs w:val="21"/>
              </w:rPr>
              <w:t>夜间</w:t>
            </w:r>
          </w:p>
        </w:tc>
        <w:tc>
          <w:tcPr>
            <w:tcW w:w="603" w:type="pct"/>
            <w:tcBorders>
              <w:tl2br w:val="nil"/>
              <w:tr2bl w:val="nil"/>
            </w:tcBorders>
            <w:vAlign w:val="center"/>
          </w:tcPr>
          <w:p>
            <w:pPr>
              <w:jc w:val="center"/>
              <w:rPr>
                <w:b/>
                <w:szCs w:val="21"/>
              </w:rPr>
            </w:pPr>
            <w:r>
              <w:rPr>
                <w:b/>
                <w:szCs w:val="21"/>
              </w:rPr>
              <w:t>昼间</w:t>
            </w:r>
          </w:p>
        </w:tc>
        <w:tc>
          <w:tcPr>
            <w:tcW w:w="578" w:type="pct"/>
            <w:tcBorders>
              <w:tl2br w:val="nil"/>
              <w:tr2bl w:val="nil"/>
            </w:tcBorders>
            <w:vAlign w:val="center"/>
          </w:tcPr>
          <w:p>
            <w:pPr>
              <w:jc w:val="center"/>
              <w:rPr>
                <w:b/>
                <w:szCs w:val="21"/>
              </w:rPr>
            </w:pPr>
            <w:r>
              <w:rPr>
                <w:b/>
                <w:szCs w:val="21"/>
              </w:rPr>
              <w:t>夜间</w:t>
            </w:r>
          </w:p>
        </w:tc>
        <w:tc>
          <w:tcPr>
            <w:tcW w:w="1191" w:type="pct"/>
            <w:vMerge w:val="continue"/>
            <w:tcBorders>
              <w:tl2br w:val="nil"/>
              <w:tr2bl w:val="nil"/>
            </w:tcBorders>
            <w:vAlign w:val="center"/>
          </w:tcPr>
          <w:p>
            <w:pPr>
              <w:jc w:val="center"/>
              <w:rPr>
                <w:b/>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Merge w:val="restart"/>
            <w:tcBorders>
              <w:tl2br w:val="nil"/>
              <w:tr2bl w:val="nil"/>
            </w:tcBorders>
            <w:vAlign w:val="center"/>
          </w:tcPr>
          <w:p>
            <w:pPr>
              <w:jc w:val="center"/>
              <w:rPr>
                <w:szCs w:val="21"/>
              </w:rPr>
            </w:pPr>
            <w:r>
              <w:rPr>
                <w:szCs w:val="21"/>
              </w:rPr>
              <w:t>N1</w:t>
            </w:r>
          </w:p>
        </w:tc>
        <w:tc>
          <w:tcPr>
            <w:tcW w:w="681" w:type="pct"/>
            <w:tcBorders>
              <w:tl2br w:val="nil"/>
              <w:tr2bl w:val="nil"/>
            </w:tcBorders>
            <w:vAlign w:val="center"/>
          </w:tcPr>
          <w:p>
            <w:pPr>
              <w:jc w:val="center"/>
              <w:rPr>
                <w:szCs w:val="21"/>
              </w:rPr>
            </w:pPr>
            <w:r>
              <w:rPr>
                <w:rFonts w:hint="eastAsia"/>
                <w:szCs w:val="21"/>
              </w:rPr>
              <w:t>2022.12.19</w:t>
            </w:r>
          </w:p>
        </w:tc>
        <w:tc>
          <w:tcPr>
            <w:tcW w:w="650" w:type="pct"/>
            <w:tcBorders>
              <w:tl2br w:val="nil"/>
              <w:tr2bl w:val="nil"/>
            </w:tcBorders>
            <w:vAlign w:val="center"/>
          </w:tcPr>
          <w:p>
            <w:pPr>
              <w:jc w:val="center"/>
              <w:textAlignment w:val="center"/>
              <w:rPr>
                <w:rFonts w:eastAsia="仿宋"/>
                <w:szCs w:val="21"/>
              </w:rPr>
            </w:pPr>
            <w:r>
              <w:rPr>
                <w:rFonts w:hint="eastAsia" w:eastAsia="仿宋"/>
                <w:kern w:val="0"/>
                <w:szCs w:val="21"/>
              </w:rPr>
              <w:t>55</w:t>
            </w:r>
          </w:p>
        </w:tc>
        <w:tc>
          <w:tcPr>
            <w:tcW w:w="651" w:type="pct"/>
            <w:tcBorders>
              <w:tl2br w:val="nil"/>
              <w:tr2bl w:val="nil"/>
            </w:tcBorders>
            <w:vAlign w:val="center"/>
          </w:tcPr>
          <w:p>
            <w:pPr>
              <w:jc w:val="center"/>
              <w:textAlignment w:val="center"/>
              <w:rPr>
                <w:rFonts w:eastAsia="仿宋"/>
                <w:szCs w:val="21"/>
              </w:rPr>
            </w:pPr>
            <w:r>
              <w:rPr>
                <w:rFonts w:hint="eastAsia" w:eastAsia="仿宋"/>
                <w:kern w:val="0"/>
                <w:szCs w:val="21"/>
              </w:rPr>
              <w:t>45</w:t>
            </w:r>
          </w:p>
        </w:tc>
        <w:tc>
          <w:tcPr>
            <w:tcW w:w="603" w:type="pct"/>
            <w:tcBorders>
              <w:tl2br w:val="nil"/>
              <w:tr2bl w:val="nil"/>
            </w:tcBorders>
            <w:vAlign w:val="center"/>
          </w:tcPr>
          <w:p>
            <w:pPr>
              <w:jc w:val="center"/>
              <w:rPr>
                <w:szCs w:val="21"/>
              </w:rPr>
            </w:pPr>
            <w:r>
              <w:rPr>
                <w:rFonts w:hint="eastAsia"/>
                <w:szCs w:val="21"/>
              </w:rPr>
              <w:t>60</w:t>
            </w:r>
          </w:p>
        </w:tc>
        <w:tc>
          <w:tcPr>
            <w:tcW w:w="578" w:type="pct"/>
            <w:tcBorders>
              <w:tl2br w:val="nil"/>
              <w:tr2bl w:val="nil"/>
            </w:tcBorders>
            <w:vAlign w:val="center"/>
          </w:tcPr>
          <w:p>
            <w:pPr>
              <w:jc w:val="center"/>
              <w:rPr>
                <w:szCs w:val="21"/>
              </w:rPr>
            </w:pPr>
            <w:r>
              <w:rPr>
                <w:rFonts w:hint="eastAsia"/>
                <w:szCs w:val="21"/>
              </w:rPr>
              <w:t>50</w:t>
            </w:r>
          </w:p>
        </w:tc>
        <w:tc>
          <w:tcPr>
            <w:tcW w:w="1191" w:type="pct"/>
            <w:vMerge w:val="restart"/>
            <w:tcBorders>
              <w:tl2br w:val="nil"/>
              <w:tr2bl w:val="nil"/>
            </w:tcBorders>
            <w:vAlign w:val="center"/>
          </w:tcPr>
          <w:p>
            <w:pPr>
              <w:jc w:val="center"/>
              <w:rPr>
                <w:szCs w:val="21"/>
              </w:rPr>
            </w:pPr>
            <w:r>
              <w:rPr>
                <w:szCs w:val="21"/>
              </w:rPr>
              <w:t>《声环境质量标准》（GB3096-2008）</w:t>
            </w:r>
            <w:r>
              <w:rPr>
                <w:rFonts w:hint="eastAsia"/>
                <w:szCs w:val="21"/>
              </w:rPr>
              <w:t>2</w:t>
            </w:r>
            <w:r>
              <w:rPr>
                <w:szCs w:val="21"/>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Merge w:val="continue"/>
            <w:tcBorders>
              <w:tl2br w:val="nil"/>
              <w:tr2bl w:val="nil"/>
            </w:tcBorders>
            <w:vAlign w:val="center"/>
          </w:tcPr>
          <w:p>
            <w:pPr>
              <w:jc w:val="center"/>
              <w:rPr>
                <w:szCs w:val="21"/>
              </w:rPr>
            </w:pPr>
          </w:p>
        </w:tc>
        <w:tc>
          <w:tcPr>
            <w:tcW w:w="681" w:type="pct"/>
            <w:tcBorders>
              <w:tl2br w:val="nil"/>
              <w:tr2bl w:val="nil"/>
            </w:tcBorders>
            <w:vAlign w:val="center"/>
          </w:tcPr>
          <w:p>
            <w:pPr>
              <w:jc w:val="center"/>
              <w:rPr>
                <w:szCs w:val="21"/>
              </w:rPr>
            </w:pPr>
            <w:r>
              <w:rPr>
                <w:rFonts w:hint="eastAsia"/>
                <w:szCs w:val="21"/>
              </w:rPr>
              <w:t>2022.12.20</w:t>
            </w:r>
          </w:p>
        </w:tc>
        <w:tc>
          <w:tcPr>
            <w:tcW w:w="650" w:type="pct"/>
            <w:tcBorders>
              <w:tl2br w:val="nil"/>
              <w:tr2bl w:val="nil"/>
            </w:tcBorders>
            <w:vAlign w:val="center"/>
          </w:tcPr>
          <w:p>
            <w:pPr>
              <w:jc w:val="center"/>
              <w:textAlignment w:val="center"/>
              <w:rPr>
                <w:rFonts w:eastAsia="仿宋"/>
                <w:szCs w:val="21"/>
              </w:rPr>
            </w:pPr>
            <w:r>
              <w:rPr>
                <w:rFonts w:hint="eastAsia" w:eastAsia="仿宋"/>
                <w:kern w:val="0"/>
                <w:szCs w:val="21"/>
              </w:rPr>
              <w:t>54</w:t>
            </w:r>
          </w:p>
        </w:tc>
        <w:tc>
          <w:tcPr>
            <w:tcW w:w="651" w:type="pct"/>
            <w:tcBorders>
              <w:tl2br w:val="nil"/>
              <w:tr2bl w:val="nil"/>
            </w:tcBorders>
            <w:vAlign w:val="center"/>
          </w:tcPr>
          <w:p>
            <w:pPr>
              <w:jc w:val="center"/>
              <w:textAlignment w:val="center"/>
              <w:rPr>
                <w:rFonts w:eastAsia="仿宋"/>
                <w:szCs w:val="21"/>
              </w:rPr>
            </w:pPr>
            <w:r>
              <w:rPr>
                <w:rFonts w:hint="eastAsia" w:eastAsia="仿宋"/>
                <w:kern w:val="0"/>
                <w:szCs w:val="21"/>
              </w:rPr>
              <w:t>44</w:t>
            </w:r>
          </w:p>
        </w:tc>
        <w:tc>
          <w:tcPr>
            <w:tcW w:w="603" w:type="pct"/>
            <w:tcBorders>
              <w:tl2br w:val="nil"/>
              <w:tr2bl w:val="nil"/>
            </w:tcBorders>
            <w:vAlign w:val="center"/>
          </w:tcPr>
          <w:p>
            <w:pPr>
              <w:jc w:val="center"/>
              <w:rPr>
                <w:szCs w:val="21"/>
              </w:rPr>
            </w:pPr>
            <w:r>
              <w:rPr>
                <w:rFonts w:hint="eastAsia"/>
                <w:szCs w:val="21"/>
              </w:rPr>
              <w:t>60</w:t>
            </w:r>
          </w:p>
        </w:tc>
        <w:tc>
          <w:tcPr>
            <w:tcW w:w="578" w:type="pct"/>
            <w:tcBorders>
              <w:tl2br w:val="nil"/>
              <w:tr2bl w:val="nil"/>
            </w:tcBorders>
            <w:vAlign w:val="center"/>
          </w:tcPr>
          <w:p>
            <w:pPr>
              <w:jc w:val="center"/>
              <w:rPr>
                <w:szCs w:val="21"/>
              </w:rPr>
            </w:pPr>
            <w:r>
              <w:rPr>
                <w:rFonts w:hint="eastAsia"/>
                <w:szCs w:val="21"/>
              </w:rPr>
              <w:t>50</w:t>
            </w:r>
          </w:p>
        </w:tc>
        <w:tc>
          <w:tcPr>
            <w:tcW w:w="1191" w:type="pct"/>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Merge w:val="restart"/>
            <w:tcBorders>
              <w:tl2br w:val="nil"/>
              <w:tr2bl w:val="nil"/>
            </w:tcBorders>
            <w:vAlign w:val="center"/>
          </w:tcPr>
          <w:p>
            <w:pPr>
              <w:jc w:val="center"/>
              <w:rPr>
                <w:szCs w:val="21"/>
              </w:rPr>
            </w:pPr>
            <w:r>
              <w:rPr>
                <w:szCs w:val="21"/>
              </w:rPr>
              <w:t>N2</w:t>
            </w:r>
          </w:p>
        </w:tc>
        <w:tc>
          <w:tcPr>
            <w:tcW w:w="681" w:type="pct"/>
            <w:tcBorders>
              <w:tl2br w:val="nil"/>
              <w:tr2bl w:val="nil"/>
            </w:tcBorders>
            <w:vAlign w:val="center"/>
          </w:tcPr>
          <w:p>
            <w:pPr>
              <w:jc w:val="center"/>
              <w:rPr>
                <w:szCs w:val="21"/>
              </w:rPr>
            </w:pPr>
            <w:r>
              <w:rPr>
                <w:rFonts w:hint="eastAsia"/>
                <w:szCs w:val="21"/>
              </w:rPr>
              <w:t>2022.12.19</w:t>
            </w:r>
          </w:p>
        </w:tc>
        <w:tc>
          <w:tcPr>
            <w:tcW w:w="650" w:type="pct"/>
            <w:tcBorders>
              <w:tl2br w:val="nil"/>
              <w:tr2bl w:val="nil"/>
            </w:tcBorders>
            <w:vAlign w:val="center"/>
          </w:tcPr>
          <w:p>
            <w:pPr>
              <w:jc w:val="center"/>
              <w:textAlignment w:val="center"/>
              <w:rPr>
                <w:rFonts w:eastAsia="仿宋"/>
                <w:szCs w:val="21"/>
              </w:rPr>
            </w:pPr>
            <w:r>
              <w:rPr>
                <w:rFonts w:hint="eastAsia" w:eastAsia="仿宋"/>
                <w:kern w:val="0"/>
                <w:szCs w:val="21"/>
              </w:rPr>
              <w:t>53</w:t>
            </w:r>
          </w:p>
        </w:tc>
        <w:tc>
          <w:tcPr>
            <w:tcW w:w="651" w:type="pct"/>
            <w:tcBorders>
              <w:tl2br w:val="nil"/>
              <w:tr2bl w:val="nil"/>
            </w:tcBorders>
            <w:vAlign w:val="center"/>
          </w:tcPr>
          <w:p>
            <w:pPr>
              <w:jc w:val="center"/>
              <w:textAlignment w:val="center"/>
              <w:rPr>
                <w:rFonts w:eastAsia="仿宋"/>
                <w:szCs w:val="21"/>
              </w:rPr>
            </w:pPr>
            <w:r>
              <w:rPr>
                <w:rFonts w:hint="eastAsia" w:eastAsia="仿宋"/>
                <w:kern w:val="0"/>
                <w:szCs w:val="21"/>
              </w:rPr>
              <w:t>43</w:t>
            </w:r>
          </w:p>
        </w:tc>
        <w:tc>
          <w:tcPr>
            <w:tcW w:w="603" w:type="pct"/>
            <w:tcBorders>
              <w:tl2br w:val="nil"/>
              <w:tr2bl w:val="nil"/>
            </w:tcBorders>
            <w:vAlign w:val="center"/>
          </w:tcPr>
          <w:p>
            <w:pPr>
              <w:jc w:val="center"/>
              <w:rPr>
                <w:szCs w:val="21"/>
              </w:rPr>
            </w:pPr>
            <w:r>
              <w:rPr>
                <w:rFonts w:hint="eastAsia"/>
                <w:szCs w:val="21"/>
              </w:rPr>
              <w:t>60</w:t>
            </w:r>
          </w:p>
        </w:tc>
        <w:tc>
          <w:tcPr>
            <w:tcW w:w="578" w:type="pct"/>
            <w:tcBorders>
              <w:tl2br w:val="nil"/>
              <w:tr2bl w:val="nil"/>
            </w:tcBorders>
            <w:vAlign w:val="center"/>
          </w:tcPr>
          <w:p>
            <w:pPr>
              <w:jc w:val="center"/>
              <w:rPr>
                <w:szCs w:val="21"/>
              </w:rPr>
            </w:pPr>
            <w:r>
              <w:rPr>
                <w:rFonts w:hint="eastAsia"/>
                <w:szCs w:val="21"/>
              </w:rPr>
              <w:t>50</w:t>
            </w:r>
          </w:p>
        </w:tc>
        <w:tc>
          <w:tcPr>
            <w:tcW w:w="1191" w:type="pct"/>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Merge w:val="continue"/>
            <w:tcBorders>
              <w:tl2br w:val="nil"/>
              <w:tr2bl w:val="nil"/>
            </w:tcBorders>
            <w:vAlign w:val="center"/>
          </w:tcPr>
          <w:p>
            <w:pPr>
              <w:jc w:val="center"/>
              <w:rPr>
                <w:szCs w:val="21"/>
              </w:rPr>
            </w:pPr>
          </w:p>
        </w:tc>
        <w:tc>
          <w:tcPr>
            <w:tcW w:w="681" w:type="pct"/>
            <w:tcBorders>
              <w:tl2br w:val="nil"/>
              <w:tr2bl w:val="nil"/>
            </w:tcBorders>
            <w:vAlign w:val="center"/>
          </w:tcPr>
          <w:p>
            <w:pPr>
              <w:jc w:val="center"/>
              <w:rPr>
                <w:szCs w:val="21"/>
              </w:rPr>
            </w:pPr>
            <w:r>
              <w:rPr>
                <w:rFonts w:hint="eastAsia"/>
                <w:szCs w:val="21"/>
              </w:rPr>
              <w:t>2022.12.20</w:t>
            </w:r>
          </w:p>
        </w:tc>
        <w:tc>
          <w:tcPr>
            <w:tcW w:w="650" w:type="pct"/>
            <w:tcBorders>
              <w:tl2br w:val="nil"/>
              <w:tr2bl w:val="nil"/>
            </w:tcBorders>
            <w:vAlign w:val="center"/>
          </w:tcPr>
          <w:p>
            <w:pPr>
              <w:jc w:val="center"/>
              <w:textAlignment w:val="center"/>
              <w:rPr>
                <w:rFonts w:eastAsia="仿宋"/>
                <w:szCs w:val="21"/>
              </w:rPr>
            </w:pPr>
            <w:r>
              <w:rPr>
                <w:rFonts w:hint="eastAsia" w:eastAsia="仿宋"/>
                <w:kern w:val="0"/>
                <w:szCs w:val="21"/>
              </w:rPr>
              <w:t>54</w:t>
            </w:r>
          </w:p>
        </w:tc>
        <w:tc>
          <w:tcPr>
            <w:tcW w:w="651" w:type="pct"/>
            <w:tcBorders>
              <w:tl2br w:val="nil"/>
              <w:tr2bl w:val="nil"/>
            </w:tcBorders>
            <w:vAlign w:val="center"/>
          </w:tcPr>
          <w:p>
            <w:pPr>
              <w:jc w:val="center"/>
              <w:textAlignment w:val="center"/>
              <w:rPr>
                <w:rFonts w:eastAsia="仿宋"/>
                <w:szCs w:val="21"/>
              </w:rPr>
            </w:pPr>
            <w:r>
              <w:rPr>
                <w:rFonts w:hint="eastAsia" w:eastAsia="仿宋"/>
                <w:kern w:val="0"/>
                <w:szCs w:val="21"/>
              </w:rPr>
              <w:t>44</w:t>
            </w:r>
          </w:p>
        </w:tc>
        <w:tc>
          <w:tcPr>
            <w:tcW w:w="603" w:type="pct"/>
            <w:tcBorders>
              <w:tl2br w:val="nil"/>
              <w:tr2bl w:val="nil"/>
            </w:tcBorders>
            <w:vAlign w:val="center"/>
          </w:tcPr>
          <w:p>
            <w:pPr>
              <w:jc w:val="center"/>
              <w:rPr>
                <w:szCs w:val="21"/>
              </w:rPr>
            </w:pPr>
            <w:r>
              <w:rPr>
                <w:rFonts w:hint="eastAsia"/>
                <w:szCs w:val="21"/>
              </w:rPr>
              <w:t>60</w:t>
            </w:r>
          </w:p>
        </w:tc>
        <w:tc>
          <w:tcPr>
            <w:tcW w:w="578" w:type="pct"/>
            <w:tcBorders>
              <w:tl2br w:val="nil"/>
              <w:tr2bl w:val="nil"/>
            </w:tcBorders>
            <w:vAlign w:val="center"/>
          </w:tcPr>
          <w:p>
            <w:pPr>
              <w:jc w:val="center"/>
              <w:rPr>
                <w:szCs w:val="21"/>
              </w:rPr>
            </w:pPr>
            <w:r>
              <w:rPr>
                <w:rFonts w:hint="eastAsia"/>
                <w:szCs w:val="21"/>
              </w:rPr>
              <w:t>50</w:t>
            </w:r>
          </w:p>
        </w:tc>
        <w:tc>
          <w:tcPr>
            <w:tcW w:w="1191" w:type="pct"/>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Merge w:val="restart"/>
            <w:tcBorders>
              <w:tl2br w:val="nil"/>
              <w:tr2bl w:val="nil"/>
            </w:tcBorders>
            <w:vAlign w:val="center"/>
          </w:tcPr>
          <w:p>
            <w:pPr>
              <w:jc w:val="center"/>
              <w:rPr>
                <w:szCs w:val="21"/>
              </w:rPr>
            </w:pPr>
            <w:r>
              <w:rPr>
                <w:szCs w:val="21"/>
              </w:rPr>
              <w:t>N3</w:t>
            </w:r>
          </w:p>
        </w:tc>
        <w:tc>
          <w:tcPr>
            <w:tcW w:w="681" w:type="pct"/>
            <w:tcBorders>
              <w:tl2br w:val="nil"/>
              <w:tr2bl w:val="nil"/>
            </w:tcBorders>
            <w:vAlign w:val="center"/>
          </w:tcPr>
          <w:p>
            <w:pPr>
              <w:jc w:val="center"/>
              <w:rPr>
                <w:szCs w:val="21"/>
              </w:rPr>
            </w:pPr>
            <w:r>
              <w:rPr>
                <w:rFonts w:hint="eastAsia"/>
                <w:szCs w:val="21"/>
              </w:rPr>
              <w:t>2022.12.19</w:t>
            </w:r>
          </w:p>
        </w:tc>
        <w:tc>
          <w:tcPr>
            <w:tcW w:w="650" w:type="pct"/>
            <w:tcBorders>
              <w:tl2br w:val="nil"/>
              <w:tr2bl w:val="nil"/>
            </w:tcBorders>
            <w:vAlign w:val="center"/>
          </w:tcPr>
          <w:p>
            <w:pPr>
              <w:jc w:val="center"/>
              <w:textAlignment w:val="center"/>
              <w:rPr>
                <w:rFonts w:eastAsia="仿宋"/>
                <w:szCs w:val="21"/>
              </w:rPr>
            </w:pPr>
            <w:r>
              <w:rPr>
                <w:rFonts w:hint="eastAsia" w:eastAsia="仿宋"/>
                <w:kern w:val="0"/>
                <w:szCs w:val="21"/>
              </w:rPr>
              <w:t>54</w:t>
            </w:r>
          </w:p>
        </w:tc>
        <w:tc>
          <w:tcPr>
            <w:tcW w:w="651" w:type="pct"/>
            <w:tcBorders>
              <w:tl2br w:val="nil"/>
              <w:tr2bl w:val="nil"/>
            </w:tcBorders>
            <w:vAlign w:val="center"/>
          </w:tcPr>
          <w:p>
            <w:pPr>
              <w:jc w:val="center"/>
              <w:textAlignment w:val="center"/>
              <w:rPr>
                <w:rFonts w:eastAsia="仿宋"/>
                <w:szCs w:val="21"/>
              </w:rPr>
            </w:pPr>
            <w:r>
              <w:rPr>
                <w:rFonts w:hint="eastAsia" w:eastAsia="仿宋"/>
                <w:kern w:val="0"/>
                <w:szCs w:val="21"/>
              </w:rPr>
              <w:t>44</w:t>
            </w:r>
          </w:p>
        </w:tc>
        <w:tc>
          <w:tcPr>
            <w:tcW w:w="603" w:type="pct"/>
            <w:tcBorders>
              <w:tl2br w:val="nil"/>
              <w:tr2bl w:val="nil"/>
            </w:tcBorders>
            <w:vAlign w:val="center"/>
          </w:tcPr>
          <w:p>
            <w:pPr>
              <w:jc w:val="center"/>
              <w:rPr>
                <w:szCs w:val="21"/>
              </w:rPr>
            </w:pPr>
            <w:r>
              <w:rPr>
                <w:rFonts w:hint="eastAsia"/>
                <w:szCs w:val="21"/>
              </w:rPr>
              <w:t>60</w:t>
            </w:r>
          </w:p>
        </w:tc>
        <w:tc>
          <w:tcPr>
            <w:tcW w:w="578" w:type="pct"/>
            <w:tcBorders>
              <w:tl2br w:val="nil"/>
              <w:tr2bl w:val="nil"/>
            </w:tcBorders>
            <w:vAlign w:val="center"/>
          </w:tcPr>
          <w:p>
            <w:pPr>
              <w:jc w:val="center"/>
              <w:rPr>
                <w:szCs w:val="21"/>
              </w:rPr>
            </w:pPr>
            <w:r>
              <w:rPr>
                <w:rFonts w:hint="eastAsia"/>
                <w:szCs w:val="21"/>
              </w:rPr>
              <w:t>50</w:t>
            </w:r>
          </w:p>
        </w:tc>
        <w:tc>
          <w:tcPr>
            <w:tcW w:w="1191" w:type="pct"/>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Merge w:val="continue"/>
            <w:tcBorders>
              <w:tl2br w:val="nil"/>
              <w:tr2bl w:val="nil"/>
            </w:tcBorders>
            <w:vAlign w:val="center"/>
          </w:tcPr>
          <w:p>
            <w:pPr>
              <w:jc w:val="center"/>
              <w:rPr>
                <w:szCs w:val="21"/>
              </w:rPr>
            </w:pPr>
          </w:p>
        </w:tc>
        <w:tc>
          <w:tcPr>
            <w:tcW w:w="681" w:type="pct"/>
            <w:tcBorders>
              <w:tl2br w:val="nil"/>
              <w:tr2bl w:val="nil"/>
            </w:tcBorders>
            <w:vAlign w:val="center"/>
          </w:tcPr>
          <w:p>
            <w:pPr>
              <w:jc w:val="center"/>
              <w:rPr>
                <w:szCs w:val="21"/>
              </w:rPr>
            </w:pPr>
            <w:r>
              <w:rPr>
                <w:rFonts w:hint="eastAsia"/>
                <w:szCs w:val="21"/>
              </w:rPr>
              <w:t>2022.12.20</w:t>
            </w:r>
          </w:p>
        </w:tc>
        <w:tc>
          <w:tcPr>
            <w:tcW w:w="650" w:type="pct"/>
            <w:tcBorders>
              <w:tl2br w:val="nil"/>
              <w:tr2bl w:val="nil"/>
            </w:tcBorders>
            <w:vAlign w:val="center"/>
          </w:tcPr>
          <w:p>
            <w:pPr>
              <w:jc w:val="center"/>
              <w:textAlignment w:val="center"/>
              <w:rPr>
                <w:rFonts w:eastAsia="仿宋"/>
                <w:szCs w:val="21"/>
              </w:rPr>
            </w:pPr>
            <w:r>
              <w:rPr>
                <w:rFonts w:hint="eastAsia" w:eastAsia="仿宋"/>
                <w:kern w:val="0"/>
                <w:szCs w:val="21"/>
              </w:rPr>
              <w:t>54</w:t>
            </w:r>
          </w:p>
        </w:tc>
        <w:tc>
          <w:tcPr>
            <w:tcW w:w="651" w:type="pct"/>
            <w:tcBorders>
              <w:tl2br w:val="nil"/>
              <w:tr2bl w:val="nil"/>
            </w:tcBorders>
            <w:vAlign w:val="center"/>
          </w:tcPr>
          <w:p>
            <w:pPr>
              <w:jc w:val="center"/>
              <w:textAlignment w:val="center"/>
              <w:rPr>
                <w:rFonts w:eastAsia="仿宋"/>
                <w:szCs w:val="21"/>
              </w:rPr>
            </w:pPr>
            <w:r>
              <w:rPr>
                <w:rFonts w:hint="eastAsia" w:eastAsia="仿宋"/>
                <w:kern w:val="0"/>
                <w:szCs w:val="21"/>
              </w:rPr>
              <w:t>44</w:t>
            </w:r>
          </w:p>
        </w:tc>
        <w:tc>
          <w:tcPr>
            <w:tcW w:w="603" w:type="pct"/>
            <w:tcBorders>
              <w:tl2br w:val="nil"/>
              <w:tr2bl w:val="nil"/>
            </w:tcBorders>
            <w:vAlign w:val="center"/>
          </w:tcPr>
          <w:p>
            <w:pPr>
              <w:jc w:val="center"/>
              <w:rPr>
                <w:szCs w:val="21"/>
              </w:rPr>
            </w:pPr>
            <w:r>
              <w:rPr>
                <w:rFonts w:hint="eastAsia"/>
                <w:szCs w:val="21"/>
              </w:rPr>
              <w:t>60</w:t>
            </w:r>
          </w:p>
        </w:tc>
        <w:tc>
          <w:tcPr>
            <w:tcW w:w="578" w:type="pct"/>
            <w:tcBorders>
              <w:tl2br w:val="nil"/>
              <w:tr2bl w:val="nil"/>
            </w:tcBorders>
            <w:vAlign w:val="center"/>
          </w:tcPr>
          <w:p>
            <w:pPr>
              <w:jc w:val="center"/>
              <w:rPr>
                <w:szCs w:val="21"/>
              </w:rPr>
            </w:pPr>
            <w:r>
              <w:rPr>
                <w:rFonts w:hint="eastAsia"/>
                <w:szCs w:val="21"/>
              </w:rPr>
              <w:t>50</w:t>
            </w:r>
          </w:p>
        </w:tc>
        <w:tc>
          <w:tcPr>
            <w:tcW w:w="1191" w:type="pct"/>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Merge w:val="restart"/>
            <w:tcBorders>
              <w:tl2br w:val="nil"/>
              <w:tr2bl w:val="nil"/>
            </w:tcBorders>
            <w:vAlign w:val="center"/>
          </w:tcPr>
          <w:p>
            <w:pPr>
              <w:jc w:val="center"/>
              <w:rPr>
                <w:szCs w:val="21"/>
              </w:rPr>
            </w:pPr>
            <w:r>
              <w:rPr>
                <w:szCs w:val="21"/>
              </w:rPr>
              <w:t>N4</w:t>
            </w:r>
          </w:p>
        </w:tc>
        <w:tc>
          <w:tcPr>
            <w:tcW w:w="681" w:type="pct"/>
            <w:tcBorders>
              <w:tl2br w:val="nil"/>
              <w:tr2bl w:val="nil"/>
            </w:tcBorders>
            <w:vAlign w:val="center"/>
          </w:tcPr>
          <w:p>
            <w:pPr>
              <w:jc w:val="center"/>
              <w:rPr>
                <w:szCs w:val="21"/>
              </w:rPr>
            </w:pPr>
            <w:r>
              <w:rPr>
                <w:rFonts w:hint="eastAsia"/>
                <w:szCs w:val="21"/>
              </w:rPr>
              <w:t>2022.12.19</w:t>
            </w:r>
          </w:p>
        </w:tc>
        <w:tc>
          <w:tcPr>
            <w:tcW w:w="650" w:type="pct"/>
            <w:tcBorders>
              <w:tl2br w:val="nil"/>
              <w:tr2bl w:val="nil"/>
            </w:tcBorders>
            <w:vAlign w:val="center"/>
          </w:tcPr>
          <w:p>
            <w:pPr>
              <w:jc w:val="center"/>
              <w:textAlignment w:val="center"/>
              <w:rPr>
                <w:rFonts w:eastAsia="仿宋"/>
                <w:szCs w:val="21"/>
              </w:rPr>
            </w:pPr>
            <w:r>
              <w:rPr>
                <w:rFonts w:hint="eastAsia" w:eastAsia="仿宋"/>
                <w:kern w:val="0"/>
                <w:szCs w:val="21"/>
              </w:rPr>
              <w:t>54</w:t>
            </w:r>
          </w:p>
        </w:tc>
        <w:tc>
          <w:tcPr>
            <w:tcW w:w="651" w:type="pct"/>
            <w:tcBorders>
              <w:tl2br w:val="nil"/>
              <w:tr2bl w:val="nil"/>
            </w:tcBorders>
            <w:vAlign w:val="center"/>
          </w:tcPr>
          <w:p>
            <w:pPr>
              <w:jc w:val="center"/>
              <w:textAlignment w:val="center"/>
              <w:rPr>
                <w:rFonts w:eastAsia="仿宋"/>
                <w:szCs w:val="21"/>
              </w:rPr>
            </w:pPr>
            <w:r>
              <w:rPr>
                <w:rFonts w:hint="eastAsia" w:eastAsia="仿宋"/>
                <w:kern w:val="0"/>
                <w:szCs w:val="21"/>
              </w:rPr>
              <w:t>45</w:t>
            </w:r>
          </w:p>
        </w:tc>
        <w:tc>
          <w:tcPr>
            <w:tcW w:w="603" w:type="pct"/>
            <w:tcBorders>
              <w:tl2br w:val="nil"/>
              <w:tr2bl w:val="nil"/>
            </w:tcBorders>
            <w:vAlign w:val="center"/>
          </w:tcPr>
          <w:p>
            <w:pPr>
              <w:jc w:val="center"/>
              <w:rPr>
                <w:szCs w:val="21"/>
              </w:rPr>
            </w:pPr>
            <w:r>
              <w:rPr>
                <w:rFonts w:hint="eastAsia"/>
                <w:szCs w:val="21"/>
              </w:rPr>
              <w:t>60</w:t>
            </w:r>
          </w:p>
        </w:tc>
        <w:tc>
          <w:tcPr>
            <w:tcW w:w="578" w:type="pct"/>
            <w:tcBorders>
              <w:tl2br w:val="nil"/>
              <w:tr2bl w:val="nil"/>
            </w:tcBorders>
            <w:vAlign w:val="center"/>
          </w:tcPr>
          <w:p>
            <w:pPr>
              <w:jc w:val="center"/>
              <w:rPr>
                <w:szCs w:val="21"/>
              </w:rPr>
            </w:pPr>
            <w:r>
              <w:rPr>
                <w:rFonts w:hint="eastAsia"/>
                <w:szCs w:val="21"/>
              </w:rPr>
              <w:t>50</w:t>
            </w:r>
          </w:p>
        </w:tc>
        <w:tc>
          <w:tcPr>
            <w:tcW w:w="1191" w:type="pct"/>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Merge w:val="continue"/>
            <w:tcBorders>
              <w:tl2br w:val="nil"/>
              <w:tr2bl w:val="nil"/>
            </w:tcBorders>
            <w:vAlign w:val="center"/>
          </w:tcPr>
          <w:p>
            <w:pPr>
              <w:jc w:val="center"/>
              <w:rPr>
                <w:szCs w:val="21"/>
              </w:rPr>
            </w:pPr>
          </w:p>
        </w:tc>
        <w:tc>
          <w:tcPr>
            <w:tcW w:w="681" w:type="pct"/>
            <w:tcBorders>
              <w:tl2br w:val="nil"/>
              <w:tr2bl w:val="nil"/>
            </w:tcBorders>
            <w:vAlign w:val="center"/>
          </w:tcPr>
          <w:p>
            <w:pPr>
              <w:jc w:val="center"/>
              <w:rPr>
                <w:szCs w:val="21"/>
              </w:rPr>
            </w:pPr>
            <w:r>
              <w:rPr>
                <w:rFonts w:hint="eastAsia"/>
                <w:szCs w:val="21"/>
              </w:rPr>
              <w:t>2022.12.20</w:t>
            </w:r>
          </w:p>
        </w:tc>
        <w:tc>
          <w:tcPr>
            <w:tcW w:w="650" w:type="pct"/>
            <w:tcBorders>
              <w:tl2br w:val="nil"/>
              <w:tr2bl w:val="nil"/>
            </w:tcBorders>
            <w:vAlign w:val="center"/>
          </w:tcPr>
          <w:p>
            <w:pPr>
              <w:jc w:val="center"/>
              <w:textAlignment w:val="center"/>
              <w:rPr>
                <w:rFonts w:eastAsia="仿宋"/>
                <w:szCs w:val="21"/>
              </w:rPr>
            </w:pPr>
            <w:r>
              <w:rPr>
                <w:rFonts w:hint="eastAsia" w:eastAsia="仿宋"/>
                <w:kern w:val="0"/>
                <w:szCs w:val="21"/>
              </w:rPr>
              <w:t>55</w:t>
            </w:r>
          </w:p>
        </w:tc>
        <w:tc>
          <w:tcPr>
            <w:tcW w:w="651" w:type="pct"/>
            <w:tcBorders>
              <w:tl2br w:val="nil"/>
              <w:tr2bl w:val="nil"/>
            </w:tcBorders>
            <w:vAlign w:val="center"/>
          </w:tcPr>
          <w:p>
            <w:pPr>
              <w:jc w:val="center"/>
              <w:textAlignment w:val="center"/>
              <w:rPr>
                <w:rFonts w:eastAsia="仿宋"/>
                <w:szCs w:val="21"/>
              </w:rPr>
            </w:pPr>
            <w:r>
              <w:rPr>
                <w:rFonts w:hint="eastAsia" w:eastAsia="仿宋"/>
                <w:kern w:val="0"/>
                <w:szCs w:val="21"/>
              </w:rPr>
              <w:t>45</w:t>
            </w:r>
          </w:p>
        </w:tc>
        <w:tc>
          <w:tcPr>
            <w:tcW w:w="603" w:type="pct"/>
            <w:tcBorders>
              <w:tl2br w:val="nil"/>
              <w:tr2bl w:val="nil"/>
            </w:tcBorders>
            <w:vAlign w:val="center"/>
          </w:tcPr>
          <w:p>
            <w:pPr>
              <w:jc w:val="center"/>
              <w:rPr>
                <w:szCs w:val="21"/>
              </w:rPr>
            </w:pPr>
            <w:r>
              <w:rPr>
                <w:rFonts w:hint="eastAsia"/>
                <w:szCs w:val="21"/>
              </w:rPr>
              <w:t>60</w:t>
            </w:r>
          </w:p>
        </w:tc>
        <w:tc>
          <w:tcPr>
            <w:tcW w:w="578" w:type="pct"/>
            <w:tcBorders>
              <w:tl2br w:val="nil"/>
              <w:tr2bl w:val="nil"/>
            </w:tcBorders>
            <w:vAlign w:val="center"/>
          </w:tcPr>
          <w:p>
            <w:pPr>
              <w:jc w:val="center"/>
              <w:rPr>
                <w:szCs w:val="21"/>
              </w:rPr>
            </w:pPr>
            <w:r>
              <w:rPr>
                <w:rFonts w:hint="eastAsia"/>
                <w:szCs w:val="21"/>
              </w:rPr>
              <w:t>50</w:t>
            </w:r>
          </w:p>
        </w:tc>
        <w:tc>
          <w:tcPr>
            <w:tcW w:w="1191" w:type="pct"/>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Merge w:val="restart"/>
            <w:tcBorders>
              <w:tl2br w:val="nil"/>
              <w:tr2bl w:val="nil"/>
            </w:tcBorders>
            <w:vAlign w:val="center"/>
          </w:tcPr>
          <w:p>
            <w:pPr>
              <w:jc w:val="center"/>
              <w:rPr>
                <w:szCs w:val="21"/>
              </w:rPr>
            </w:pPr>
            <w:r>
              <w:rPr>
                <w:rFonts w:hint="eastAsia"/>
                <w:szCs w:val="21"/>
              </w:rPr>
              <w:t>N5</w:t>
            </w:r>
          </w:p>
        </w:tc>
        <w:tc>
          <w:tcPr>
            <w:tcW w:w="681" w:type="pct"/>
            <w:tcBorders>
              <w:tl2br w:val="nil"/>
              <w:tr2bl w:val="nil"/>
            </w:tcBorders>
            <w:vAlign w:val="center"/>
          </w:tcPr>
          <w:p>
            <w:pPr>
              <w:jc w:val="center"/>
              <w:rPr>
                <w:szCs w:val="21"/>
              </w:rPr>
            </w:pPr>
            <w:r>
              <w:rPr>
                <w:rFonts w:hint="eastAsia"/>
                <w:szCs w:val="21"/>
              </w:rPr>
              <w:t>2022.12.19</w:t>
            </w:r>
          </w:p>
        </w:tc>
        <w:tc>
          <w:tcPr>
            <w:tcW w:w="650" w:type="pct"/>
            <w:tcBorders>
              <w:tl2br w:val="nil"/>
              <w:tr2bl w:val="nil"/>
            </w:tcBorders>
            <w:vAlign w:val="center"/>
          </w:tcPr>
          <w:p>
            <w:pPr>
              <w:jc w:val="center"/>
              <w:textAlignment w:val="center"/>
              <w:rPr>
                <w:rFonts w:eastAsia="仿宋"/>
                <w:szCs w:val="21"/>
              </w:rPr>
            </w:pPr>
            <w:r>
              <w:rPr>
                <w:rFonts w:hint="eastAsia" w:eastAsia="仿宋"/>
                <w:kern w:val="0"/>
                <w:szCs w:val="21"/>
              </w:rPr>
              <w:t>53</w:t>
            </w:r>
          </w:p>
        </w:tc>
        <w:tc>
          <w:tcPr>
            <w:tcW w:w="651" w:type="pct"/>
            <w:tcBorders>
              <w:tl2br w:val="nil"/>
              <w:tr2bl w:val="nil"/>
            </w:tcBorders>
            <w:vAlign w:val="center"/>
          </w:tcPr>
          <w:p>
            <w:pPr>
              <w:jc w:val="center"/>
              <w:textAlignment w:val="center"/>
              <w:rPr>
                <w:rFonts w:eastAsia="仿宋"/>
                <w:szCs w:val="21"/>
              </w:rPr>
            </w:pPr>
            <w:r>
              <w:rPr>
                <w:rFonts w:hint="eastAsia" w:eastAsia="仿宋"/>
                <w:kern w:val="0"/>
                <w:szCs w:val="21"/>
              </w:rPr>
              <w:t>43</w:t>
            </w:r>
          </w:p>
        </w:tc>
        <w:tc>
          <w:tcPr>
            <w:tcW w:w="603" w:type="pct"/>
            <w:tcBorders>
              <w:tl2br w:val="nil"/>
              <w:tr2bl w:val="nil"/>
            </w:tcBorders>
            <w:vAlign w:val="center"/>
          </w:tcPr>
          <w:p>
            <w:pPr>
              <w:jc w:val="center"/>
              <w:rPr>
                <w:szCs w:val="21"/>
              </w:rPr>
            </w:pPr>
            <w:r>
              <w:rPr>
                <w:rFonts w:hint="eastAsia"/>
                <w:szCs w:val="21"/>
              </w:rPr>
              <w:t>60</w:t>
            </w:r>
          </w:p>
        </w:tc>
        <w:tc>
          <w:tcPr>
            <w:tcW w:w="578" w:type="pct"/>
            <w:tcBorders>
              <w:tl2br w:val="nil"/>
              <w:tr2bl w:val="nil"/>
            </w:tcBorders>
            <w:vAlign w:val="center"/>
          </w:tcPr>
          <w:p>
            <w:pPr>
              <w:jc w:val="center"/>
              <w:rPr>
                <w:szCs w:val="21"/>
              </w:rPr>
            </w:pPr>
            <w:r>
              <w:rPr>
                <w:rFonts w:hint="eastAsia"/>
                <w:szCs w:val="21"/>
              </w:rPr>
              <w:t>50</w:t>
            </w:r>
          </w:p>
        </w:tc>
        <w:tc>
          <w:tcPr>
            <w:tcW w:w="1191" w:type="pct"/>
            <w:vMerge w:val="continue"/>
            <w:tcBorders>
              <w:tl2br w:val="nil"/>
              <w:tr2bl w:val="nil"/>
            </w:tcBorders>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6" w:type="pct"/>
            <w:vMerge w:val="continue"/>
            <w:tcBorders>
              <w:tl2br w:val="nil"/>
              <w:tr2bl w:val="nil"/>
            </w:tcBorders>
            <w:vAlign w:val="center"/>
          </w:tcPr>
          <w:p>
            <w:pPr>
              <w:jc w:val="center"/>
              <w:rPr>
                <w:szCs w:val="21"/>
              </w:rPr>
            </w:pPr>
          </w:p>
        </w:tc>
        <w:tc>
          <w:tcPr>
            <w:tcW w:w="681" w:type="pct"/>
            <w:tcBorders>
              <w:tl2br w:val="nil"/>
              <w:tr2bl w:val="nil"/>
            </w:tcBorders>
            <w:vAlign w:val="center"/>
          </w:tcPr>
          <w:p>
            <w:pPr>
              <w:jc w:val="center"/>
              <w:rPr>
                <w:szCs w:val="21"/>
              </w:rPr>
            </w:pPr>
            <w:r>
              <w:rPr>
                <w:rFonts w:hint="eastAsia"/>
                <w:szCs w:val="21"/>
              </w:rPr>
              <w:t>2022.12.20</w:t>
            </w:r>
          </w:p>
        </w:tc>
        <w:tc>
          <w:tcPr>
            <w:tcW w:w="650" w:type="pct"/>
            <w:tcBorders>
              <w:tl2br w:val="nil"/>
              <w:tr2bl w:val="nil"/>
            </w:tcBorders>
            <w:vAlign w:val="center"/>
          </w:tcPr>
          <w:p>
            <w:pPr>
              <w:jc w:val="center"/>
              <w:textAlignment w:val="center"/>
              <w:rPr>
                <w:rFonts w:eastAsia="仿宋"/>
                <w:szCs w:val="21"/>
              </w:rPr>
            </w:pPr>
            <w:r>
              <w:rPr>
                <w:rFonts w:hint="eastAsia" w:eastAsia="仿宋"/>
                <w:kern w:val="0"/>
                <w:szCs w:val="21"/>
              </w:rPr>
              <w:t>54</w:t>
            </w:r>
          </w:p>
        </w:tc>
        <w:tc>
          <w:tcPr>
            <w:tcW w:w="651" w:type="pct"/>
            <w:tcBorders>
              <w:tl2br w:val="nil"/>
              <w:tr2bl w:val="nil"/>
            </w:tcBorders>
            <w:vAlign w:val="center"/>
          </w:tcPr>
          <w:p>
            <w:pPr>
              <w:jc w:val="center"/>
              <w:textAlignment w:val="center"/>
              <w:rPr>
                <w:rFonts w:eastAsia="仿宋"/>
                <w:szCs w:val="21"/>
              </w:rPr>
            </w:pPr>
            <w:r>
              <w:rPr>
                <w:rFonts w:hint="eastAsia" w:eastAsia="仿宋"/>
                <w:kern w:val="0"/>
                <w:szCs w:val="21"/>
              </w:rPr>
              <w:t>43</w:t>
            </w:r>
          </w:p>
        </w:tc>
        <w:tc>
          <w:tcPr>
            <w:tcW w:w="603" w:type="pct"/>
            <w:tcBorders>
              <w:tl2br w:val="nil"/>
              <w:tr2bl w:val="nil"/>
            </w:tcBorders>
            <w:vAlign w:val="center"/>
          </w:tcPr>
          <w:p>
            <w:pPr>
              <w:jc w:val="center"/>
              <w:rPr>
                <w:szCs w:val="21"/>
              </w:rPr>
            </w:pPr>
            <w:r>
              <w:rPr>
                <w:rFonts w:hint="eastAsia"/>
                <w:szCs w:val="21"/>
              </w:rPr>
              <w:t>60</w:t>
            </w:r>
          </w:p>
        </w:tc>
        <w:tc>
          <w:tcPr>
            <w:tcW w:w="578" w:type="pct"/>
            <w:tcBorders>
              <w:tl2br w:val="nil"/>
              <w:tr2bl w:val="nil"/>
            </w:tcBorders>
            <w:vAlign w:val="center"/>
          </w:tcPr>
          <w:p>
            <w:pPr>
              <w:jc w:val="center"/>
              <w:rPr>
                <w:szCs w:val="21"/>
              </w:rPr>
            </w:pPr>
            <w:r>
              <w:rPr>
                <w:rFonts w:hint="eastAsia"/>
                <w:szCs w:val="21"/>
              </w:rPr>
              <w:t>50</w:t>
            </w:r>
          </w:p>
        </w:tc>
        <w:tc>
          <w:tcPr>
            <w:tcW w:w="1191" w:type="pct"/>
            <w:vMerge w:val="continue"/>
            <w:tcBorders>
              <w:tl2br w:val="nil"/>
              <w:tr2bl w:val="nil"/>
            </w:tcBorders>
            <w:vAlign w:val="center"/>
          </w:tcPr>
          <w:p>
            <w:pPr>
              <w:jc w:val="center"/>
              <w:rPr>
                <w:szCs w:val="21"/>
              </w:rPr>
            </w:pPr>
          </w:p>
        </w:tc>
      </w:tr>
    </w:tbl>
    <w:p>
      <w:pPr>
        <w:spacing w:line="360" w:lineRule="auto"/>
        <w:ind w:firstLine="482" w:firstLineChars="200"/>
        <w:rPr>
          <w:b/>
          <w:sz w:val="24"/>
        </w:rPr>
      </w:pPr>
      <w:r>
        <w:rPr>
          <w:rFonts w:hint="eastAsia"/>
          <w:b/>
          <w:sz w:val="24"/>
        </w:rPr>
        <w:t>5、</w:t>
      </w:r>
      <w:r>
        <w:rPr>
          <w:b/>
          <w:sz w:val="24"/>
        </w:rPr>
        <w:t>评价结果分析</w:t>
      </w:r>
    </w:p>
    <w:p>
      <w:pPr>
        <w:spacing w:line="360" w:lineRule="auto"/>
        <w:ind w:firstLine="480" w:firstLineChars="200"/>
        <w:rPr>
          <w:sz w:val="24"/>
        </w:rPr>
      </w:pPr>
      <w:r>
        <w:rPr>
          <w:sz w:val="24"/>
        </w:rPr>
        <w:t>根据</w:t>
      </w:r>
      <w:r>
        <w:fldChar w:fldCharType="begin"/>
      </w:r>
      <w:r>
        <w:instrText xml:space="preserve"> REF _Ref476907877 \h  \* MERGEFORMAT </w:instrText>
      </w:r>
      <w:r>
        <w:fldChar w:fldCharType="separate"/>
      </w:r>
      <w:r>
        <w:t>表</w:t>
      </w:r>
      <w:r>
        <w:fldChar w:fldCharType="end"/>
      </w:r>
      <w:r>
        <w:rPr>
          <w:rFonts w:hint="eastAsia"/>
          <w:sz w:val="24"/>
        </w:rPr>
        <w:t>5</w:t>
      </w:r>
      <w:r>
        <w:rPr>
          <w:sz w:val="24"/>
        </w:rPr>
        <w:t>.</w:t>
      </w:r>
      <w:r>
        <w:rPr>
          <w:rFonts w:hint="eastAsia"/>
          <w:sz w:val="24"/>
        </w:rPr>
        <w:t>4</w:t>
      </w:r>
      <w:r>
        <w:rPr>
          <w:sz w:val="24"/>
        </w:rPr>
        <w:t>-2可知，项目东、南、西、北厂界及敏感点昼夜间噪声监测值能满足《声环境质量标准》（GB3096-2008）</w:t>
      </w:r>
      <w:r>
        <w:rPr>
          <w:rFonts w:hint="eastAsia"/>
          <w:sz w:val="24"/>
        </w:rPr>
        <w:t>2</w:t>
      </w:r>
      <w:r>
        <w:rPr>
          <w:sz w:val="24"/>
        </w:rPr>
        <w:t>类标准。</w:t>
      </w:r>
    </w:p>
    <w:p>
      <w:pPr>
        <w:pStyle w:val="6"/>
        <w:numPr>
          <w:ilvl w:val="0"/>
          <w:numId w:val="0"/>
        </w:numPr>
        <w:rPr>
          <w:rFonts w:ascii="Times New Roman" w:hAnsi="Times New Roman" w:eastAsia="宋体"/>
          <w:szCs w:val="30"/>
        </w:rPr>
      </w:pPr>
      <w:bookmarkStart w:id="285" w:name="_Toc123886415"/>
      <w:r>
        <w:rPr>
          <w:rFonts w:ascii="Times New Roman" w:hAnsi="Times New Roman" w:eastAsia="宋体"/>
          <w:szCs w:val="30"/>
        </w:rPr>
        <w:t>5.</w:t>
      </w:r>
      <w:r>
        <w:rPr>
          <w:rFonts w:hint="eastAsia" w:ascii="Times New Roman" w:hAnsi="Times New Roman" w:eastAsia="宋体"/>
          <w:szCs w:val="30"/>
        </w:rPr>
        <w:t>5 土壤环境质量现状</w:t>
      </w:r>
      <w:bookmarkEnd w:id="285"/>
    </w:p>
    <w:p>
      <w:pPr>
        <w:pStyle w:val="273"/>
        <w:spacing w:line="360" w:lineRule="auto"/>
        <w:ind w:firstLine="482"/>
        <w:rPr>
          <w:rFonts w:ascii="Times New Roman" w:hAnsi="Times New Roman" w:cs="Times New Roman"/>
          <w:b/>
        </w:rPr>
      </w:pPr>
      <w:r>
        <w:rPr>
          <w:rFonts w:ascii="Times New Roman" w:hAnsi="Times New Roman" w:cs="Times New Roman"/>
          <w:b/>
        </w:rPr>
        <w:t>1、监测点位布设</w:t>
      </w:r>
    </w:p>
    <w:p>
      <w:pPr>
        <w:spacing w:line="360" w:lineRule="auto"/>
        <w:ind w:firstLine="480" w:firstLineChars="200"/>
        <w:rPr>
          <w:sz w:val="24"/>
        </w:rPr>
      </w:pPr>
      <w:r>
        <w:rPr>
          <w:sz w:val="24"/>
        </w:rPr>
        <w:t>根据《环境影响评价技术导则土壤环境》（HJ964-2018），本项目在厂址内设置</w:t>
      </w:r>
      <w:r>
        <w:rPr>
          <w:rFonts w:hint="eastAsia"/>
          <w:sz w:val="24"/>
        </w:rPr>
        <w:t>3</w:t>
      </w:r>
      <w:r>
        <w:rPr>
          <w:sz w:val="24"/>
        </w:rPr>
        <w:t>个现状监测点位，具体监测点位、监测因子见表</w:t>
      </w:r>
      <w:r>
        <w:rPr>
          <w:rFonts w:hint="eastAsia"/>
          <w:sz w:val="24"/>
        </w:rPr>
        <w:t>5.5-1</w:t>
      </w:r>
      <w:r>
        <w:rPr>
          <w:sz w:val="24"/>
        </w:rPr>
        <w:t>。</w:t>
      </w:r>
    </w:p>
    <w:p>
      <w:pPr>
        <w:pStyle w:val="17"/>
        <w:spacing w:beforeLines="50"/>
        <w:rPr>
          <w:rFonts w:ascii="Times New Roman" w:hAnsi="Times New Roman" w:cs="Times New Roman"/>
          <w:bCs/>
          <w:color w:val="auto"/>
          <w:sz w:val="21"/>
        </w:rPr>
      </w:pPr>
      <w:r>
        <w:rPr>
          <w:rFonts w:ascii="Times New Roman" w:hAnsi="Times New Roman" w:cs="Times New Roman"/>
          <w:bCs/>
          <w:color w:val="auto"/>
          <w:sz w:val="21"/>
        </w:rPr>
        <w:t>表5.</w:t>
      </w:r>
      <w:r>
        <w:rPr>
          <w:rFonts w:hint="eastAsia" w:ascii="Times New Roman" w:hAnsi="Times New Roman" w:cs="Times New Roman"/>
          <w:bCs/>
          <w:color w:val="auto"/>
          <w:sz w:val="21"/>
        </w:rPr>
        <w:t>5-1</w:t>
      </w:r>
      <w:r>
        <w:rPr>
          <w:rFonts w:ascii="Times New Roman" w:hAnsi="Times New Roman" w:cs="Times New Roman"/>
          <w:bCs/>
          <w:color w:val="auto"/>
          <w:sz w:val="21"/>
        </w:rPr>
        <w:t xml:space="preserve"> </w:t>
      </w:r>
      <w:r>
        <w:rPr>
          <w:rFonts w:hint="eastAsia" w:ascii="Times New Roman" w:hAnsi="Times New Roman" w:cs="Times New Roman"/>
          <w:bCs/>
          <w:color w:val="auto"/>
          <w:sz w:val="21"/>
        </w:rPr>
        <w:t xml:space="preserve"> 土壤环境质量现状监测点位和监测因子</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31"/>
        <w:gridCol w:w="2778"/>
        <w:gridCol w:w="1179"/>
        <w:gridCol w:w="1897"/>
        <w:gridCol w:w="19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29" w:type="pct"/>
            <w:vAlign w:val="center"/>
          </w:tcPr>
          <w:p>
            <w:pPr>
              <w:jc w:val="center"/>
              <w:rPr>
                <w:b/>
                <w:szCs w:val="21"/>
              </w:rPr>
            </w:pPr>
            <w:r>
              <w:rPr>
                <w:rFonts w:hAnsi="宋体"/>
                <w:b/>
                <w:szCs w:val="21"/>
              </w:rPr>
              <w:t>序号</w:t>
            </w:r>
          </w:p>
        </w:tc>
        <w:tc>
          <w:tcPr>
            <w:tcW w:w="1629" w:type="pct"/>
            <w:vAlign w:val="center"/>
          </w:tcPr>
          <w:p>
            <w:pPr>
              <w:jc w:val="center"/>
              <w:rPr>
                <w:rFonts w:hAnsi="宋体"/>
                <w:b/>
                <w:szCs w:val="21"/>
              </w:rPr>
            </w:pPr>
            <w:r>
              <w:rPr>
                <w:rFonts w:hAnsi="宋体"/>
                <w:b/>
                <w:szCs w:val="21"/>
              </w:rPr>
              <w:t>监测点位名称</w:t>
            </w:r>
          </w:p>
        </w:tc>
        <w:tc>
          <w:tcPr>
            <w:tcW w:w="691" w:type="pct"/>
            <w:vAlign w:val="center"/>
          </w:tcPr>
          <w:p>
            <w:pPr>
              <w:jc w:val="center"/>
              <w:rPr>
                <w:rFonts w:hAnsi="宋体"/>
                <w:b/>
                <w:szCs w:val="21"/>
              </w:rPr>
            </w:pPr>
            <w:r>
              <w:rPr>
                <w:rFonts w:hAnsi="宋体"/>
                <w:b/>
                <w:szCs w:val="21"/>
              </w:rPr>
              <w:t>备注</w:t>
            </w:r>
          </w:p>
        </w:tc>
        <w:tc>
          <w:tcPr>
            <w:tcW w:w="1112" w:type="pct"/>
            <w:vAlign w:val="center"/>
          </w:tcPr>
          <w:p>
            <w:pPr>
              <w:jc w:val="center"/>
              <w:rPr>
                <w:rFonts w:hAnsi="宋体"/>
                <w:b/>
                <w:szCs w:val="21"/>
              </w:rPr>
            </w:pPr>
            <w:r>
              <w:rPr>
                <w:rFonts w:hAnsi="宋体"/>
                <w:b/>
                <w:szCs w:val="21"/>
              </w:rPr>
              <w:t>监测因子</w:t>
            </w:r>
          </w:p>
        </w:tc>
        <w:tc>
          <w:tcPr>
            <w:tcW w:w="1139" w:type="pct"/>
            <w:vAlign w:val="center"/>
          </w:tcPr>
          <w:p>
            <w:pPr>
              <w:jc w:val="center"/>
              <w:rPr>
                <w:rFonts w:hAnsi="宋体"/>
                <w:b/>
                <w:szCs w:val="21"/>
              </w:rPr>
            </w:pPr>
            <w:r>
              <w:rPr>
                <w:rFonts w:hAnsi="宋体"/>
                <w:b/>
                <w:szCs w:val="21"/>
              </w:rPr>
              <w:t>功能要求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29" w:type="pct"/>
            <w:vAlign w:val="center"/>
          </w:tcPr>
          <w:p>
            <w:pPr>
              <w:jc w:val="center"/>
              <w:rPr>
                <w:szCs w:val="21"/>
              </w:rPr>
            </w:pPr>
            <w:r>
              <w:rPr>
                <w:rFonts w:hint="eastAsia"/>
                <w:szCs w:val="21"/>
              </w:rPr>
              <w:t>T</w:t>
            </w:r>
            <w:r>
              <w:rPr>
                <w:szCs w:val="21"/>
                <w:vertAlign w:val="subscript"/>
              </w:rPr>
              <w:t>1</w:t>
            </w:r>
          </w:p>
        </w:tc>
        <w:tc>
          <w:tcPr>
            <w:tcW w:w="1629" w:type="pct"/>
            <w:vAlign w:val="center"/>
          </w:tcPr>
          <w:p>
            <w:pPr>
              <w:jc w:val="center"/>
              <w:rPr>
                <w:szCs w:val="21"/>
              </w:rPr>
            </w:pPr>
            <w:r>
              <w:rPr>
                <w:rFonts w:hAnsi="宋体"/>
                <w:szCs w:val="21"/>
              </w:rPr>
              <w:t>项目</w:t>
            </w:r>
            <w:r>
              <w:rPr>
                <w:rFonts w:hint="eastAsia" w:hAnsi="宋体"/>
                <w:szCs w:val="21"/>
              </w:rPr>
              <w:t>西侧鸡舍</w:t>
            </w:r>
          </w:p>
        </w:tc>
        <w:tc>
          <w:tcPr>
            <w:tcW w:w="691" w:type="pct"/>
            <w:vMerge w:val="restart"/>
            <w:vAlign w:val="center"/>
          </w:tcPr>
          <w:p>
            <w:pPr>
              <w:jc w:val="center"/>
              <w:rPr>
                <w:rFonts w:hAnsi="宋体"/>
                <w:szCs w:val="21"/>
              </w:rPr>
            </w:pPr>
            <w:r>
              <w:rPr>
                <w:rFonts w:hAnsi="宋体"/>
                <w:szCs w:val="21"/>
              </w:rPr>
              <w:t>表层样</w:t>
            </w:r>
          </w:p>
        </w:tc>
        <w:tc>
          <w:tcPr>
            <w:tcW w:w="1112" w:type="pct"/>
            <w:vMerge w:val="restart"/>
            <w:vAlign w:val="center"/>
          </w:tcPr>
          <w:p>
            <w:pPr>
              <w:jc w:val="center"/>
              <w:rPr>
                <w:rFonts w:hAnsi="宋体"/>
                <w:szCs w:val="21"/>
              </w:rPr>
            </w:pPr>
            <w:r>
              <w:rPr>
                <w:rFonts w:hAnsi="宋体"/>
                <w:szCs w:val="21"/>
              </w:rPr>
              <w:t>pH值</w:t>
            </w:r>
            <w:r>
              <w:rPr>
                <w:rFonts w:hint="eastAsia" w:hAnsi="宋体"/>
                <w:szCs w:val="21"/>
              </w:rPr>
              <w:t>、</w:t>
            </w:r>
            <w:r>
              <w:rPr>
                <w:rFonts w:hAnsi="宋体"/>
                <w:szCs w:val="21"/>
              </w:rPr>
              <w:t>镉</w:t>
            </w:r>
            <w:r>
              <w:rPr>
                <w:rFonts w:hint="eastAsia" w:hAnsi="宋体"/>
                <w:szCs w:val="21"/>
              </w:rPr>
              <w:t>、</w:t>
            </w:r>
            <w:r>
              <w:rPr>
                <w:rFonts w:hAnsi="宋体"/>
                <w:szCs w:val="21"/>
              </w:rPr>
              <w:t>汞</w:t>
            </w:r>
            <w:r>
              <w:rPr>
                <w:rFonts w:hint="eastAsia" w:hAnsi="宋体"/>
                <w:szCs w:val="21"/>
              </w:rPr>
              <w:t>、</w:t>
            </w:r>
            <w:r>
              <w:rPr>
                <w:rFonts w:hAnsi="宋体"/>
                <w:szCs w:val="21"/>
              </w:rPr>
              <w:t>砷</w:t>
            </w:r>
            <w:r>
              <w:rPr>
                <w:rFonts w:hint="eastAsia" w:hAnsi="宋体"/>
                <w:szCs w:val="21"/>
              </w:rPr>
              <w:t>、</w:t>
            </w:r>
            <w:r>
              <w:rPr>
                <w:rFonts w:hAnsi="宋体"/>
                <w:szCs w:val="21"/>
              </w:rPr>
              <w:t>铅</w:t>
            </w:r>
            <w:r>
              <w:rPr>
                <w:rFonts w:hint="eastAsia" w:hAnsi="宋体"/>
                <w:szCs w:val="21"/>
              </w:rPr>
              <w:t>、</w:t>
            </w:r>
            <w:r>
              <w:rPr>
                <w:rFonts w:hAnsi="宋体"/>
                <w:szCs w:val="21"/>
              </w:rPr>
              <w:t>总铬</w:t>
            </w:r>
            <w:r>
              <w:rPr>
                <w:rFonts w:hint="eastAsia" w:hAnsi="宋体"/>
                <w:szCs w:val="21"/>
              </w:rPr>
              <w:t>、</w:t>
            </w:r>
            <w:r>
              <w:rPr>
                <w:rFonts w:hAnsi="宋体"/>
                <w:szCs w:val="21"/>
              </w:rPr>
              <w:t>铜</w:t>
            </w:r>
            <w:r>
              <w:rPr>
                <w:rFonts w:hint="eastAsia" w:hAnsi="宋体"/>
                <w:szCs w:val="21"/>
              </w:rPr>
              <w:t>、</w:t>
            </w:r>
            <w:r>
              <w:rPr>
                <w:rFonts w:hAnsi="宋体"/>
                <w:szCs w:val="21"/>
              </w:rPr>
              <w:t>镍</w:t>
            </w:r>
            <w:r>
              <w:rPr>
                <w:rFonts w:hint="eastAsia" w:hAnsi="宋体"/>
                <w:szCs w:val="21"/>
              </w:rPr>
              <w:t>、</w:t>
            </w:r>
            <w:r>
              <w:rPr>
                <w:rFonts w:hAnsi="宋体"/>
                <w:szCs w:val="21"/>
              </w:rPr>
              <w:t>锌</w:t>
            </w:r>
          </w:p>
        </w:tc>
        <w:tc>
          <w:tcPr>
            <w:tcW w:w="1139" w:type="pct"/>
            <w:vMerge w:val="restart"/>
            <w:vAlign w:val="center"/>
          </w:tcPr>
          <w:p>
            <w:pPr>
              <w:jc w:val="center"/>
              <w:rPr>
                <w:rFonts w:hAnsi="宋体"/>
                <w:szCs w:val="21"/>
              </w:rPr>
            </w:pPr>
            <w:r>
              <w:rPr>
                <w:rFonts w:hAnsi="宋体"/>
                <w:szCs w:val="21"/>
              </w:rPr>
              <w:t>《土壤环境质量农用地土壤污染风险管控标准》（试行）（GB15618-2018）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29" w:type="pct"/>
            <w:vAlign w:val="center"/>
          </w:tcPr>
          <w:p>
            <w:pPr>
              <w:jc w:val="center"/>
              <w:rPr>
                <w:szCs w:val="21"/>
              </w:rPr>
            </w:pPr>
            <w:r>
              <w:rPr>
                <w:rFonts w:hint="eastAsia"/>
                <w:szCs w:val="21"/>
              </w:rPr>
              <w:t>T</w:t>
            </w:r>
            <w:r>
              <w:rPr>
                <w:rFonts w:hint="eastAsia"/>
                <w:szCs w:val="21"/>
                <w:vertAlign w:val="subscript"/>
              </w:rPr>
              <w:t>2</w:t>
            </w:r>
          </w:p>
        </w:tc>
        <w:tc>
          <w:tcPr>
            <w:tcW w:w="1629" w:type="pct"/>
            <w:vAlign w:val="center"/>
          </w:tcPr>
          <w:p>
            <w:pPr>
              <w:jc w:val="center"/>
              <w:rPr>
                <w:rFonts w:hAnsi="宋体"/>
                <w:szCs w:val="21"/>
              </w:rPr>
            </w:pPr>
            <w:r>
              <w:rPr>
                <w:rFonts w:hAnsi="宋体"/>
                <w:szCs w:val="21"/>
              </w:rPr>
              <w:t>项目中部蛋库</w:t>
            </w:r>
          </w:p>
        </w:tc>
        <w:tc>
          <w:tcPr>
            <w:tcW w:w="691" w:type="pct"/>
            <w:vMerge w:val="continue"/>
            <w:vAlign w:val="center"/>
          </w:tcPr>
          <w:p>
            <w:pPr>
              <w:jc w:val="center"/>
              <w:rPr>
                <w:rFonts w:hAnsi="宋体"/>
                <w:szCs w:val="21"/>
              </w:rPr>
            </w:pPr>
          </w:p>
        </w:tc>
        <w:tc>
          <w:tcPr>
            <w:tcW w:w="1112" w:type="pct"/>
            <w:vMerge w:val="continue"/>
            <w:vAlign w:val="center"/>
          </w:tcPr>
          <w:p>
            <w:pPr>
              <w:jc w:val="center"/>
              <w:rPr>
                <w:rFonts w:hAnsi="宋体"/>
                <w:szCs w:val="21"/>
              </w:rPr>
            </w:pPr>
          </w:p>
        </w:tc>
        <w:tc>
          <w:tcPr>
            <w:tcW w:w="1139" w:type="pct"/>
            <w:vMerge w:val="continue"/>
            <w:vAlign w:val="center"/>
          </w:tcPr>
          <w:p>
            <w:pPr>
              <w:jc w:val="center"/>
              <w:rPr>
                <w:rFonts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429" w:type="pct"/>
            <w:vAlign w:val="center"/>
          </w:tcPr>
          <w:p>
            <w:pPr>
              <w:jc w:val="center"/>
              <w:rPr>
                <w:szCs w:val="21"/>
              </w:rPr>
            </w:pPr>
            <w:r>
              <w:rPr>
                <w:rFonts w:hint="eastAsia"/>
                <w:szCs w:val="21"/>
              </w:rPr>
              <w:t>T</w:t>
            </w:r>
            <w:r>
              <w:rPr>
                <w:rFonts w:hint="eastAsia"/>
                <w:szCs w:val="21"/>
                <w:vertAlign w:val="subscript"/>
              </w:rPr>
              <w:t>3</w:t>
            </w:r>
          </w:p>
        </w:tc>
        <w:tc>
          <w:tcPr>
            <w:tcW w:w="1629" w:type="pct"/>
            <w:vAlign w:val="center"/>
          </w:tcPr>
          <w:p>
            <w:pPr>
              <w:jc w:val="center"/>
              <w:rPr>
                <w:rFonts w:hAnsi="宋体"/>
                <w:szCs w:val="21"/>
              </w:rPr>
            </w:pPr>
            <w:r>
              <w:rPr>
                <w:rFonts w:hAnsi="宋体"/>
                <w:szCs w:val="21"/>
              </w:rPr>
              <w:t>项目东部鸡舍</w:t>
            </w:r>
          </w:p>
        </w:tc>
        <w:tc>
          <w:tcPr>
            <w:tcW w:w="691" w:type="pct"/>
            <w:vMerge w:val="continue"/>
            <w:vAlign w:val="center"/>
          </w:tcPr>
          <w:p>
            <w:pPr>
              <w:jc w:val="center"/>
              <w:rPr>
                <w:rFonts w:hAnsi="宋体"/>
                <w:szCs w:val="21"/>
              </w:rPr>
            </w:pPr>
          </w:p>
        </w:tc>
        <w:tc>
          <w:tcPr>
            <w:tcW w:w="1112" w:type="pct"/>
            <w:vMerge w:val="continue"/>
            <w:vAlign w:val="center"/>
          </w:tcPr>
          <w:p>
            <w:pPr>
              <w:jc w:val="center"/>
              <w:rPr>
                <w:rFonts w:hAnsi="宋体"/>
                <w:szCs w:val="21"/>
              </w:rPr>
            </w:pPr>
          </w:p>
        </w:tc>
        <w:tc>
          <w:tcPr>
            <w:tcW w:w="1139" w:type="pct"/>
            <w:vMerge w:val="continue"/>
            <w:vAlign w:val="center"/>
          </w:tcPr>
          <w:p>
            <w:pPr>
              <w:jc w:val="center"/>
              <w:rPr>
                <w:rFonts w:hAnsi="宋体"/>
                <w:szCs w:val="21"/>
              </w:rPr>
            </w:pPr>
          </w:p>
        </w:tc>
      </w:tr>
    </w:tbl>
    <w:p>
      <w:pPr>
        <w:spacing w:line="360" w:lineRule="auto"/>
        <w:ind w:firstLine="482" w:firstLineChars="200"/>
        <w:rPr>
          <w:b/>
          <w:sz w:val="24"/>
        </w:rPr>
      </w:pPr>
      <w:r>
        <w:rPr>
          <w:rFonts w:hint="eastAsia"/>
          <w:b/>
          <w:sz w:val="24"/>
        </w:rPr>
        <w:t>2</w:t>
      </w:r>
      <w:r>
        <w:rPr>
          <w:b/>
          <w:sz w:val="24"/>
        </w:rPr>
        <w:t>、监测频次与分析方法</w:t>
      </w:r>
    </w:p>
    <w:p>
      <w:pPr>
        <w:pStyle w:val="273"/>
        <w:spacing w:line="360" w:lineRule="auto"/>
        <w:rPr>
          <w:rFonts w:ascii="Times New Roman" w:hAnsi="Times New Roman" w:cs="Times New Roman"/>
        </w:rPr>
      </w:pPr>
      <w:r>
        <w:rPr>
          <w:rFonts w:hint="eastAsia" w:ascii="Times New Roman" w:cs="Times New Roman"/>
        </w:rPr>
        <w:t>一次，表层样应在0~0.2m取样</w:t>
      </w:r>
      <w:r>
        <w:rPr>
          <w:rFonts w:ascii="Times New Roman" w:hAnsi="Times New Roman" w:cs="Times New Roman"/>
        </w:rPr>
        <w:t>。采样及分析方案按照《土壤环境质量农用地土壤污染风险管控标准》（试行）（GB15618-2018）有关规定和要求执行。</w:t>
      </w:r>
    </w:p>
    <w:p>
      <w:pPr>
        <w:pStyle w:val="273"/>
        <w:spacing w:line="360" w:lineRule="auto"/>
        <w:ind w:firstLine="482"/>
        <w:rPr>
          <w:rFonts w:ascii="Times New Roman" w:hAnsi="Times New Roman" w:cs="Times New Roman"/>
          <w:b/>
        </w:rPr>
      </w:pPr>
      <w:r>
        <w:rPr>
          <w:rFonts w:hint="eastAsia" w:ascii="Times New Roman" w:hAnsi="Times New Roman" w:cs="Times New Roman"/>
          <w:b/>
        </w:rPr>
        <w:t>3</w:t>
      </w:r>
      <w:r>
        <w:rPr>
          <w:rFonts w:ascii="Times New Roman" w:hAnsi="Times New Roman" w:cs="Times New Roman"/>
          <w:b/>
        </w:rPr>
        <w:t>、监测结果与评价</w:t>
      </w:r>
    </w:p>
    <w:p>
      <w:pPr>
        <w:widowControl/>
        <w:spacing w:line="360" w:lineRule="auto"/>
        <w:ind w:firstLine="480" w:firstLineChars="200"/>
        <w:jc w:val="left"/>
        <w:rPr>
          <w:kern w:val="0"/>
          <w:sz w:val="24"/>
        </w:rPr>
      </w:pPr>
      <w:r>
        <w:rPr>
          <w:kern w:val="0"/>
          <w:sz w:val="24"/>
        </w:rPr>
        <w:t>土壤环境质量现状监测结果见表</w:t>
      </w:r>
      <w:r>
        <w:rPr>
          <w:rFonts w:hint="eastAsia"/>
          <w:kern w:val="0"/>
          <w:sz w:val="24"/>
        </w:rPr>
        <w:t>5.5-2</w:t>
      </w:r>
      <w:r>
        <w:rPr>
          <w:kern w:val="0"/>
          <w:sz w:val="24"/>
        </w:rPr>
        <w:t>。</w:t>
      </w:r>
    </w:p>
    <w:p>
      <w:pPr>
        <w:pStyle w:val="17"/>
        <w:spacing w:beforeLines="50"/>
        <w:rPr>
          <w:rFonts w:ascii="Times New Roman" w:hAnsi="Times New Roman" w:cs="Times New Roman"/>
          <w:bCs/>
          <w:color w:val="auto"/>
          <w:sz w:val="21"/>
        </w:rPr>
      </w:pPr>
      <w:r>
        <w:rPr>
          <w:rFonts w:ascii="Times New Roman" w:hAnsi="Times New Roman" w:cs="Times New Roman"/>
          <w:bCs/>
          <w:color w:val="auto"/>
          <w:sz w:val="21"/>
        </w:rPr>
        <w:t>表5.</w:t>
      </w:r>
      <w:r>
        <w:rPr>
          <w:rFonts w:hint="eastAsia" w:ascii="Times New Roman" w:hAnsi="Times New Roman" w:cs="Times New Roman"/>
          <w:bCs/>
          <w:color w:val="auto"/>
          <w:sz w:val="21"/>
        </w:rPr>
        <w:t>5</w:t>
      </w:r>
      <w:r>
        <w:rPr>
          <w:rFonts w:ascii="Times New Roman" w:hAnsi="Times New Roman" w:cs="Times New Roman"/>
          <w:bCs/>
          <w:color w:val="auto"/>
          <w:sz w:val="21"/>
        </w:rPr>
        <w:t xml:space="preserve">-2 </w:t>
      </w:r>
      <w:r>
        <w:rPr>
          <w:rFonts w:hint="eastAsia" w:ascii="Times New Roman" w:hAnsi="Times New Roman" w:cs="Times New Roman"/>
          <w:bCs/>
          <w:color w:val="auto"/>
          <w:sz w:val="21"/>
        </w:rPr>
        <w:t xml:space="preserve"> 土壤环境监测结果  单位：</w:t>
      </w:r>
      <w:r>
        <w:rPr>
          <w:rFonts w:ascii="Times New Roman" w:hAnsi="Times New Roman" w:cs="Times New Roman"/>
          <w:bCs/>
          <w:color w:val="auto"/>
          <w:sz w:val="21"/>
        </w:rPr>
        <w:t>mg/kg，p</w:t>
      </w:r>
      <w:r>
        <w:rPr>
          <w:rFonts w:hint="eastAsia" w:ascii="Times New Roman" w:hAnsi="Times New Roman" w:cs="Times New Roman"/>
          <w:bCs/>
          <w:color w:val="auto"/>
          <w:sz w:val="21"/>
        </w:rPr>
        <w:t>H：无量纲</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05"/>
        <w:gridCol w:w="1705"/>
        <w:gridCol w:w="1706"/>
        <w:gridCol w:w="1706"/>
        <w:gridCol w:w="17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52" w:hRule="atLeast"/>
          <w:jc w:val="center"/>
        </w:trPr>
        <w:tc>
          <w:tcPr>
            <w:tcW w:w="1000" w:type="pct"/>
            <w:vAlign w:val="center"/>
          </w:tcPr>
          <w:p>
            <w:pPr>
              <w:widowControl/>
              <w:snapToGrid w:val="0"/>
              <w:jc w:val="center"/>
              <w:textAlignment w:val="center"/>
              <w:rPr>
                <w:rFonts w:eastAsiaTheme="minorEastAsia"/>
                <w:kern w:val="0"/>
                <w:szCs w:val="21"/>
              </w:rPr>
            </w:pPr>
            <w:r>
              <w:rPr>
                <w:rFonts w:hAnsiTheme="minorEastAsia" w:eastAsiaTheme="minorEastAsia"/>
                <w:b/>
                <w:kern w:val="0"/>
                <w:szCs w:val="21"/>
              </w:rPr>
              <w:t>检测项目</w:t>
            </w:r>
          </w:p>
        </w:tc>
        <w:tc>
          <w:tcPr>
            <w:tcW w:w="1000" w:type="pct"/>
            <w:vAlign w:val="center"/>
          </w:tcPr>
          <w:p>
            <w:pPr>
              <w:jc w:val="center"/>
              <w:textAlignment w:val="center"/>
              <w:rPr>
                <w:rFonts w:eastAsiaTheme="minorEastAsia"/>
                <w:b/>
                <w:bCs/>
                <w:szCs w:val="21"/>
              </w:rPr>
            </w:pPr>
            <w:r>
              <w:rPr>
                <w:rFonts w:eastAsiaTheme="minorEastAsia"/>
                <w:b/>
                <w:bCs/>
                <w:szCs w:val="21"/>
              </w:rPr>
              <w:t>T1</w:t>
            </w:r>
            <w:r>
              <w:rPr>
                <w:rFonts w:hAnsiTheme="minorEastAsia" w:eastAsiaTheme="minorEastAsia"/>
                <w:b/>
                <w:bCs/>
                <w:szCs w:val="21"/>
              </w:rPr>
              <w:t>项目西侧鸡舍（</w:t>
            </w:r>
            <w:r>
              <w:rPr>
                <w:rFonts w:hint="eastAsia" w:hAnsiTheme="minorEastAsia" w:eastAsiaTheme="minorEastAsia"/>
                <w:b/>
                <w:bCs/>
                <w:szCs w:val="21"/>
              </w:rPr>
              <w:t>0~0.2m</w:t>
            </w:r>
            <w:r>
              <w:rPr>
                <w:rFonts w:hAnsiTheme="minorEastAsia" w:eastAsiaTheme="minorEastAsia"/>
                <w:b/>
                <w:bCs/>
                <w:szCs w:val="21"/>
              </w:rPr>
              <w:t>）</w:t>
            </w:r>
          </w:p>
        </w:tc>
        <w:tc>
          <w:tcPr>
            <w:tcW w:w="1000" w:type="pct"/>
            <w:vAlign w:val="center"/>
          </w:tcPr>
          <w:p>
            <w:pPr>
              <w:jc w:val="center"/>
              <w:textAlignment w:val="center"/>
              <w:rPr>
                <w:rFonts w:eastAsiaTheme="minorEastAsia"/>
                <w:b/>
                <w:bCs/>
                <w:szCs w:val="21"/>
              </w:rPr>
            </w:pPr>
            <w:r>
              <w:rPr>
                <w:rFonts w:eastAsiaTheme="minorEastAsia"/>
                <w:b/>
                <w:bCs/>
                <w:szCs w:val="21"/>
              </w:rPr>
              <w:t>T2</w:t>
            </w:r>
            <w:r>
              <w:rPr>
                <w:rFonts w:hAnsiTheme="minorEastAsia" w:eastAsiaTheme="minorEastAsia"/>
                <w:b/>
                <w:bCs/>
                <w:szCs w:val="21"/>
              </w:rPr>
              <w:t>项目中部蛋库（</w:t>
            </w:r>
            <w:r>
              <w:rPr>
                <w:rFonts w:hint="eastAsia" w:hAnsiTheme="minorEastAsia" w:eastAsiaTheme="minorEastAsia"/>
                <w:b/>
                <w:bCs/>
                <w:szCs w:val="21"/>
              </w:rPr>
              <w:t>0~0.2m</w:t>
            </w:r>
            <w:r>
              <w:rPr>
                <w:rFonts w:hAnsiTheme="minorEastAsia" w:eastAsiaTheme="minorEastAsia"/>
                <w:b/>
                <w:bCs/>
                <w:szCs w:val="21"/>
              </w:rPr>
              <w:t>）</w:t>
            </w:r>
          </w:p>
        </w:tc>
        <w:tc>
          <w:tcPr>
            <w:tcW w:w="1000" w:type="pct"/>
            <w:vAlign w:val="center"/>
          </w:tcPr>
          <w:p>
            <w:pPr>
              <w:jc w:val="center"/>
              <w:textAlignment w:val="center"/>
              <w:rPr>
                <w:rFonts w:eastAsiaTheme="minorEastAsia"/>
                <w:b/>
                <w:bCs/>
                <w:szCs w:val="21"/>
              </w:rPr>
            </w:pPr>
            <w:r>
              <w:rPr>
                <w:rFonts w:eastAsiaTheme="minorEastAsia"/>
                <w:b/>
                <w:bCs/>
                <w:szCs w:val="21"/>
              </w:rPr>
              <w:t>T3</w:t>
            </w:r>
            <w:r>
              <w:rPr>
                <w:rFonts w:hAnsiTheme="minorEastAsia" w:eastAsiaTheme="minorEastAsia"/>
                <w:b/>
                <w:bCs/>
                <w:szCs w:val="21"/>
              </w:rPr>
              <w:t>项目东部鸡舍（</w:t>
            </w:r>
            <w:r>
              <w:rPr>
                <w:rFonts w:hint="eastAsia" w:hAnsiTheme="minorEastAsia" w:eastAsiaTheme="minorEastAsia"/>
                <w:b/>
                <w:bCs/>
                <w:szCs w:val="21"/>
              </w:rPr>
              <w:t>0~0.2m</w:t>
            </w:r>
            <w:r>
              <w:rPr>
                <w:rFonts w:hAnsiTheme="minorEastAsia" w:eastAsiaTheme="minorEastAsia"/>
                <w:b/>
                <w:bCs/>
                <w:szCs w:val="21"/>
              </w:rPr>
              <w:t>）</w:t>
            </w:r>
          </w:p>
        </w:tc>
        <w:tc>
          <w:tcPr>
            <w:tcW w:w="1000" w:type="pct"/>
            <w:vAlign w:val="center"/>
          </w:tcPr>
          <w:p>
            <w:pPr>
              <w:snapToGrid w:val="0"/>
              <w:jc w:val="center"/>
              <w:rPr>
                <w:rFonts w:eastAsiaTheme="minorEastAsia"/>
                <w:b/>
                <w:bCs/>
                <w:kern w:val="0"/>
                <w:szCs w:val="21"/>
              </w:rPr>
            </w:pPr>
            <w:r>
              <w:rPr>
                <w:rFonts w:hAnsiTheme="minorEastAsia" w:eastAsiaTheme="minorEastAsia"/>
                <w:b/>
                <w:bCs/>
                <w:kern w:val="0"/>
                <w:szCs w:val="21"/>
              </w:rPr>
              <w:t>筛选值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0" w:type="pct"/>
            <w:vAlign w:val="center"/>
          </w:tcPr>
          <w:p>
            <w:pPr>
              <w:jc w:val="center"/>
              <w:rPr>
                <w:rFonts w:eastAsiaTheme="minorEastAsia"/>
                <w:szCs w:val="21"/>
              </w:rPr>
            </w:pPr>
            <w:r>
              <w:rPr>
                <w:rFonts w:eastAsiaTheme="minorEastAsia"/>
                <w:szCs w:val="21"/>
              </w:rPr>
              <w:t>pH(</w:t>
            </w:r>
            <w:r>
              <w:rPr>
                <w:rFonts w:hAnsiTheme="minorEastAsia" w:eastAsiaTheme="minorEastAsia"/>
                <w:szCs w:val="21"/>
              </w:rPr>
              <w:t>无量纲）</w:t>
            </w:r>
          </w:p>
        </w:tc>
        <w:tc>
          <w:tcPr>
            <w:tcW w:w="1000" w:type="pct"/>
            <w:vAlign w:val="center"/>
          </w:tcPr>
          <w:p>
            <w:pPr>
              <w:jc w:val="center"/>
              <w:textAlignment w:val="center"/>
              <w:rPr>
                <w:rFonts w:eastAsiaTheme="minorEastAsia"/>
                <w:szCs w:val="21"/>
              </w:rPr>
            </w:pPr>
            <w:r>
              <w:rPr>
                <w:rFonts w:eastAsiaTheme="minorEastAsia"/>
                <w:kern w:val="0"/>
                <w:szCs w:val="21"/>
              </w:rPr>
              <w:t>8.10</w:t>
            </w:r>
          </w:p>
        </w:tc>
        <w:tc>
          <w:tcPr>
            <w:tcW w:w="1000" w:type="pct"/>
            <w:vAlign w:val="center"/>
          </w:tcPr>
          <w:p>
            <w:pPr>
              <w:jc w:val="center"/>
              <w:textAlignment w:val="center"/>
              <w:rPr>
                <w:rFonts w:eastAsiaTheme="minorEastAsia"/>
                <w:szCs w:val="21"/>
              </w:rPr>
            </w:pPr>
            <w:r>
              <w:rPr>
                <w:rFonts w:eastAsiaTheme="minorEastAsia"/>
                <w:kern w:val="0"/>
                <w:szCs w:val="21"/>
              </w:rPr>
              <w:t>7.89</w:t>
            </w:r>
          </w:p>
        </w:tc>
        <w:tc>
          <w:tcPr>
            <w:tcW w:w="1000" w:type="pct"/>
            <w:vAlign w:val="center"/>
          </w:tcPr>
          <w:p>
            <w:pPr>
              <w:jc w:val="center"/>
              <w:textAlignment w:val="center"/>
              <w:rPr>
                <w:rFonts w:eastAsiaTheme="minorEastAsia"/>
                <w:szCs w:val="21"/>
              </w:rPr>
            </w:pPr>
            <w:r>
              <w:rPr>
                <w:rFonts w:eastAsiaTheme="minorEastAsia"/>
                <w:kern w:val="0"/>
                <w:szCs w:val="21"/>
              </w:rPr>
              <w:t>7.98</w:t>
            </w:r>
          </w:p>
        </w:tc>
        <w:tc>
          <w:tcPr>
            <w:tcW w:w="1000" w:type="pct"/>
            <w:vAlign w:val="center"/>
          </w:tcPr>
          <w:p>
            <w:pPr>
              <w:jc w:val="center"/>
              <w:textAlignment w:val="center"/>
              <w:rPr>
                <w:rFonts w:eastAsia="仿宋"/>
                <w:szCs w:val="21"/>
              </w:rPr>
            </w:pPr>
            <w:r>
              <w:rPr>
                <w:rFonts w:hint="eastAsia" w:eastAsia="仿宋"/>
                <w:kern w:val="0"/>
                <w:szCs w:val="21"/>
              </w:rPr>
              <w:t>PH&gt;7.5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0" w:type="pct"/>
            <w:vAlign w:val="center"/>
          </w:tcPr>
          <w:p>
            <w:pPr>
              <w:jc w:val="center"/>
              <w:rPr>
                <w:rFonts w:eastAsiaTheme="minorEastAsia"/>
                <w:szCs w:val="21"/>
              </w:rPr>
            </w:pPr>
            <w:r>
              <w:rPr>
                <w:rFonts w:hAnsiTheme="minorEastAsia" w:eastAsiaTheme="minorEastAsia"/>
                <w:szCs w:val="21"/>
              </w:rPr>
              <w:t>汞（</w:t>
            </w:r>
            <w:r>
              <w:rPr>
                <w:rFonts w:eastAsiaTheme="minorEastAsia"/>
                <w:szCs w:val="21"/>
              </w:rPr>
              <w:t>mg/kg</w:t>
            </w:r>
            <w:r>
              <w:rPr>
                <w:rFonts w:hAnsiTheme="minorEastAsia" w:eastAsiaTheme="minorEastAsia"/>
                <w:szCs w:val="21"/>
              </w:rPr>
              <w:t>）</w:t>
            </w:r>
          </w:p>
        </w:tc>
        <w:tc>
          <w:tcPr>
            <w:tcW w:w="1000" w:type="pct"/>
            <w:vAlign w:val="center"/>
          </w:tcPr>
          <w:p>
            <w:pPr>
              <w:jc w:val="center"/>
              <w:textAlignment w:val="center"/>
              <w:rPr>
                <w:rFonts w:eastAsiaTheme="minorEastAsia"/>
                <w:szCs w:val="21"/>
              </w:rPr>
            </w:pPr>
            <w:r>
              <w:rPr>
                <w:rFonts w:eastAsiaTheme="minorEastAsia"/>
                <w:kern w:val="0"/>
                <w:szCs w:val="21"/>
              </w:rPr>
              <w:t>0.415</w:t>
            </w:r>
          </w:p>
        </w:tc>
        <w:tc>
          <w:tcPr>
            <w:tcW w:w="1000" w:type="pct"/>
            <w:vAlign w:val="center"/>
          </w:tcPr>
          <w:p>
            <w:pPr>
              <w:jc w:val="center"/>
              <w:textAlignment w:val="center"/>
              <w:rPr>
                <w:rFonts w:eastAsiaTheme="minorEastAsia"/>
                <w:szCs w:val="21"/>
              </w:rPr>
            </w:pPr>
            <w:r>
              <w:rPr>
                <w:rFonts w:eastAsiaTheme="minorEastAsia"/>
                <w:kern w:val="0"/>
                <w:szCs w:val="21"/>
              </w:rPr>
              <w:t>0.454</w:t>
            </w:r>
          </w:p>
        </w:tc>
        <w:tc>
          <w:tcPr>
            <w:tcW w:w="1000" w:type="pct"/>
            <w:vAlign w:val="center"/>
          </w:tcPr>
          <w:p>
            <w:pPr>
              <w:jc w:val="center"/>
              <w:textAlignment w:val="center"/>
              <w:rPr>
                <w:rFonts w:eastAsiaTheme="minorEastAsia"/>
                <w:szCs w:val="21"/>
              </w:rPr>
            </w:pPr>
            <w:r>
              <w:rPr>
                <w:rFonts w:eastAsiaTheme="minorEastAsia"/>
                <w:kern w:val="0"/>
                <w:szCs w:val="21"/>
              </w:rPr>
              <w:t>0.676</w:t>
            </w:r>
          </w:p>
        </w:tc>
        <w:tc>
          <w:tcPr>
            <w:tcW w:w="1000" w:type="pct"/>
            <w:vAlign w:val="center"/>
          </w:tcPr>
          <w:p>
            <w:pPr>
              <w:jc w:val="center"/>
              <w:textAlignment w:val="center"/>
              <w:rPr>
                <w:rFonts w:eastAsia="仿宋"/>
                <w:szCs w:val="21"/>
              </w:rPr>
            </w:pPr>
            <w:r>
              <w:rPr>
                <w:rFonts w:hint="eastAsia" w:eastAsia="仿宋"/>
                <w:kern w:val="0"/>
                <w:szCs w:val="21"/>
              </w:rPr>
              <w:t>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0" w:type="pct"/>
            <w:vAlign w:val="center"/>
          </w:tcPr>
          <w:p>
            <w:pPr>
              <w:jc w:val="center"/>
              <w:rPr>
                <w:rFonts w:eastAsiaTheme="minorEastAsia"/>
                <w:szCs w:val="21"/>
              </w:rPr>
            </w:pPr>
            <w:r>
              <w:rPr>
                <w:rFonts w:hAnsiTheme="minorEastAsia" w:eastAsiaTheme="minorEastAsia"/>
                <w:szCs w:val="21"/>
              </w:rPr>
              <w:t>镉（</w:t>
            </w:r>
            <w:r>
              <w:rPr>
                <w:rFonts w:eastAsiaTheme="minorEastAsia"/>
                <w:szCs w:val="21"/>
              </w:rPr>
              <w:t>mg/kg</w:t>
            </w:r>
            <w:r>
              <w:rPr>
                <w:rFonts w:hAnsiTheme="minorEastAsia" w:eastAsiaTheme="minorEastAsia"/>
                <w:szCs w:val="21"/>
              </w:rPr>
              <w:t>）</w:t>
            </w:r>
          </w:p>
        </w:tc>
        <w:tc>
          <w:tcPr>
            <w:tcW w:w="1000" w:type="pct"/>
            <w:vAlign w:val="center"/>
          </w:tcPr>
          <w:p>
            <w:pPr>
              <w:jc w:val="center"/>
              <w:textAlignment w:val="center"/>
              <w:rPr>
                <w:rFonts w:eastAsiaTheme="minorEastAsia"/>
                <w:szCs w:val="21"/>
              </w:rPr>
            </w:pPr>
            <w:r>
              <w:rPr>
                <w:rFonts w:eastAsiaTheme="minorEastAsia"/>
                <w:kern w:val="0"/>
                <w:szCs w:val="21"/>
              </w:rPr>
              <w:t>0.25L</w:t>
            </w:r>
          </w:p>
        </w:tc>
        <w:tc>
          <w:tcPr>
            <w:tcW w:w="1000" w:type="pct"/>
            <w:vAlign w:val="center"/>
          </w:tcPr>
          <w:p>
            <w:pPr>
              <w:jc w:val="center"/>
              <w:textAlignment w:val="center"/>
              <w:rPr>
                <w:rFonts w:eastAsiaTheme="minorEastAsia"/>
                <w:szCs w:val="21"/>
              </w:rPr>
            </w:pPr>
            <w:r>
              <w:rPr>
                <w:rFonts w:eastAsiaTheme="minorEastAsia"/>
                <w:kern w:val="0"/>
                <w:szCs w:val="21"/>
              </w:rPr>
              <w:t>0.25L</w:t>
            </w:r>
          </w:p>
        </w:tc>
        <w:tc>
          <w:tcPr>
            <w:tcW w:w="1000" w:type="pct"/>
            <w:vAlign w:val="center"/>
          </w:tcPr>
          <w:p>
            <w:pPr>
              <w:jc w:val="center"/>
              <w:textAlignment w:val="center"/>
              <w:rPr>
                <w:rFonts w:eastAsiaTheme="minorEastAsia"/>
                <w:szCs w:val="21"/>
              </w:rPr>
            </w:pPr>
            <w:r>
              <w:rPr>
                <w:rFonts w:eastAsiaTheme="minorEastAsia"/>
                <w:kern w:val="0"/>
                <w:szCs w:val="21"/>
              </w:rPr>
              <w:t>0.25L</w:t>
            </w:r>
          </w:p>
        </w:tc>
        <w:tc>
          <w:tcPr>
            <w:tcW w:w="1000" w:type="pct"/>
            <w:vAlign w:val="center"/>
          </w:tcPr>
          <w:p>
            <w:pPr>
              <w:jc w:val="center"/>
              <w:textAlignment w:val="center"/>
              <w:rPr>
                <w:rFonts w:eastAsia="仿宋"/>
                <w:szCs w:val="21"/>
              </w:rPr>
            </w:pPr>
            <w:r>
              <w:rPr>
                <w:rFonts w:hint="eastAsia" w:eastAsia="仿宋"/>
                <w:kern w:val="0"/>
                <w:szCs w:val="21"/>
              </w:rPr>
              <w:t>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0" w:type="pct"/>
            <w:vAlign w:val="center"/>
          </w:tcPr>
          <w:p>
            <w:pPr>
              <w:jc w:val="center"/>
              <w:rPr>
                <w:rFonts w:eastAsiaTheme="minorEastAsia"/>
                <w:szCs w:val="21"/>
              </w:rPr>
            </w:pPr>
            <w:r>
              <w:rPr>
                <w:rFonts w:hAnsiTheme="minorEastAsia" w:eastAsiaTheme="minorEastAsia"/>
                <w:szCs w:val="21"/>
              </w:rPr>
              <w:t>砷（</w:t>
            </w:r>
            <w:r>
              <w:rPr>
                <w:rFonts w:eastAsiaTheme="minorEastAsia"/>
                <w:szCs w:val="21"/>
              </w:rPr>
              <w:t>mg/kg</w:t>
            </w:r>
            <w:r>
              <w:rPr>
                <w:rFonts w:hAnsiTheme="minorEastAsia" w:eastAsiaTheme="minorEastAsia"/>
                <w:szCs w:val="21"/>
              </w:rPr>
              <w:t>）</w:t>
            </w:r>
          </w:p>
        </w:tc>
        <w:tc>
          <w:tcPr>
            <w:tcW w:w="1000" w:type="pct"/>
            <w:vAlign w:val="center"/>
          </w:tcPr>
          <w:p>
            <w:pPr>
              <w:jc w:val="center"/>
              <w:textAlignment w:val="center"/>
              <w:rPr>
                <w:rFonts w:eastAsiaTheme="minorEastAsia"/>
                <w:szCs w:val="21"/>
              </w:rPr>
            </w:pPr>
            <w:r>
              <w:rPr>
                <w:rFonts w:eastAsiaTheme="minorEastAsia"/>
                <w:kern w:val="0"/>
                <w:szCs w:val="21"/>
              </w:rPr>
              <w:t>7.50L</w:t>
            </w:r>
          </w:p>
        </w:tc>
        <w:tc>
          <w:tcPr>
            <w:tcW w:w="1000" w:type="pct"/>
            <w:vAlign w:val="center"/>
          </w:tcPr>
          <w:p>
            <w:pPr>
              <w:jc w:val="center"/>
              <w:textAlignment w:val="center"/>
              <w:rPr>
                <w:rFonts w:eastAsiaTheme="minorEastAsia"/>
                <w:szCs w:val="21"/>
              </w:rPr>
            </w:pPr>
            <w:r>
              <w:rPr>
                <w:rFonts w:eastAsiaTheme="minorEastAsia"/>
                <w:kern w:val="0"/>
                <w:szCs w:val="21"/>
              </w:rPr>
              <w:t>7.50L</w:t>
            </w:r>
          </w:p>
        </w:tc>
        <w:tc>
          <w:tcPr>
            <w:tcW w:w="1000" w:type="pct"/>
            <w:vAlign w:val="center"/>
          </w:tcPr>
          <w:p>
            <w:pPr>
              <w:jc w:val="center"/>
              <w:textAlignment w:val="center"/>
              <w:rPr>
                <w:rFonts w:eastAsiaTheme="minorEastAsia"/>
                <w:szCs w:val="21"/>
              </w:rPr>
            </w:pPr>
            <w:r>
              <w:rPr>
                <w:rFonts w:eastAsiaTheme="minorEastAsia"/>
                <w:kern w:val="0"/>
                <w:szCs w:val="21"/>
              </w:rPr>
              <w:t>7.50L</w:t>
            </w:r>
          </w:p>
        </w:tc>
        <w:tc>
          <w:tcPr>
            <w:tcW w:w="1000" w:type="pct"/>
            <w:vAlign w:val="center"/>
          </w:tcPr>
          <w:p>
            <w:pPr>
              <w:jc w:val="center"/>
              <w:textAlignment w:val="center"/>
              <w:rPr>
                <w:rFonts w:eastAsia="仿宋"/>
                <w:szCs w:val="21"/>
              </w:rPr>
            </w:pPr>
            <w:r>
              <w:rPr>
                <w:rFonts w:hint="eastAsia" w:eastAsia="仿宋"/>
                <w:kern w:val="0"/>
                <w:szCs w:val="21"/>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0" w:type="pct"/>
            <w:vAlign w:val="center"/>
          </w:tcPr>
          <w:p>
            <w:pPr>
              <w:jc w:val="center"/>
              <w:rPr>
                <w:rFonts w:eastAsiaTheme="minorEastAsia"/>
                <w:szCs w:val="21"/>
              </w:rPr>
            </w:pPr>
            <w:r>
              <w:rPr>
                <w:rFonts w:hAnsiTheme="minorEastAsia" w:eastAsiaTheme="minorEastAsia"/>
                <w:szCs w:val="21"/>
              </w:rPr>
              <w:t>铅（</w:t>
            </w:r>
            <w:r>
              <w:rPr>
                <w:rFonts w:eastAsiaTheme="minorEastAsia"/>
                <w:szCs w:val="21"/>
              </w:rPr>
              <w:t>mg/kg</w:t>
            </w:r>
            <w:r>
              <w:rPr>
                <w:rFonts w:hAnsiTheme="minorEastAsia" w:eastAsiaTheme="minorEastAsia"/>
                <w:szCs w:val="21"/>
              </w:rPr>
              <w:t>）</w:t>
            </w:r>
          </w:p>
        </w:tc>
        <w:tc>
          <w:tcPr>
            <w:tcW w:w="1000" w:type="pct"/>
            <w:vAlign w:val="center"/>
          </w:tcPr>
          <w:p>
            <w:pPr>
              <w:jc w:val="center"/>
              <w:textAlignment w:val="center"/>
              <w:rPr>
                <w:rFonts w:eastAsiaTheme="minorEastAsia"/>
                <w:szCs w:val="21"/>
              </w:rPr>
            </w:pPr>
            <w:r>
              <w:rPr>
                <w:rFonts w:eastAsiaTheme="minorEastAsia"/>
                <w:kern w:val="0"/>
                <w:szCs w:val="21"/>
              </w:rPr>
              <w:t>21.4</w:t>
            </w:r>
          </w:p>
        </w:tc>
        <w:tc>
          <w:tcPr>
            <w:tcW w:w="1000" w:type="pct"/>
            <w:vAlign w:val="center"/>
          </w:tcPr>
          <w:p>
            <w:pPr>
              <w:jc w:val="center"/>
              <w:textAlignment w:val="center"/>
              <w:rPr>
                <w:rFonts w:eastAsiaTheme="minorEastAsia"/>
                <w:szCs w:val="21"/>
              </w:rPr>
            </w:pPr>
            <w:r>
              <w:rPr>
                <w:rFonts w:eastAsiaTheme="minorEastAsia"/>
                <w:kern w:val="0"/>
                <w:szCs w:val="21"/>
              </w:rPr>
              <w:t>23.8</w:t>
            </w:r>
          </w:p>
        </w:tc>
        <w:tc>
          <w:tcPr>
            <w:tcW w:w="1000" w:type="pct"/>
            <w:vAlign w:val="center"/>
          </w:tcPr>
          <w:p>
            <w:pPr>
              <w:jc w:val="center"/>
              <w:textAlignment w:val="center"/>
              <w:rPr>
                <w:rFonts w:eastAsiaTheme="minorEastAsia"/>
                <w:szCs w:val="21"/>
              </w:rPr>
            </w:pPr>
            <w:r>
              <w:rPr>
                <w:rFonts w:eastAsiaTheme="minorEastAsia"/>
                <w:kern w:val="0"/>
                <w:szCs w:val="21"/>
              </w:rPr>
              <w:t>20.0</w:t>
            </w:r>
          </w:p>
        </w:tc>
        <w:tc>
          <w:tcPr>
            <w:tcW w:w="1000" w:type="pct"/>
            <w:vAlign w:val="center"/>
          </w:tcPr>
          <w:p>
            <w:pPr>
              <w:jc w:val="center"/>
              <w:textAlignment w:val="center"/>
              <w:rPr>
                <w:rFonts w:eastAsia="仿宋"/>
                <w:szCs w:val="21"/>
              </w:rPr>
            </w:pPr>
            <w:r>
              <w:rPr>
                <w:rFonts w:hint="eastAsia" w:eastAsia="仿宋"/>
                <w:kern w:val="0"/>
                <w:szCs w:val="21"/>
              </w:rPr>
              <w:t>170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0" w:type="pct"/>
            <w:vAlign w:val="center"/>
          </w:tcPr>
          <w:p>
            <w:pPr>
              <w:jc w:val="center"/>
              <w:rPr>
                <w:rFonts w:eastAsiaTheme="minorEastAsia"/>
                <w:szCs w:val="21"/>
              </w:rPr>
            </w:pPr>
            <w:r>
              <w:rPr>
                <w:rFonts w:hAnsiTheme="minorEastAsia" w:eastAsiaTheme="minorEastAsia"/>
                <w:szCs w:val="21"/>
              </w:rPr>
              <w:t>铬（</w:t>
            </w:r>
            <w:r>
              <w:rPr>
                <w:rFonts w:eastAsiaTheme="minorEastAsia"/>
                <w:szCs w:val="21"/>
              </w:rPr>
              <w:t>mg/kg</w:t>
            </w:r>
            <w:r>
              <w:rPr>
                <w:rFonts w:hAnsiTheme="minorEastAsia" w:eastAsiaTheme="minorEastAsia"/>
                <w:szCs w:val="21"/>
              </w:rPr>
              <w:t>）</w:t>
            </w:r>
          </w:p>
        </w:tc>
        <w:tc>
          <w:tcPr>
            <w:tcW w:w="1000" w:type="pct"/>
            <w:vAlign w:val="center"/>
          </w:tcPr>
          <w:p>
            <w:pPr>
              <w:jc w:val="center"/>
              <w:textAlignment w:val="center"/>
              <w:rPr>
                <w:rFonts w:eastAsiaTheme="minorEastAsia"/>
                <w:szCs w:val="21"/>
              </w:rPr>
            </w:pPr>
            <w:r>
              <w:rPr>
                <w:rFonts w:eastAsiaTheme="minorEastAsia"/>
                <w:kern w:val="0"/>
                <w:szCs w:val="21"/>
              </w:rPr>
              <w:t>24.2</w:t>
            </w:r>
          </w:p>
        </w:tc>
        <w:tc>
          <w:tcPr>
            <w:tcW w:w="1000" w:type="pct"/>
            <w:vAlign w:val="center"/>
          </w:tcPr>
          <w:p>
            <w:pPr>
              <w:jc w:val="center"/>
              <w:textAlignment w:val="center"/>
              <w:rPr>
                <w:rFonts w:eastAsiaTheme="minorEastAsia"/>
                <w:szCs w:val="21"/>
              </w:rPr>
            </w:pPr>
            <w:r>
              <w:rPr>
                <w:rFonts w:eastAsiaTheme="minorEastAsia"/>
                <w:kern w:val="0"/>
                <w:szCs w:val="21"/>
              </w:rPr>
              <w:t>33.0</w:t>
            </w:r>
          </w:p>
        </w:tc>
        <w:tc>
          <w:tcPr>
            <w:tcW w:w="1000" w:type="pct"/>
            <w:vAlign w:val="center"/>
          </w:tcPr>
          <w:p>
            <w:pPr>
              <w:jc w:val="center"/>
              <w:textAlignment w:val="center"/>
              <w:rPr>
                <w:rFonts w:eastAsiaTheme="minorEastAsia"/>
                <w:szCs w:val="21"/>
              </w:rPr>
            </w:pPr>
            <w:r>
              <w:rPr>
                <w:rFonts w:eastAsiaTheme="minorEastAsia"/>
                <w:kern w:val="0"/>
                <w:szCs w:val="21"/>
              </w:rPr>
              <w:t>21.6</w:t>
            </w:r>
          </w:p>
        </w:tc>
        <w:tc>
          <w:tcPr>
            <w:tcW w:w="1000" w:type="pct"/>
            <w:vAlign w:val="center"/>
          </w:tcPr>
          <w:p>
            <w:pPr>
              <w:jc w:val="center"/>
              <w:textAlignment w:val="center"/>
              <w:rPr>
                <w:rFonts w:eastAsia="仿宋"/>
                <w:szCs w:val="21"/>
              </w:rPr>
            </w:pPr>
            <w:r>
              <w:rPr>
                <w:rFonts w:hint="eastAsia" w:eastAsia="仿宋"/>
                <w:kern w:val="0"/>
                <w:szCs w:val="21"/>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0" w:type="pct"/>
            <w:vAlign w:val="center"/>
          </w:tcPr>
          <w:p>
            <w:pPr>
              <w:jc w:val="center"/>
              <w:rPr>
                <w:rFonts w:eastAsiaTheme="minorEastAsia"/>
                <w:szCs w:val="21"/>
              </w:rPr>
            </w:pPr>
            <w:r>
              <w:rPr>
                <w:rFonts w:hAnsiTheme="minorEastAsia" w:eastAsiaTheme="minorEastAsia"/>
                <w:szCs w:val="21"/>
              </w:rPr>
              <w:t>铜（</w:t>
            </w:r>
            <w:r>
              <w:rPr>
                <w:rFonts w:eastAsiaTheme="minorEastAsia"/>
                <w:szCs w:val="21"/>
              </w:rPr>
              <w:t>mg/kg</w:t>
            </w:r>
            <w:r>
              <w:rPr>
                <w:rFonts w:hAnsiTheme="minorEastAsia" w:eastAsiaTheme="minorEastAsia"/>
                <w:szCs w:val="21"/>
              </w:rPr>
              <w:t>）</w:t>
            </w:r>
          </w:p>
        </w:tc>
        <w:tc>
          <w:tcPr>
            <w:tcW w:w="1000" w:type="pct"/>
            <w:vAlign w:val="center"/>
          </w:tcPr>
          <w:p>
            <w:pPr>
              <w:jc w:val="center"/>
              <w:textAlignment w:val="center"/>
              <w:rPr>
                <w:rFonts w:eastAsiaTheme="minorEastAsia"/>
                <w:szCs w:val="21"/>
              </w:rPr>
            </w:pPr>
            <w:r>
              <w:rPr>
                <w:rFonts w:eastAsiaTheme="minorEastAsia"/>
                <w:kern w:val="0"/>
                <w:szCs w:val="21"/>
              </w:rPr>
              <w:t>9.33</w:t>
            </w:r>
          </w:p>
        </w:tc>
        <w:tc>
          <w:tcPr>
            <w:tcW w:w="1000" w:type="pct"/>
            <w:vAlign w:val="center"/>
          </w:tcPr>
          <w:p>
            <w:pPr>
              <w:jc w:val="center"/>
              <w:textAlignment w:val="center"/>
              <w:rPr>
                <w:rFonts w:eastAsiaTheme="minorEastAsia"/>
                <w:szCs w:val="21"/>
              </w:rPr>
            </w:pPr>
            <w:r>
              <w:rPr>
                <w:rFonts w:eastAsiaTheme="minorEastAsia"/>
                <w:kern w:val="0"/>
                <w:szCs w:val="21"/>
              </w:rPr>
              <w:t>10.2</w:t>
            </w:r>
          </w:p>
        </w:tc>
        <w:tc>
          <w:tcPr>
            <w:tcW w:w="1000" w:type="pct"/>
            <w:vAlign w:val="center"/>
          </w:tcPr>
          <w:p>
            <w:pPr>
              <w:jc w:val="center"/>
              <w:textAlignment w:val="center"/>
              <w:rPr>
                <w:rFonts w:eastAsiaTheme="minorEastAsia"/>
                <w:szCs w:val="21"/>
              </w:rPr>
            </w:pPr>
            <w:r>
              <w:rPr>
                <w:rFonts w:eastAsiaTheme="minorEastAsia"/>
                <w:kern w:val="0"/>
                <w:szCs w:val="21"/>
              </w:rPr>
              <w:t>8.38</w:t>
            </w:r>
          </w:p>
        </w:tc>
        <w:tc>
          <w:tcPr>
            <w:tcW w:w="1000" w:type="pct"/>
            <w:vAlign w:val="center"/>
          </w:tcPr>
          <w:p>
            <w:pPr>
              <w:jc w:val="center"/>
              <w:textAlignment w:val="center"/>
              <w:rPr>
                <w:rFonts w:eastAsia="仿宋"/>
                <w:szCs w:val="21"/>
              </w:rPr>
            </w:pPr>
            <w:r>
              <w:rPr>
                <w:rFonts w:hint="eastAsia" w:eastAsia="仿宋"/>
                <w:kern w:val="0"/>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0" w:type="pct"/>
            <w:vAlign w:val="center"/>
          </w:tcPr>
          <w:p>
            <w:pPr>
              <w:jc w:val="center"/>
              <w:rPr>
                <w:rFonts w:eastAsiaTheme="minorEastAsia"/>
                <w:szCs w:val="21"/>
              </w:rPr>
            </w:pPr>
            <w:r>
              <w:rPr>
                <w:rFonts w:hAnsiTheme="minorEastAsia" w:eastAsiaTheme="minorEastAsia"/>
                <w:szCs w:val="21"/>
              </w:rPr>
              <w:t>镍（</w:t>
            </w:r>
            <w:r>
              <w:rPr>
                <w:rFonts w:eastAsiaTheme="minorEastAsia"/>
                <w:szCs w:val="21"/>
              </w:rPr>
              <w:t>mg/kg</w:t>
            </w:r>
            <w:r>
              <w:rPr>
                <w:rFonts w:hAnsiTheme="minorEastAsia" w:eastAsiaTheme="minorEastAsia"/>
                <w:szCs w:val="21"/>
              </w:rPr>
              <w:t>）</w:t>
            </w:r>
          </w:p>
        </w:tc>
        <w:tc>
          <w:tcPr>
            <w:tcW w:w="1000" w:type="pct"/>
            <w:vAlign w:val="center"/>
          </w:tcPr>
          <w:p>
            <w:pPr>
              <w:jc w:val="center"/>
              <w:textAlignment w:val="center"/>
              <w:rPr>
                <w:rFonts w:eastAsiaTheme="minorEastAsia"/>
                <w:szCs w:val="21"/>
              </w:rPr>
            </w:pPr>
            <w:r>
              <w:rPr>
                <w:rFonts w:eastAsiaTheme="minorEastAsia"/>
                <w:kern w:val="0"/>
                <w:szCs w:val="21"/>
              </w:rPr>
              <w:t>18.7</w:t>
            </w:r>
          </w:p>
        </w:tc>
        <w:tc>
          <w:tcPr>
            <w:tcW w:w="1000" w:type="pct"/>
            <w:vAlign w:val="center"/>
          </w:tcPr>
          <w:p>
            <w:pPr>
              <w:jc w:val="center"/>
              <w:textAlignment w:val="center"/>
              <w:rPr>
                <w:rFonts w:eastAsiaTheme="minorEastAsia"/>
                <w:szCs w:val="21"/>
              </w:rPr>
            </w:pPr>
            <w:r>
              <w:rPr>
                <w:rFonts w:eastAsiaTheme="minorEastAsia"/>
                <w:kern w:val="0"/>
                <w:szCs w:val="21"/>
              </w:rPr>
              <w:t>20.0</w:t>
            </w:r>
          </w:p>
        </w:tc>
        <w:tc>
          <w:tcPr>
            <w:tcW w:w="1000" w:type="pct"/>
            <w:vAlign w:val="center"/>
          </w:tcPr>
          <w:p>
            <w:pPr>
              <w:jc w:val="center"/>
              <w:textAlignment w:val="center"/>
              <w:rPr>
                <w:rFonts w:eastAsiaTheme="minorEastAsia"/>
                <w:szCs w:val="21"/>
              </w:rPr>
            </w:pPr>
            <w:r>
              <w:rPr>
                <w:rFonts w:eastAsiaTheme="minorEastAsia"/>
                <w:kern w:val="0"/>
                <w:szCs w:val="21"/>
              </w:rPr>
              <w:t>16.7</w:t>
            </w:r>
          </w:p>
        </w:tc>
        <w:tc>
          <w:tcPr>
            <w:tcW w:w="1000" w:type="pct"/>
            <w:vAlign w:val="center"/>
          </w:tcPr>
          <w:p>
            <w:pPr>
              <w:jc w:val="center"/>
              <w:textAlignment w:val="center"/>
              <w:rPr>
                <w:rFonts w:eastAsia="仿宋"/>
                <w:szCs w:val="21"/>
              </w:rPr>
            </w:pPr>
            <w:r>
              <w:rPr>
                <w:rFonts w:hint="eastAsia" w:eastAsia="仿宋"/>
                <w:kern w:val="0"/>
                <w:szCs w:val="21"/>
              </w:rPr>
              <w:t>190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000" w:type="pct"/>
            <w:vAlign w:val="center"/>
          </w:tcPr>
          <w:p>
            <w:pPr>
              <w:jc w:val="center"/>
              <w:rPr>
                <w:rFonts w:eastAsiaTheme="minorEastAsia"/>
                <w:szCs w:val="21"/>
              </w:rPr>
            </w:pPr>
            <w:r>
              <w:rPr>
                <w:rFonts w:hAnsiTheme="minorEastAsia" w:eastAsiaTheme="minorEastAsia"/>
                <w:szCs w:val="21"/>
              </w:rPr>
              <w:t>锌（</w:t>
            </w:r>
            <w:r>
              <w:rPr>
                <w:rFonts w:eastAsiaTheme="minorEastAsia"/>
                <w:szCs w:val="21"/>
              </w:rPr>
              <w:t>mg/kg</w:t>
            </w:r>
            <w:r>
              <w:rPr>
                <w:rFonts w:hAnsiTheme="minorEastAsia" w:eastAsiaTheme="minorEastAsia"/>
                <w:szCs w:val="21"/>
              </w:rPr>
              <w:t>）</w:t>
            </w:r>
          </w:p>
        </w:tc>
        <w:tc>
          <w:tcPr>
            <w:tcW w:w="1000" w:type="pct"/>
            <w:vAlign w:val="center"/>
          </w:tcPr>
          <w:p>
            <w:pPr>
              <w:jc w:val="center"/>
              <w:textAlignment w:val="center"/>
              <w:rPr>
                <w:rFonts w:eastAsiaTheme="minorEastAsia"/>
                <w:szCs w:val="21"/>
              </w:rPr>
            </w:pPr>
            <w:r>
              <w:rPr>
                <w:rFonts w:eastAsiaTheme="minorEastAsia"/>
                <w:kern w:val="0"/>
                <w:szCs w:val="21"/>
              </w:rPr>
              <w:t>53.2</w:t>
            </w:r>
          </w:p>
        </w:tc>
        <w:tc>
          <w:tcPr>
            <w:tcW w:w="1000" w:type="pct"/>
            <w:vAlign w:val="center"/>
          </w:tcPr>
          <w:p>
            <w:pPr>
              <w:jc w:val="center"/>
              <w:textAlignment w:val="center"/>
              <w:rPr>
                <w:rFonts w:eastAsiaTheme="minorEastAsia"/>
                <w:szCs w:val="21"/>
              </w:rPr>
            </w:pPr>
            <w:r>
              <w:rPr>
                <w:rFonts w:eastAsiaTheme="minorEastAsia"/>
                <w:kern w:val="0"/>
                <w:szCs w:val="21"/>
              </w:rPr>
              <w:t>61.5</w:t>
            </w:r>
          </w:p>
        </w:tc>
        <w:tc>
          <w:tcPr>
            <w:tcW w:w="1000" w:type="pct"/>
            <w:vAlign w:val="center"/>
          </w:tcPr>
          <w:p>
            <w:pPr>
              <w:jc w:val="center"/>
              <w:textAlignment w:val="center"/>
              <w:rPr>
                <w:rFonts w:eastAsiaTheme="minorEastAsia"/>
                <w:szCs w:val="21"/>
              </w:rPr>
            </w:pPr>
            <w:r>
              <w:rPr>
                <w:rFonts w:eastAsiaTheme="minorEastAsia"/>
                <w:kern w:val="0"/>
                <w:szCs w:val="21"/>
              </w:rPr>
              <w:t>43.0</w:t>
            </w:r>
          </w:p>
        </w:tc>
        <w:tc>
          <w:tcPr>
            <w:tcW w:w="1000" w:type="pct"/>
            <w:vAlign w:val="center"/>
          </w:tcPr>
          <w:p>
            <w:pPr>
              <w:jc w:val="center"/>
              <w:textAlignment w:val="center"/>
              <w:rPr>
                <w:rFonts w:eastAsia="仿宋"/>
                <w:szCs w:val="21"/>
              </w:rPr>
            </w:pPr>
            <w:r>
              <w:rPr>
                <w:rFonts w:hint="eastAsia" w:eastAsia="仿宋"/>
                <w:kern w:val="0"/>
                <w:szCs w:val="21"/>
              </w:rPr>
              <w:t>300</w:t>
            </w:r>
          </w:p>
        </w:tc>
      </w:tr>
    </w:tbl>
    <w:p>
      <w:pPr>
        <w:spacing w:line="360" w:lineRule="auto"/>
        <w:ind w:firstLine="480" w:firstLineChars="200"/>
        <w:rPr>
          <w:sz w:val="24"/>
        </w:rPr>
      </w:pPr>
      <w:r>
        <w:rPr>
          <w:sz w:val="24"/>
        </w:rPr>
        <w:t>根据表</w:t>
      </w:r>
      <w:r>
        <w:rPr>
          <w:rFonts w:hint="eastAsia"/>
          <w:sz w:val="24"/>
        </w:rPr>
        <w:t>5.5-2</w:t>
      </w:r>
      <w:r>
        <w:rPr>
          <w:sz w:val="24"/>
        </w:rPr>
        <w:t>所示，项目所在地各监测点各指标均小于《土壤环境质量农用地土壤污染风险管控标准（试行）》（GB15618-2018）中表1</w:t>
      </w:r>
      <w:r>
        <w:rPr>
          <w:rFonts w:asciiTheme="minorEastAsia" w:hAnsiTheme="minorEastAsia" w:eastAsiaTheme="minorEastAsia"/>
          <w:sz w:val="24"/>
        </w:rPr>
        <w:t>“</w:t>
      </w:r>
      <w:r>
        <w:rPr>
          <w:sz w:val="24"/>
        </w:rPr>
        <w:t>农用地污染土壤风险筛选值（基本项目）</w:t>
      </w:r>
      <w:r>
        <w:rPr>
          <w:rFonts w:asciiTheme="minorEastAsia" w:hAnsiTheme="minorEastAsia" w:eastAsiaTheme="minorEastAsia"/>
          <w:sz w:val="24"/>
        </w:rPr>
        <w:t>”</w:t>
      </w:r>
      <w:r>
        <w:rPr>
          <w:sz w:val="24"/>
        </w:rPr>
        <w:t>标准限值。</w:t>
      </w:r>
    </w:p>
    <w:p>
      <w:pPr>
        <w:spacing w:line="360" w:lineRule="auto"/>
        <w:ind w:firstLine="480" w:firstLineChars="200"/>
        <w:rPr>
          <w:kern w:val="0"/>
          <w:sz w:val="24"/>
        </w:rPr>
      </w:pPr>
      <w:r>
        <w:rPr>
          <w:kern w:val="0"/>
          <w:sz w:val="24"/>
        </w:rPr>
        <w:t>评价区域内土壤理化特性情况如下：</w:t>
      </w:r>
    </w:p>
    <w:p>
      <w:pPr>
        <w:pStyle w:val="17"/>
        <w:spacing w:beforeLines="50"/>
        <w:rPr>
          <w:rFonts w:ascii="Times New Roman" w:hAnsi="Times New Roman" w:cs="Times New Roman"/>
          <w:bCs/>
          <w:color w:val="auto"/>
          <w:sz w:val="21"/>
        </w:rPr>
      </w:pPr>
      <w:r>
        <w:rPr>
          <w:rFonts w:ascii="Times New Roman" w:hAnsi="Times New Roman" w:cs="Times New Roman"/>
          <w:bCs/>
          <w:color w:val="auto"/>
          <w:sz w:val="21"/>
        </w:rPr>
        <w:t>表</w:t>
      </w:r>
      <w:r>
        <w:rPr>
          <w:rFonts w:hint="eastAsia" w:ascii="Times New Roman" w:hAnsi="Times New Roman" w:cs="Times New Roman"/>
          <w:bCs/>
          <w:color w:val="auto"/>
          <w:sz w:val="21"/>
        </w:rPr>
        <w:t>5.5-3</w:t>
      </w:r>
      <w:r>
        <w:rPr>
          <w:rFonts w:ascii="Times New Roman" w:hAnsi="Times New Roman" w:cs="Times New Roman"/>
          <w:bCs/>
          <w:color w:val="auto"/>
          <w:sz w:val="21"/>
        </w:rPr>
        <w:t xml:space="preserve"> </w:t>
      </w:r>
      <w:r>
        <w:rPr>
          <w:rFonts w:hint="eastAsia" w:ascii="Times New Roman" w:hAnsi="Times New Roman" w:cs="Times New Roman"/>
          <w:bCs/>
          <w:color w:val="auto"/>
          <w:sz w:val="21"/>
        </w:rPr>
        <w:t xml:space="preserve"> </w:t>
      </w:r>
      <w:r>
        <w:rPr>
          <w:rFonts w:ascii="Times New Roman" w:hAnsi="Times New Roman" w:cs="Times New Roman"/>
          <w:bCs/>
          <w:color w:val="auto"/>
          <w:sz w:val="21"/>
        </w:rPr>
        <w:t>土壤理化特性调查表</w:t>
      </w:r>
    </w:p>
    <w:tbl>
      <w:tblPr>
        <w:tblStyle w:val="48"/>
        <w:tblW w:w="50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34"/>
        <w:gridCol w:w="2286"/>
        <w:gridCol w:w="2286"/>
        <w:gridCol w:w="22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34" w:type="dxa"/>
            <w:vMerge w:val="restart"/>
            <w:vAlign w:val="center"/>
          </w:tcPr>
          <w:p>
            <w:pPr>
              <w:widowControl/>
              <w:ind w:left="-105"/>
              <w:jc w:val="center"/>
              <w:textAlignment w:val="center"/>
              <w:rPr>
                <w:rFonts w:eastAsiaTheme="majorEastAsia"/>
                <w:b/>
                <w:bCs/>
                <w:szCs w:val="21"/>
              </w:rPr>
            </w:pPr>
            <w:r>
              <w:rPr>
                <w:rFonts w:hAnsiTheme="majorEastAsia" w:eastAsiaTheme="majorEastAsia"/>
                <w:b/>
                <w:bCs/>
                <w:szCs w:val="21"/>
              </w:rPr>
              <w:t>项目名称</w:t>
            </w:r>
          </w:p>
        </w:tc>
        <w:tc>
          <w:tcPr>
            <w:tcW w:w="6858" w:type="dxa"/>
            <w:gridSpan w:val="3"/>
            <w:vAlign w:val="center"/>
          </w:tcPr>
          <w:p>
            <w:pPr>
              <w:widowControl/>
              <w:ind w:left="-105"/>
              <w:jc w:val="center"/>
              <w:textAlignment w:val="center"/>
              <w:rPr>
                <w:rFonts w:eastAsiaTheme="majorEastAsia"/>
                <w:b/>
                <w:bCs/>
                <w:szCs w:val="21"/>
              </w:rPr>
            </w:pPr>
            <w:r>
              <w:rPr>
                <w:rFonts w:hAnsiTheme="majorEastAsia" w:eastAsiaTheme="majorEastAsia"/>
                <w:b/>
                <w:bCs/>
                <w:szCs w:val="21"/>
              </w:rPr>
              <w:t>结果及特性描述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34" w:type="dxa"/>
            <w:vMerge w:val="continue"/>
            <w:vAlign w:val="center"/>
          </w:tcPr>
          <w:p>
            <w:pPr>
              <w:widowControl/>
              <w:ind w:left="-105"/>
              <w:jc w:val="center"/>
              <w:textAlignment w:val="center"/>
              <w:rPr>
                <w:rFonts w:eastAsiaTheme="majorEastAsia"/>
              </w:rPr>
            </w:pPr>
          </w:p>
        </w:tc>
        <w:tc>
          <w:tcPr>
            <w:tcW w:w="2286" w:type="dxa"/>
            <w:vAlign w:val="center"/>
          </w:tcPr>
          <w:p>
            <w:pPr>
              <w:jc w:val="center"/>
              <w:textAlignment w:val="center"/>
              <w:rPr>
                <w:rFonts w:eastAsiaTheme="minorEastAsia"/>
                <w:b/>
                <w:bCs/>
                <w:szCs w:val="21"/>
              </w:rPr>
            </w:pPr>
            <w:r>
              <w:rPr>
                <w:rFonts w:eastAsiaTheme="minorEastAsia"/>
                <w:b/>
                <w:bCs/>
                <w:szCs w:val="21"/>
              </w:rPr>
              <w:t>T1</w:t>
            </w:r>
            <w:r>
              <w:rPr>
                <w:rFonts w:hAnsiTheme="minorEastAsia" w:eastAsiaTheme="minorEastAsia"/>
                <w:b/>
                <w:bCs/>
                <w:szCs w:val="21"/>
              </w:rPr>
              <w:t>项目西侧鸡舍（</w:t>
            </w:r>
            <w:r>
              <w:rPr>
                <w:rFonts w:hint="eastAsia" w:hAnsiTheme="minorEastAsia" w:eastAsiaTheme="minorEastAsia"/>
                <w:b/>
                <w:bCs/>
                <w:szCs w:val="21"/>
              </w:rPr>
              <w:t>0~0.2m</w:t>
            </w:r>
            <w:r>
              <w:rPr>
                <w:rFonts w:hAnsiTheme="minorEastAsia" w:eastAsiaTheme="minorEastAsia"/>
                <w:b/>
                <w:bCs/>
                <w:szCs w:val="21"/>
              </w:rPr>
              <w:t>）</w:t>
            </w:r>
          </w:p>
        </w:tc>
        <w:tc>
          <w:tcPr>
            <w:tcW w:w="2286" w:type="dxa"/>
            <w:vAlign w:val="center"/>
          </w:tcPr>
          <w:p>
            <w:pPr>
              <w:jc w:val="center"/>
              <w:textAlignment w:val="center"/>
              <w:rPr>
                <w:rFonts w:eastAsiaTheme="minorEastAsia"/>
                <w:b/>
                <w:bCs/>
                <w:szCs w:val="21"/>
              </w:rPr>
            </w:pPr>
            <w:r>
              <w:rPr>
                <w:rFonts w:eastAsiaTheme="minorEastAsia"/>
                <w:b/>
                <w:bCs/>
                <w:szCs w:val="21"/>
              </w:rPr>
              <w:t>T2</w:t>
            </w:r>
            <w:r>
              <w:rPr>
                <w:rFonts w:hAnsiTheme="minorEastAsia" w:eastAsiaTheme="minorEastAsia"/>
                <w:b/>
                <w:bCs/>
                <w:szCs w:val="21"/>
              </w:rPr>
              <w:t>项目中部蛋库（</w:t>
            </w:r>
            <w:r>
              <w:rPr>
                <w:rFonts w:hint="eastAsia" w:hAnsiTheme="minorEastAsia" w:eastAsiaTheme="minorEastAsia"/>
                <w:b/>
                <w:bCs/>
                <w:szCs w:val="21"/>
              </w:rPr>
              <w:t>0~0.2m</w:t>
            </w:r>
            <w:r>
              <w:rPr>
                <w:rFonts w:hAnsiTheme="minorEastAsia" w:eastAsiaTheme="minorEastAsia"/>
                <w:b/>
                <w:bCs/>
                <w:szCs w:val="21"/>
              </w:rPr>
              <w:t>）</w:t>
            </w:r>
          </w:p>
        </w:tc>
        <w:tc>
          <w:tcPr>
            <w:tcW w:w="2286" w:type="dxa"/>
            <w:vAlign w:val="center"/>
          </w:tcPr>
          <w:p>
            <w:pPr>
              <w:jc w:val="center"/>
              <w:textAlignment w:val="center"/>
              <w:rPr>
                <w:rFonts w:eastAsiaTheme="minorEastAsia"/>
                <w:b/>
                <w:bCs/>
                <w:szCs w:val="21"/>
              </w:rPr>
            </w:pPr>
            <w:r>
              <w:rPr>
                <w:rFonts w:eastAsiaTheme="minorEastAsia"/>
                <w:b/>
                <w:bCs/>
                <w:szCs w:val="21"/>
              </w:rPr>
              <w:t>T3</w:t>
            </w:r>
            <w:r>
              <w:rPr>
                <w:rFonts w:hAnsiTheme="minorEastAsia" w:eastAsiaTheme="minorEastAsia"/>
                <w:b/>
                <w:bCs/>
                <w:szCs w:val="21"/>
              </w:rPr>
              <w:t>项目东部鸡舍（</w:t>
            </w:r>
            <w:r>
              <w:rPr>
                <w:rFonts w:hint="eastAsia" w:hAnsiTheme="minorEastAsia" w:eastAsiaTheme="minorEastAsia"/>
                <w:b/>
                <w:bCs/>
                <w:szCs w:val="21"/>
              </w:rPr>
              <w:t>0~0.2m</w:t>
            </w:r>
            <w:r>
              <w:rPr>
                <w:rFonts w:hAnsiTheme="minorEastAsia" w:eastAsiaTheme="minorEastAsia"/>
                <w:b/>
                <w:bCs/>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34" w:type="dxa"/>
            <w:vAlign w:val="center"/>
          </w:tcPr>
          <w:p>
            <w:pPr>
              <w:ind w:left="-105"/>
              <w:jc w:val="center"/>
              <w:rPr>
                <w:rFonts w:eastAsiaTheme="majorEastAsia"/>
                <w:szCs w:val="21"/>
              </w:rPr>
            </w:pPr>
            <w:r>
              <w:rPr>
                <w:rFonts w:hAnsiTheme="majorEastAsia" w:eastAsiaTheme="majorEastAsia"/>
                <w:szCs w:val="21"/>
              </w:rPr>
              <w:t>颜色</w:t>
            </w:r>
          </w:p>
        </w:tc>
        <w:tc>
          <w:tcPr>
            <w:tcW w:w="2286" w:type="dxa"/>
            <w:vAlign w:val="center"/>
          </w:tcPr>
          <w:p>
            <w:pPr>
              <w:ind w:left="-105"/>
              <w:jc w:val="center"/>
              <w:rPr>
                <w:rFonts w:eastAsiaTheme="majorEastAsia"/>
                <w:szCs w:val="21"/>
              </w:rPr>
            </w:pPr>
            <w:r>
              <w:rPr>
                <w:rFonts w:hAnsiTheme="majorEastAsia" w:eastAsiaTheme="majorEastAsia"/>
                <w:szCs w:val="21"/>
              </w:rPr>
              <w:t>棕色</w:t>
            </w:r>
          </w:p>
        </w:tc>
        <w:tc>
          <w:tcPr>
            <w:tcW w:w="2286" w:type="dxa"/>
            <w:vAlign w:val="center"/>
          </w:tcPr>
          <w:p>
            <w:pPr>
              <w:ind w:left="-105"/>
              <w:jc w:val="center"/>
              <w:rPr>
                <w:rFonts w:eastAsiaTheme="majorEastAsia"/>
                <w:szCs w:val="21"/>
              </w:rPr>
            </w:pPr>
            <w:r>
              <w:rPr>
                <w:rFonts w:hAnsiTheme="majorEastAsia" w:eastAsiaTheme="majorEastAsia"/>
                <w:szCs w:val="21"/>
              </w:rPr>
              <w:t>棕色</w:t>
            </w:r>
          </w:p>
        </w:tc>
        <w:tc>
          <w:tcPr>
            <w:tcW w:w="2286" w:type="dxa"/>
            <w:vAlign w:val="center"/>
          </w:tcPr>
          <w:p>
            <w:pPr>
              <w:ind w:left="-105"/>
              <w:jc w:val="center"/>
              <w:rPr>
                <w:rFonts w:eastAsiaTheme="majorEastAsia"/>
                <w:szCs w:val="21"/>
              </w:rPr>
            </w:pPr>
            <w:r>
              <w:rPr>
                <w:rFonts w:hAnsiTheme="majorEastAsia" w:eastAsiaTheme="majorEastAsia"/>
                <w:szCs w:val="21"/>
              </w:rPr>
              <w:t>棕色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34" w:type="dxa"/>
            <w:vAlign w:val="center"/>
          </w:tcPr>
          <w:p>
            <w:pPr>
              <w:ind w:left="-105"/>
              <w:jc w:val="center"/>
              <w:rPr>
                <w:rFonts w:eastAsiaTheme="majorEastAsia"/>
                <w:szCs w:val="21"/>
              </w:rPr>
            </w:pPr>
            <w:r>
              <w:rPr>
                <w:rFonts w:hAnsiTheme="majorEastAsia" w:eastAsiaTheme="majorEastAsia"/>
                <w:szCs w:val="21"/>
              </w:rPr>
              <w:t>结构</w:t>
            </w:r>
          </w:p>
        </w:tc>
        <w:tc>
          <w:tcPr>
            <w:tcW w:w="2286" w:type="dxa"/>
            <w:vAlign w:val="center"/>
          </w:tcPr>
          <w:p>
            <w:pPr>
              <w:ind w:left="-105"/>
              <w:jc w:val="center"/>
              <w:rPr>
                <w:rFonts w:eastAsiaTheme="majorEastAsia"/>
                <w:szCs w:val="21"/>
              </w:rPr>
            </w:pPr>
            <w:r>
              <w:rPr>
                <w:rFonts w:hAnsiTheme="majorEastAsia" w:eastAsiaTheme="majorEastAsia"/>
                <w:szCs w:val="21"/>
              </w:rPr>
              <w:t>干</w:t>
            </w:r>
          </w:p>
        </w:tc>
        <w:tc>
          <w:tcPr>
            <w:tcW w:w="2286" w:type="dxa"/>
            <w:vAlign w:val="center"/>
          </w:tcPr>
          <w:p>
            <w:pPr>
              <w:ind w:left="-105"/>
              <w:jc w:val="center"/>
              <w:rPr>
                <w:rFonts w:eastAsiaTheme="majorEastAsia"/>
                <w:szCs w:val="21"/>
              </w:rPr>
            </w:pPr>
            <w:r>
              <w:rPr>
                <w:rFonts w:hAnsiTheme="majorEastAsia" w:eastAsiaTheme="majorEastAsia"/>
                <w:szCs w:val="21"/>
              </w:rPr>
              <w:t>干</w:t>
            </w:r>
          </w:p>
        </w:tc>
        <w:tc>
          <w:tcPr>
            <w:tcW w:w="2286" w:type="dxa"/>
            <w:vAlign w:val="center"/>
          </w:tcPr>
          <w:p>
            <w:pPr>
              <w:ind w:left="-105"/>
              <w:jc w:val="center"/>
              <w:rPr>
                <w:rFonts w:eastAsiaTheme="majorEastAsia"/>
                <w:szCs w:val="21"/>
              </w:rPr>
            </w:pPr>
            <w:r>
              <w:rPr>
                <w:rFonts w:hAnsiTheme="majorEastAsia" w:eastAsiaTheme="majorEastAsia"/>
                <w:szCs w:val="21"/>
              </w:rPr>
              <w:t>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34" w:type="dxa"/>
            <w:vAlign w:val="center"/>
          </w:tcPr>
          <w:p>
            <w:pPr>
              <w:ind w:left="-105"/>
              <w:jc w:val="center"/>
              <w:rPr>
                <w:rFonts w:eastAsiaTheme="majorEastAsia"/>
                <w:szCs w:val="21"/>
              </w:rPr>
            </w:pPr>
            <w:r>
              <w:rPr>
                <w:rFonts w:hAnsiTheme="majorEastAsia" w:eastAsiaTheme="majorEastAsia"/>
                <w:szCs w:val="21"/>
              </w:rPr>
              <w:t>质地</w:t>
            </w:r>
          </w:p>
        </w:tc>
        <w:tc>
          <w:tcPr>
            <w:tcW w:w="2286" w:type="dxa"/>
            <w:vAlign w:val="center"/>
          </w:tcPr>
          <w:p>
            <w:pPr>
              <w:ind w:left="-105"/>
              <w:jc w:val="center"/>
              <w:rPr>
                <w:rFonts w:eastAsiaTheme="majorEastAsia"/>
                <w:szCs w:val="21"/>
              </w:rPr>
            </w:pPr>
            <w:r>
              <w:rPr>
                <w:rFonts w:hAnsiTheme="majorEastAsia" w:eastAsiaTheme="majorEastAsia"/>
                <w:szCs w:val="21"/>
              </w:rPr>
              <w:t>壤土</w:t>
            </w:r>
          </w:p>
        </w:tc>
        <w:tc>
          <w:tcPr>
            <w:tcW w:w="2286" w:type="dxa"/>
            <w:vAlign w:val="center"/>
          </w:tcPr>
          <w:p>
            <w:pPr>
              <w:ind w:left="-105"/>
              <w:jc w:val="center"/>
              <w:rPr>
                <w:rFonts w:eastAsiaTheme="majorEastAsia"/>
                <w:szCs w:val="21"/>
              </w:rPr>
            </w:pPr>
            <w:r>
              <w:rPr>
                <w:rFonts w:hAnsiTheme="majorEastAsia" w:eastAsiaTheme="majorEastAsia"/>
                <w:szCs w:val="21"/>
              </w:rPr>
              <w:t>壤土</w:t>
            </w:r>
          </w:p>
        </w:tc>
        <w:tc>
          <w:tcPr>
            <w:tcW w:w="2286" w:type="dxa"/>
            <w:vAlign w:val="center"/>
          </w:tcPr>
          <w:p>
            <w:pPr>
              <w:ind w:left="-105"/>
              <w:jc w:val="center"/>
              <w:rPr>
                <w:rFonts w:eastAsiaTheme="majorEastAsia"/>
                <w:szCs w:val="21"/>
              </w:rPr>
            </w:pPr>
            <w:r>
              <w:rPr>
                <w:rFonts w:hAnsiTheme="majorEastAsia" w:eastAsiaTheme="majorEastAsia"/>
                <w:szCs w:val="21"/>
              </w:rPr>
              <w:t>壤土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34" w:type="dxa"/>
            <w:vAlign w:val="center"/>
          </w:tcPr>
          <w:p>
            <w:pPr>
              <w:ind w:left="-105"/>
              <w:jc w:val="center"/>
              <w:rPr>
                <w:rFonts w:eastAsiaTheme="majorEastAsia"/>
                <w:szCs w:val="21"/>
              </w:rPr>
            </w:pPr>
            <w:r>
              <w:rPr>
                <w:rFonts w:hAnsiTheme="majorEastAsia" w:eastAsiaTheme="majorEastAsia"/>
                <w:szCs w:val="21"/>
              </w:rPr>
              <w:t>砂砾含量</w:t>
            </w:r>
          </w:p>
        </w:tc>
        <w:tc>
          <w:tcPr>
            <w:tcW w:w="2286" w:type="dxa"/>
            <w:vAlign w:val="center"/>
          </w:tcPr>
          <w:p>
            <w:pPr>
              <w:ind w:left="-105"/>
              <w:jc w:val="center"/>
              <w:rPr>
                <w:rFonts w:eastAsiaTheme="majorEastAsia"/>
                <w:szCs w:val="21"/>
              </w:rPr>
            </w:pPr>
            <w:r>
              <w:rPr>
                <w:rFonts w:hAnsiTheme="majorEastAsia" w:eastAsiaTheme="majorEastAsia"/>
                <w:szCs w:val="21"/>
              </w:rPr>
              <w:t>无</w:t>
            </w:r>
          </w:p>
        </w:tc>
        <w:tc>
          <w:tcPr>
            <w:tcW w:w="2286" w:type="dxa"/>
            <w:vAlign w:val="center"/>
          </w:tcPr>
          <w:p>
            <w:pPr>
              <w:ind w:left="-105"/>
              <w:jc w:val="center"/>
              <w:rPr>
                <w:rFonts w:eastAsiaTheme="majorEastAsia"/>
                <w:szCs w:val="21"/>
              </w:rPr>
            </w:pPr>
            <w:r>
              <w:rPr>
                <w:rFonts w:hAnsiTheme="majorEastAsia" w:eastAsiaTheme="majorEastAsia"/>
                <w:szCs w:val="21"/>
              </w:rPr>
              <w:t>无</w:t>
            </w:r>
          </w:p>
        </w:tc>
        <w:tc>
          <w:tcPr>
            <w:tcW w:w="2286" w:type="dxa"/>
            <w:vAlign w:val="center"/>
          </w:tcPr>
          <w:p>
            <w:pPr>
              <w:ind w:left="-105"/>
              <w:jc w:val="center"/>
              <w:rPr>
                <w:rFonts w:eastAsiaTheme="majorEastAsia"/>
                <w:szCs w:val="21"/>
              </w:rPr>
            </w:pPr>
            <w:r>
              <w:rPr>
                <w:rFonts w:hAnsiTheme="majorEastAsia" w:eastAsiaTheme="majorEastAsia"/>
                <w:szCs w:val="21"/>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34" w:type="dxa"/>
            <w:vAlign w:val="center"/>
          </w:tcPr>
          <w:p>
            <w:pPr>
              <w:ind w:left="-105"/>
              <w:jc w:val="center"/>
              <w:rPr>
                <w:rFonts w:eastAsiaTheme="majorEastAsia"/>
                <w:szCs w:val="21"/>
              </w:rPr>
            </w:pPr>
            <w:r>
              <w:rPr>
                <w:rFonts w:hAnsiTheme="majorEastAsia" w:eastAsiaTheme="majorEastAsia"/>
                <w:szCs w:val="21"/>
              </w:rPr>
              <w:t>其他异物</w:t>
            </w:r>
          </w:p>
        </w:tc>
        <w:tc>
          <w:tcPr>
            <w:tcW w:w="2286" w:type="dxa"/>
            <w:vAlign w:val="center"/>
          </w:tcPr>
          <w:p>
            <w:pPr>
              <w:ind w:left="-105"/>
              <w:jc w:val="center"/>
              <w:rPr>
                <w:rFonts w:eastAsiaTheme="majorEastAsia"/>
                <w:szCs w:val="21"/>
              </w:rPr>
            </w:pPr>
            <w:r>
              <w:rPr>
                <w:rFonts w:hAnsiTheme="majorEastAsia" w:eastAsiaTheme="majorEastAsia"/>
                <w:szCs w:val="21"/>
              </w:rPr>
              <w:t>无</w:t>
            </w:r>
          </w:p>
        </w:tc>
        <w:tc>
          <w:tcPr>
            <w:tcW w:w="2286" w:type="dxa"/>
            <w:vAlign w:val="center"/>
          </w:tcPr>
          <w:p>
            <w:pPr>
              <w:ind w:left="-105"/>
              <w:jc w:val="center"/>
              <w:rPr>
                <w:rFonts w:eastAsiaTheme="majorEastAsia"/>
                <w:szCs w:val="21"/>
              </w:rPr>
            </w:pPr>
            <w:r>
              <w:rPr>
                <w:rFonts w:hAnsiTheme="majorEastAsia" w:eastAsiaTheme="majorEastAsia"/>
                <w:szCs w:val="21"/>
              </w:rPr>
              <w:t>无</w:t>
            </w:r>
          </w:p>
        </w:tc>
        <w:tc>
          <w:tcPr>
            <w:tcW w:w="2286" w:type="dxa"/>
            <w:vAlign w:val="center"/>
          </w:tcPr>
          <w:p>
            <w:pPr>
              <w:ind w:left="-105"/>
              <w:jc w:val="center"/>
              <w:rPr>
                <w:rFonts w:eastAsiaTheme="majorEastAsia"/>
                <w:szCs w:val="21"/>
              </w:rPr>
            </w:pPr>
            <w:r>
              <w:rPr>
                <w:rFonts w:hAnsiTheme="majorEastAsia" w:eastAsiaTheme="majorEastAsia"/>
                <w:szCs w:val="21"/>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834" w:type="dxa"/>
            <w:vAlign w:val="center"/>
          </w:tcPr>
          <w:p>
            <w:pPr>
              <w:ind w:left="-105"/>
              <w:jc w:val="center"/>
              <w:rPr>
                <w:rFonts w:eastAsiaTheme="majorEastAsia"/>
                <w:szCs w:val="21"/>
              </w:rPr>
            </w:pPr>
            <w:r>
              <w:rPr>
                <w:rFonts w:hAnsiTheme="majorEastAsia" w:eastAsiaTheme="majorEastAsia"/>
                <w:szCs w:val="21"/>
              </w:rPr>
              <w:t>植被</w:t>
            </w:r>
          </w:p>
        </w:tc>
        <w:tc>
          <w:tcPr>
            <w:tcW w:w="2286" w:type="dxa"/>
            <w:vAlign w:val="center"/>
          </w:tcPr>
          <w:p>
            <w:pPr>
              <w:ind w:left="-105"/>
              <w:jc w:val="center"/>
              <w:rPr>
                <w:rFonts w:eastAsiaTheme="majorEastAsia"/>
                <w:szCs w:val="21"/>
              </w:rPr>
            </w:pPr>
            <w:r>
              <w:rPr>
                <w:rFonts w:hAnsiTheme="majorEastAsia" w:eastAsiaTheme="majorEastAsia"/>
                <w:szCs w:val="21"/>
              </w:rPr>
              <w:t>杂草</w:t>
            </w:r>
          </w:p>
        </w:tc>
        <w:tc>
          <w:tcPr>
            <w:tcW w:w="2286" w:type="dxa"/>
            <w:vAlign w:val="center"/>
          </w:tcPr>
          <w:p>
            <w:pPr>
              <w:ind w:left="-105"/>
              <w:jc w:val="center"/>
              <w:rPr>
                <w:rFonts w:eastAsiaTheme="majorEastAsia"/>
                <w:szCs w:val="21"/>
              </w:rPr>
            </w:pPr>
            <w:r>
              <w:rPr>
                <w:rFonts w:hAnsiTheme="majorEastAsia" w:eastAsiaTheme="majorEastAsia"/>
                <w:szCs w:val="21"/>
              </w:rPr>
              <w:t>杂草</w:t>
            </w:r>
          </w:p>
        </w:tc>
        <w:tc>
          <w:tcPr>
            <w:tcW w:w="2286" w:type="dxa"/>
            <w:vAlign w:val="center"/>
          </w:tcPr>
          <w:p>
            <w:pPr>
              <w:ind w:left="-105"/>
              <w:jc w:val="center"/>
              <w:rPr>
                <w:rFonts w:eastAsiaTheme="majorEastAsia"/>
                <w:szCs w:val="21"/>
              </w:rPr>
            </w:pPr>
            <w:r>
              <w:rPr>
                <w:rFonts w:hAnsiTheme="majorEastAsia" w:eastAsiaTheme="majorEastAsia"/>
                <w:szCs w:val="21"/>
              </w:rPr>
              <w:t>杂草</w:t>
            </w:r>
          </w:p>
        </w:tc>
      </w:tr>
    </w:tbl>
    <w:p>
      <w:pPr>
        <w:pStyle w:val="6"/>
        <w:numPr>
          <w:ilvl w:val="0"/>
          <w:numId w:val="0"/>
        </w:numPr>
        <w:rPr>
          <w:rFonts w:ascii="Times New Roman" w:hAnsi="Times New Roman" w:eastAsia="宋体"/>
          <w:szCs w:val="30"/>
        </w:rPr>
      </w:pPr>
      <w:bookmarkStart w:id="286" w:name="_Toc123886416"/>
      <w:r>
        <w:rPr>
          <w:rFonts w:ascii="Times New Roman" w:hAnsi="Times New Roman" w:eastAsia="宋体"/>
          <w:szCs w:val="30"/>
        </w:rPr>
        <w:t>5.</w:t>
      </w:r>
      <w:r>
        <w:rPr>
          <w:rFonts w:hint="eastAsia" w:ascii="Times New Roman" w:hAnsi="Times New Roman" w:eastAsia="宋体"/>
          <w:szCs w:val="30"/>
        </w:rPr>
        <w:t>6 生态环境质量现状</w:t>
      </w:r>
      <w:bookmarkEnd w:id="286"/>
    </w:p>
    <w:p>
      <w:pPr>
        <w:spacing w:line="360" w:lineRule="auto"/>
        <w:ind w:firstLine="480" w:firstLineChars="200"/>
        <w:rPr>
          <w:sz w:val="24"/>
        </w:rPr>
      </w:pPr>
      <w:r>
        <w:rPr>
          <w:sz w:val="24"/>
        </w:rPr>
        <w:t>项目用地面积</w:t>
      </w:r>
      <w:r>
        <w:rPr>
          <w:rFonts w:hint="eastAsia"/>
          <w:sz w:val="24"/>
        </w:rPr>
        <w:t>约170亩</w:t>
      </w:r>
      <w:r>
        <w:rPr>
          <w:sz w:val="24"/>
        </w:rPr>
        <w:t>，用地为</w:t>
      </w:r>
      <w:r>
        <w:rPr>
          <w:rFonts w:hint="eastAsia"/>
          <w:sz w:val="24"/>
        </w:rPr>
        <w:t>衡阳县台</w:t>
      </w:r>
      <w:r>
        <w:rPr>
          <w:sz w:val="24"/>
        </w:rPr>
        <w:t>源镇</w:t>
      </w:r>
      <w:r>
        <w:rPr>
          <w:rFonts w:hint="eastAsia"/>
          <w:sz w:val="24"/>
        </w:rPr>
        <w:t>紫霞村、前进村</w:t>
      </w:r>
      <w:r>
        <w:rPr>
          <w:sz w:val="24"/>
        </w:rPr>
        <w:t>，</w:t>
      </w:r>
      <w:r>
        <w:rPr>
          <w:rFonts w:hint="eastAsia"/>
          <w:sz w:val="24"/>
        </w:rPr>
        <w:t>湖南安发</w:t>
      </w:r>
      <w:r>
        <w:rPr>
          <w:sz w:val="24"/>
        </w:rPr>
        <w:t>原生态农业旅游开发有限公司已经与当地村委会签订土地使用权租凭协议；土地利用现状主要为荒地及林地</w:t>
      </w:r>
      <w:r>
        <w:rPr>
          <w:rFonts w:hint="eastAsia"/>
          <w:sz w:val="24"/>
        </w:rPr>
        <w:t>，</w:t>
      </w:r>
      <w:r>
        <w:rPr>
          <w:sz w:val="24"/>
        </w:rPr>
        <w:t>少量耕地。</w:t>
      </w:r>
    </w:p>
    <w:p>
      <w:pPr>
        <w:spacing w:line="360" w:lineRule="auto"/>
        <w:ind w:firstLine="480" w:firstLineChars="200"/>
        <w:rPr>
          <w:sz w:val="24"/>
        </w:rPr>
      </w:pPr>
      <w:r>
        <w:rPr>
          <w:sz w:val="24"/>
        </w:rPr>
        <w:t>建设过程中将影响项目区内动植物生存环境、农村生态环境，改变区域土地利用现状，引发水土流失等。</w:t>
      </w:r>
    </w:p>
    <w:p>
      <w:pPr>
        <w:spacing w:line="360" w:lineRule="auto"/>
        <w:ind w:firstLine="480" w:firstLineChars="200"/>
        <w:rPr>
          <w:sz w:val="24"/>
        </w:rPr>
      </w:pPr>
      <w:r>
        <w:rPr>
          <w:sz w:val="24"/>
        </w:rPr>
        <w:t>（1）评价区域土壤类型分布</w:t>
      </w:r>
    </w:p>
    <w:p>
      <w:pPr>
        <w:spacing w:line="360" w:lineRule="auto"/>
        <w:ind w:firstLine="480" w:firstLineChars="200"/>
        <w:rPr>
          <w:sz w:val="24"/>
        </w:rPr>
      </w:pPr>
      <w:r>
        <w:rPr>
          <w:sz w:val="24"/>
        </w:rPr>
        <w:t>评价区林地多由变质岩、沉积风化残积岩、花岗岩风化发育成的红壤。土层由于有植被，成土母岩的差异而厚不一，多在40～100cm之间。成土母岩以紫砂岩为主，多为水稻土和红壤。</w:t>
      </w:r>
    </w:p>
    <w:p>
      <w:pPr>
        <w:spacing w:line="360" w:lineRule="auto"/>
        <w:ind w:firstLine="480" w:firstLineChars="200"/>
        <w:rPr>
          <w:sz w:val="24"/>
        </w:rPr>
      </w:pPr>
      <w:r>
        <w:rPr>
          <w:sz w:val="24"/>
        </w:rPr>
        <w:t>（2）评价区域土地利用状况</w:t>
      </w:r>
    </w:p>
    <w:p>
      <w:pPr>
        <w:spacing w:line="360" w:lineRule="auto"/>
        <w:ind w:firstLine="480" w:firstLineChars="200"/>
        <w:rPr>
          <w:sz w:val="24"/>
        </w:rPr>
      </w:pPr>
      <w:r>
        <w:rPr>
          <w:sz w:val="24"/>
        </w:rPr>
        <w:t>本项目选址地区为丘陵山地，周围大部分为林地，林业用地为人工林地。</w:t>
      </w:r>
    </w:p>
    <w:p>
      <w:pPr>
        <w:spacing w:line="360" w:lineRule="auto"/>
        <w:ind w:firstLine="480" w:firstLineChars="200"/>
        <w:rPr>
          <w:sz w:val="24"/>
        </w:rPr>
      </w:pPr>
      <w:r>
        <w:rPr>
          <w:sz w:val="24"/>
        </w:rPr>
        <w:t>（3）评价区域植被现状</w:t>
      </w:r>
    </w:p>
    <w:p>
      <w:pPr>
        <w:spacing w:line="360" w:lineRule="auto"/>
        <w:ind w:firstLine="480" w:firstLineChars="200"/>
        <w:rPr>
          <w:sz w:val="24"/>
        </w:rPr>
      </w:pPr>
      <w:r>
        <w:rPr>
          <w:sz w:val="24"/>
        </w:rPr>
        <w:t>本项目评价区域内主要植被类型有：针叶林，灌木林。</w:t>
      </w:r>
    </w:p>
    <w:p>
      <w:pPr>
        <w:spacing w:line="360" w:lineRule="auto"/>
        <w:ind w:firstLine="480" w:firstLineChars="200"/>
        <w:rPr>
          <w:sz w:val="24"/>
        </w:rPr>
      </w:pPr>
      <w:r>
        <w:rPr>
          <w:rFonts w:hint="eastAsia"/>
          <w:sz w:val="24"/>
        </w:rPr>
        <w:t>①</w:t>
      </w:r>
      <w:r>
        <w:rPr>
          <w:sz w:val="24"/>
        </w:rPr>
        <w:t>针叶林：在项目区域可见的马尾松林，林下常有喜光灌木伴生，蕨类覆盖。</w:t>
      </w:r>
    </w:p>
    <w:p>
      <w:pPr>
        <w:spacing w:line="360" w:lineRule="auto"/>
        <w:ind w:firstLine="480" w:firstLineChars="200"/>
        <w:rPr>
          <w:sz w:val="24"/>
        </w:rPr>
      </w:pPr>
      <w:r>
        <w:rPr>
          <w:sz w:val="24"/>
        </w:rPr>
        <w:t>马尾松林多为天然飞籽成林，以中龄林为主，但长势多较差，郁闭度在0.6左右。林下灌木主要有白栎、野茉莉等，地被物以芒萁为主。</w:t>
      </w:r>
    </w:p>
    <w:p>
      <w:pPr>
        <w:spacing w:line="360" w:lineRule="auto"/>
        <w:ind w:firstLine="480" w:firstLineChars="200"/>
        <w:rPr>
          <w:sz w:val="24"/>
        </w:rPr>
      </w:pPr>
      <w:r>
        <w:rPr>
          <w:sz w:val="24"/>
        </w:rPr>
        <w:t>湿地松林皆为八十年代末、九十年代初造的人工林，成块状分布，其林下灌木较马尾松林下稀少，覆盖物多以芒萁或禾本科草丛为主。</w:t>
      </w:r>
    </w:p>
    <w:p>
      <w:pPr>
        <w:spacing w:line="360" w:lineRule="auto"/>
        <w:ind w:firstLine="480" w:firstLineChars="200"/>
        <w:rPr>
          <w:sz w:val="24"/>
        </w:rPr>
      </w:pPr>
      <w:r>
        <w:rPr>
          <w:rFonts w:hint="eastAsia"/>
          <w:sz w:val="24"/>
        </w:rPr>
        <w:t>②</w:t>
      </w:r>
      <w:r>
        <w:rPr>
          <w:sz w:val="24"/>
        </w:rPr>
        <w:t>灌木林：在评价区的山坡、岗地，由灌木树种和矮化为灌木的乔木树种组成，夹杂有胸径小于2cm的小杂竹丛，形成水竹与阔叶树种镶嵌群落。</w:t>
      </w:r>
    </w:p>
    <w:p>
      <w:pPr>
        <w:spacing w:line="360" w:lineRule="auto"/>
        <w:ind w:firstLine="480" w:firstLineChars="200"/>
        <w:rPr>
          <w:sz w:val="24"/>
        </w:rPr>
      </w:pPr>
      <w:r>
        <w:rPr>
          <w:sz w:val="24"/>
        </w:rPr>
        <w:t>（4）动植物资源</w:t>
      </w:r>
    </w:p>
    <w:p>
      <w:pPr>
        <w:spacing w:line="360" w:lineRule="auto"/>
        <w:ind w:firstLine="480" w:firstLineChars="200"/>
        <w:rPr>
          <w:sz w:val="24"/>
        </w:rPr>
      </w:pPr>
      <w:r>
        <w:rPr>
          <w:sz w:val="24"/>
        </w:rPr>
        <w:t>据调查，项目评价区域是以人工植被和退化的天然植被为主，动植物物种多为常见的广布种。</w:t>
      </w:r>
    </w:p>
    <w:p>
      <w:pPr>
        <w:spacing w:line="360" w:lineRule="auto"/>
        <w:ind w:firstLine="480" w:firstLineChars="200"/>
        <w:rPr>
          <w:sz w:val="24"/>
        </w:rPr>
      </w:pPr>
      <w:r>
        <w:rPr>
          <w:sz w:val="24"/>
        </w:rPr>
        <w:t>该区域脊椎动物资源状况主要是两栖类、鸟类为主。</w:t>
      </w:r>
    </w:p>
    <w:p>
      <w:pPr>
        <w:spacing w:line="360" w:lineRule="auto"/>
        <w:ind w:firstLine="480" w:firstLineChars="200"/>
        <w:rPr>
          <w:sz w:val="24"/>
        </w:rPr>
      </w:pPr>
      <w:r>
        <w:rPr>
          <w:rFonts w:hint="eastAsia"/>
          <w:sz w:val="24"/>
        </w:rPr>
        <w:t>①</w:t>
      </w:r>
      <w:r>
        <w:rPr>
          <w:sz w:val="24"/>
        </w:rPr>
        <w:t>两栖类：本区域有大面积农作区、低山丘陵分布的两栖类以青蛙、田鸡等常见蛙类为主。</w:t>
      </w:r>
    </w:p>
    <w:p>
      <w:pPr>
        <w:spacing w:line="360" w:lineRule="auto"/>
        <w:ind w:firstLine="480" w:firstLineChars="200"/>
        <w:rPr>
          <w:sz w:val="24"/>
        </w:rPr>
      </w:pPr>
      <w:r>
        <w:rPr>
          <w:rFonts w:hint="eastAsia"/>
          <w:sz w:val="24"/>
        </w:rPr>
        <w:t>②</w:t>
      </w:r>
      <w:r>
        <w:rPr>
          <w:sz w:val="24"/>
        </w:rPr>
        <w:t>鸟类：鹊、莺、燕、鹧鸪、猫头鹰、斑鸠、雀、鹭等</w:t>
      </w:r>
      <w:r>
        <w:rPr>
          <w:rFonts w:hint="eastAsia"/>
          <w:sz w:val="24"/>
        </w:rPr>
        <w:t>。</w:t>
      </w:r>
    </w:p>
    <w:p>
      <w:pPr>
        <w:widowControl/>
        <w:jc w:val="left"/>
        <w:rPr>
          <w:kern w:val="0"/>
          <w:sz w:val="24"/>
          <w:szCs w:val="20"/>
        </w:rPr>
      </w:pPr>
      <w:r>
        <w:rPr>
          <w:kern w:val="0"/>
          <w:sz w:val="24"/>
          <w:szCs w:val="20"/>
        </w:rPr>
        <w:br w:type="page"/>
      </w:r>
    </w:p>
    <w:bookmarkEnd w:id="255"/>
    <w:bookmarkEnd w:id="256"/>
    <w:bookmarkEnd w:id="257"/>
    <w:bookmarkEnd w:id="258"/>
    <w:bookmarkEnd w:id="259"/>
    <w:bookmarkEnd w:id="260"/>
    <w:bookmarkEnd w:id="261"/>
    <w:bookmarkEnd w:id="262"/>
    <w:p>
      <w:pPr>
        <w:pStyle w:val="4"/>
        <w:pageBreakBefore/>
        <w:numPr>
          <w:ilvl w:val="0"/>
          <w:numId w:val="0"/>
        </w:numPr>
        <w:spacing w:beforeLines="0" w:line="360" w:lineRule="auto"/>
        <w:jc w:val="center"/>
        <w:rPr>
          <w:rFonts w:eastAsia="宋体"/>
        </w:rPr>
      </w:pPr>
      <w:bookmarkStart w:id="287" w:name="_Toc123886417"/>
      <w:bookmarkStart w:id="288" w:name="_Toc31273"/>
      <w:bookmarkStart w:id="289" w:name="_Toc2640"/>
      <w:bookmarkStart w:id="290" w:name="_Toc4714"/>
      <w:bookmarkStart w:id="291" w:name="_Toc14409"/>
      <w:bookmarkStart w:id="292" w:name="_Toc30515"/>
      <w:bookmarkStart w:id="293" w:name="_Toc517522312"/>
      <w:bookmarkStart w:id="294" w:name="_Toc4571"/>
      <w:bookmarkStart w:id="295" w:name="_Toc448849790"/>
      <w:r>
        <w:rPr>
          <w:rFonts w:hint="eastAsia" w:eastAsia="宋体"/>
        </w:rPr>
        <w:t xml:space="preserve">6 </w:t>
      </w:r>
      <w:r>
        <w:rPr>
          <w:rFonts w:eastAsia="宋体"/>
        </w:rPr>
        <w:t>环境影响预测与评价</w:t>
      </w:r>
      <w:bookmarkEnd w:id="287"/>
    </w:p>
    <w:p>
      <w:pPr>
        <w:pStyle w:val="6"/>
        <w:numPr>
          <w:ilvl w:val="0"/>
          <w:numId w:val="0"/>
        </w:numPr>
        <w:rPr>
          <w:rFonts w:ascii="Times New Roman" w:hAnsi="Times New Roman" w:eastAsia="宋体"/>
          <w:szCs w:val="30"/>
        </w:rPr>
      </w:pPr>
      <w:bookmarkStart w:id="296" w:name="_Toc123886418"/>
      <w:r>
        <w:rPr>
          <w:rFonts w:hint="eastAsia" w:ascii="Times New Roman" w:hAnsi="Times New Roman" w:eastAsia="宋体"/>
          <w:szCs w:val="30"/>
        </w:rPr>
        <w:t xml:space="preserve">6.1 </w:t>
      </w:r>
      <w:r>
        <w:rPr>
          <w:rFonts w:ascii="Times New Roman" w:hAnsi="Times New Roman" w:eastAsia="宋体"/>
          <w:szCs w:val="30"/>
        </w:rPr>
        <w:t>施工期环境影响分析</w:t>
      </w:r>
      <w:bookmarkEnd w:id="296"/>
    </w:p>
    <w:p>
      <w:pPr>
        <w:spacing w:line="360" w:lineRule="auto"/>
        <w:ind w:firstLine="480" w:firstLineChars="200"/>
        <w:rPr>
          <w:sz w:val="24"/>
        </w:rPr>
      </w:pPr>
      <w:r>
        <w:rPr>
          <w:sz w:val="24"/>
        </w:rPr>
        <w:t>本项目施工期约9个月（275天），拟于202</w:t>
      </w:r>
      <w:r>
        <w:rPr>
          <w:rFonts w:hint="eastAsia"/>
          <w:sz w:val="24"/>
        </w:rPr>
        <w:t>3</w:t>
      </w:r>
      <w:r>
        <w:rPr>
          <w:sz w:val="24"/>
        </w:rPr>
        <w:t>年</w:t>
      </w:r>
      <w:r>
        <w:rPr>
          <w:rFonts w:hint="eastAsia"/>
          <w:sz w:val="24"/>
          <w:lang w:val="en-US" w:eastAsia="zh-CN"/>
        </w:rPr>
        <w:t>11</w:t>
      </w:r>
      <w:r>
        <w:rPr>
          <w:sz w:val="24"/>
        </w:rPr>
        <w:t>月开工建设，202</w:t>
      </w:r>
      <w:r>
        <w:rPr>
          <w:rFonts w:hint="eastAsia"/>
          <w:sz w:val="24"/>
          <w:lang w:val="en-US" w:eastAsia="zh-CN"/>
        </w:rPr>
        <w:t>4</w:t>
      </w:r>
      <w:r>
        <w:rPr>
          <w:sz w:val="24"/>
        </w:rPr>
        <w:t>年</w:t>
      </w:r>
      <w:r>
        <w:rPr>
          <w:rFonts w:hint="eastAsia"/>
          <w:sz w:val="24"/>
          <w:lang w:val="en-US" w:eastAsia="zh-CN"/>
        </w:rPr>
        <w:t>7</w:t>
      </w:r>
      <w:r>
        <w:rPr>
          <w:sz w:val="24"/>
        </w:rPr>
        <w:t>月竣工</w:t>
      </w:r>
      <w:r>
        <w:rPr>
          <w:rFonts w:hint="eastAsia"/>
          <w:sz w:val="24"/>
        </w:rPr>
        <w:t>，施工期环境影响主要表现为项目在建设过程中对景观、生态及社会环境的影响；施工机械和运输车辆噪声、废气和废水的影响等。项目施工人员均为周边村民，不设施工营地，采用商品混凝土，不在场区设置混凝土拌合站，项目建设地内不建设大型的原料场，只设置小面积的临时原料堆场。</w:t>
      </w:r>
    </w:p>
    <w:p>
      <w:pPr>
        <w:pStyle w:val="7"/>
        <w:adjustRightInd w:val="0"/>
        <w:snapToGrid w:val="0"/>
        <w:spacing w:before="0" w:after="0" w:line="360" w:lineRule="auto"/>
        <w:jc w:val="left"/>
        <w:rPr>
          <w:sz w:val="24"/>
          <w:szCs w:val="24"/>
        </w:rPr>
      </w:pPr>
      <w:bookmarkStart w:id="297" w:name="_Toc18069"/>
      <w:bookmarkStart w:id="298" w:name="_Toc14349"/>
      <w:bookmarkStart w:id="299" w:name="_Toc11321"/>
      <w:bookmarkStart w:id="300" w:name="_Toc23804"/>
      <w:bookmarkStart w:id="301" w:name="_Toc26425"/>
      <w:bookmarkStart w:id="302" w:name="_Toc517522307"/>
      <w:bookmarkStart w:id="303" w:name="_Toc5232"/>
      <w:r>
        <w:rPr>
          <w:sz w:val="24"/>
          <w:szCs w:val="24"/>
        </w:rPr>
        <w:t>6.1.</w:t>
      </w:r>
      <w:r>
        <w:rPr>
          <w:rFonts w:hint="eastAsia"/>
          <w:sz w:val="24"/>
          <w:szCs w:val="24"/>
        </w:rPr>
        <w:t xml:space="preserve">1 </w:t>
      </w:r>
      <w:r>
        <w:rPr>
          <w:sz w:val="24"/>
          <w:szCs w:val="24"/>
        </w:rPr>
        <w:t>施工期大气环境影响分析</w:t>
      </w:r>
      <w:bookmarkEnd w:id="297"/>
      <w:bookmarkEnd w:id="298"/>
      <w:bookmarkEnd w:id="299"/>
      <w:bookmarkEnd w:id="300"/>
      <w:bookmarkEnd w:id="301"/>
      <w:bookmarkEnd w:id="302"/>
      <w:bookmarkEnd w:id="303"/>
    </w:p>
    <w:p>
      <w:pPr>
        <w:spacing w:line="360" w:lineRule="auto"/>
        <w:ind w:firstLine="482" w:firstLineChars="200"/>
        <w:rPr>
          <w:b/>
          <w:sz w:val="24"/>
        </w:rPr>
      </w:pPr>
      <w:r>
        <w:rPr>
          <w:rFonts w:hint="eastAsia"/>
          <w:b/>
          <w:sz w:val="24"/>
        </w:rPr>
        <w:t>1、施工扬尘影响分析</w:t>
      </w:r>
    </w:p>
    <w:p>
      <w:pPr>
        <w:spacing w:line="360" w:lineRule="auto"/>
        <w:ind w:firstLine="480" w:firstLineChars="200"/>
        <w:rPr>
          <w:sz w:val="24"/>
        </w:rPr>
      </w:pPr>
      <w:r>
        <w:rPr>
          <w:rFonts w:hint="eastAsia"/>
          <w:sz w:val="24"/>
        </w:rPr>
        <w:t>施工期间，施工场地上土方开挖、场地平整等过程势必会破坏原有地表结构而形成裸露地表，此外建筑材料砂石等装卸、转运等也均会造成地面扬尘污染环境；其扬尘量大小与施工现场条件、施工管理水平、机械化程度高低及施工季节、时间长短、土质结构和天气条件等诸多因素关系密切。扬尘影响的时段主要集中在土方工程施工阶段，土方工程施工结束后，扬尘产生源强将得到大幅度削减。本次项目施工期主要污染源及其环境影响分析如下。</w:t>
      </w:r>
    </w:p>
    <w:p>
      <w:pPr>
        <w:spacing w:line="360" w:lineRule="auto"/>
        <w:ind w:firstLine="480" w:firstLineChars="200"/>
        <w:rPr>
          <w:sz w:val="24"/>
        </w:rPr>
      </w:pPr>
      <w:r>
        <w:rPr>
          <w:rFonts w:hint="eastAsia"/>
          <w:sz w:val="24"/>
        </w:rPr>
        <w:t>（1）裸露地面扬尘</w:t>
      </w:r>
    </w:p>
    <w:p>
      <w:pPr>
        <w:spacing w:line="360" w:lineRule="auto"/>
        <w:ind w:firstLine="480" w:firstLineChars="200"/>
        <w:rPr>
          <w:sz w:val="24"/>
        </w:rPr>
      </w:pPr>
      <w:r>
        <w:rPr>
          <w:rFonts w:hint="eastAsia"/>
          <w:sz w:val="24"/>
        </w:rPr>
        <w:t>项目施工期间整地、挖填土等会形成大面积裸露地面，使各种沉降在地表上气溶胶粒子等成为扬尘天然来源，在进行施工时极易形成扬尘颗粒物并进入大气环境中，对周围环境空气质量造成影响。</w:t>
      </w:r>
    </w:p>
    <w:p>
      <w:pPr>
        <w:spacing w:line="360" w:lineRule="auto"/>
        <w:ind w:firstLine="480" w:firstLineChars="200"/>
        <w:rPr>
          <w:sz w:val="24"/>
        </w:rPr>
      </w:pPr>
      <w:r>
        <w:rPr>
          <w:rFonts w:hint="eastAsia"/>
          <w:sz w:val="24"/>
        </w:rPr>
        <w:t>露天堆场和裸露场地的风力扬尘约占扬尘总量的70%。由于施工需要，一些建材需露天堆放，一些施工点表层土壤需要人工开挖、堆放，在气候干燥又有风的情况下会产生扬尘，通常其扬尘量可按堆场起尘的经验公式计算：</w:t>
      </w:r>
    </w:p>
    <w:p>
      <w:pPr>
        <w:spacing w:line="360" w:lineRule="auto"/>
        <w:ind w:firstLine="480" w:firstLineChars="200"/>
        <w:jc w:val="center"/>
        <w:rPr>
          <w:sz w:val="24"/>
        </w:rPr>
      </w:pPr>
      <w:r>
        <w:rPr>
          <w:rFonts w:hint="eastAsia"/>
          <w:sz w:val="24"/>
        </w:rPr>
        <w:drawing>
          <wp:inline distT="0" distB="0" distL="0" distR="0">
            <wp:extent cx="2162175" cy="304800"/>
            <wp:effectExtent l="19050" t="0" r="9525" b="0"/>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noChangeArrowheads="1"/>
                    </pic:cNvPicPr>
                  </pic:nvPicPr>
                  <pic:blipFill>
                    <a:blip r:embed="rId34" cstate="print"/>
                    <a:srcRect/>
                    <a:stretch>
                      <a:fillRect/>
                    </a:stretch>
                  </pic:blipFill>
                  <pic:spPr>
                    <a:xfrm>
                      <a:off x="0" y="0"/>
                      <a:ext cx="2162175" cy="3048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式中：Q——起尘量，kg/t</w:t>
      </w:r>
      <w:r>
        <w:rPr>
          <w:rFonts w:hint="eastAsia" w:ascii="宋体" w:hAnsi="宋体"/>
          <w:sz w:val="24"/>
        </w:rPr>
        <w:t>•</w:t>
      </w:r>
      <w:r>
        <w:rPr>
          <w:rFonts w:hint="eastAsia"/>
          <w:sz w:val="24"/>
        </w:rPr>
        <w:t>a；</w:t>
      </w:r>
    </w:p>
    <w:p>
      <w:pPr>
        <w:spacing w:line="360" w:lineRule="auto"/>
        <w:ind w:firstLine="1200" w:firstLineChars="500"/>
        <w:rPr>
          <w:sz w:val="24"/>
        </w:rPr>
      </w:pPr>
      <w:r>
        <w:rPr>
          <w:rFonts w:hint="eastAsia"/>
          <w:sz w:val="24"/>
        </w:rPr>
        <w:t>V</w:t>
      </w:r>
      <w:r>
        <w:rPr>
          <w:rFonts w:hint="eastAsia"/>
          <w:sz w:val="24"/>
          <w:vertAlign w:val="subscript"/>
        </w:rPr>
        <w:t>50</w:t>
      </w:r>
      <w:r>
        <w:rPr>
          <w:rFonts w:hint="eastAsia"/>
          <w:sz w:val="24"/>
        </w:rPr>
        <w:t>——距地面50m处风速，m/s；</w:t>
      </w:r>
    </w:p>
    <w:p>
      <w:pPr>
        <w:spacing w:line="360" w:lineRule="auto"/>
        <w:ind w:firstLine="1200" w:firstLineChars="500"/>
        <w:rPr>
          <w:sz w:val="24"/>
        </w:rPr>
      </w:pPr>
      <w:r>
        <w:rPr>
          <w:rFonts w:hint="eastAsia"/>
          <w:sz w:val="24"/>
        </w:rPr>
        <w:t>V</w:t>
      </w:r>
      <w:r>
        <w:rPr>
          <w:rFonts w:hint="eastAsia"/>
          <w:sz w:val="24"/>
          <w:vertAlign w:val="subscript"/>
        </w:rPr>
        <w:t>0</w:t>
      </w:r>
      <w:r>
        <w:rPr>
          <w:rFonts w:hint="eastAsia"/>
          <w:sz w:val="24"/>
        </w:rPr>
        <w:t>——起尘风速，m/s；</w:t>
      </w:r>
    </w:p>
    <w:p>
      <w:pPr>
        <w:spacing w:line="360" w:lineRule="auto"/>
        <w:ind w:firstLine="1200" w:firstLineChars="500"/>
        <w:rPr>
          <w:sz w:val="24"/>
        </w:rPr>
      </w:pPr>
      <w:r>
        <w:rPr>
          <w:rFonts w:hint="eastAsia"/>
          <w:sz w:val="24"/>
        </w:rPr>
        <w:t>W——尘粒含水率，%。</w:t>
      </w:r>
    </w:p>
    <w:p>
      <w:pPr>
        <w:spacing w:line="360" w:lineRule="auto"/>
        <w:ind w:firstLine="480" w:firstLineChars="200"/>
        <w:rPr>
          <w:sz w:val="24"/>
        </w:rPr>
      </w:pPr>
      <w:r>
        <w:rPr>
          <w:rFonts w:hint="eastAsia"/>
          <w:sz w:val="24"/>
        </w:rPr>
        <w:t>由此可见，这类扬尘的主要特点是与风速和尘粒含水率有关，因此，减少土方、建材的露天堆放和保证一定的含水率是抑制这类扬尘的有效手段。</w:t>
      </w:r>
    </w:p>
    <w:p>
      <w:pPr>
        <w:spacing w:line="360" w:lineRule="auto"/>
        <w:ind w:firstLine="480" w:firstLineChars="200"/>
        <w:rPr>
          <w:sz w:val="24"/>
        </w:rPr>
      </w:pPr>
      <w:r>
        <w:rPr>
          <w:rFonts w:hint="eastAsia"/>
          <w:sz w:val="24"/>
        </w:rPr>
        <w:t>尘粒在空气中的传播扩散情况与风速等气象条件有关，也与尘粒本身的沉降速度有关。以沙尘土为例，其沉降速度随粒径的増大而迅速増大。当粒径为250</w:t>
      </w:r>
      <w:r>
        <w:rPr>
          <w:sz w:val="24"/>
        </w:rPr>
        <w:t>μ</w:t>
      </w:r>
      <w:r>
        <w:rPr>
          <w:rFonts w:hint="eastAsia"/>
          <w:sz w:val="24"/>
        </w:rPr>
        <w:t>m时，沉降速度为1.005m/s，因此当尘粒大于250</w:t>
      </w:r>
      <w:r>
        <w:rPr>
          <w:sz w:val="24"/>
        </w:rPr>
        <w:t>μ</w:t>
      </w:r>
      <w:r>
        <w:rPr>
          <w:rFonts w:hint="eastAsia"/>
          <w:sz w:val="24"/>
        </w:rPr>
        <w:t>m时，主要影响范围在扬尘点下风向近距离范围内，而真正对外环境产生影响的是一些微小尘粒。施工扬尘的大小随施工季节、土方量的大小和施工管理不同差别甚大，影响范围可达150~300m。通过类比调查分析，在一般气象条件下，平均风速为2.5ms时，施工扬尘可导致：</w:t>
      </w:r>
    </w:p>
    <w:p>
      <w:pPr>
        <w:spacing w:line="360" w:lineRule="auto"/>
        <w:ind w:firstLine="480" w:firstLineChars="200"/>
        <w:rPr>
          <w:sz w:val="24"/>
        </w:rPr>
      </w:pPr>
      <w:r>
        <w:rPr>
          <w:rFonts w:hint="eastAsia"/>
          <w:sz w:val="24"/>
        </w:rPr>
        <w:t>①建筑工地内TSP浓度是上风向对照点的1.5~2.3倍；</w:t>
      </w:r>
    </w:p>
    <w:p>
      <w:pPr>
        <w:spacing w:line="360" w:lineRule="auto"/>
        <w:ind w:firstLine="480" w:firstLineChars="200"/>
        <w:rPr>
          <w:sz w:val="24"/>
        </w:rPr>
      </w:pPr>
      <w:r>
        <w:rPr>
          <w:rFonts w:hint="eastAsia"/>
          <w:sz w:val="24"/>
        </w:rPr>
        <w:t>②建筑工地扬尘的影响范围为下风向150m，被影响地区TSP浓度值为0.49mg/m</w:t>
      </w:r>
      <w:r>
        <w:rPr>
          <w:rFonts w:hint="eastAsia"/>
          <w:sz w:val="24"/>
          <w:vertAlign w:val="superscript"/>
        </w:rPr>
        <w:t>3</w:t>
      </w:r>
      <w:r>
        <w:rPr>
          <w:rFonts w:hint="eastAsia"/>
          <w:sz w:val="24"/>
        </w:rPr>
        <w:t>，相当于大气环境质量标准的1.6倍；</w:t>
      </w:r>
    </w:p>
    <w:p>
      <w:pPr>
        <w:spacing w:line="360" w:lineRule="auto"/>
        <w:ind w:firstLine="480" w:firstLineChars="200"/>
        <w:rPr>
          <w:sz w:val="24"/>
        </w:rPr>
      </w:pPr>
      <w:r>
        <w:rPr>
          <w:rFonts w:hint="eastAsia"/>
          <w:sz w:val="24"/>
        </w:rPr>
        <w:t>③围栏对减少施工扬尘污染有一定作用，风速为2.5m/s时，可使影响距离缩短40%左右。</w:t>
      </w:r>
    </w:p>
    <w:p>
      <w:pPr>
        <w:spacing w:line="360" w:lineRule="auto"/>
        <w:ind w:firstLine="480" w:firstLineChars="200"/>
        <w:rPr>
          <w:sz w:val="24"/>
        </w:rPr>
      </w:pPr>
      <w:r>
        <w:rPr>
          <w:rFonts w:hint="eastAsia"/>
          <w:sz w:val="24"/>
        </w:rPr>
        <w:t>建筑施工作业活动，破坏了地表，使土地裸露、土壤疏松，为扬尘的生成提供了丰富的尘源。研究指出，在干燥有风天气刮起的扬尘，造成大气环境中TSP浓度偏高，其中建筑工地对空气扬尘污染贡献值较大。因此，扬尘污染是项目施工期的主要环境问题之一。</w:t>
      </w:r>
    </w:p>
    <w:p>
      <w:pPr>
        <w:spacing w:line="360" w:lineRule="auto"/>
        <w:ind w:firstLine="480" w:firstLineChars="200"/>
        <w:rPr>
          <w:sz w:val="24"/>
        </w:rPr>
      </w:pPr>
      <w:r>
        <w:rPr>
          <w:rFonts w:hint="eastAsia"/>
          <w:sz w:val="24"/>
        </w:rPr>
        <w:t>（2）粗放施工造成的建筑扬尘</w:t>
      </w:r>
    </w:p>
    <w:p>
      <w:pPr>
        <w:spacing w:line="360" w:lineRule="auto"/>
        <w:ind w:firstLine="480" w:firstLineChars="200"/>
        <w:rPr>
          <w:sz w:val="24"/>
        </w:rPr>
      </w:pPr>
      <w:r>
        <w:rPr>
          <w:rFonts w:hint="eastAsia"/>
          <w:sz w:val="24"/>
        </w:rPr>
        <w:t>施工场地建筑堆料及运输抛洒等建筑扬尘在施工高峰期会不断增多，是造成扬尘污染主要原因之一。施工中如若环境管理措施不够完善，进行粗放式施工，现场建筑垃圾、渣土不及时清理、覆盖、酒水抑尘，对出入场地运输车辆不及时冲洗、篷布遮盖等，均易产生建筑扬尘。据类比测算，平均每増加3~4hm</w:t>
      </w:r>
      <w:r>
        <w:rPr>
          <w:rFonts w:hint="eastAsia"/>
          <w:sz w:val="24"/>
          <w:vertAlign w:val="superscript"/>
        </w:rPr>
        <w:t>2</w:t>
      </w:r>
      <w:r>
        <w:rPr>
          <w:rFonts w:hint="eastAsia"/>
          <w:sz w:val="24"/>
        </w:rPr>
        <w:t>施工量，其扬尘对区域大气环境TSP平均贡献值为0.001mg/m</w:t>
      </w:r>
      <w:r>
        <w:rPr>
          <w:rFonts w:hint="eastAsia"/>
          <w:sz w:val="24"/>
          <w:vertAlign w:val="superscript"/>
        </w:rPr>
        <w:t>3</w:t>
      </w:r>
      <w:r>
        <w:rPr>
          <w:rFonts w:hint="eastAsia"/>
          <w:sz w:val="24"/>
        </w:rPr>
        <w:t>。</w:t>
      </w:r>
    </w:p>
    <w:p>
      <w:pPr>
        <w:spacing w:line="360" w:lineRule="auto"/>
        <w:ind w:firstLine="480" w:firstLineChars="200"/>
        <w:rPr>
          <w:sz w:val="24"/>
        </w:rPr>
      </w:pPr>
      <w:r>
        <w:rPr>
          <w:rFonts w:hint="eastAsia"/>
          <w:sz w:val="24"/>
        </w:rPr>
        <w:t>施工扬尘环境影响主要在下风距离200m范围内，超标影响在下风向距离100m处。结合本项目拟建场地周边环境状况，项目地主导风向为北风，由于居民区离项目地较远，因此，在采取了环评提出的措施后，项目施工过程扬尘对周围环境影响较小。</w:t>
      </w:r>
    </w:p>
    <w:p>
      <w:pPr>
        <w:spacing w:line="360" w:lineRule="auto"/>
        <w:ind w:firstLine="480" w:firstLineChars="200"/>
        <w:rPr>
          <w:sz w:val="24"/>
        </w:rPr>
      </w:pPr>
      <w:r>
        <w:rPr>
          <w:rFonts w:hint="eastAsia"/>
          <w:sz w:val="24"/>
        </w:rPr>
        <w:t>（3）道路扬尘</w:t>
      </w:r>
    </w:p>
    <w:p>
      <w:pPr>
        <w:spacing w:line="360" w:lineRule="auto"/>
        <w:ind w:firstLine="480" w:firstLineChars="200"/>
        <w:rPr>
          <w:sz w:val="24"/>
        </w:rPr>
      </w:pPr>
      <w:r>
        <w:rPr>
          <w:sz w:val="24"/>
        </w:rPr>
        <w:t>物料运输过程中车辆沿途于道路上的</w:t>
      </w:r>
      <w:r>
        <w:rPr>
          <w:rFonts w:hint="eastAsia"/>
          <w:sz w:val="24"/>
        </w:rPr>
        <w:t>沙、土、灰、渣和建筑垃圾，以及沉积在道路上其它排放源排放颗粒物，经来往车辆碾压后也会导致粒径较小的颗粒物进入空气，形成二次扬尘。据调查，一般施工场地道路往往为临时道路，如不及时采取路面硬化、道路酒水等措施，会在施工物料、土方运输过程造成路面沉积颗粒物反复扬起、沉降，极易造成新的污染。</w:t>
      </w:r>
    </w:p>
    <w:p>
      <w:pPr>
        <w:spacing w:line="360" w:lineRule="auto"/>
        <w:ind w:firstLine="480" w:firstLineChars="200"/>
        <w:rPr>
          <w:sz w:val="24"/>
        </w:rPr>
      </w:pPr>
      <w:r>
        <w:rPr>
          <w:rFonts w:hint="eastAsia"/>
          <w:sz w:val="24"/>
        </w:rPr>
        <w:t>车辆运输扬尘约占扬尘总量的30%，在完全干燥情况下，按下列经验公式计算：</w:t>
      </w:r>
    </w:p>
    <w:p>
      <w:pPr>
        <w:spacing w:line="360" w:lineRule="auto"/>
        <w:ind w:firstLine="480" w:firstLineChars="200"/>
        <w:jc w:val="center"/>
        <w:rPr>
          <w:sz w:val="24"/>
        </w:rPr>
      </w:pPr>
      <w:r>
        <w:rPr>
          <w:rFonts w:hint="eastAsia"/>
          <w:sz w:val="24"/>
        </w:rPr>
        <w:drawing>
          <wp:inline distT="0" distB="0" distL="0" distR="0">
            <wp:extent cx="2867025" cy="276225"/>
            <wp:effectExtent l="19050" t="0" r="9525" b="0"/>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pic:cNvPicPr>
                      <a:picLocks noChangeAspect="1" noChangeArrowheads="1"/>
                    </pic:cNvPicPr>
                  </pic:nvPicPr>
                  <pic:blipFill>
                    <a:blip r:embed="rId35" cstate="print"/>
                    <a:srcRect/>
                    <a:stretch>
                      <a:fillRect/>
                    </a:stretch>
                  </pic:blipFill>
                  <pic:spPr>
                    <a:xfrm>
                      <a:off x="0" y="0"/>
                      <a:ext cx="2867025" cy="2762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式中：Q——汽车行驶的扬尘，kg/km</w:t>
      </w:r>
      <w:r>
        <w:rPr>
          <w:rFonts w:hint="eastAsia" w:ascii="宋体" w:hAnsi="宋体"/>
          <w:sz w:val="24"/>
        </w:rPr>
        <w:t>•辆；</w:t>
      </w:r>
    </w:p>
    <w:p>
      <w:pPr>
        <w:spacing w:line="360" w:lineRule="auto"/>
        <w:ind w:firstLine="1200" w:firstLineChars="500"/>
        <w:rPr>
          <w:sz w:val="24"/>
        </w:rPr>
      </w:pPr>
      <w:r>
        <w:rPr>
          <w:rFonts w:hint="eastAsia"/>
          <w:sz w:val="24"/>
        </w:rPr>
        <w:t>V——汽车速度，km/h；</w:t>
      </w:r>
    </w:p>
    <w:p>
      <w:pPr>
        <w:spacing w:line="360" w:lineRule="auto"/>
        <w:ind w:firstLine="1200" w:firstLineChars="500"/>
        <w:rPr>
          <w:sz w:val="24"/>
        </w:rPr>
      </w:pPr>
      <w:r>
        <w:rPr>
          <w:rFonts w:hint="eastAsia"/>
          <w:sz w:val="24"/>
        </w:rPr>
        <w:t>W——汽车载重量，t；</w:t>
      </w:r>
    </w:p>
    <w:p>
      <w:pPr>
        <w:spacing w:line="360" w:lineRule="auto"/>
        <w:ind w:firstLine="1200" w:firstLineChars="500"/>
        <w:rPr>
          <w:sz w:val="24"/>
        </w:rPr>
      </w:pPr>
      <w:r>
        <w:rPr>
          <w:rFonts w:hint="eastAsia"/>
          <w:sz w:val="24"/>
        </w:rPr>
        <w:t>W——道路表面粉尘量，kg/m</w:t>
      </w:r>
      <w:r>
        <w:rPr>
          <w:rFonts w:hint="eastAsia"/>
          <w:sz w:val="24"/>
          <w:vertAlign w:val="superscript"/>
        </w:rPr>
        <w:t>2</w:t>
      </w:r>
      <w:r>
        <w:rPr>
          <w:rFonts w:hint="eastAsia"/>
          <w:sz w:val="24"/>
        </w:rPr>
        <w:t>。</w:t>
      </w:r>
    </w:p>
    <w:p>
      <w:pPr>
        <w:spacing w:line="360" w:lineRule="auto"/>
        <w:ind w:firstLine="480" w:firstLineChars="200"/>
        <w:rPr>
          <w:sz w:val="24"/>
        </w:rPr>
      </w:pPr>
      <w:r>
        <w:rPr>
          <w:sz w:val="24"/>
        </w:rPr>
        <w:t>表</w:t>
      </w:r>
      <w:r>
        <w:rPr>
          <w:rFonts w:hint="eastAsia"/>
          <w:sz w:val="24"/>
        </w:rPr>
        <w:t>6.1-1为一辆载重5t的卡车，通过一段长度为500m的路面时，不同路面清洁程度、不同行驶速度情况下产生的扬尘量。</w:t>
      </w:r>
    </w:p>
    <w:p>
      <w:pPr>
        <w:pStyle w:val="5"/>
        <w:adjustRightInd w:val="0"/>
        <w:snapToGrid w:val="0"/>
        <w:spacing w:beforeLines="50" w:after="0"/>
        <w:ind w:firstLine="0" w:firstLineChars="0"/>
        <w:jc w:val="center"/>
        <w:rPr>
          <w:rFonts w:ascii="Times New Roman" w:hAnsi="Times New Roman" w:eastAsia="宋体" w:cs="Times New Roman"/>
          <w:b/>
        </w:rPr>
      </w:pPr>
      <w:r>
        <w:rPr>
          <w:rFonts w:ascii="Times New Roman" w:hAnsi="Times New Roman" w:eastAsia="宋体" w:cs="Times New Roman"/>
          <w:b/>
        </w:rPr>
        <w:t>表</w:t>
      </w:r>
      <w:r>
        <w:rPr>
          <w:rFonts w:hint="eastAsia" w:ascii="Times New Roman" w:hAnsi="Times New Roman" w:eastAsia="宋体" w:cs="Times New Roman"/>
          <w:b/>
        </w:rPr>
        <w:t>6</w:t>
      </w:r>
      <w:r>
        <w:rPr>
          <w:rFonts w:ascii="Times New Roman" w:hAnsi="Times New Roman" w:eastAsia="宋体" w:cs="Times New Roman"/>
          <w:b/>
        </w:rPr>
        <w:t>.1-1  不同车速和地面清洁程度时的汽车扬尘</w:t>
      </w:r>
      <w:r>
        <w:rPr>
          <w:rFonts w:hint="eastAsia" w:ascii="Times New Roman" w:hAnsi="Times New Roman" w:eastAsia="宋体" w:cs="Times New Roman"/>
          <w:b/>
        </w:rPr>
        <w:t xml:space="preserve">  单位：kg/km•辆</w:t>
      </w:r>
    </w:p>
    <w:tbl>
      <w:tblPr>
        <w:tblStyle w:val="4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17"/>
        <w:gridCol w:w="1217"/>
        <w:gridCol w:w="1218"/>
        <w:gridCol w:w="1218"/>
        <w:gridCol w:w="1218"/>
        <w:gridCol w:w="1220"/>
        <w:gridCol w:w="122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4" w:type="pct"/>
            <w:tcBorders>
              <w:tl2br w:val="single" w:color="auto" w:sz="12" w:space="0"/>
            </w:tcBorders>
            <w:vAlign w:val="center"/>
          </w:tcPr>
          <w:p>
            <w:pPr>
              <w:jc w:val="center"/>
              <w:rPr>
                <w:b/>
                <w:szCs w:val="21"/>
              </w:rPr>
            </w:pPr>
            <w:r>
              <w:rPr>
                <w:rFonts w:hint="eastAsia"/>
                <w:b/>
                <w:szCs w:val="21"/>
              </w:rPr>
              <w:t>道路表面</w:t>
            </w:r>
          </w:p>
          <w:p>
            <w:pPr>
              <w:jc w:val="center"/>
              <w:rPr>
                <w:b/>
                <w:szCs w:val="21"/>
              </w:rPr>
            </w:pPr>
            <w:r>
              <w:rPr>
                <w:rFonts w:hint="eastAsia"/>
                <w:b/>
                <w:szCs w:val="21"/>
              </w:rPr>
              <w:t>车速p</w:t>
            </w:r>
          </w:p>
        </w:tc>
        <w:tc>
          <w:tcPr>
            <w:tcW w:w="714" w:type="pct"/>
            <w:vAlign w:val="center"/>
          </w:tcPr>
          <w:p>
            <w:pPr>
              <w:jc w:val="center"/>
              <w:rPr>
                <w:b/>
                <w:szCs w:val="21"/>
              </w:rPr>
            </w:pPr>
            <w:r>
              <w:rPr>
                <w:rFonts w:hint="eastAsia"/>
                <w:b/>
                <w:szCs w:val="21"/>
              </w:rPr>
              <w:t>0.1</w:t>
            </w:r>
          </w:p>
          <w:p>
            <w:pPr>
              <w:jc w:val="center"/>
              <w:rPr>
                <w:b/>
                <w:szCs w:val="21"/>
              </w:rPr>
            </w:pPr>
            <w:r>
              <w:rPr>
                <w:rFonts w:hint="eastAsia"/>
                <w:b/>
                <w:szCs w:val="21"/>
              </w:rPr>
              <w:t>（kg/ m</w:t>
            </w:r>
            <w:r>
              <w:rPr>
                <w:rFonts w:hint="eastAsia"/>
                <w:b/>
                <w:szCs w:val="21"/>
                <w:vertAlign w:val="superscript"/>
              </w:rPr>
              <w:t>2</w:t>
            </w:r>
            <w:r>
              <w:rPr>
                <w:rFonts w:hint="eastAsia"/>
                <w:b/>
                <w:szCs w:val="21"/>
              </w:rPr>
              <w:t>）</w:t>
            </w:r>
          </w:p>
        </w:tc>
        <w:tc>
          <w:tcPr>
            <w:tcW w:w="714" w:type="pct"/>
            <w:vAlign w:val="center"/>
          </w:tcPr>
          <w:p>
            <w:pPr>
              <w:jc w:val="center"/>
              <w:rPr>
                <w:b/>
                <w:szCs w:val="21"/>
              </w:rPr>
            </w:pPr>
            <w:r>
              <w:rPr>
                <w:rFonts w:hint="eastAsia"/>
                <w:b/>
                <w:szCs w:val="21"/>
              </w:rPr>
              <w:t>0.2</w:t>
            </w:r>
          </w:p>
          <w:p>
            <w:pPr>
              <w:jc w:val="center"/>
              <w:rPr>
                <w:b/>
                <w:szCs w:val="21"/>
              </w:rPr>
            </w:pPr>
            <w:r>
              <w:rPr>
                <w:rFonts w:hint="eastAsia"/>
                <w:b/>
                <w:szCs w:val="21"/>
              </w:rPr>
              <w:t>（kg/ m</w:t>
            </w:r>
            <w:r>
              <w:rPr>
                <w:rFonts w:hint="eastAsia"/>
                <w:b/>
                <w:szCs w:val="21"/>
                <w:vertAlign w:val="superscript"/>
              </w:rPr>
              <w:t>2</w:t>
            </w:r>
            <w:r>
              <w:rPr>
                <w:rFonts w:hint="eastAsia"/>
                <w:b/>
                <w:szCs w:val="21"/>
              </w:rPr>
              <w:t>）</w:t>
            </w:r>
          </w:p>
        </w:tc>
        <w:tc>
          <w:tcPr>
            <w:tcW w:w="714" w:type="pct"/>
            <w:vAlign w:val="center"/>
          </w:tcPr>
          <w:p>
            <w:pPr>
              <w:jc w:val="center"/>
              <w:rPr>
                <w:b/>
                <w:szCs w:val="21"/>
              </w:rPr>
            </w:pPr>
            <w:r>
              <w:rPr>
                <w:rFonts w:hint="eastAsia"/>
                <w:b/>
                <w:szCs w:val="21"/>
              </w:rPr>
              <w:t>0.3</w:t>
            </w:r>
          </w:p>
          <w:p>
            <w:pPr>
              <w:jc w:val="center"/>
              <w:rPr>
                <w:b/>
                <w:szCs w:val="21"/>
              </w:rPr>
            </w:pPr>
            <w:r>
              <w:rPr>
                <w:rFonts w:hint="eastAsia"/>
                <w:b/>
                <w:szCs w:val="21"/>
              </w:rPr>
              <w:t>（kg/ m</w:t>
            </w:r>
            <w:r>
              <w:rPr>
                <w:rFonts w:hint="eastAsia"/>
                <w:b/>
                <w:szCs w:val="21"/>
                <w:vertAlign w:val="superscript"/>
              </w:rPr>
              <w:t>2</w:t>
            </w:r>
            <w:r>
              <w:rPr>
                <w:rFonts w:hint="eastAsia"/>
                <w:b/>
                <w:szCs w:val="21"/>
              </w:rPr>
              <w:t>）</w:t>
            </w:r>
          </w:p>
        </w:tc>
        <w:tc>
          <w:tcPr>
            <w:tcW w:w="714" w:type="pct"/>
            <w:vAlign w:val="center"/>
          </w:tcPr>
          <w:p>
            <w:pPr>
              <w:jc w:val="center"/>
              <w:rPr>
                <w:b/>
                <w:szCs w:val="21"/>
              </w:rPr>
            </w:pPr>
            <w:r>
              <w:rPr>
                <w:rFonts w:hint="eastAsia"/>
                <w:b/>
                <w:szCs w:val="21"/>
              </w:rPr>
              <w:t>0.4</w:t>
            </w:r>
          </w:p>
          <w:p>
            <w:pPr>
              <w:jc w:val="center"/>
              <w:rPr>
                <w:b/>
                <w:szCs w:val="21"/>
              </w:rPr>
            </w:pPr>
            <w:r>
              <w:rPr>
                <w:rFonts w:hint="eastAsia"/>
                <w:b/>
                <w:szCs w:val="21"/>
              </w:rPr>
              <w:t>（kg/ m</w:t>
            </w:r>
            <w:r>
              <w:rPr>
                <w:rFonts w:hint="eastAsia"/>
                <w:b/>
                <w:szCs w:val="21"/>
                <w:vertAlign w:val="superscript"/>
              </w:rPr>
              <w:t>2</w:t>
            </w:r>
            <w:r>
              <w:rPr>
                <w:rFonts w:hint="eastAsia"/>
                <w:b/>
                <w:szCs w:val="21"/>
              </w:rPr>
              <w:t>）</w:t>
            </w:r>
          </w:p>
        </w:tc>
        <w:tc>
          <w:tcPr>
            <w:tcW w:w="715" w:type="pct"/>
            <w:vAlign w:val="center"/>
          </w:tcPr>
          <w:p>
            <w:pPr>
              <w:jc w:val="center"/>
              <w:rPr>
                <w:b/>
                <w:szCs w:val="21"/>
              </w:rPr>
            </w:pPr>
            <w:r>
              <w:rPr>
                <w:rFonts w:hint="eastAsia"/>
                <w:b/>
                <w:szCs w:val="21"/>
              </w:rPr>
              <w:t>0.5</w:t>
            </w:r>
          </w:p>
          <w:p>
            <w:pPr>
              <w:jc w:val="center"/>
              <w:rPr>
                <w:b/>
                <w:szCs w:val="21"/>
              </w:rPr>
            </w:pPr>
            <w:r>
              <w:rPr>
                <w:rFonts w:hint="eastAsia"/>
                <w:b/>
                <w:szCs w:val="21"/>
              </w:rPr>
              <w:t>（kg/ m</w:t>
            </w:r>
            <w:r>
              <w:rPr>
                <w:rFonts w:hint="eastAsia"/>
                <w:b/>
                <w:szCs w:val="21"/>
                <w:vertAlign w:val="superscript"/>
              </w:rPr>
              <w:t>2</w:t>
            </w:r>
            <w:r>
              <w:rPr>
                <w:rFonts w:hint="eastAsia"/>
                <w:b/>
                <w:szCs w:val="21"/>
              </w:rPr>
              <w:t>）</w:t>
            </w:r>
          </w:p>
        </w:tc>
        <w:tc>
          <w:tcPr>
            <w:tcW w:w="715" w:type="pct"/>
            <w:vAlign w:val="center"/>
          </w:tcPr>
          <w:p>
            <w:pPr>
              <w:jc w:val="center"/>
              <w:rPr>
                <w:b/>
                <w:szCs w:val="21"/>
              </w:rPr>
            </w:pPr>
            <w:r>
              <w:rPr>
                <w:rFonts w:hint="eastAsia"/>
                <w:b/>
                <w:szCs w:val="21"/>
              </w:rPr>
              <w:t>1.0</w:t>
            </w:r>
          </w:p>
          <w:p>
            <w:pPr>
              <w:jc w:val="center"/>
              <w:rPr>
                <w:b/>
                <w:szCs w:val="21"/>
              </w:rPr>
            </w:pPr>
            <w:r>
              <w:rPr>
                <w:rFonts w:hint="eastAsia"/>
                <w:b/>
                <w:szCs w:val="21"/>
              </w:rPr>
              <w:t>（kg/ m</w:t>
            </w:r>
            <w:r>
              <w:rPr>
                <w:rFonts w:hint="eastAsia"/>
                <w:b/>
                <w:szCs w:val="21"/>
                <w:vertAlign w:val="superscript"/>
              </w:rPr>
              <w:t>2</w:t>
            </w:r>
            <w:r>
              <w:rPr>
                <w:rFonts w:hint="eastAsia"/>
                <w:b/>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4" w:type="pct"/>
            <w:vAlign w:val="center"/>
          </w:tcPr>
          <w:p>
            <w:pPr>
              <w:jc w:val="center"/>
              <w:rPr>
                <w:szCs w:val="21"/>
              </w:rPr>
            </w:pPr>
            <w:r>
              <w:rPr>
                <w:szCs w:val="21"/>
              </w:rPr>
              <w:t>5</w:t>
            </w:r>
            <w:r>
              <w:rPr>
                <w:rFonts w:hint="eastAsia"/>
                <w:szCs w:val="21"/>
              </w:rPr>
              <w:t>（km/h）</w:t>
            </w:r>
          </w:p>
        </w:tc>
        <w:tc>
          <w:tcPr>
            <w:tcW w:w="714" w:type="pct"/>
            <w:vAlign w:val="center"/>
          </w:tcPr>
          <w:p>
            <w:pPr>
              <w:jc w:val="center"/>
              <w:rPr>
                <w:szCs w:val="21"/>
              </w:rPr>
            </w:pPr>
            <w:r>
              <w:rPr>
                <w:szCs w:val="21"/>
              </w:rPr>
              <w:t>0.0283</w:t>
            </w:r>
          </w:p>
        </w:tc>
        <w:tc>
          <w:tcPr>
            <w:tcW w:w="714" w:type="pct"/>
            <w:vAlign w:val="center"/>
          </w:tcPr>
          <w:p>
            <w:pPr>
              <w:jc w:val="center"/>
              <w:rPr>
                <w:szCs w:val="21"/>
              </w:rPr>
            </w:pPr>
            <w:r>
              <w:rPr>
                <w:szCs w:val="21"/>
              </w:rPr>
              <w:t>0.0476</w:t>
            </w:r>
          </w:p>
        </w:tc>
        <w:tc>
          <w:tcPr>
            <w:tcW w:w="714" w:type="pct"/>
            <w:vAlign w:val="center"/>
          </w:tcPr>
          <w:p>
            <w:pPr>
              <w:jc w:val="center"/>
              <w:rPr>
                <w:szCs w:val="21"/>
              </w:rPr>
            </w:pPr>
            <w:r>
              <w:rPr>
                <w:szCs w:val="21"/>
              </w:rPr>
              <w:t>0.0646</w:t>
            </w:r>
          </w:p>
        </w:tc>
        <w:tc>
          <w:tcPr>
            <w:tcW w:w="714" w:type="pct"/>
            <w:vAlign w:val="center"/>
          </w:tcPr>
          <w:p>
            <w:pPr>
              <w:jc w:val="center"/>
              <w:rPr>
                <w:szCs w:val="21"/>
              </w:rPr>
            </w:pPr>
            <w:r>
              <w:rPr>
                <w:szCs w:val="21"/>
              </w:rPr>
              <w:t>0.0801</w:t>
            </w:r>
          </w:p>
        </w:tc>
        <w:tc>
          <w:tcPr>
            <w:tcW w:w="715" w:type="pct"/>
            <w:vAlign w:val="center"/>
          </w:tcPr>
          <w:p>
            <w:pPr>
              <w:jc w:val="center"/>
              <w:rPr>
                <w:szCs w:val="21"/>
              </w:rPr>
            </w:pPr>
            <w:r>
              <w:rPr>
                <w:szCs w:val="21"/>
              </w:rPr>
              <w:t>0.0947</w:t>
            </w:r>
          </w:p>
        </w:tc>
        <w:tc>
          <w:tcPr>
            <w:tcW w:w="715" w:type="pct"/>
            <w:vAlign w:val="center"/>
          </w:tcPr>
          <w:p>
            <w:pPr>
              <w:jc w:val="center"/>
              <w:rPr>
                <w:szCs w:val="21"/>
              </w:rPr>
            </w:pPr>
            <w:r>
              <w:rPr>
                <w:szCs w:val="21"/>
              </w:rPr>
              <w:t>0.1593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4" w:type="pct"/>
            <w:vAlign w:val="center"/>
          </w:tcPr>
          <w:p>
            <w:pPr>
              <w:jc w:val="center"/>
              <w:rPr>
                <w:szCs w:val="21"/>
              </w:rPr>
            </w:pPr>
            <w:r>
              <w:rPr>
                <w:szCs w:val="21"/>
              </w:rPr>
              <w:t>10</w:t>
            </w:r>
            <w:r>
              <w:rPr>
                <w:rFonts w:hint="eastAsia"/>
                <w:szCs w:val="21"/>
              </w:rPr>
              <w:t>（km/h）</w:t>
            </w:r>
          </w:p>
        </w:tc>
        <w:tc>
          <w:tcPr>
            <w:tcW w:w="714" w:type="pct"/>
            <w:vAlign w:val="center"/>
          </w:tcPr>
          <w:p>
            <w:pPr>
              <w:jc w:val="center"/>
              <w:rPr>
                <w:szCs w:val="21"/>
              </w:rPr>
            </w:pPr>
            <w:r>
              <w:rPr>
                <w:szCs w:val="21"/>
              </w:rPr>
              <w:t>0.0566</w:t>
            </w:r>
          </w:p>
        </w:tc>
        <w:tc>
          <w:tcPr>
            <w:tcW w:w="714" w:type="pct"/>
            <w:vAlign w:val="center"/>
          </w:tcPr>
          <w:p>
            <w:pPr>
              <w:jc w:val="center"/>
              <w:rPr>
                <w:szCs w:val="21"/>
              </w:rPr>
            </w:pPr>
            <w:r>
              <w:rPr>
                <w:szCs w:val="21"/>
              </w:rPr>
              <w:t>0.0953</w:t>
            </w:r>
          </w:p>
        </w:tc>
        <w:tc>
          <w:tcPr>
            <w:tcW w:w="714" w:type="pct"/>
            <w:vAlign w:val="center"/>
          </w:tcPr>
          <w:p>
            <w:pPr>
              <w:jc w:val="center"/>
              <w:rPr>
                <w:szCs w:val="21"/>
              </w:rPr>
            </w:pPr>
            <w:r>
              <w:rPr>
                <w:szCs w:val="21"/>
              </w:rPr>
              <w:t>0.1291</w:t>
            </w:r>
          </w:p>
        </w:tc>
        <w:tc>
          <w:tcPr>
            <w:tcW w:w="714" w:type="pct"/>
            <w:vAlign w:val="center"/>
          </w:tcPr>
          <w:p>
            <w:pPr>
              <w:jc w:val="center"/>
              <w:rPr>
                <w:szCs w:val="21"/>
              </w:rPr>
            </w:pPr>
            <w:r>
              <w:rPr>
                <w:szCs w:val="21"/>
              </w:rPr>
              <w:t>0.1602</w:t>
            </w:r>
          </w:p>
        </w:tc>
        <w:tc>
          <w:tcPr>
            <w:tcW w:w="715" w:type="pct"/>
            <w:vAlign w:val="center"/>
          </w:tcPr>
          <w:p>
            <w:pPr>
              <w:jc w:val="center"/>
              <w:rPr>
                <w:szCs w:val="21"/>
              </w:rPr>
            </w:pPr>
            <w:r>
              <w:rPr>
                <w:szCs w:val="21"/>
              </w:rPr>
              <w:t>0.1897</w:t>
            </w:r>
          </w:p>
        </w:tc>
        <w:tc>
          <w:tcPr>
            <w:tcW w:w="715" w:type="pct"/>
            <w:vAlign w:val="center"/>
          </w:tcPr>
          <w:p>
            <w:pPr>
              <w:jc w:val="center"/>
              <w:rPr>
                <w:szCs w:val="21"/>
              </w:rPr>
            </w:pPr>
            <w:r>
              <w:rPr>
                <w:szCs w:val="21"/>
              </w:rPr>
              <w:t>0.3186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4" w:type="pct"/>
            <w:vAlign w:val="center"/>
          </w:tcPr>
          <w:p>
            <w:pPr>
              <w:jc w:val="center"/>
              <w:rPr>
                <w:szCs w:val="21"/>
              </w:rPr>
            </w:pPr>
            <w:r>
              <w:rPr>
                <w:szCs w:val="21"/>
              </w:rPr>
              <w:t>15</w:t>
            </w:r>
            <w:r>
              <w:rPr>
                <w:rFonts w:hint="eastAsia"/>
                <w:szCs w:val="21"/>
              </w:rPr>
              <w:t>（km/h）</w:t>
            </w:r>
          </w:p>
        </w:tc>
        <w:tc>
          <w:tcPr>
            <w:tcW w:w="714" w:type="pct"/>
            <w:vAlign w:val="center"/>
          </w:tcPr>
          <w:p>
            <w:pPr>
              <w:jc w:val="center"/>
              <w:rPr>
                <w:szCs w:val="21"/>
              </w:rPr>
            </w:pPr>
            <w:r>
              <w:rPr>
                <w:szCs w:val="21"/>
              </w:rPr>
              <w:t>0.0850</w:t>
            </w:r>
          </w:p>
        </w:tc>
        <w:tc>
          <w:tcPr>
            <w:tcW w:w="714" w:type="pct"/>
            <w:vAlign w:val="center"/>
          </w:tcPr>
          <w:p>
            <w:pPr>
              <w:jc w:val="center"/>
              <w:rPr>
                <w:szCs w:val="21"/>
              </w:rPr>
            </w:pPr>
            <w:r>
              <w:rPr>
                <w:szCs w:val="21"/>
              </w:rPr>
              <w:t>0.1429</w:t>
            </w:r>
          </w:p>
        </w:tc>
        <w:tc>
          <w:tcPr>
            <w:tcW w:w="714" w:type="pct"/>
            <w:vAlign w:val="center"/>
          </w:tcPr>
          <w:p>
            <w:pPr>
              <w:jc w:val="center"/>
              <w:rPr>
                <w:szCs w:val="21"/>
              </w:rPr>
            </w:pPr>
            <w:r>
              <w:rPr>
                <w:szCs w:val="21"/>
              </w:rPr>
              <w:t>0.1937</w:t>
            </w:r>
          </w:p>
        </w:tc>
        <w:tc>
          <w:tcPr>
            <w:tcW w:w="714" w:type="pct"/>
            <w:vAlign w:val="center"/>
          </w:tcPr>
          <w:p>
            <w:pPr>
              <w:jc w:val="center"/>
              <w:rPr>
                <w:szCs w:val="21"/>
              </w:rPr>
            </w:pPr>
            <w:r>
              <w:rPr>
                <w:szCs w:val="21"/>
              </w:rPr>
              <w:t>0.2403</w:t>
            </w:r>
          </w:p>
        </w:tc>
        <w:tc>
          <w:tcPr>
            <w:tcW w:w="715" w:type="pct"/>
            <w:vAlign w:val="center"/>
          </w:tcPr>
          <w:p>
            <w:pPr>
              <w:jc w:val="center"/>
              <w:rPr>
                <w:szCs w:val="21"/>
              </w:rPr>
            </w:pPr>
            <w:r>
              <w:rPr>
                <w:szCs w:val="21"/>
              </w:rPr>
              <w:t>0.2841</w:t>
            </w:r>
          </w:p>
        </w:tc>
        <w:tc>
          <w:tcPr>
            <w:tcW w:w="715" w:type="pct"/>
            <w:vAlign w:val="center"/>
          </w:tcPr>
          <w:p>
            <w:pPr>
              <w:jc w:val="center"/>
              <w:rPr>
                <w:szCs w:val="21"/>
              </w:rPr>
            </w:pPr>
            <w:r>
              <w:rPr>
                <w:szCs w:val="21"/>
              </w:rPr>
              <w:t>0.4778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14" w:type="pct"/>
            <w:vAlign w:val="center"/>
          </w:tcPr>
          <w:p>
            <w:pPr>
              <w:jc w:val="center"/>
              <w:rPr>
                <w:szCs w:val="21"/>
              </w:rPr>
            </w:pPr>
            <w:r>
              <w:rPr>
                <w:szCs w:val="21"/>
              </w:rPr>
              <w:t>25</w:t>
            </w:r>
            <w:r>
              <w:rPr>
                <w:rFonts w:hint="eastAsia"/>
                <w:szCs w:val="21"/>
              </w:rPr>
              <w:t>（km/h）</w:t>
            </w:r>
          </w:p>
        </w:tc>
        <w:tc>
          <w:tcPr>
            <w:tcW w:w="714" w:type="pct"/>
            <w:vAlign w:val="center"/>
          </w:tcPr>
          <w:p>
            <w:pPr>
              <w:jc w:val="center"/>
              <w:rPr>
                <w:szCs w:val="21"/>
              </w:rPr>
            </w:pPr>
            <w:r>
              <w:rPr>
                <w:szCs w:val="21"/>
              </w:rPr>
              <w:t>0.1133</w:t>
            </w:r>
          </w:p>
        </w:tc>
        <w:tc>
          <w:tcPr>
            <w:tcW w:w="714" w:type="pct"/>
            <w:vAlign w:val="center"/>
          </w:tcPr>
          <w:p>
            <w:pPr>
              <w:jc w:val="center"/>
              <w:rPr>
                <w:szCs w:val="21"/>
              </w:rPr>
            </w:pPr>
            <w:r>
              <w:rPr>
                <w:szCs w:val="21"/>
              </w:rPr>
              <w:t>0.1905</w:t>
            </w:r>
          </w:p>
        </w:tc>
        <w:tc>
          <w:tcPr>
            <w:tcW w:w="714" w:type="pct"/>
            <w:vAlign w:val="center"/>
          </w:tcPr>
          <w:p>
            <w:pPr>
              <w:jc w:val="center"/>
              <w:rPr>
                <w:szCs w:val="21"/>
              </w:rPr>
            </w:pPr>
            <w:r>
              <w:rPr>
                <w:szCs w:val="21"/>
              </w:rPr>
              <w:t>0.2583</w:t>
            </w:r>
          </w:p>
        </w:tc>
        <w:tc>
          <w:tcPr>
            <w:tcW w:w="714" w:type="pct"/>
            <w:vAlign w:val="center"/>
          </w:tcPr>
          <w:p>
            <w:pPr>
              <w:jc w:val="center"/>
              <w:rPr>
                <w:szCs w:val="21"/>
              </w:rPr>
            </w:pPr>
            <w:r>
              <w:rPr>
                <w:szCs w:val="21"/>
              </w:rPr>
              <w:t>0.3204</w:t>
            </w:r>
          </w:p>
        </w:tc>
        <w:tc>
          <w:tcPr>
            <w:tcW w:w="715" w:type="pct"/>
            <w:vAlign w:val="center"/>
          </w:tcPr>
          <w:p>
            <w:pPr>
              <w:jc w:val="center"/>
              <w:rPr>
                <w:szCs w:val="21"/>
              </w:rPr>
            </w:pPr>
            <w:r>
              <w:rPr>
                <w:szCs w:val="21"/>
              </w:rPr>
              <w:t>0.3788</w:t>
            </w:r>
          </w:p>
        </w:tc>
        <w:tc>
          <w:tcPr>
            <w:tcW w:w="715" w:type="pct"/>
            <w:vAlign w:val="center"/>
          </w:tcPr>
          <w:p>
            <w:pPr>
              <w:jc w:val="center"/>
              <w:rPr>
                <w:szCs w:val="21"/>
              </w:rPr>
            </w:pPr>
            <w:r>
              <w:rPr>
                <w:szCs w:val="21"/>
              </w:rPr>
              <w:t>0.6371</w:t>
            </w:r>
          </w:p>
        </w:tc>
      </w:tr>
    </w:tbl>
    <w:p>
      <w:pPr>
        <w:spacing w:line="360" w:lineRule="auto"/>
        <w:ind w:firstLine="480" w:firstLineChars="200"/>
        <w:rPr>
          <w:sz w:val="24"/>
        </w:rPr>
      </w:pPr>
      <w:r>
        <w:rPr>
          <w:rFonts w:hint="eastAsia"/>
          <w:sz w:val="24"/>
        </w:rPr>
        <w:t>表6.1-1中结果表明，在同样路面清洁情况下，车速越快，扬尘量越大:而在同样车速情况下，路面清洁度越差，则扬尘量越大。</w:t>
      </w:r>
    </w:p>
    <w:p>
      <w:pPr>
        <w:spacing w:line="360" w:lineRule="auto"/>
        <w:ind w:firstLine="480" w:firstLineChars="200"/>
        <w:rPr>
          <w:sz w:val="24"/>
        </w:rPr>
      </w:pPr>
      <w:r>
        <w:rPr>
          <w:rFonts w:hint="eastAsia"/>
          <w:sz w:val="24"/>
        </w:rPr>
        <w:t>如果在施工期间车辆行驶的路面实施酒水抑尘，每天酒水4~5次，可使扬尘减少70%左右。表6.1-2为施工场地酒水抑尘的试验结果，结果表明实施每天酒水45次进行抑尘，可有效控制施工扬尘，将TSP污染距离缩小到20~50m范围。因此，限速行驶及保持路面清洁，同时适当酒水是减少汽车扬尘的有效手段。</w:t>
      </w:r>
    </w:p>
    <w:p>
      <w:pPr>
        <w:pStyle w:val="5"/>
        <w:adjustRightInd w:val="0"/>
        <w:snapToGrid w:val="0"/>
        <w:spacing w:beforeLines="50" w:after="0"/>
        <w:ind w:firstLine="0" w:firstLineChars="0"/>
        <w:jc w:val="center"/>
        <w:rPr>
          <w:rFonts w:ascii="Times New Roman" w:hAnsi="Times New Roman" w:eastAsia="宋体" w:cs="Times New Roman"/>
          <w:b/>
        </w:rPr>
      </w:pPr>
      <w:r>
        <w:rPr>
          <w:rFonts w:ascii="Times New Roman" w:hAnsi="Times New Roman" w:eastAsia="宋体" w:cs="Times New Roman"/>
          <w:b/>
        </w:rPr>
        <w:t>表</w:t>
      </w:r>
      <w:r>
        <w:rPr>
          <w:rFonts w:hint="eastAsia" w:ascii="Times New Roman" w:hAnsi="Times New Roman" w:eastAsia="宋体" w:cs="Times New Roman"/>
          <w:b/>
        </w:rPr>
        <w:t>6</w:t>
      </w:r>
      <w:r>
        <w:rPr>
          <w:rFonts w:ascii="Times New Roman" w:hAnsi="Times New Roman" w:eastAsia="宋体" w:cs="Times New Roman"/>
          <w:b/>
        </w:rPr>
        <w:t xml:space="preserve">.1-2  </w:t>
      </w:r>
      <w:r>
        <w:rPr>
          <w:rFonts w:hint="eastAsia" w:ascii="Times New Roman" w:hAnsi="Times New Roman" w:eastAsia="宋体" w:cs="Times New Roman"/>
          <w:b/>
        </w:rPr>
        <w:t>施工场地洒水抑尘试验结果</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31"/>
        <w:gridCol w:w="1158"/>
        <w:gridCol w:w="1371"/>
        <w:gridCol w:w="1422"/>
        <w:gridCol w:w="1421"/>
        <w:gridCol w:w="14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694" w:type="pct"/>
            <w:gridSpan w:val="2"/>
            <w:vAlign w:val="center"/>
          </w:tcPr>
          <w:p>
            <w:pPr>
              <w:jc w:val="center"/>
              <w:rPr>
                <w:b/>
                <w:szCs w:val="21"/>
              </w:rPr>
            </w:pPr>
            <w:r>
              <w:rPr>
                <w:rFonts w:hint="eastAsia"/>
                <w:b/>
                <w:szCs w:val="21"/>
              </w:rPr>
              <w:t>距离（m）</w:t>
            </w:r>
          </w:p>
        </w:tc>
        <w:tc>
          <w:tcPr>
            <w:tcW w:w="804" w:type="pct"/>
            <w:vAlign w:val="center"/>
          </w:tcPr>
          <w:p>
            <w:pPr>
              <w:jc w:val="center"/>
              <w:rPr>
                <w:b/>
                <w:szCs w:val="21"/>
              </w:rPr>
            </w:pPr>
            <w:r>
              <w:rPr>
                <w:b/>
                <w:szCs w:val="21"/>
              </w:rPr>
              <w:t>5</w:t>
            </w:r>
          </w:p>
        </w:tc>
        <w:tc>
          <w:tcPr>
            <w:tcW w:w="834" w:type="pct"/>
            <w:vAlign w:val="center"/>
          </w:tcPr>
          <w:p>
            <w:pPr>
              <w:jc w:val="center"/>
              <w:rPr>
                <w:b/>
                <w:szCs w:val="21"/>
              </w:rPr>
            </w:pPr>
            <w:r>
              <w:rPr>
                <w:b/>
                <w:szCs w:val="21"/>
              </w:rPr>
              <w:t>20</w:t>
            </w:r>
          </w:p>
        </w:tc>
        <w:tc>
          <w:tcPr>
            <w:tcW w:w="833" w:type="pct"/>
            <w:vAlign w:val="center"/>
          </w:tcPr>
          <w:p>
            <w:pPr>
              <w:jc w:val="center"/>
              <w:rPr>
                <w:b/>
                <w:szCs w:val="21"/>
              </w:rPr>
            </w:pPr>
            <w:r>
              <w:rPr>
                <w:b/>
                <w:szCs w:val="21"/>
              </w:rPr>
              <w:t>50</w:t>
            </w:r>
          </w:p>
        </w:tc>
        <w:tc>
          <w:tcPr>
            <w:tcW w:w="835" w:type="pct"/>
            <w:vAlign w:val="center"/>
          </w:tcPr>
          <w:p>
            <w:pPr>
              <w:jc w:val="center"/>
              <w:rPr>
                <w:b/>
                <w:szCs w:val="21"/>
              </w:rPr>
            </w:pPr>
            <w:r>
              <w:rPr>
                <w:b/>
                <w:szCs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15" w:type="pct"/>
            <w:vMerge w:val="restart"/>
            <w:vAlign w:val="center"/>
          </w:tcPr>
          <w:p>
            <w:pPr>
              <w:jc w:val="center"/>
              <w:rPr>
                <w:szCs w:val="21"/>
              </w:rPr>
            </w:pPr>
            <w:r>
              <w:rPr>
                <w:rFonts w:hint="eastAsia"/>
                <w:szCs w:val="21"/>
              </w:rPr>
              <w:t>TSP小时平均浓度（mg/m</w:t>
            </w:r>
            <w:r>
              <w:rPr>
                <w:rFonts w:hint="eastAsia"/>
                <w:szCs w:val="21"/>
                <w:vertAlign w:val="superscript"/>
              </w:rPr>
              <w:t>3</w:t>
            </w:r>
            <w:r>
              <w:rPr>
                <w:rFonts w:hint="eastAsia"/>
                <w:szCs w:val="21"/>
              </w:rPr>
              <w:t>）</w:t>
            </w:r>
          </w:p>
        </w:tc>
        <w:tc>
          <w:tcPr>
            <w:tcW w:w="679" w:type="pct"/>
            <w:vAlign w:val="center"/>
          </w:tcPr>
          <w:p>
            <w:pPr>
              <w:jc w:val="center"/>
              <w:rPr>
                <w:szCs w:val="21"/>
              </w:rPr>
            </w:pPr>
            <w:r>
              <w:rPr>
                <w:rFonts w:hint="eastAsia"/>
                <w:szCs w:val="21"/>
              </w:rPr>
              <w:t>不洒水</w:t>
            </w:r>
          </w:p>
        </w:tc>
        <w:tc>
          <w:tcPr>
            <w:tcW w:w="804" w:type="pct"/>
            <w:vAlign w:val="center"/>
          </w:tcPr>
          <w:p>
            <w:pPr>
              <w:ind w:left="-57" w:leftChars="-27" w:firstLine="105" w:firstLineChars="50"/>
              <w:jc w:val="center"/>
              <w:rPr>
                <w:szCs w:val="21"/>
              </w:rPr>
            </w:pPr>
            <w:r>
              <w:rPr>
                <w:szCs w:val="21"/>
              </w:rPr>
              <w:t>10.14</w:t>
            </w:r>
          </w:p>
        </w:tc>
        <w:tc>
          <w:tcPr>
            <w:tcW w:w="834" w:type="pct"/>
            <w:vAlign w:val="center"/>
          </w:tcPr>
          <w:p>
            <w:pPr>
              <w:jc w:val="center"/>
              <w:rPr>
                <w:szCs w:val="21"/>
              </w:rPr>
            </w:pPr>
            <w:r>
              <w:rPr>
                <w:szCs w:val="21"/>
              </w:rPr>
              <w:t>2.89</w:t>
            </w:r>
          </w:p>
        </w:tc>
        <w:tc>
          <w:tcPr>
            <w:tcW w:w="833" w:type="pct"/>
            <w:vAlign w:val="center"/>
          </w:tcPr>
          <w:p>
            <w:pPr>
              <w:jc w:val="center"/>
              <w:rPr>
                <w:szCs w:val="21"/>
              </w:rPr>
            </w:pPr>
            <w:r>
              <w:rPr>
                <w:szCs w:val="21"/>
              </w:rPr>
              <w:t>1.15</w:t>
            </w:r>
          </w:p>
        </w:tc>
        <w:tc>
          <w:tcPr>
            <w:tcW w:w="835" w:type="pct"/>
            <w:vAlign w:val="center"/>
          </w:tcPr>
          <w:p>
            <w:pPr>
              <w:jc w:val="center"/>
              <w:rPr>
                <w:szCs w:val="21"/>
              </w:rPr>
            </w:pPr>
            <w:r>
              <w:rPr>
                <w:szCs w:val="21"/>
              </w:rPr>
              <w:t>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15" w:type="pct"/>
            <w:vMerge w:val="continue"/>
            <w:vAlign w:val="center"/>
          </w:tcPr>
          <w:p>
            <w:pPr>
              <w:jc w:val="center"/>
              <w:rPr>
                <w:szCs w:val="21"/>
              </w:rPr>
            </w:pPr>
          </w:p>
        </w:tc>
        <w:tc>
          <w:tcPr>
            <w:tcW w:w="679" w:type="pct"/>
            <w:vAlign w:val="center"/>
          </w:tcPr>
          <w:p>
            <w:pPr>
              <w:jc w:val="center"/>
              <w:rPr>
                <w:szCs w:val="21"/>
              </w:rPr>
            </w:pPr>
            <w:r>
              <w:rPr>
                <w:rFonts w:hint="eastAsia"/>
                <w:szCs w:val="21"/>
              </w:rPr>
              <w:t>洒水</w:t>
            </w:r>
          </w:p>
        </w:tc>
        <w:tc>
          <w:tcPr>
            <w:tcW w:w="804" w:type="pct"/>
            <w:vAlign w:val="center"/>
          </w:tcPr>
          <w:p>
            <w:pPr>
              <w:jc w:val="center"/>
              <w:rPr>
                <w:szCs w:val="21"/>
              </w:rPr>
            </w:pPr>
            <w:r>
              <w:rPr>
                <w:szCs w:val="21"/>
              </w:rPr>
              <w:t>2.01</w:t>
            </w:r>
          </w:p>
        </w:tc>
        <w:tc>
          <w:tcPr>
            <w:tcW w:w="834" w:type="pct"/>
            <w:vAlign w:val="center"/>
          </w:tcPr>
          <w:p>
            <w:pPr>
              <w:jc w:val="center"/>
              <w:rPr>
                <w:szCs w:val="21"/>
              </w:rPr>
            </w:pPr>
            <w:r>
              <w:rPr>
                <w:szCs w:val="21"/>
              </w:rPr>
              <w:t>1.40</w:t>
            </w:r>
          </w:p>
        </w:tc>
        <w:tc>
          <w:tcPr>
            <w:tcW w:w="833" w:type="pct"/>
            <w:vAlign w:val="center"/>
          </w:tcPr>
          <w:p>
            <w:pPr>
              <w:jc w:val="center"/>
              <w:rPr>
                <w:szCs w:val="21"/>
              </w:rPr>
            </w:pPr>
            <w:r>
              <w:rPr>
                <w:szCs w:val="21"/>
              </w:rPr>
              <w:t>0.67</w:t>
            </w:r>
          </w:p>
        </w:tc>
        <w:tc>
          <w:tcPr>
            <w:tcW w:w="835" w:type="pct"/>
            <w:vAlign w:val="center"/>
          </w:tcPr>
          <w:p>
            <w:pPr>
              <w:jc w:val="center"/>
              <w:rPr>
                <w:szCs w:val="21"/>
              </w:rPr>
            </w:pPr>
            <w:r>
              <w:rPr>
                <w:szCs w:val="21"/>
              </w:rPr>
              <w:t>0.60</w:t>
            </w:r>
          </w:p>
        </w:tc>
      </w:tr>
    </w:tbl>
    <w:p>
      <w:pPr>
        <w:spacing w:line="360" w:lineRule="auto"/>
        <w:ind w:firstLine="480" w:firstLineChars="200"/>
        <w:rPr>
          <w:sz w:val="24"/>
        </w:rPr>
      </w:pPr>
      <w:r>
        <w:rPr>
          <w:rFonts w:hint="eastAsia"/>
          <w:sz w:val="24"/>
        </w:rPr>
        <w:t>本项目施工进场道路若不采取定时酒水等抑尘措施，施工车辆进场、外运产生的道路扬尘较多，将会对该路段的居民产生一定影响。对此，应对进场道路必须及时清扫、酒水抑尘，同时运送土方及物料车辆不得超载、超速，必须采取封闭或篷布遮盖。</w:t>
      </w:r>
    </w:p>
    <w:p>
      <w:pPr>
        <w:spacing w:line="360" w:lineRule="auto"/>
        <w:ind w:firstLine="480" w:firstLineChars="200"/>
        <w:rPr>
          <w:sz w:val="24"/>
        </w:rPr>
      </w:pPr>
      <w:r>
        <w:rPr>
          <w:rFonts w:hint="eastAsia"/>
          <w:sz w:val="24"/>
        </w:rPr>
        <w:t>施工工地现场出入口地面必须硬化处理并设置车辆冲洗台以及配套的排水、泥浆沉淀设施，冲洗设施到位并保持完好。车辆在驶出工地前，应将车轮、车身冲洗干净，不得带泥上路，避免施工车辆运行导致的路面起尘，对项目地环境空气质量产生影响。</w:t>
      </w:r>
    </w:p>
    <w:p>
      <w:pPr>
        <w:spacing w:line="360" w:lineRule="auto"/>
        <w:ind w:firstLine="482" w:firstLineChars="200"/>
        <w:rPr>
          <w:b/>
          <w:sz w:val="24"/>
        </w:rPr>
      </w:pPr>
      <w:r>
        <w:rPr>
          <w:rFonts w:hint="eastAsia"/>
          <w:b/>
          <w:sz w:val="24"/>
        </w:rPr>
        <w:t>2、施工机械废气影响分析</w:t>
      </w:r>
    </w:p>
    <w:p>
      <w:pPr>
        <w:spacing w:line="360" w:lineRule="auto"/>
        <w:ind w:firstLine="480" w:firstLineChars="200"/>
        <w:rPr>
          <w:sz w:val="24"/>
        </w:rPr>
      </w:pPr>
      <w:r>
        <w:rPr>
          <w:sz w:val="24"/>
        </w:rPr>
        <w:t>（</w:t>
      </w:r>
      <w:r>
        <w:rPr>
          <w:rFonts w:hint="eastAsia"/>
          <w:sz w:val="24"/>
        </w:rPr>
        <w:t>1</w:t>
      </w:r>
      <w:r>
        <w:rPr>
          <w:sz w:val="24"/>
        </w:rPr>
        <w:t>）废气主要来源</w:t>
      </w:r>
    </w:p>
    <w:p>
      <w:pPr>
        <w:spacing w:line="360" w:lineRule="auto"/>
        <w:ind w:firstLine="480" w:firstLineChars="200"/>
        <w:rPr>
          <w:sz w:val="24"/>
          <w:lang w:val="zh-CN"/>
        </w:rPr>
      </w:pPr>
      <w:r>
        <w:rPr>
          <w:rFonts w:hint="eastAsia"/>
          <w:sz w:val="24"/>
          <w:lang w:val="zh-CN"/>
        </w:rPr>
        <w:t>施工期废气主要来自施工机械运行排放废气、各种物料运输车辆排放汽车尾气等对环境空气的影响</w:t>
      </w:r>
      <w:r>
        <w:rPr>
          <w:sz w:val="24"/>
          <w:lang w:val="zh-CN"/>
        </w:rPr>
        <w:t>。</w:t>
      </w:r>
    </w:p>
    <w:p>
      <w:pPr>
        <w:spacing w:line="360" w:lineRule="auto"/>
        <w:ind w:firstLine="480" w:firstLineChars="200"/>
        <w:rPr>
          <w:bCs/>
          <w:sz w:val="24"/>
        </w:rPr>
      </w:pPr>
      <w:r>
        <w:rPr>
          <w:bCs/>
          <w:sz w:val="24"/>
        </w:rPr>
        <w:t>（</w:t>
      </w:r>
      <w:r>
        <w:rPr>
          <w:rFonts w:hint="eastAsia"/>
          <w:bCs/>
          <w:sz w:val="24"/>
        </w:rPr>
        <w:t>2</w:t>
      </w:r>
      <w:r>
        <w:rPr>
          <w:bCs/>
          <w:sz w:val="24"/>
        </w:rPr>
        <w:t>）</w:t>
      </w:r>
      <w:r>
        <w:rPr>
          <w:rFonts w:hint="eastAsia"/>
          <w:bCs/>
          <w:sz w:val="24"/>
        </w:rPr>
        <w:t>车辆尾气环境影响分析</w:t>
      </w:r>
    </w:p>
    <w:p>
      <w:pPr>
        <w:spacing w:line="360" w:lineRule="auto"/>
        <w:ind w:firstLine="480" w:firstLineChars="200"/>
        <w:rPr>
          <w:sz w:val="24"/>
          <w:lang w:val="zh-CN"/>
        </w:rPr>
      </w:pPr>
      <w:r>
        <w:rPr>
          <w:rFonts w:hint="eastAsia"/>
          <w:sz w:val="24"/>
          <w:lang w:val="zh-CN"/>
        </w:rPr>
        <w:t>车辆尾气中主要污染物为CO、NOx及碳氢化合物等，间断排放，工程在加强施工车辆运行管理与维护保养情况下，可减少尾气排放对环境的污染，对环境影响小</w:t>
      </w:r>
      <w:r>
        <w:rPr>
          <w:sz w:val="24"/>
          <w:lang w:val="zh-CN"/>
        </w:rPr>
        <w:t>。</w:t>
      </w:r>
    </w:p>
    <w:p>
      <w:pPr>
        <w:spacing w:line="360" w:lineRule="auto"/>
        <w:ind w:firstLine="480" w:firstLineChars="200"/>
        <w:rPr>
          <w:sz w:val="24"/>
          <w:lang w:val="zh-CN"/>
        </w:rPr>
      </w:pPr>
      <w:r>
        <w:rPr>
          <w:rFonts w:hint="eastAsia"/>
          <w:sz w:val="24"/>
          <w:lang w:val="zh-CN"/>
        </w:rPr>
        <w:t>项目施工过程中非道路移动机械用柴油机废气排放，必须执行并满足《非道路移动机械用柴油机排气污染物排放限值及测量方法》中有关规定及排放限值要求</w:t>
      </w:r>
      <w:r>
        <w:rPr>
          <w:sz w:val="24"/>
          <w:lang w:val="zh-CN"/>
        </w:rPr>
        <w:t>。</w:t>
      </w:r>
    </w:p>
    <w:p>
      <w:pPr>
        <w:pStyle w:val="7"/>
        <w:adjustRightInd w:val="0"/>
        <w:snapToGrid w:val="0"/>
        <w:spacing w:before="0" w:after="0" w:line="360" w:lineRule="auto"/>
        <w:jc w:val="left"/>
        <w:rPr>
          <w:sz w:val="24"/>
          <w:szCs w:val="24"/>
        </w:rPr>
      </w:pPr>
      <w:r>
        <w:rPr>
          <w:sz w:val="24"/>
          <w:szCs w:val="24"/>
        </w:rPr>
        <w:t>6.1.</w:t>
      </w:r>
      <w:r>
        <w:rPr>
          <w:rFonts w:hint="eastAsia"/>
          <w:sz w:val="24"/>
          <w:szCs w:val="24"/>
        </w:rPr>
        <w:t xml:space="preserve">2 </w:t>
      </w:r>
      <w:r>
        <w:rPr>
          <w:sz w:val="24"/>
          <w:szCs w:val="24"/>
        </w:rPr>
        <w:t>施工期地表水环境影响分析</w:t>
      </w:r>
    </w:p>
    <w:p>
      <w:pPr>
        <w:spacing w:line="360" w:lineRule="auto"/>
        <w:ind w:firstLine="480" w:firstLineChars="200"/>
        <w:rPr>
          <w:sz w:val="24"/>
        </w:rPr>
      </w:pPr>
      <w:r>
        <w:rPr>
          <w:rFonts w:hint="eastAsia"/>
          <w:sz w:val="24"/>
        </w:rPr>
        <w:t>（1）生活污水</w:t>
      </w:r>
    </w:p>
    <w:p>
      <w:pPr>
        <w:spacing w:line="360" w:lineRule="auto"/>
        <w:ind w:firstLine="480" w:firstLineChars="200"/>
        <w:rPr>
          <w:sz w:val="24"/>
        </w:rPr>
      </w:pPr>
      <w:r>
        <w:rPr>
          <w:rFonts w:hint="eastAsia"/>
          <w:sz w:val="24"/>
        </w:rPr>
        <w:t>本项目施工期不设施工营地，施工人员生活污水主要为洗手废水。由工程分析可知施工期生活废水产生量为8</w:t>
      </w:r>
      <w:r>
        <w:rPr>
          <w:sz w:val="24"/>
        </w:rPr>
        <w:t>m</w:t>
      </w:r>
      <w:r>
        <w:rPr>
          <w:sz w:val="24"/>
          <w:vertAlign w:val="superscript"/>
        </w:rPr>
        <w:t>3</w:t>
      </w:r>
      <w:r>
        <w:rPr>
          <w:sz w:val="24"/>
        </w:rPr>
        <w:t>/d</w:t>
      </w:r>
      <w:r>
        <w:rPr>
          <w:rFonts w:hint="eastAsia"/>
          <w:sz w:val="24"/>
        </w:rPr>
        <w:t>，主要污染物为</w:t>
      </w:r>
      <w:r>
        <w:rPr>
          <w:sz w:val="24"/>
        </w:rPr>
        <w:t>COD</w:t>
      </w:r>
      <w:r>
        <w:rPr>
          <w:rFonts w:hint="eastAsia"/>
          <w:sz w:val="24"/>
        </w:rPr>
        <w:t>、</w:t>
      </w:r>
      <w:r>
        <w:rPr>
          <w:sz w:val="24"/>
        </w:rPr>
        <w:t>BOD、SS</w:t>
      </w:r>
      <w:r>
        <w:rPr>
          <w:rFonts w:hint="eastAsia"/>
          <w:sz w:val="24"/>
        </w:rPr>
        <w:t>、</w:t>
      </w:r>
      <w:r>
        <w:rPr>
          <w:sz w:val="24"/>
        </w:rPr>
        <w:t>NH</w:t>
      </w:r>
      <w:r>
        <w:rPr>
          <w:sz w:val="24"/>
          <w:vertAlign w:val="subscript"/>
        </w:rPr>
        <w:t>3</w:t>
      </w:r>
      <w:r>
        <w:rPr>
          <w:sz w:val="24"/>
        </w:rPr>
        <w:t>-N</w:t>
      </w:r>
      <w:r>
        <w:rPr>
          <w:rFonts w:hint="eastAsia"/>
          <w:sz w:val="24"/>
        </w:rPr>
        <w:t>等，生活污水经过化粪池处理后用于周边林地浇灌。</w:t>
      </w:r>
    </w:p>
    <w:p>
      <w:pPr>
        <w:spacing w:line="360" w:lineRule="auto"/>
        <w:ind w:firstLine="480" w:firstLineChars="200"/>
        <w:rPr>
          <w:sz w:val="24"/>
        </w:rPr>
      </w:pPr>
      <w:r>
        <w:rPr>
          <w:rFonts w:hint="eastAsia"/>
          <w:sz w:val="24"/>
        </w:rPr>
        <w:t>（2）施工生产废水对水环境的影响分析</w:t>
      </w:r>
    </w:p>
    <w:p>
      <w:pPr>
        <w:spacing w:line="360" w:lineRule="auto"/>
        <w:ind w:firstLine="480" w:firstLineChars="200"/>
        <w:rPr>
          <w:sz w:val="24"/>
        </w:rPr>
      </w:pPr>
      <w:r>
        <w:rPr>
          <w:rFonts w:hint="eastAsia"/>
          <w:sz w:val="24"/>
        </w:rPr>
        <w:t>施工生产废水主要包括钻孔泥浆水、基坑开挖排水、混凝土养护水、施工设备清洗及进出车辆冲洗废水，同时施工材料被雨水冲刷以及施工机械跑、冒、滴、漏的油污随地表径流形成污水，根据前面施工期水污染源强分析可知，施工生产废水中SS、石油类浓度分别为5000mg/L、40mg/L。如果任由施工生产废水直排，将会对周边水质产生影响。因此项目施工必须严禁未经任何处理将水排放，同时做好建筑材料和建筑废料的管理，避免地面水体二次污染，同时设置隔油沉淀池，</w:t>
      </w:r>
      <w:r>
        <w:rPr>
          <w:sz w:val="24"/>
        </w:rPr>
        <w:t>工地周界设置排水明沟，收集施工泥浆水和地面径流水，</w:t>
      </w:r>
      <w:r>
        <w:rPr>
          <w:rFonts w:hint="eastAsia"/>
          <w:sz w:val="24"/>
        </w:rPr>
        <w:t>施工废水经隔油沉淀处理后，循环使用，用于生产、路面养护或洒水抑尘，不外排。生产中尽量采购清洗好的砾石直接用于生产，以减少砾石洗涤废水的产生，少量的砾石洗涤废水与设备清洗废水、场地冲洗废水和施工场地初期雨水，经隔油沉淀处理后用于生产或者路面养护。</w:t>
      </w:r>
    </w:p>
    <w:p>
      <w:pPr>
        <w:spacing w:line="360" w:lineRule="auto"/>
        <w:ind w:firstLine="480" w:firstLineChars="200"/>
        <w:rPr>
          <w:sz w:val="24"/>
        </w:rPr>
      </w:pPr>
      <w:r>
        <w:rPr>
          <w:rFonts w:hint="eastAsia"/>
          <w:sz w:val="24"/>
        </w:rPr>
        <w:t>为了减少养护废水对水环境的影响，在养护洒水过程中，采取少量多次，确保路面湿润而水不溢流到环境中。</w:t>
      </w:r>
    </w:p>
    <w:p>
      <w:pPr>
        <w:spacing w:line="360" w:lineRule="auto"/>
        <w:ind w:firstLine="480" w:firstLineChars="200"/>
        <w:rPr>
          <w:sz w:val="24"/>
        </w:rPr>
      </w:pPr>
      <w:r>
        <w:rPr>
          <w:rFonts w:hint="eastAsia"/>
          <w:sz w:val="24"/>
        </w:rPr>
        <w:t>（3）施工期含油污水对水环境的影响分析</w:t>
      </w:r>
    </w:p>
    <w:p>
      <w:pPr>
        <w:spacing w:line="360" w:lineRule="auto"/>
        <w:ind w:firstLine="480" w:firstLineChars="200"/>
        <w:rPr>
          <w:sz w:val="24"/>
        </w:rPr>
      </w:pPr>
      <w:r>
        <w:rPr>
          <w:rFonts w:hint="eastAsia"/>
          <w:sz w:val="24"/>
        </w:rPr>
        <w:t>施工期含油污水主要来源于施工机械的修理、维护过程及作业过程中的跑、冒、滴、漏。其成分主要是润滑油、柴油、汽油等石油类物质，这类物质一旦进入水体则漂浮于水面，阻碍气水界面的物质交换，使水体溶解氧得不到及时补给。因此应采取隔油措施。此外，在施工过程中应加强对机械设备的检修，以防止设备漏油现象的发生。施工机械设备的维修应在专业厂家进行，防止施工现场地表油类污染，以减小初期雨水的油类污染物负荷。</w:t>
      </w:r>
    </w:p>
    <w:p>
      <w:pPr>
        <w:spacing w:line="360" w:lineRule="auto"/>
        <w:ind w:firstLine="480" w:firstLineChars="200"/>
        <w:rPr>
          <w:sz w:val="24"/>
        </w:rPr>
      </w:pPr>
      <w:r>
        <w:rPr>
          <w:rFonts w:hint="eastAsia"/>
          <w:sz w:val="24"/>
        </w:rPr>
        <w:t>（4）建筑材料运输与堆放对水环境的影响分析</w:t>
      </w:r>
    </w:p>
    <w:p>
      <w:pPr>
        <w:spacing w:line="360" w:lineRule="auto"/>
        <w:ind w:firstLine="480" w:firstLineChars="200"/>
        <w:rPr>
          <w:sz w:val="24"/>
        </w:rPr>
      </w:pPr>
      <w:r>
        <w:rPr>
          <w:rFonts w:hint="eastAsia"/>
          <w:sz w:val="24"/>
        </w:rPr>
        <w:t>项目各种建筑材料运输过程均会引起扬尘，而这些尘埃会随风飘落到靠路较近到水体，将会对水体产生一定的影响。此外，一些施工材料，如砂石、水泥等物质在其堆放处若保管不善，被雨水冲刷而进入水体，将污染水环境。因此，必须严格按照交通部有关规范规定，在施工中应根据不同建筑材料的特点，有针对性的加强保护管理措施，禁止废物进入水体，使其对水环境水质的影响程度降低到最小。此外，施工单位要做好建筑材料和建筑废料的管理，防止它们成为地面水的二次污染源。建议在施工工地周围设置排水明沟，径流水经沉淀池沉淀后排放。</w:t>
      </w:r>
    </w:p>
    <w:p>
      <w:pPr>
        <w:pStyle w:val="7"/>
        <w:adjustRightInd w:val="0"/>
        <w:snapToGrid w:val="0"/>
        <w:spacing w:before="0" w:after="0" w:line="360" w:lineRule="auto"/>
        <w:jc w:val="left"/>
        <w:rPr>
          <w:sz w:val="24"/>
          <w:szCs w:val="24"/>
        </w:rPr>
      </w:pPr>
      <w:bookmarkStart w:id="304" w:name="_Toc2664"/>
      <w:bookmarkStart w:id="305" w:name="_Toc30269"/>
      <w:bookmarkStart w:id="306" w:name="_Toc517522308"/>
      <w:bookmarkStart w:id="307" w:name="_Toc3357"/>
      <w:bookmarkStart w:id="308" w:name="_Toc3653"/>
      <w:bookmarkStart w:id="309" w:name="_Toc6153"/>
      <w:bookmarkStart w:id="310" w:name="_Toc21843"/>
      <w:r>
        <w:rPr>
          <w:sz w:val="24"/>
          <w:szCs w:val="24"/>
        </w:rPr>
        <w:t>6.1.3 施工期声环境影响分析</w:t>
      </w:r>
      <w:bookmarkEnd w:id="304"/>
      <w:bookmarkEnd w:id="305"/>
      <w:bookmarkEnd w:id="306"/>
      <w:bookmarkEnd w:id="307"/>
      <w:bookmarkEnd w:id="308"/>
      <w:bookmarkEnd w:id="309"/>
      <w:bookmarkEnd w:id="310"/>
    </w:p>
    <w:p>
      <w:pPr>
        <w:spacing w:line="360" w:lineRule="auto"/>
        <w:ind w:firstLine="482" w:firstLineChars="200"/>
        <w:rPr>
          <w:b/>
          <w:sz w:val="24"/>
        </w:rPr>
      </w:pPr>
      <w:r>
        <w:rPr>
          <w:rFonts w:hint="eastAsia"/>
          <w:b/>
          <w:sz w:val="24"/>
        </w:rPr>
        <w:t>1、施工机械噪声影响分析</w:t>
      </w:r>
    </w:p>
    <w:p>
      <w:pPr>
        <w:spacing w:line="360" w:lineRule="auto"/>
        <w:ind w:firstLine="480" w:firstLineChars="200"/>
        <w:rPr>
          <w:sz w:val="24"/>
        </w:rPr>
      </w:pPr>
      <w:r>
        <w:rPr>
          <w:rFonts w:hint="eastAsia"/>
          <w:sz w:val="24"/>
        </w:rPr>
        <w:t>项目在建设过程中各施工阶段的主要噪声源声级大小均不一样，其噪声值也不一样，本项目鉴于施工噪声的复杂性和施工噪声影响的区域性和阶段性，本评价根据国家《建筑施工场界环境噪声排放标准》（GB12523-2011），针对不同施工阶段计算出不同施工设备的噪声影响范围，以便施工单位在施工时结合实际情况采取适当的噪声污染防治措施。</w:t>
      </w:r>
    </w:p>
    <w:p>
      <w:pPr>
        <w:spacing w:line="360" w:lineRule="auto"/>
        <w:ind w:firstLine="480" w:firstLineChars="200"/>
        <w:rPr>
          <w:sz w:val="24"/>
        </w:rPr>
      </w:pPr>
      <w:r>
        <w:rPr>
          <w:rFonts w:hint="eastAsia"/>
          <w:sz w:val="24"/>
        </w:rPr>
        <w:t>施工设备噪声源均按点声源计，其噪声预测模式为</w:t>
      </w:r>
      <w:r>
        <w:rPr>
          <w:sz w:val="24"/>
        </w:rPr>
        <w:t>：</w:t>
      </w:r>
    </w:p>
    <w:p>
      <w:pPr>
        <w:spacing w:line="360" w:lineRule="auto"/>
        <w:ind w:firstLine="480" w:firstLineChars="200"/>
        <w:jc w:val="center"/>
        <w:rPr>
          <w:sz w:val="24"/>
        </w:rPr>
      </w:pPr>
      <m:oMathPara>
        <m:oMath>
          <m:sSub>
            <m:sSubPr>
              <m:ctrlPr>
                <w:rPr>
                  <w:rFonts w:ascii="Cambria Math" w:hAnsi="Cambria Math"/>
                  <w:sz w:val="24"/>
                </w:rPr>
              </m:ctrlPr>
            </m:sSubPr>
            <m:e>
              <m:r>
                <m:rPr>
                  <m:sty m:val="p"/>
                </m:rPr>
                <w:rPr>
                  <w:rFonts w:ascii="Cambria Math" w:hAnsi="Cambria Math"/>
                  <w:sz w:val="24"/>
                </w:rPr>
                <m:t>L</m:t>
              </m:r>
              <m:ctrlPr>
                <w:rPr>
                  <w:rFonts w:ascii="Cambria Math" w:hAnsi="Cambria Math"/>
                  <w:sz w:val="24"/>
                </w:rPr>
              </m:ctrlPr>
            </m:e>
            <m:sub>
              <m:r>
                <m:rPr>
                  <m:sty m:val="p"/>
                </m:rPr>
                <w:rPr>
                  <w:rFonts w:ascii="Cambria Math" w:hAnsi="Cambria Math"/>
                  <w:sz w:val="24"/>
                </w:rPr>
                <m:t>i</m:t>
              </m:r>
              <m:ctrlPr>
                <w:rPr>
                  <w:rFonts w:ascii="Cambria Math" w:hAnsi="Cambria Math"/>
                  <w:sz w:val="24"/>
                </w:rPr>
              </m:ctrlPr>
            </m:sub>
          </m:sSub>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L</m:t>
              </m:r>
              <m:ctrlPr>
                <w:rPr>
                  <w:rFonts w:ascii="Cambria Math" w:hAnsi="Cambria Math"/>
                  <w:sz w:val="24"/>
                </w:rPr>
              </m:ctrlPr>
            </m:e>
            <m:sub>
              <m:r>
                <m:rPr>
                  <m:sty m:val="p"/>
                </m:rPr>
                <w:rPr>
                  <w:rFonts w:ascii="Cambria Math" w:hAnsi="Cambria Math"/>
                  <w:sz w:val="24"/>
                </w:rPr>
                <m:t>0</m:t>
              </m:r>
              <m:ctrlPr>
                <w:rPr>
                  <w:rFonts w:ascii="Cambria Math" w:hAnsi="Cambria Math"/>
                  <w:sz w:val="24"/>
                </w:rPr>
              </m:ctrlPr>
            </m:sub>
          </m:sSub>
          <m:r>
            <m:rPr>
              <m:sty m:val="p"/>
            </m:rPr>
            <w:rPr>
              <w:rFonts w:ascii="Cambria Math" w:hAnsi="Cambria Math"/>
              <w:sz w:val="24"/>
            </w:rPr>
            <m:t>-20lg</m:t>
          </m:r>
          <m:f>
            <m:fPr>
              <m:ctrlPr>
                <w:rPr>
                  <w:rFonts w:ascii="Cambria Math" w:hAnsi="Cambria Math"/>
                  <w:sz w:val="24"/>
                </w:rPr>
              </m:ctrlPr>
            </m:fPr>
            <m:num>
              <m:sSub>
                <m:sSubPr>
                  <m:ctrlPr>
                    <w:rPr>
                      <w:rFonts w:ascii="Cambria Math" w:hAnsi="Cambria Math"/>
                      <w:sz w:val="24"/>
                    </w:rPr>
                  </m:ctrlPr>
                </m:sSubPr>
                <m:e>
                  <m:r>
                    <m:rPr>
                      <m:sty m:val="p"/>
                    </m:rPr>
                    <w:rPr>
                      <w:rFonts w:ascii="Cambria Math" w:hAnsi="Cambria Math"/>
                      <w:sz w:val="24"/>
                    </w:rPr>
                    <m:t>R</m:t>
                  </m:r>
                  <m:ctrlPr>
                    <w:rPr>
                      <w:rFonts w:ascii="Cambria Math" w:hAnsi="Cambria Math"/>
                      <w:sz w:val="24"/>
                    </w:rPr>
                  </m:ctrlPr>
                </m:e>
                <m:sub>
                  <m:r>
                    <m:rPr>
                      <m:sty m:val="p"/>
                    </m:rPr>
                    <w:rPr>
                      <w:rFonts w:ascii="Cambria Math" w:hAnsi="Cambria Math"/>
                      <w:sz w:val="24"/>
                    </w:rPr>
                    <m:t>i</m:t>
                  </m:r>
                  <m:ctrlPr>
                    <w:rPr>
                      <w:rFonts w:ascii="Cambria Math" w:hAnsi="Cambria Math"/>
                      <w:sz w:val="24"/>
                    </w:rPr>
                  </m:ctrlPr>
                </m:sub>
              </m:sSub>
              <m:ctrlPr>
                <w:rPr>
                  <w:rFonts w:ascii="Cambria Math" w:hAnsi="Cambria Math"/>
                  <w:sz w:val="24"/>
                </w:rPr>
              </m:ctrlPr>
            </m:num>
            <m:den>
              <m:sSub>
                <m:sSubPr>
                  <m:ctrlPr>
                    <w:rPr>
                      <w:rFonts w:ascii="Cambria Math" w:hAnsi="Cambria Math"/>
                      <w:sz w:val="24"/>
                    </w:rPr>
                  </m:ctrlPr>
                </m:sSubPr>
                <m:e>
                  <m:r>
                    <m:rPr>
                      <m:sty m:val="p"/>
                    </m:rPr>
                    <w:rPr>
                      <w:rFonts w:ascii="Cambria Math" w:hAnsi="Cambria Math"/>
                      <w:sz w:val="24"/>
                    </w:rPr>
                    <m:t>R</m:t>
                  </m:r>
                  <m:ctrlPr>
                    <w:rPr>
                      <w:rFonts w:ascii="Cambria Math" w:hAnsi="Cambria Math"/>
                      <w:sz w:val="24"/>
                    </w:rPr>
                  </m:ctrlPr>
                </m:e>
                <m:sub>
                  <m:r>
                    <m:rPr>
                      <m:sty m:val="p"/>
                    </m:rPr>
                    <w:rPr>
                      <w:rFonts w:ascii="Cambria Math" w:hAnsi="Cambria Math"/>
                      <w:sz w:val="24"/>
                    </w:rPr>
                    <m:t>0</m:t>
                  </m:r>
                  <m:ctrlPr>
                    <w:rPr>
                      <w:rFonts w:ascii="Cambria Math" w:hAnsi="Cambria Math"/>
                      <w:sz w:val="24"/>
                    </w:rPr>
                  </m:ctrlPr>
                </m:sub>
              </m:sSub>
              <m:ctrlPr>
                <w:rPr>
                  <w:rFonts w:ascii="Cambria Math" w:hAnsi="Cambria Math"/>
                  <w:sz w:val="24"/>
                </w:rPr>
              </m:ctrlPr>
            </m:den>
          </m:f>
          <m:r>
            <m:rPr>
              <m:sty m:val="p"/>
            </m:rPr>
            <w:rPr>
              <w:rFonts w:ascii="Cambria Math" w:hAnsi="Cambria Math"/>
              <w:sz w:val="24"/>
            </w:rPr>
            <m:t>-</m:t>
          </m:r>
          <m:r>
            <m:rPr>
              <m:sty m:val="p"/>
            </m:rPr>
            <w:rPr>
              <w:rFonts w:hint="eastAsia" w:ascii="Cambria Math" w:hAnsi="Cambria Math"/>
              <w:sz w:val="24"/>
            </w:rPr>
            <m:t>△L</m:t>
          </m:r>
        </m:oMath>
      </m:oMathPara>
    </w:p>
    <w:p>
      <w:pPr>
        <w:spacing w:line="360" w:lineRule="auto"/>
        <w:ind w:firstLine="480" w:firstLineChars="200"/>
        <w:rPr>
          <w:sz w:val="24"/>
        </w:rPr>
      </w:pPr>
      <w:r>
        <w:rPr>
          <w:sz w:val="24"/>
        </w:rPr>
        <w:t>式中：L</w:t>
      </w:r>
      <w:r>
        <w:rPr>
          <w:rFonts w:hint="eastAsia"/>
          <w:sz w:val="24"/>
          <w:vertAlign w:val="subscript"/>
        </w:rPr>
        <w:t>i</w:t>
      </w:r>
      <w:r>
        <w:rPr>
          <w:rFonts w:hint="eastAsia"/>
          <w:sz w:val="24"/>
        </w:rPr>
        <w:t>和</w:t>
      </w:r>
      <w:r>
        <w:rPr>
          <w:sz w:val="24"/>
        </w:rPr>
        <w:t>L</w:t>
      </w:r>
      <w:r>
        <w:rPr>
          <w:rFonts w:hint="eastAsia"/>
          <w:sz w:val="24"/>
          <w:vertAlign w:val="subscript"/>
        </w:rPr>
        <w:t>0</w:t>
      </w:r>
      <w:r>
        <w:rPr>
          <w:sz w:val="24"/>
        </w:rPr>
        <w:t>—分别为距离设备</w:t>
      </w:r>
      <w:r>
        <w:rPr>
          <w:rFonts w:hint="eastAsia"/>
          <w:sz w:val="24"/>
        </w:rPr>
        <w:t>R</w:t>
      </w:r>
      <w:r>
        <w:rPr>
          <w:rFonts w:hint="eastAsia"/>
          <w:sz w:val="24"/>
          <w:vertAlign w:val="subscript"/>
        </w:rPr>
        <w:t>i</w:t>
      </w:r>
      <w:r>
        <w:rPr>
          <w:rFonts w:hint="eastAsia"/>
          <w:sz w:val="24"/>
        </w:rPr>
        <w:t>和R</w:t>
      </w:r>
      <w:r>
        <w:rPr>
          <w:rFonts w:hint="eastAsia"/>
          <w:sz w:val="24"/>
          <w:vertAlign w:val="subscript"/>
        </w:rPr>
        <w:t>0</w:t>
      </w:r>
      <w:r>
        <w:rPr>
          <w:rFonts w:hint="eastAsia"/>
          <w:sz w:val="24"/>
        </w:rPr>
        <w:t>处的设备噪声</w:t>
      </w:r>
      <w:r>
        <w:rPr>
          <w:sz w:val="24"/>
        </w:rPr>
        <w:t>级；</w:t>
      </w:r>
      <w:r>
        <w:rPr>
          <w:rFonts w:hint="eastAsia"/>
          <w:sz w:val="24"/>
        </w:rPr>
        <w:t>△L为障碍物、植被、空气等产生的附加衰减量。</w:t>
      </w:r>
    </w:p>
    <w:p>
      <w:pPr>
        <w:spacing w:line="360" w:lineRule="auto"/>
        <w:ind w:firstLine="480" w:firstLineChars="200"/>
        <w:rPr>
          <w:sz w:val="24"/>
        </w:rPr>
      </w:pPr>
      <w:r>
        <w:rPr>
          <w:rFonts w:hint="eastAsia"/>
          <w:sz w:val="24"/>
        </w:rPr>
        <w:t>对于多台施工机械对某个预测点的影响，应进行声级叠加：</w:t>
      </w:r>
    </w:p>
    <w:p>
      <w:pPr>
        <w:spacing w:line="360" w:lineRule="auto"/>
        <w:ind w:firstLine="480" w:firstLineChars="200"/>
        <w:jc w:val="center"/>
        <w:rPr>
          <w:sz w:val="24"/>
        </w:rPr>
      </w:pPr>
      <m:oMathPara>
        <m:oMath>
          <m:r>
            <m:rPr>
              <m:sty m:val="p"/>
            </m:rPr>
            <w:rPr>
              <w:rFonts w:ascii="Cambria Math"/>
              <w:sz w:val="24"/>
            </w:rPr>
            <m:t>L=10lg</m:t>
          </m:r>
          <m:nary>
            <m:naryPr>
              <m:chr m:val="∑"/>
              <m:limLoc m:val="undOvr"/>
              <m:subHide m:val="1"/>
              <m:supHide m:val="1"/>
              <m:ctrlPr>
                <w:rPr>
                  <w:rFonts w:ascii="Cambria Math" w:hAnsi="Cambria Math"/>
                  <w:sz w:val="24"/>
                </w:rPr>
              </m:ctrlPr>
            </m:naryPr>
            <m:sub>
              <m:ctrlPr>
                <w:rPr>
                  <w:rFonts w:ascii="Cambria Math" w:hAnsi="Cambria Math"/>
                  <w:sz w:val="24"/>
                </w:rPr>
              </m:ctrlPr>
            </m:sub>
            <m:sup>
              <m:ctrlPr>
                <w:rPr>
                  <w:rFonts w:ascii="Cambria Math" w:hAnsi="Cambria Math"/>
                  <w:sz w:val="24"/>
                </w:rPr>
              </m:ctrlPr>
            </m:sup>
            <m:e>
              <m:sSup>
                <m:sSupPr>
                  <m:ctrlPr>
                    <w:rPr>
                      <w:rFonts w:ascii="Cambria Math" w:hAnsi="Cambria Math"/>
                      <w:sz w:val="24"/>
                    </w:rPr>
                  </m:ctrlPr>
                </m:sSupPr>
                <m:e>
                  <m:r>
                    <m:rPr>
                      <m:sty m:val="p"/>
                    </m:rPr>
                    <w:rPr>
                      <w:rFonts w:ascii="Cambria Math"/>
                      <w:sz w:val="24"/>
                    </w:rPr>
                    <m:t>10</m:t>
                  </m:r>
                  <m:ctrlPr>
                    <w:rPr>
                      <w:rFonts w:ascii="Cambria Math" w:hAnsi="Cambria Math"/>
                      <w:sz w:val="24"/>
                    </w:rPr>
                  </m:ctrlPr>
                </m:e>
                <m:sup>
                  <m:r>
                    <m:rPr>
                      <m:sty m:val="p"/>
                    </m:rPr>
                    <w:rPr>
                      <w:rFonts w:ascii="Cambria Math"/>
                      <w:sz w:val="24"/>
                    </w:rPr>
                    <m:t>0.1</m:t>
                  </m:r>
                  <m:sSub>
                    <m:sSubPr>
                      <m:ctrlPr>
                        <w:rPr>
                          <w:rFonts w:ascii="Cambria Math" w:hAnsi="Cambria Math"/>
                          <w:sz w:val="24"/>
                        </w:rPr>
                      </m:ctrlPr>
                    </m:sSubPr>
                    <m:e>
                      <m:r>
                        <m:rPr>
                          <m:sty m:val="p"/>
                        </m:rPr>
                        <w:rPr>
                          <w:rFonts w:ascii="Cambria Math"/>
                          <w:sz w:val="24"/>
                        </w:rPr>
                        <m:t>L</m:t>
                      </m:r>
                      <m:ctrlPr>
                        <w:rPr>
                          <w:rFonts w:ascii="Cambria Math" w:hAnsi="Cambria Math"/>
                          <w:sz w:val="24"/>
                        </w:rPr>
                      </m:ctrlPr>
                    </m:e>
                    <m:sub>
                      <m:r>
                        <m:rPr>
                          <m:sty m:val="p"/>
                        </m:rPr>
                        <w:rPr>
                          <w:rFonts w:ascii="Cambria Math"/>
                          <w:sz w:val="24"/>
                        </w:rPr>
                        <m:t>i</m:t>
                      </m:r>
                      <m:ctrlPr>
                        <w:rPr>
                          <w:rFonts w:ascii="Cambria Math" w:hAnsi="Cambria Math"/>
                          <w:sz w:val="24"/>
                        </w:rPr>
                      </m:ctrlPr>
                    </m:sub>
                  </m:sSub>
                  <m:ctrlPr>
                    <w:rPr>
                      <w:rFonts w:ascii="Cambria Math" w:hAnsi="Cambria Math"/>
                      <w:sz w:val="24"/>
                    </w:rPr>
                  </m:ctrlPr>
                </m:sup>
              </m:sSup>
              <m:ctrlPr>
                <w:rPr>
                  <w:rFonts w:ascii="Cambria Math" w:hAnsi="Cambria Math"/>
                  <w:sz w:val="24"/>
                </w:rPr>
              </m:ctrlPr>
            </m:e>
          </m:nary>
        </m:oMath>
      </m:oMathPara>
    </w:p>
    <w:p>
      <w:pPr>
        <w:spacing w:line="360" w:lineRule="auto"/>
        <w:ind w:firstLine="480" w:firstLineChars="200"/>
        <w:rPr>
          <w:sz w:val="24"/>
        </w:rPr>
      </w:pPr>
      <w:r>
        <w:rPr>
          <w:rFonts w:hint="eastAsia"/>
          <w:sz w:val="24"/>
        </w:rPr>
        <w:t>根据前述的预测方法和预测模式，对施工过程中各种设备噪声进行计算，得到其不同距离下的噪声级见表6.1-3，各种设备的影响范围见表6.1-4</w:t>
      </w:r>
      <w:r>
        <w:rPr>
          <w:sz w:val="24"/>
        </w:rPr>
        <w:t>。</w:t>
      </w:r>
    </w:p>
    <w:p>
      <w:pPr>
        <w:pStyle w:val="5"/>
        <w:adjustRightInd w:val="0"/>
        <w:snapToGrid w:val="0"/>
        <w:spacing w:beforeLines="50" w:after="0"/>
        <w:ind w:firstLine="0" w:firstLineChars="0"/>
        <w:jc w:val="center"/>
        <w:rPr>
          <w:rFonts w:ascii="Times New Roman" w:hAnsi="Times New Roman" w:cs="Times New Roman"/>
          <w:b/>
        </w:rPr>
      </w:pPr>
      <w:r>
        <w:rPr>
          <w:rFonts w:ascii="Times New Roman" w:hAnsi="Times New Roman" w:cs="Times New Roman"/>
          <w:b/>
        </w:rPr>
        <w:t>表6.1-</w:t>
      </w:r>
      <w:r>
        <w:rPr>
          <w:rFonts w:hint="eastAsia" w:ascii="Times New Roman" w:hAnsi="Times New Roman" w:cs="Times New Roman"/>
          <w:b/>
        </w:rPr>
        <w:t>3  主要施工机械不同距离处的噪声级  单位：</w:t>
      </w:r>
      <w:r>
        <w:rPr>
          <w:rFonts w:ascii="Times New Roman" w:hAnsi="Times New Roman" w:cs="Times New Roman"/>
          <w:b/>
          <w:bCs/>
        </w:rPr>
        <w:t>dB（A）</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07"/>
        <w:gridCol w:w="1197"/>
        <w:gridCol w:w="752"/>
        <w:gridCol w:w="752"/>
        <w:gridCol w:w="752"/>
        <w:gridCol w:w="853"/>
        <w:gridCol w:w="853"/>
        <w:gridCol w:w="853"/>
        <w:gridCol w:w="853"/>
        <w:gridCol w:w="8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3" w:type="pct"/>
            <w:vMerge w:val="restart"/>
            <w:vAlign w:val="center"/>
          </w:tcPr>
          <w:p>
            <w:pPr>
              <w:jc w:val="center"/>
              <w:rPr>
                <w:b/>
                <w:bCs/>
                <w:szCs w:val="21"/>
              </w:rPr>
            </w:pPr>
            <w:r>
              <w:rPr>
                <w:b/>
                <w:bCs/>
                <w:szCs w:val="21"/>
              </w:rPr>
              <w:t>施工阶段</w:t>
            </w:r>
          </w:p>
        </w:tc>
        <w:tc>
          <w:tcPr>
            <w:tcW w:w="702" w:type="pct"/>
            <w:vMerge w:val="restart"/>
            <w:vAlign w:val="center"/>
          </w:tcPr>
          <w:p>
            <w:pPr>
              <w:jc w:val="center"/>
              <w:rPr>
                <w:b/>
                <w:bCs/>
                <w:szCs w:val="21"/>
              </w:rPr>
            </w:pPr>
            <w:r>
              <w:rPr>
                <w:b/>
                <w:bCs/>
                <w:szCs w:val="21"/>
              </w:rPr>
              <w:t>设备名称</w:t>
            </w:r>
          </w:p>
        </w:tc>
        <w:tc>
          <w:tcPr>
            <w:tcW w:w="3825" w:type="pct"/>
            <w:gridSpan w:val="8"/>
            <w:vAlign w:val="center"/>
          </w:tcPr>
          <w:p>
            <w:pPr>
              <w:jc w:val="center"/>
              <w:rPr>
                <w:b/>
                <w:bCs/>
                <w:szCs w:val="21"/>
              </w:rPr>
            </w:pPr>
            <w:r>
              <w:rPr>
                <w:b/>
                <w:bCs/>
                <w:szCs w:val="21"/>
              </w:rPr>
              <w:t>不同距离处噪声贡献值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3" w:type="pct"/>
            <w:vMerge w:val="continue"/>
            <w:vAlign w:val="center"/>
          </w:tcPr>
          <w:p>
            <w:pPr>
              <w:widowControl/>
              <w:jc w:val="center"/>
              <w:rPr>
                <w:b/>
                <w:bCs/>
                <w:szCs w:val="21"/>
              </w:rPr>
            </w:pPr>
          </w:p>
        </w:tc>
        <w:tc>
          <w:tcPr>
            <w:tcW w:w="702" w:type="pct"/>
            <w:vMerge w:val="continue"/>
            <w:vAlign w:val="center"/>
          </w:tcPr>
          <w:p>
            <w:pPr>
              <w:widowControl/>
              <w:jc w:val="center"/>
              <w:rPr>
                <w:b/>
                <w:bCs/>
                <w:szCs w:val="21"/>
              </w:rPr>
            </w:pPr>
          </w:p>
        </w:tc>
        <w:tc>
          <w:tcPr>
            <w:tcW w:w="441" w:type="pct"/>
            <w:vAlign w:val="center"/>
          </w:tcPr>
          <w:p>
            <w:pPr>
              <w:jc w:val="center"/>
              <w:rPr>
                <w:b/>
                <w:szCs w:val="21"/>
              </w:rPr>
            </w:pPr>
            <w:r>
              <w:rPr>
                <w:rFonts w:hint="eastAsia"/>
                <w:b/>
                <w:szCs w:val="21"/>
              </w:rPr>
              <w:t>2</w:t>
            </w:r>
            <w:r>
              <w:rPr>
                <w:b/>
                <w:szCs w:val="21"/>
              </w:rPr>
              <w:t>0m</w:t>
            </w:r>
          </w:p>
        </w:tc>
        <w:tc>
          <w:tcPr>
            <w:tcW w:w="441" w:type="pct"/>
            <w:vAlign w:val="center"/>
          </w:tcPr>
          <w:p>
            <w:pPr>
              <w:jc w:val="center"/>
              <w:rPr>
                <w:b/>
                <w:szCs w:val="21"/>
              </w:rPr>
            </w:pPr>
            <w:r>
              <w:rPr>
                <w:rFonts w:hint="eastAsia"/>
                <w:b/>
                <w:szCs w:val="21"/>
              </w:rPr>
              <w:t>4</w:t>
            </w:r>
            <w:r>
              <w:rPr>
                <w:b/>
                <w:szCs w:val="21"/>
              </w:rPr>
              <w:t>0m</w:t>
            </w:r>
          </w:p>
        </w:tc>
        <w:tc>
          <w:tcPr>
            <w:tcW w:w="441" w:type="pct"/>
            <w:vAlign w:val="center"/>
          </w:tcPr>
          <w:p>
            <w:pPr>
              <w:jc w:val="center"/>
              <w:rPr>
                <w:b/>
                <w:szCs w:val="21"/>
              </w:rPr>
            </w:pPr>
            <w:r>
              <w:rPr>
                <w:b/>
                <w:szCs w:val="21"/>
              </w:rPr>
              <w:t>60m</w:t>
            </w:r>
          </w:p>
        </w:tc>
        <w:tc>
          <w:tcPr>
            <w:tcW w:w="500" w:type="pct"/>
            <w:vAlign w:val="center"/>
          </w:tcPr>
          <w:p>
            <w:pPr>
              <w:jc w:val="center"/>
              <w:rPr>
                <w:b/>
                <w:szCs w:val="21"/>
              </w:rPr>
            </w:pPr>
            <w:r>
              <w:rPr>
                <w:rFonts w:hint="eastAsia"/>
                <w:b/>
                <w:szCs w:val="21"/>
              </w:rPr>
              <w:t>8</w:t>
            </w:r>
            <w:r>
              <w:rPr>
                <w:b/>
                <w:szCs w:val="21"/>
              </w:rPr>
              <w:t>0m</w:t>
            </w:r>
          </w:p>
        </w:tc>
        <w:tc>
          <w:tcPr>
            <w:tcW w:w="500" w:type="pct"/>
            <w:vAlign w:val="center"/>
          </w:tcPr>
          <w:p>
            <w:pPr>
              <w:jc w:val="center"/>
              <w:rPr>
                <w:b/>
                <w:szCs w:val="21"/>
              </w:rPr>
            </w:pPr>
            <w:r>
              <w:rPr>
                <w:rFonts w:hint="eastAsia"/>
                <w:b/>
                <w:szCs w:val="21"/>
              </w:rPr>
              <w:t>100m</w:t>
            </w:r>
          </w:p>
        </w:tc>
        <w:tc>
          <w:tcPr>
            <w:tcW w:w="500" w:type="pct"/>
            <w:vAlign w:val="center"/>
          </w:tcPr>
          <w:p>
            <w:pPr>
              <w:jc w:val="center"/>
              <w:rPr>
                <w:b/>
                <w:szCs w:val="21"/>
              </w:rPr>
            </w:pPr>
            <w:r>
              <w:rPr>
                <w:rFonts w:hint="eastAsia"/>
                <w:b/>
                <w:szCs w:val="21"/>
              </w:rPr>
              <w:t>15</w:t>
            </w:r>
            <w:r>
              <w:rPr>
                <w:b/>
                <w:szCs w:val="21"/>
              </w:rPr>
              <w:t>0m</w:t>
            </w:r>
          </w:p>
        </w:tc>
        <w:tc>
          <w:tcPr>
            <w:tcW w:w="500" w:type="pct"/>
            <w:vAlign w:val="center"/>
          </w:tcPr>
          <w:p>
            <w:pPr>
              <w:jc w:val="center"/>
              <w:rPr>
                <w:b/>
                <w:szCs w:val="21"/>
              </w:rPr>
            </w:pPr>
            <w:r>
              <w:rPr>
                <w:rFonts w:hint="eastAsia"/>
                <w:b/>
                <w:szCs w:val="21"/>
              </w:rPr>
              <w:t>200m</w:t>
            </w:r>
          </w:p>
        </w:tc>
        <w:tc>
          <w:tcPr>
            <w:tcW w:w="502" w:type="pct"/>
            <w:vAlign w:val="center"/>
          </w:tcPr>
          <w:p>
            <w:pPr>
              <w:jc w:val="center"/>
              <w:rPr>
                <w:b/>
                <w:szCs w:val="21"/>
              </w:rPr>
            </w:pPr>
            <w:r>
              <w:rPr>
                <w:rFonts w:hint="eastAsia"/>
                <w:b/>
                <w:szCs w:val="21"/>
              </w:rPr>
              <w:t>300m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3" w:type="pct"/>
            <w:vMerge w:val="restart"/>
            <w:vAlign w:val="center"/>
          </w:tcPr>
          <w:p>
            <w:pPr>
              <w:jc w:val="center"/>
              <w:rPr>
                <w:bCs/>
                <w:szCs w:val="21"/>
              </w:rPr>
            </w:pPr>
            <w:r>
              <w:rPr>
                <w:bCs/>
                <w:szCs w:val="21"/>
              </w:rPr>
              <w:t>土石方阶段</w:t>
            </w:r>
          </w:p>
        </w:tc>
        <w:tc>
          <w:tcPr>
            <w:tcW w:w="702" w:type="pct"/>
            <w:vAlign w:val="center"/>
          </w:tcPr>
          <w:p>
            <w:pPr>
              <w:jc w:val="center"/>
              <w:rPr>
                <w:szCs w:val="21"/>
              </w:rPr>
            </w:pPr>
            <w:r>
              <w:rPr>
                <w:szCs w:val="21"/>
              </w:rPr>
              <w:t>推土机</w:t>
            </w:r>
          </w:p>
        </w:tc>
        <w:tc>
          <w:tcPr>
            <w:tcW w:w="441" w:type="pct"/>
            <w:vAlign w:val="center"/>
          </w:tcPr>
          <w:p>
            <w:pPr>
              <w:jc w:val="center"/>
              <w:rPr>
                <w:szCs w:val="21"/>
              </w:rPr>
            </w:pPr>
            <w:r>
              <w:rPr>
                <w:rFonts w:hint="eastAsia"/>
                <w:szCs w:val="21"/>
              </w:rPr>
              <w:t>78.0</w:t>
            </w:r>
          </w:p>
        </w:tc>
        <w:tc>
          <w:tcPr>
            <w:tcW w:w="441" w:type="pct"/>
            <w:vAlign w:val="center"/>
          </w:tcPr>
          <w:p>
            <w:pPr>
              <w:jc w:val="center"/>
              <w:rPr>
                <w:szCs w:val="21"/>
              </w:rPr>
            </w:pPr>
            <w:r>
              <w:rPr>
                <w:rFonts w:hint="eastAsia"/>
                <w:szCs w:val="21"/>
              </w:rPr>
              <w:t>71.9</w:t>
            </w:r>
          </w:p>
        </w:tc>
        <w:tc>
          <w:tcPr>
            <w:tcW w:w="441" w:type="pct"/>
            <w:vAlign w:val="center"/>
          </w:tcPr>
          <w:p>
            <w:pPr>
              <w:jc w:val="center"/>
              <w:rPr>
                <w:szCs w:val="21"/>
              </w:rPr>
            </w:pPr>
            <w:r>
              <w:rPr>
                <w:rFonts w:hint="eastAsia"/>
                <w:szCs w:val="21"/>
              </w:rPr>
              <w:t>68.4</w:t>
            </w:r>
          </w:p>
        </w:tc>
        <w:tc>
          <w:tcPr>
            <w:tcW w:w="500" w:type="pct"/>
            <w:vAlign w:val="center"/>
          </w:tcPr>
          <w:p>
            <w:pPr>
              <w:jc w:val="center"/>
              <w:rPr>
                <w:szCs w:val="21"/>
              </w:rPr>
            </w:pPr>
            <w:r>
              <w:rPr>
                <w:rFonts w:hint="eastAsia"/>
                <w:szCs w:val="21"/>
              </w:rPr>
              <w:t>65.9</w:t>
            </w:r>
          </w:p>
        </w:tc>
        <w:tc>
          <w:tcPr>
            <w:tcW w:w="500" w:type="pct"/>
            <w:vAlign w:val="center"/>
          </w:tcPr>
          <w:p>
            <w:pPr>
              <w:jc w:val="center"/>
              <w:rPr>
                <w:szCs w:val="21"/>
              </w:rPr>
            </w:pPr>
            <w:r>
              <w:rPr>
                <w:rFonts w:hint="eastAsia"/>
                <w:szCs w:val="21"/>
              </w:rPr>
              <w:t>64.0</w:t>
            </w:r>
          </w:p>
        </w:tc>
        <w:tc>
          <w:tcPr>
            <w:tcW w:w="500" w:type="pct"/>
            <w:vAlign w:val="center"/>
          </w:tcPr>
          <w:p>
            <w:pPr>
              <w:jc w:val="center"/>
              <w:rPr>
                <w:szCs w:val="21"/>
              </w:rPr>
            </w:pPr>
            <w:r>
              <w:rPr>
                <w:rFonts w:hint="eastAsia"/>
                <w:szCs w:val="21"/>
              </w:rPr>
              <w:t>60.5</w:t>
            </w:r>
          </w:p>
        </w:tc>
        <w:tc>
          <w:tcPr>
            <w:tcW w:w="500" w:type="pct"/>
            <w:vAlign w:val="center"/>
          </w:tcPr>
          <w:p>
            <w:pPr>
              <w:jc w:val="center"/>
              <w:rPr>
                <w:szCs w:val="21"/>
              </w:rPr>
            </w:pPr>
            <w:r>
              <w:rPr>
                <w:rFonts w:hint="eastAsia"/>
                <w:szCs w:val="21"/>
              </w:rPr>
              <w:t>58.0</w:t>
            </w:r>
          </w:p>
        </w:tc>
        <w:tc>
          <w:tcPr>
            <w:tcW w:w="502" w:type="pct"/>
            <w:vAlign w:val="center"/>
          </w:tcPr>
          <w:p>
            <w:pPr>
              <w:jc w:val="center"/>
              <w:rPr>
                <w:szCs w:val="21"/>
              </w:rPr>
            </w:pPr>
            <w:r>
              <w:rPr>
                <w:rFonts w:hint="eastAsia"/>
                <w:szCs w:val="21"/>
              </w:rPr>
              <w:t>54.4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3" w:type="pct"/>
            <w:vMerge w:val="continue"/>
            <w:vAlign w:val="center"/>
          </w:tcPr>
          <w:p>
            <w:pPr>
              <w:widowControl/>
              <w:jc w:val="center"/>
              <w:rPr>
                <w:bCs/>
                <w:szCs w:val="21"/>
              </w:rPr>
            </w:pPr>
          </w:p>
        </w:tc>
        <w:tc>
          <w:tcPr>
            <w:tcW w:w="702" w:type="pct"/>
            <w:vAlign w:val="center"/>
          </w:tcPr>
          <w:p>
            <w:pPr>
              <w:jc w:val="center"/>
              <w:rPr>
                <w:szCs w:val="21"/>
              </w:rPr>
            </w:pPr>
            <w:r>
              <w:rPr>
                <w:rFonts w:hint="eastAsia"/>
                <w:szCs w:val="21"/>
              </w:rPr>
              <w:t>装载机</w:t>
            </w:r>
          </w:p>
        </w:tc>
        <w:tc>
          <w:tcPr>
            <w:tcW w:w="441" w:type="pct"/>
            <w:vAlign w:val="center"/>
          </w:tcPr>
          <w:p>
            <w:pPr>
              <w:jc w:val="center"/>
              <w:rPr>
                <w:szCs w:val="21"/>
              </w:rPr>
            </w:pPr>
            <w:r>
              <w:rPr>
                <w:rFonts w:hint="eastAsia"/>
                <w:szCs w:val="21"/>
              </w:rPr>
              <w:t>74.0</w:t>
            </w:r>
          </w:p>
        </w:tc>
        <w:tc>
          <w:tcPr>
            <w:tcW w:w="441" w:type="pct"/>
            <w:vAlign w:val="center"/>
          </w:tcPr>
          <w:p>
            <w:pPr>
              <w:jc w:val="center"/>
              <w:rPr>
                <w:szCs w:val="21"/>
              </w:rPr>
            </w:pPr>
            <w:r>
              <w:rPr>
                <w:rFonts w:hint="eastAsia"/>
                <w:szCs w:val="21"/>
              </w:rPr>
              <w:t>67.9</w:t>
            </w:r>
          </w:p>
        </w:tc>
        <w:tc>
          <w:tcPr>
            <w:tcW w:w="441" w:type="pct"/>
            <w:vAlign w:val="center"/>
          </w:tcPr>
          <w:p>
            <w:pPr>
              <w:jc w:val="center"/>
              <w:rPr>
                <w:szCs w:val="21"/>
              </w:rPr>
            </w:pPr>
            <w:r>
              <w:rPr>
                <w:rFonts w:hint="eastAsia"/>
                <w:szCs w:val="21"/>
              </w:rPr>
              <w:t>64.4</w:t>
            </w:r>
          </w:p>
        </w:tc>
        <w:tc>
          <w:tcPr>
            <w:tcW w:w="500" w:type="pct"/>
            <w:vAlign w:val="center"/>
          </w:tcPr>
          <w:p>
            <w:pPr>
              <w:jc w:val="center"/>
              <w:rPr>
                <w:szCs w:val="21"/>
              </w:rPr>
            </w:pPr>
            <w:r>
              <w:rPr>
                <w:rFonts w:hint="eastAsia"/>
                <w:szCs w:val="21"/>
              </w:rPr>
              <w:t>61.9</w:t>
            </w:r>
          </w:p>
        </w:tc>
        <w:tc>
          <w:tcPr>
            <w:tcW w:w="500" w:type="pct"/>
            <w:vAlign w:val="center"/>
          </w:tcPr>
          <w:p>
            <w:pPr>
              <w:jc w:val="center"/>
              <w:rPr>
                <w:szCs w:val="21"/>
              </w:rPr>
            </w:pPr>
            <w:r>
              <w:rPr>
                <w:rFonts w:hint="eastAsia"/>
                <w:szCs w:val="21"/>
              </w:rPr>
              <w:t>60.0</w:t>
            </w:r>
          </w:p>
        </w:tc>
        <w:tc>
          <w:tcPr>
            <w:tcW w:w="500" w:type="pct"/>
            <w:vAlign w:val="center"/>
          </w:tcPr>
          <w:p>
            <w:pPr>
              <w:jc w:val="center"/>
              <w:rPr>
                <w:szCs w:val="21"/>
              </w:rPr>
            </w:pPr>
            <w:r>
              <w:rPr>
                <w:rFonts w:hint="eastAsia"/>
                <w:szCs w:val="21"/>
              </w:rPr>
              <w:t>56.5</w:t>
            </w:r>
          </w:p>
        </w:tc>
        <w:tc>
          <w:tcPr>
            <w:tcW w:w="500" w:type="pct"/>
            <w:vAlign w:val="center"/>
          </w:tcPr>
          <w:p>
            <w:pPr>
              <w:jc w:val="center"/>
              <w:rPr>
                <w:szCs w:val="21"/>
              </w:rPr>
            </w:pPr>
            <w:r>
              <w:rPr>
                <w:rFonts w:hint="eastAsia"/>
                <w:szCs w:val="21"/>
              </w:rPr>
              <w:t>54.0</w:t>
            </w:r>
          </w:p>
        </w:tc>
        <w:tc>
          <w:tcPr>
            <w:tcW w:w="502" w:type="pct"/>
            <w:vAlign w:val="center"/>
          </w:tcPr>
          <w:p>
            <w:pPr>
              <w:jc w:val="center"/>
              <w:rPr>
                <w:szCs w:val="21"/>
              </w:rPr>
            </w:pPr>
            <w:r>
              <w:rPr>
                <w:rFonts w:hint="eastAsia"/>
                <w:szCs w:val="21"/>
              </w:rPr>
              <w:t>50.4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3" w:type="pct"/>
            <w:vMerge w:val="continue"/>
            <w:vAlign w:val="center"/>
          </w:tcPr>
          <w:p>
            <w:pPr>
              <w:widowControl/>
              <w:jc w:val="center"/>
              <w:rPr>
                <w:bCs/>
                <w:szCs w:val="21"/>
              </w:rPr>
            </w:pPr>
          </w:p>
        </w:tc>
        <w:tc>
          <w:tcPr>
            <w:tcW w:w="702" w:type="pct"/>
            <w:vAlign w:val="center"/>
          </w:tcPr>
          <w:p>
            <w:pPr>
              <w:jc w:val="center"/>
              <w:rPr>
                <w:szCs w:val="21"/>
              </w:rPr>
            </w:pPr>
            <w:r>
              <w:rPr>
                <w:szCs w:val="21"/>
              </w:rPr>
              <w:t>挖掘机</w:t>
            </w:r>
          </w:p>
        </w:tc>
        <w:tc>
          <w:tcPr>
            <w:tcW w:w="441" w:type="pct"/>
            <w:vAlign w:val="center"/>
          </w:tcPr>
          <w:p>
            <w:pPr>
              <w:jc w:val="center"/>
              <w:rPr>
                <w:szCs w:val="21"/>
              </w:rPr>
            </w:pPr>
            <w:r>
              <w:rPr>
                <w:rFonts w:hint="eastAsia"/>
                <w:szCs w:val="21"/>
              </w:rPr>
              <w:t>73.0</w:t>
            </w:r>
          </w:p>
        </w:tc>
        <w:tc>
          <w:tcPr>
            <w:tcW w:w="441" w:type="pct"/>
            <w:vAlign w:val="center"/>
          </w:tcPr>
          <w:p>
            <w:pPr>
              <w:jc w:val="center"/>
              <w:rPr>
                <w:szCs w:val="21"/>
              </w:rPr>
            </w:pPr>
            <w:r>
              <w:rPr>
                <w:rFonts w:hint="eastAsia"/>
                <w:szCs w:val="21"/>
              </w:rPr>
              <w:t>66.9</w:t>
            </w:r>
          </w:p>
        </w:tc>
        <w:tc>
          <w:tcPr>
            <w:tcW w:w="441" w:type="pct"/>
            <w:vAlign w:val="center"/>
          </w:tcPr>
          <w:p>
            <w:pPr>
              <w:jc w:val="center"/>
              <w:rPr>
                <w:szCs w:val="21"/>
              </w:rPr>
            </w:pPr>
            <w:r>
              <w:rPr>
                <w:rFonts w:hint="eastAsia"/>
                <w:szCs w:val="21"/>
              </w:rPr>
              <w:t>63.4</w:t>
            </w:r>
          </w:p>
        </w:tc>
        <w:tc>
          <w:tcPr>
            <w:tcW w:w="500" w:type="pct"/>
            <w:vAlign w:val="center"/>
          </w:tcPr>
          <w:p>
            <w:pPr>
              <w:jc w:val="center"/>
              <w:rPr>
                <w:szCs w:val="21"/>
              </w:rPr>
            </w:pPr>
            <w:r>
              <w:rPr>
                <w:rFonts w:hint="eastAsia"/>
                <w:szCs w:val="21"/>
              </w:rPr>
              <w:t>60.9</w:t>
            </w:r>
          </w:p>
        </w:tc>
        <w:tc>
          <w:tcPr>
            <w:tcW w:w="500" w:type="pct"/>
            <w:vAlign w:val="center"/>
          </w:tcPr>
          <w:p>
            <w:pPr>
              <w:jc w:val="center"/>
              <w:rPr>
                <w:szCs w:val="21"/>
              </w:rPr>
            </w:pPr>
            <w:r>
              <w:rPr>
                <w:rFonts w:hint="eastAsia"/>
                <w:szCs w:val="21"/>
              </w:rPr>
              <w:t>59.0</w:t>
            </w:r>
          </w:p>
        </w:tc>
        <w:tc>
          <w:tcPr>
            <w:tcW w:w="500" w:type="pct"/>
            <w:vAlign w:val="center"/>
          </w:tcPr>
          <w:p>
            <w:pPr>
              <w:jc w:val="center"/>
              <w:rPr>
                <w:szCs w:val="21"/>
              </w:rPr>
            </w:pPr>
            <w:r>
              <w:rPr>
                <w:rFonts w:hint="eastAsia"/>
                <w:szCs w:val="21"/>
              </w:rPr>
              <w:t>55.5</w:t>
            </w:r>
          </w:p>
        </w:tc>
        <w:tc>
          <w:tcPr>
            <w:tcW w:w="500" w:type="pct"/>
            <w:vAlign w:val="center"/>
          </w:tcPr>
          <w:p>
            <w:pPr>
              <w:jc w:val="center"/>
              <w:rPr>
                <w:szCs w:val="21"/>
              </w:rPr>
            </w:pPr>
            <w:r>
              <w:rPr>
                <w:rFonts w:hint="eastAsia"/>
                <w:szCs w:val="21"/>
              </w:rPr>
              <w:t>53.0</w:t>
            </w:r>
          </w:p>
        </w:tc>
        <w:tc>
          <w:tcPr>
            <w:tcW w:w="502" w:type="pct"/>
            <w:vAlign w:val="center"/>
          </w:tcPr>
          <w:p>
            <w:pPr>
              <w:jc w:val="center"/>
              <w:rPr>
                <w:szCs w:val="21"/>
              </w:rPr>
            </w:pPr>
            <w:r>
              <w:rPr>
                <w:rFonts w:hint="eastAsia"/>
                <w:szCs w:val="21"/>
              </w:rPr>
              <w:t>49.4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3" w:type="pct"/>
            <w:vMerge w:val="restart"/>
            <w:vAlign w:val="center"/>
          </w:tcPr>
          <w:p>
            <w:pPr>
              <w:jc w:val="center"/>
              <w:rPr>
                <w:bCs/>
                <w:szCs w:val="21"/>
              </w:rPr>
            </w:pPr>
            <w:r>
              <w:rPr>
                <w:bCs/>
                <w:szCs w:val="21"/>
              </w:rPr>
              <w:t>基础施工阶段</w:t>
            </w:r>
          </w:p>
        </w:tc>
        <w:tc>
          <w:tcPr>
            <w:tcW w:w="702" w:type="pct"/>
            <w:vAlign w:val="center"/>
          </w:tcPr>
          <w:p>
            <w:pPr>
              <w:jc w:val="center"/>
              <w:rPr>
                <w:szCs w:val="21"/>
              </w:rPr>
            </w:pPr>
            <w:r>
              <w:rPr>
                <w:rFonts w:hint="eastAsia"/>
                <w:szCs w:val="21"/>
              </w:rPr>
              <w:t>静压式打桩机</w:t>
            </w:r>
          </w:p>
        </w:tc>
        <w:tc>
          <w:tcPr>
            <w:tcW w:w="441" w:type="pct"/>
            <w:vAlign w:val="center"/>
          </w:tcPr>
          <w:p>
            <w:pPr>
              <w:jc w:val="center"/>
              <w:rPr>
                <w:szCs w:val="21"/>
              </w:rPr>
            </w:pPr>
            <w:r>
              <w:rPr>
                <w:rFonts w:hint="eastAsia"/>
                <w:szCs w:val="21"/>
              </w:rPr>
              <w:t>77.5</w:t>
            </w:r>
          </w:p>
        </w:tc>
        <w:tc>
          <w:tcPr>
            <w:tcW w:w="441" w:type="pct"/>
            <w:vAlign w:val="center"/>
          </w:tcPr>
          <w:p>
            <w:pPr>
              <w:jc w:val="center"/>
              <w:rPr>
                <w:szCs w:val="21"/>
              </w:rPr>
            </w:pPr>
            <w:r>
              <w:rPr>
                <w:rFonts w:hint="eastAsia"/>
                <w:szCs w:val="21"/>
              </w:rPr>
              <w:t>71.5</w:t>
            </w:r>
          </w:p>
        </w:tc>
        <w:tc>
          <w:tcPr>
            <w:tcW w:w="441" w:type="pct"/>
            <w:vAlign w:val="center"/>
          </w:tcPr>
          <w:p>
            <w:pPr>
              <w:jc w:val="center"/>
              <w:rPr>
                <w:szCs w:val="21"/>
              </w:rPr>
            </w:pPr>
            <w:r>
              <w:rPr>
                <w:rFonts w:hint="eastAsia"/>
                <w:szCs w:val="21"/>
              </w:rPr>
              <w:t>68.0</w:t>
            </w:r>
          </w:p>
        </w:tc>
        <w:tc>
          <w:tcPr>
            <w:tcW w:w="500" w:type="pct"/>
            <w:vAlign w:val="center"/>
          </w:tcPr>
          <w:p>
            <w:pPr>
              <w:jc w:val="center"/>
              <w:rPr>
                <w:szCs w:val="21"/>
              </w:rPr>
            </w:pPr>
            <w:r>
              <w:rPr>
                <w:rFonts w:hint="eastAsia"/>
                <w:szCs w:val="21"/>
              </w:rPr>
              <w:t>65.5</w:t>
            </w:r>
          </w:p>
        </w:tc>
        <w:tc>
          <w:tcPr>
            <w:tcW w:w="500" w:type="pct"/>
            <w:vAlign w:val="center"/>
          </w:tcPr>
          <w:p>
            <w:pPr>
              <w:jc w:val="center"/>
              <w:rPr>
                <w:szCs w:val="21"/>
              </w:rPr>
            </w:pPr>
            <w:r>
              <w:rPr>
                <w:rFonts w:hint="eastAsia"/>
                <w:szCs w:val="21"/>
              </w:rPr>
              <w:t>63.5</w:t>
            </w:r>
          </w:p>
        </w:tc>
        <w:tc>
          <w:tcPr>
            <w:tcW w:w="500" w:type="pct"/>
            <w:vAlign w:val="center"/>
          </w:tcPr>
          <w:p>
            <w:pPr>
              <w:jc w:val="center"/>
              <w:rPr>
                <w:szCs w:val="21"/>
              </w:rPr>
            </w:pPr>
            <w:r>
              <w:rPr>
                <w:rFonts w:hint="eastAsia"/>
                <w:szCs w:val="21"/>
              </w:rPr>
              <w:t>60.0</w:t>
            </w:r>
          </w:p>
        </w:tc>
        <w:tc>
          <w:tcPr>
            <w:tcW w:w="500" w:type="pct"/>
            <w:vAlign w:val="center"/>
          </w:tcPr>
          <w:p>
            <w:pPr>
              <w:jc w:val="center"/>
              <w:rPr>
                <w:szCs w:val="21"/>
              </w:rPr>
            </w:pPr>
            <w:r>
              <w:rPr>
                <w:rFonts w:hint="eastAsia"/>
                <w:szCs w:val="21"/>
              </w:rPr>
              <w:t>57.5</w:t>
            </w:r>
          </w:p>
        </w:tc>
        <w:tc>
          <w:tcPr>
            <w:tcW w:w="502" w:type="pct"/>
            <w:vAlign w:val="center"/>
          </w:tcPr>
          <w:p>
            <w:pPr>
              <w:jc w:val="center"/>
              <w:rPr>
                <w:szCs w:val="21"/>
              </w:rPr>
            </w:pPr>
            <w:r>
              <w:rPr>
                <w:rFonts w:hint="eastAsia"/>
                <w:szCs w:val="21"/>
              </w:rPr>
              <w:t>54.0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3" w:type="pct"/>
            <w:vMerge w:val="continue"/>
            <w:vAlign w:val="center"/>
          </w:tcPr>
          <w:p>
            <w:pPr>
              <w:jc w:val="center"/>
              <w:rPr>
                <w:bCs/>
                <w:szCs w:val="21"/>
              </w:rPr>
            </w:pPr>
          </w:p>
        </w:tc>
        <w:tc>
          <w:tcPr>
            <w:tcW w:w="702" w:type="pct"/>
            <w:vAlign w:val="center"/>
          </w:tcPr>
          <w:p>
            <w:pPr>
              <w:jc w:val="center"/>
              <w:rPr>
                <w:szCs w:val="21"/>
              </w:rPr>
            </w:pPr>
            <w:r>
              <w:rPr>
                <w:szCs w:val="21"/>
              </w:rPr>
              <w:t>钻孔式灌注桩机</w:t>
            </w:r>
          </w:p>
        </w:tc>
        <w:tc>
          <w:tcPr>
            <w:tcW w:w="441" w:type="pct"/>
            <w:vAlign w:val="center"/>
          </w:tcPr>
          <w:p>
            <w:pPr>
              <w:jc w:val="center"/>
              <w:rPr>
                <w:szCs w:val="21"/>
              </w:rPr>
            </w:pPr>
            <w:r>
              <w:rPr>
                <w:rFonts w:hint="eastAsia"/>
                <w:szCs w:val="21"/>
              </w:rPr>
              <w:t>78.5</w:t>
            </w:r>
          </w:p>
        </w:tc>
        <w:tc>
          <w:tcPr>
            <w:tcW w:w="441" w:type="pct"/>
            <w:vAlign w:val="center"/>
          </w:tcPr>
          <w:p>
            <w:pPr>
              <w:jc w:val="center"/>
              <w:rPr>
                <w:szCs w:val="21"/>
              </w:rPr>
            </w:pPr>
            <w:r>
              <w:rPr>
                <w:rFonts w:hint="eastAsia"/>
                <w:szCs w:val="21"/>
              </w:rPr>
              <w:t>72.5</w:t>
            </w:r>
          </w:p>
        </w:tc>
        <w:tc>
          <w:tcPr>
            <w:tcW w:w="441" w:type="pct"/>
            <w:vAlign w:val="center"/>
          </w:tcPr>
          <w:p>
            <w:pPr>
              <w:jc w:val="center"/>
              <w:rPr>
                <w:szCs w:val="21"/>
              </w:rPr>
            </w:pPr>
            <w:r>
              <w:rPr>
                <w:rFonts w:hint="eastAsia"/>
                <w:szCs w:val="21"/>
              </w:rPr>
              <w:t>69.0</w:t>
            </w:r>
          </w:p>
        </w:tc>
        <w:tc>
          <w:tcPr>
            <w:tcW w:w="500" w:type="pct"/>
            <w:vAlign w:val="center"/>
          </w:tcPr>
          <w:p>
            <w:pPr>
              <w:jc w:val="center"/>
              <w:rPr>
                <w:szCs w:val="21"/>
              </w:rPr>
            </w:pPr>
            <w:r>
              <w:rPr>
                <w:rFonts w:hint="eastAsia"/>
                <w:szCs w:val="21"/>
              </w:rPr>
              <w:t>66.5</w:t>
            </w:r>
          </w:p>
        </w:tc>
        <w:tc>
          <w:tcPr>
            <w:tcW w:w="500" w:type="pct"/>
            <w:vAlign w:val="center"/>
          </w:tcPr>
          <w:p>
            <w:pPr>
              <w:jc w:val="center"/>
              <w:rPr>
                <w:szCs w:val="21"/>
              </w:rPr>
            </w:pPr>
            <w:r>
              <w:rPr>
                <w:rFonts w:hint="eastAsia"/>
                <w:szCs w:val="21"/>
              </w:rPr>
              <w:t>64.5</w:t>
            </w:r>
          </w:p>
        </w:tc>
        <w:tc>
          <w:tcPr>
            <w:tcW w:w="500" w:type="pct"/>
            <w:vAlign w:val="center"/>
          </w:tcPr>
          <w:p>
            <w:pPr>
              <w:jc w:val="center"/>
              <w:rPr>
                <w:szCs w:val="21"/>
              </w:rPr>
            </w:pPr>
            <w:r>
              <w:rPr>
                <w:rFonts w:hint="eastAsia"/>
                <w:szCs w:val="21"/>
              </w:rPr>
              <w:t>61.0</w:t>
            </w:r>
          </w:p>
        </w:tc>
        <w:tc>
          <w:tcPr>
            <w:tcW w:w="500" w:type="pct"/>
            <w:vAlign w:val="center"/>
          </w:tcPr>
          <w:p>
            <w:pPr>
              <w:jc w:val="center"/>
              <w:rPr>
                <w:szCs w:val="21"/>
              </w:rPr>
            </w:pPr>
            <w:r>
              <w:rPr>
                <w:rFonts w:hint="eastAsia"/>
                <w:szCs w:val="21"/>
              </w:rPr>
              <w:t>58.5</w:t>
            </w:r>
          </w:p>
        </w:tc>
        <w:tc>
          <w:tcPr>
            <w:tcW w:w="502" w:type="pct"/>
            <w:vAlign w:val="center"/>
          </w:tcPr>
          <w:p>
            <w:pPr>
              <w:jc w:val="center"/>
              <w:rPr>
                <w:szCs w:val="21"/>
              </w:rPr>
            </w:pPr>
            <w:r>
              <w:rPr>
                <w:rFonts w:hint="eastAsia"/>
                <w:szCs w:val="21"/>
              </w:rPr>
              <w:t>55.0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3" w:type="pct"/>
            <w:vMerge w:val="continue"/>
            <w:vAlign w:val="center"/>
          </w:tcPr>
          <w:p>
            <w:pPr>
              <w:widowControl/>
              <w:jc w:val="center"/>
              <w:rPr>
                <w:bCs/>
                <w:szCs w:val="21"/>
              </w:rPr>
            </w:pPr>
          </w:p>
        </w:tc>
        <w:tc>
          <w:tcPr>
            <w:tcW w:w="702" w:type="pct"/>
            <w:vAlign w:val="center"/>
          </w:tcPr>
          <w:p>
            <w:pPr>
              <w:jc w:val="center"/>
              <w:rPr>
                <w:szCs w:val="21"/>
              </w:rPr>
            </w:pPr>
            <w:r>
              <w:rPr>
                <w:szCs w:val="21"/>
              </w:rPr>
              <w:t>空压机</w:t>
            </w:r>
          </w:p>
        </w:tc>
        <w:tc>
          <w:tcPr>
            <w:tcW w:w="441" w:type="pct"/>
            <w:vAlign w:val="center"/>
          </w:tcPr>
          <w:p>
            <w:pPr>
              <w:jc w:val="center"/>
              <w:rPr>
                <w:szCs w:val="21"/>
              </w:rPr>
            </w:pPr>
            <w:r>
              <w:rPr>
                <w:rFonts w:hint="eastAsia"/>
                <w:szCs w:val="21"/>
              </w:rPr>
              <w:t>75.5</w:t>
            </w:r>
          </w:p>
        </w:tc>
        <w:tc>
          <w:tcPr>
            <w:tcW w:w="441" w:type="pct"/>
            <w:vAlign w:val="center"/>
          </w:tcPr>
          <w:p>
            <w:pPr>
              <w:jc w:val="center"/>
              <w:rPr>
                <w:szCs w:val="21"/>
              </w:rPr>
            </w:pPr>
            <w:r>
              <w:rPr>
                <w:rFonts w:hint="eastAsia"/>
                <w:szCs w:val="21"/>
              </w:rPr>
              <w:t>69.5</w:t>
            </w:r>
          </w:p>
        </w:tc>
        <w:tc>
          <w:tcPr>
            <w:tcW w:w="441" w:type="pct"/>
            <w:vAlign w:val="center"/>
          </w:tcPr>
          <w:p>
            <w:pPr>
              <w:jc w:val="center"/>
              <w:rPr>
                <w:szCs w:val="21"/>
              </w:rPr>
            </w:pPr>
            <w:r>
              <w:rPr>
                <w:rFonts w:hint="eastAsia"/>
                <w:szCs w:val="21"/>
              </w:rPr>
              <w:t>66.0</w:t>
            </w:r>
          </w:p>
        </w:tc>
        <w:tc>
          <w:tcPr>
            <w:tcW w:w="500" w:type="pct"/>
            <w:vAlign w:val="center"/>
          </w:tcPr>
          <w:p>
            <w:pPr>
              <w:jc w:val="center"/>
              <w:rPr>
                <w:szCs w:val="21"/>
              </w:rPr>
            </w:pPr>
            <w:r>
              <w:rPr>
                <w:rFonts w:hint="eastAsia"/>
                <w:szCs w:val="21"/>
              </w:rPr>
              <w:t>63.5</w:t>
            </w:r>
          </w:p>
        </w:tc>
        <w:tc>
          <w:tcPr>
            <w:tcW w:w="500" w:type="pct"/>
            <w:vAlign w:val="center"/>
          </w:tcPr>
          <w:p>
            <w:pPr>
              <w:jc w:val="center"/>
              <w:rPr>
                <w:szCs w:val="21"/>
              </w:rPr>
            </w:pPr>
            <w:r>
              <w:rPr>
                <w:rFonts w:hint="eastAsia"/>
                <w:szCs w:val="21"/>
              </w:rPr>
              <w:t>61.5</w:t>
            </w:r>
          </w:p>
        </w:tc>
        <w:tc>
          <w:tcPr>
            <w:tcW w:w="500" w:type="pct"/>
            <w:vAlign w:val="center"/>
          </w:tcPr>
          <w:p>
            <w:pPr>
              <w:jc w:val="center"/>
              <w:rPr>
                <w:szCs w:val="21"/>
              </w:rPr>
            </w:pPr>
            <w:r>
              <w:rPr>
                <w:rFonts w:hint="eastAsia"/>
                <w:szCs w:val="21"/>
              </w:rPr>
              <w:t>58.0</w:t>
            </w:r>
          </w:p>
        </w:tc>
        <w:tc>
          <w:tcPr>
            <w:tcW w:w="500" w:type="pct"/>
            <w:vAlign w:val="center"/>
          </w:tcPr>
          <w:p>
            <w:pPr>
              <w:jc w:val="center"/>
              <w:rPr>
                <w:szCs w:val="21"/>
              </w:rPr>
            </w:pPr>
            <w:r>
              <w:rPr>
                <w:rFonts w:hint="eastAsia"/>
                <w:szCs w:val="21"/>
              </w:rPr>
              <w:t>55.5</w:t>
            </w:r>
          </w:p>
        </w:tc>
        <w:tc>
          <w:tcPr>
            <w:tcW w:w="502" w:type="pct"/>
            <w:vAlign w:val="center"/>
          </w:tcPr>
          <w:p>
            <w:pPr>
              <w:jc w:val="center"/>
              <w:rPr>
                <w:szCs w:val="21"/>
              </w:rPr>
            </w:pPr>
            <w:r>
              <w:rPr>
                <w:rFonts w:hint="eastAsia"/>
                <w:szCs w:val="21"/>
              </w:rPr>
              <w:t>52.0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3" w:type="pct"/>
            <w:vMerge w:val="restart"/>
            <w:vAlign w:val="center"/>
          </w:tcPr>
          <w:p>
            <w:pPr>
              <w:jc w:val="center"/>
              <w:rPr>
                <w:bCs/>
                <w:szCs w:val="21"/>
              </w:rPr>
            </w:pPr>
            <w:r>
              <w:rPr>
                <w:bCs/>
                <w:szCs w:val="21"/>
              </w:rPr>
              <w:t>结构施工阶段</w:t>
            </w:r>
          </w:p>
        </w:tc>
        <w:tc>
          <w:tcPr>
            <w:tcW w:w="702" w:type="pct"/>
            <w:vAlign w:val="center"/>
          </w:tcPr>
          <w:p>
            <w:pPr>
              <w:jc w:val="center"/>
              <w:rPr>
                <w:szCs w:val="21"/>
              </w:rPr>
            </w:pPr>
            <w:r>
              <w:rPr>
                <w:szCs w:val="21"/>
              </w:rPr>
              <w:t>吊车</w:t>
            </w:r>
          </w:p>
        </w:tc>
        <w:tc>
          <w:tcPr>
            <w:tcW w:w="441" w:type="pct"/>
            <w:vAlign w:val="center"/>
          </w:tcPr>
          <w:p>
            <w:pPr>
              <w:jc w:val="center"/>
              <w:rPr>
                <w:szCs w:val="21"/>
              </w:rPr>
            </w:pPr>
            <w:r>
              <w:rPr>
                <w:rFonts w:hint="eastAsia"/>
                <w:szCs w:val="21"/>
              </w:rPr>
              <w:t>70.5</w:t>
            </w:r>
          </w:p>
        </w:tc>
        <w:tc>
          <w:tcPr>
            <w:tcW w:w="441" w:type="pct"/>
            <w:vAlign w:val="center"/>
          </w:tcPr>
          <w:p>
            <w:pPr>
              <w:jc w:val="center"/>
              <w:rPr>
                <w:szCs w:val="21"/>
              </w:rPr>
            </w:pPr>
            <w:r>
              <w:rPr>
                <w:rFonts w:hint="eastAsia"/>
                <w:szCs w:val="21"/>
              </w:rPr>
              <w:t>64.5</w:t>
            </w:r>
          </w:p>
        </w:tc>
        <w:tc>
          <w:tcPr>
            <w:tcW w:w="441" w:type="pct"/>
            <w:vAlign w:val="center"/>
          </w:tcPr>
          <w:p>
            <w:pPr>
              <w:jc w:val="center"/>
              <w:rPr>
                <w:szCs w:val="21"/>
              </w:rPr>
            </w:pPr>
            <w:r>
              <w:rPr>
                <w:rFonts w:hint="eastAsia"/>
                <w:szCs w:val="21"/>
              </w:rPr>
              <w:t>61.0</w:t>
            </w:r>
          </w:p>
        </w:tc>
        <w:tc>
          <w:tcPr>
            <w:tcW w:w="500" w:type="pct"/>
            <w:vAlign w:val="center"/>
          </w:tcPr>
          <w:p>
            <w:pPr>
              <w:jc w:val="center"/>
              <w:rPr>
                <w:szCs w:val="21"/>
              </w:rPr>
            </w:pPr>
            <w:r>
              <w:rPr>
                <w:rFonts w:hint="eastAsia"/>
                <w:szCs w:val="21"/>
              </w:rPr>
              <w:t>58.5</w:t>
            </w:r>
          </w:p>
        </w:tc>
        <w:tc>
          <w:tcPr>
            <w:tcW w:w="500" w:type="pct"/>
            <w:vAlign w:val="center"/>
          </w:tcPr>
          <w:p>
            <w:pPr>
              <w:jc w:val="center"/>
              <w:rPr>
                <w:szCs w:val="21"/>
              </w:rPr>
            </w:pPr>
            <w:r>
              <w:rPr>
                <w:rFonts w:hint="eastAsia"/>
                <w:szCs w:val="21"/>
              </w:rPr>
              <w:t>56.5</w:t>
            </w:r>
          </w:p>
        </w:tc>
        <w:tc>
          <w:tcPr>
            <w:tcW w:w="500" w:type="pct"/>
            <w:vAlign w:val="center"/>
          </w:tcPr>
          <w:p>
            <w:pPr>
              <w:jc w:val="center"/>
              <w:rPr>
                <w:szCs w:val="21"/>
              </w:rPr>
            </w:pPr>
            <w:r>
              <w:rPr>
                <w:rFonts w:hint="eastAsia"/>
                <w:szCs w:val="21"/>
              </w:rPr>
              <w:t>53.0</w:t>
            </w:r>
          </w:p>
        </w:tc>
        <w:tc>
          <w:tcPr>
            <w:tcW w:w="500" w:type="pct"/>
            <w:vAlign w:val="center"/>
          </w:tcPr>
          <w:p>
            <w:pPr>
              <w:jc w:val="center"/>
              <w:rPr>
                <w:szCs w:val="21"/>
              </w:rPr>
            </w:pPr>
            <w:r>
              <w:rPr>
                <w:rFonts w:hint="eastAsia"/>
                <w:szCs w:val="21"/>
              </w:rPr>
              <w:t>50.5</w:t>
            </w:r>
          </w:p>
        </w:tc>
        <w:tc>
          <w:tcPr>
            <w:tcW w:w="502" w:type="pct"/>
            <w:vAlign w:val="center"/>
          </w:tcPr>
          <w:p>
            <w:pPr>
              <w:jc w:val="center"/>
              <w:rPr>
                <w:szCs w:val="21"/>
              </w:rPr>
            </w:pPr>
            <w:r>
              <w:rPr>
                <w:rFonts w:hint="eastAsia"/>
                <w:szCs w:val="21"/>
              </w:rPr>
              <w:t>47.0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3" w:type="pct"/>
            <w:vMerge w:val="continue"/>
            <w:vAlign w:val="center"/>
          </w:tcPr>
          <w:p>
            <w:pPr>
              <w:widowControl/>
              <w:jc w:val="center"/>
              <w:rPr>
                <w:bCs/>
                <w:szCs w:val="21"/>
              </w:rPr>
            </w:pPr>
          </w:p>
        </w:tc>
        <w:tc>
          <w:tcPr>
            <w:tcW w:w="702" w:type="pct"/>
            <w:vAlign w:val="center"/>
          </w:tcPr>
          <w:p>
            <w:pPr>
              <w:jc w:val="center"/>
              <w:rPr>
                <w:szCs w:val="21"/>
              </w:rPr>
            </w:pPr>
            <w:r>
              <w:rPr>
                <w:szCs w:val="21"/>
              </w:rPr>
              <w:t>振捣棒</w:t>
            </w:r>
          </w:p>
        </w:tc>
        <w:tc>
          <w:tcPr>
            <w:tcW w:w="441" w:type="pct"/>
            <w:vAlign w:val="center"/>
          </w:tcPr>
          <w:p>
            <w:pPr>
              <w:jc w:val="center"/>
              <w:rPr>
                <w:szCs w:val="21"/>
              </w:rPr>
            </w:pPr>
            <w:r>
              <w:rPr>
                <w:rFonts w:hint="eastAsia"/>
                <w:szCs w:val="21"/>
              </w:rPr>
              <w:t>67.0</w:t>
            </w:r>
          </w:p>
        </w:tc>
        <w:tc>
          <w:tcPr>
            <w:tcW w:w="441" w:type="pct"/>
            <w:vAlign w:val="center"/>
          </w:tcPr>
          <w:p>
            <w:pPr>
              <w:jc w:val="center"/>
              <w:rPr>
                <w:szCs w:val="21"/>
              </w:rPr>
            </w:pPr>
            <w:r>
              <w:rPr>
                <w:rFonts w:hint="eastAsia"/>
                <w:szCs w:val="21"/>
              </w:rPr>
              <w:t>61.0</w:t>
            </w:r>
          </w:p>
        </w:tc>
        <w:tc>
          <w:tcPr>
            <w:tcW w:w="441" w:type="pct"/>
            <w:vAlign w:val="center"/>
          </w:tcPr>
          <w:p>
            <w:pPr>
              <w:jc w:val="center"/>
              <w:rPr>
                <w:szCs w:val="21"/>
              </w:rPr>
            </w:pPr>
            <w:r>
              <w:rPr>
                <w:rFonts w:hint="eastAsia"/>
                <w:szCs w:val="21"/>
              </w:rPr>
              <w:t>57.4</w:t>
            </w:r>
          </w:p>
        </w:tc>
        <w:tc>
          <w:tcPr>
            <w:tcW w:w="500" w:type="pct"/>
            <w:vAlign w:val="center"/>
          </w:tcPr>
          <w:p>
            <w:pPr>
              <w:jc w:val="center"/>
              <w:rPr>
                <w:szCs w:val="21"/>
              </w:rPr>
            </w:pPr>
            <w:r>
              <w:rPr>
                <w:rFonts w:hint="eastAsia"/>
                <w:szCs w:val="21"/>
              </w:rPr>
              <w:t>54.9</w:t>
            </w:r>
          </w:p>
        </w:tc>
        <w:tc>
          <w:tcPr>
            <w:tcW w:w="500" w:type="pct"/>
            <w:vAlign w:val="center"/>
          </w:tcPr>
          <w:p>
            <w:pPr>
              <w:jc w:val="center"/>
              <w:rPr>
                <w:szCs w:val="21"/>
              </w:rPr>
            </w:pPr>
            <w:r>
              <w:rPr>
                <w:rFonts w:hint="eastAsia"/>
                <w:szCs w:val="21"/>
              </w:rPr>
              <w:t>53.0</w:t>
            </w:r>
          </w:p>
        </w:tc>
        <w:tc>
          <w:tcPr>
            <w:tcW w:w="500" w:type="pct"/>
            <w:vAlign w:val="center"/>
          </w:tcPr>
          <w:p>
            <w:pPr>
              <w:jc w:val="center"/>
              <w:rPr>
                <w:szCs w:val="21"/>
              </w:rPr>
            </w:pPr>
            <w:r>
              <w:rPr>
                <w:rFonts w:hint="eastAsia"/>
                <w:szCs w:val="21"/>
              </w:rPr>
              <w:t>49.5</w:t>
            </w:r>
          </w:p>
        </w:tc>
        <w:tc>
          <w:tcPr>
            <w:tcW w:w="500" w:type="pct"/>
            <w:vAlign w:val="center"/>
          </w:tcPr>
          <w:p>
            <w:pPr>
              <w:jc w:val="center"/>
              <w:rPr>
                <w:szCs w:val="21"/>
              </w:rPr>
            </w:pPr>
            <w:r>
              <w:rPr>
                <w:rFonts w:hint="eastAsia"/>
                <w:szCs w:val="21"/>
              </w:rPr>
              <w:t>47.0</w:t>
            </w:r>
          </w:p>
        </w:tc>
        <w:tc>
          <w:tcPr>
            <w:tcW w:w="502" w:type="pct"/>
            <w:vAlign w:val="center"/>
          </w:tcPr>
          <w:p>
            <w:pPr>
              <w:jc w:val="center"/>
              <w:rPr>
                <w:szCs w:val="21"/>
              </w:rPr>
            </w:pPr>
            <w:r>
              <w:rPr>
                <w:rFonts w:hint="eastAsia"/>
                <w:szCs w:val="21"/>
              </w:rPr>
              <w:t>43.5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3" w:type="pct"/>
            <w:vMerge w:val="restart"/>
            <w:vAlign w:val="center"/>
          </w:tcPr>
          <w:p>
            <w:pPr>
              <w:jc w:val="center"/>
              <w:rPr>
                <w:bCs/>
                <w:szCs w:val="21"/>
              </w:rPr>
            </w:pPr>
            <w:r>
              <w:rPr>
                <w:bCs/>
                <w:szCs w:val="21"/>
              </w:rPr>
              <w:t>装修阶段</w:t>
            </w:r>
          </w:p>
        </w:tc>
        <w:tc>
          <w:tcPr>
            <w:tcW w:w="702" w:type="pct"/>
            <w:vAlign w:val="center"/>
          </w:tcPr>
          <w:p>
            <w:pPr>
              <w:jc w:val="center"/>
              <w:rPr>
                <w:szCs w:val="21"/>
              </w:rPr>
            </w:pPr>
            <w:r>
              <w:rPr>
                <w:szCs w:val="21"/>
              </w:rPr>
              <w:t>电锯</w:t>
            </w:r>
          </w:p>
        </w:tc>
        <w:tc>
          <w:tcPr>
            <w:tcW w:w="441" w:type="pct"/>
            <w:vAlign w:val="center"/>
          </w:tcPr>
          <w:p>
            <w:pPr>
              <w:jc w:val="center"/>
              <w:rPr>
                <w:szCs w:val="21"/>
              </w:rPr>
            </w:pPr>
            <w:r>
              <w:rPr>
                <w:rFonts w:hint="eastAsia"/>
                <w:szCs w:val="21"/>
              </w:rPr>
              <w:t>77.0</w:t>
            </w:r>
          </w:p>
        </w:tc>
        <w:tc>
          <w:tcPr>
            <w:tcW w:w="441" w:type="pct"/>
            <w:vAlign w:val="center"/>
          </w:tcPr>
          <w:p>
            <w:pPr>
              <w:jc w:val="center"/>
              <w:rPr>
                <w:szCs w:val="21"/>
              </w:rPr>
            </w:pPr>
            <w:r>
              <w:rPr>
                <w:rFonts w:hint="eastAsia"/>
                <w:szCs w:val="21"/>
              </w:rPr>
              <w:t>71.0</w:t>
            </w:r>
          </w:p>
        </w:tc>
        <w:tc>
          <w:tcPr>
            <w:tcW w:w="441" w:type="pct"/>
            <w:vAlign w:val="center"/>
          </w:tcPr>
          <w:p>
            <w:pPr>
              <w:jc w:val="center"/>
              <w:rPr>
                <w:szCs w:val="21"/>
              </w:rPr>
            </w:pPr>
            <w:r>
              <w:rPr>
                <w:rFonts w:hint="eastAsia"/>
                <w:szCs w:val="21"/>
              </w:rPr>
              <w:t>67.4</w:t>
            </w:r>
          </w:p>
        </w:tc>
        <w:tc>
          <w:tcPr>
            <w:tcW w:w="500" w:type="pct"/>
            <w:vAlign w:val="center"/>
          </w:tcPr>
          <w:p>
            <w:pPr>
              <w:jc w:val="center"/>
              <w:rPr>
                <w:szCs w:val="21"/>
              </w:rPr>
            </w:pPr>
            <w:r>
              <w:rPr>
                <w:rFonts w:hint="eastAsia"/>
                <w:szCs w:val="21"/>
              </w:rPr>
              <w:t>64.9</w:t>
            </w:r>
          </w:p>
        </w:tc>
        <w:tc>
          <w:tcPr>
            <w:tcW w:w="500" w:type="pct"/>
            <w:vAlign w:val="center"/>
          </w:tcPr>
          <w:p>
            <w:pPr>
              <w:jc w:val="center"/>
              <w:rPr>
                <w:szCs w:val="21"/>
              </w:rPr>
            </w:pPr>
            <w:r>
              <w:rPr>
                <w:rFonts w:hint="eastAsia"/>
                <w:szCs w:val="21"/>
              </w:rPr>
              <w:t>63.0</w:t>
            </w:r>
          </w:p>
        </w:tc>
        <w:tc>
          <w:tcPr>
            <w:tcW w:w="500" w:type="pct"/>
            <w:vAlign w:val="center"/>
          </w:tcPr>
          <w:p>
            <w:pPr>
              <w:jc w:val="center"/>
              <w:rPr>
                <w:szCs w:val="21"/>
              </w:rPr>
            </w:pPr>
            <w:r>
              <w:rPr>
                <w:rFonts w:hint="eastAsia"/>
                <w:szCs w:val="21"/>
              </w:rPr>
              <w:t>59.5</w:t>
            </w:r>
          </w:p>
        </w:tc>
        <w:tc>
          <w:tcPr>
            <w:tcW w:w="500" w:type="pct"/>
            <w:vAlign w:val="center"/>
          </w:tcPr>
          <w:p>
            <w:pPr>
              <w:jc w:val="center"/>
              <w:rPr>
                <w:szCs w:val="21"/>
              </w:rPr>
            </w:pPr>
            <w:r>
              <w:rPr>
                <w:rFonts w:hint="eastAsia"/>
                <w:szCs w:val="21"/>
              </w:rPr>
              <w:t>57.0</w:t>
            </w:r>
          </w:p>
        </w:tc>
        <w:tc>
          <w:tcPr>
            <w:tcW w:w="502" w:type="pct"/>
            <w:vAlign w:val="center"/>
          </w:tcPr>
          <w:p>
            <w:pPr>
              <w:jc w:val="center"/>
              <w:rPr>
                <w:szCs w:val="21"/>
              </w:rPr>
            </w:pPr>
            <w:r>
              <w:rPr>
                <w:rFonts w:hint="eastAsia"/>
                <w:szCs w:val="21"/>
              </w:rPr>
              <w:t>53.5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3" w:type="pct"/>
            <w:vMerge w:val="continue"/>
            <w:vAlign w:val="center"/>
          </w:tcPr>
          <w:p>
            <w:pPr>
              <w:widowControl/>
              <w:jc w:val="center"/>
              <w:rPr>
                <w:bCs/>
                <w:szCs w:val="21"/>
              </w:rPr>
            </w:pPr>
          </w:p>
        </w:tc>
        <w:tc>
          <w:tcPr>
            <w:tcW w:w="702" w:type="pct"/>
            <w:vAlign w:val="center"/>
          </w:tcPr>
          <w:p>
            <w:pPr>
              <w:jc w:val="center"/>
              <w:rPr>
                <w:bCs/>
                <w:szCs w:val="21"/>
              </w:rPr>
            </w:pPr>
            <w:r>
              <w:rPr>
                <w:bCs/>
                <w:szCs w:val="21"/>
              </w:rPr>
              <w:t>无齿锯</w:t>
            </w:r>
          </w:p>
        </w:tc>
        <w:tc>
          <w:tcPr>
            <w:tcW w:w="441" w:type="pct"/>
            <w:vAlign w:val="center"/>
          </w:tcPr>
          <w:p>
            <w:pPr>
              <w:jc w:val="center"/>
              <w:rPr>
                <w:bCs/>
                <w:szCs w:val="21"/>
              </w:rPr>
            </w:pPr>
            <w:r>
              <w:rPr>
                <w:rFonts w:hint="eastAsia"/>
                <w:bCs/>
                <w:szCs w:val="21"/>
              </w:rPr>
              <w:t>70.5</w:t>
            </w:r>
          </w:p>
        </w:tc>
        <w:tc>
          <w:tcPr>
            <w:tcW w:w="441" w:type="pct"/>
            <w:vAlign w:val="center"/>
          </w:tcPr>
          <w:p>
            <w:pPr>
              <w:jc w:val="center"/>
              <w:rPr>
                <w:bCs/>
                <w:szCs w:val="21"/>
              </w:rPr>
            </w:pPr>
            <w:r>
              <w:rPr>
                <w:rFonts w:hint="eastAsia"/>
                <w:bCs/>
                <w:szCs w:val="21"/>
              </w:rPr>
              <w:t>64.5</w:t>
            </w:r>
          </w:p>
        </w:tc>
        <w:tc>
          <w:tcPr>
            <w:tcW w:w="441" w:type="pct"/>
            <w:vAlign w:val="center"/>
          </w:tcPr>
          <w:p>
            <w:pPr>
              <w:jc w:val="center"/>
              <w:rPr>
                <w:bCs/>
                <w:szCs w:val="21"/>
              </w:rPr>
            </w:pPr>
            <w:r>
              <w:rPr>
                <w:rFonts w:hint="eastAsia"/>
                <w:bCs/>
                <w:szCs w:val="21"/>
              </w:rPr>
              <w:t>61.0</w:t>
            </w:r>
          </w:p>
        </w:tc>
        <w:tc>
          <w:tcPr>
            <w:tcW w:w="500" w:type="pct"/>
            <w:vAlign w:val="center"/>
          </w:tcPr>
          <w:p>
            <w:pPr>
              <w:jc w:val="center"/>
              <w:rPr>
                <w:bCs/>
                <w:szCs w:val="21"/>
              </w:rPr>
            </w:pPr>
            <w:r>
              <w:rPr>
                <w:rFonts w:hint="eastAsia"/>
                <w:bCs/>
                <w:szCs w:val="21"/>
              </w:rPr>
              <w:t>58.5</w:t>
            </w:r>
          </w:p>
        </w:tc>
        <w:tc>
          <w:tcPr>
            <w:tcW w:w="500" w:type="pct"/>
            <w:vAlign w:val="center"/>
          </w:tcPr>
          <w:p>
            <w:pPr>
              <w:jc w:val="center"/>
              <w:rPr>
                <w:bCs/>
                <w:szCs w:val="21"/>
              </w:rPr>
            </w:pPr>
            <w:r>
              <w:rPr>
                <w:rFonts w:hint="eastAsia"/>
                <w:bCs/>
                <w:szCs w:val="21"/>
              </w:rPr>
              <w:t>56.5</w:t>
            </w:r>
          </w:p>
        </w:tc>
        <w:tc>
          <w:tcPr>
            <w:tcW w:w="500" w:type="pct"/>
            <w:vAlign w:val="center"/>
          </w:tcPr>
          <w:p>
            <w:pPr>
              <w:jc w:val="center"/>
              <w:rPr>
                <w:bCs/>
                <w:szCs w:val="21"/>
              </w:rPr>
            </w:pPr>
            <w:r>
              <w:rPr>
                <w:rFonts w:hint="eastAsia"/>
                <w:bCs/>
                <w:szCs w:val="21"/>
              </w:rPr>
              <w:t>53.0</w:t>
            </w:r>
          </w:p>
        </w:tc>
        <w:tc>
          <w:tcPr>
            <w:tcW w:w="500" w:type="pct"/>
            <w:vAlign w:val="center"/>
          </w:tcPr>
          <w:p>
            <w:pPr>
              <w:jc w:val="center"/>
              <w:rPr>
                <w:bCs/>
                <w:szCs w:val="21"/>
              </w:rPr>
            </w:pPr>
            <w:r>
              <w:rPr>
                <w:rFonts w:hint="eastAsia"/>
                <w:bCs/>
                <w:szCs w:val="21"/>
              </w:rPr>
              <w:t>50.5</w:t>
            </w:r>
          </w:p>
        </w:tc>
        <w:tc>
          <w:tcPr>
            <w:tcW w:w="502" w:type="pct"/>
            <w:vAlign w:val="center"/>
          </w:tcPr>
          <w:p>
            <w:pPr>
              <w:jc w:val="center"/>
              <w:rPr>
                <w:bCs/>
                <w:szCs w:val="21"/>
              </w:rPr>
            </w:pPr>
            <w:r>
              <w:rPr>
                <w:rFonts w:hint="eastAsia"/>
                <w:bCs/>
                <w:szCs w:val="21"/>
              </w:rPr>
              <w:t>47.0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3" w:type="pct"/>
            <w:vMerge w:val="continue"/>
            <w:vAlign w:val="center"/>
          </w:tcPr>
          <w:p>
            <w:pPr>
              <w:widowControl/>
              <w:jc w:val="center"/>
              <w:rPr>
                <w:bCs/>
                <w:szCs w:val="21"/>
              </w:rPr>
            </w:pPr>
          </w:p>
        </w:tc>
        <w:tc>
          <w:tcPr>
            <w:tcW w:w="702" w:type="pct"/>
            <w:vAlign w:val="center"/>
          </w:tcPr>
          <w:p>
            <w:pPr>
              <w:jc w:val="center"/>
              <w:rPr>
                <w:bCs/>
                <w:szCs w:val="21"/>
              </w:rPr>
            </w:pPr>
            <w:r>
              <w:rPr>
                <w:bCs/>
                <w:szCs w:val="21"/>
              </w:rPr>
              <w:t>手工钻</w:t>
            </w:r>
          </w:p>
        </w:tc>
        <w:tc>
          <w:tcPr>
            <w:tcW w:w="441" w:type="pct"/>
            <w:vAlign w:val="center"/>
          </w:tcPr>
          <w:p>
            <w:pPr>
              <w:jc w:val="center"/>
              <w:rPr>
                <w:bCs/>
                <w:szCs w:val="21"/>
              </w:rPr>
            </w:pPr>
            <w:r>
              <w:rPr>
                <w:rFonts w:hint="eastAsia"/>
                <w:bCs/>
                <w:szCs w:val="21"/>
              </w:rPr>
              <w:t>77.0</w:t>
            </w:r>
          </w:p>
        </w:tc>
        <w:tc>
          <w:tcPr>
            <w:tcW w:w="441" w:type="pct"/>
            <w:vAlign w:val="center"/>
          </w:tcPr>
          <w:p>
            <w:pPr>
              <w:jc w:val="center"/>
              <w:rPr>
                <w:bCs/>
                <w:szCs w:val="21"/>
              </w:rPr>
            </w:pPr>
            <w:r>
              <w:rPr>
                <w:rFonts w:hint="eastAsia"/>
                <w:bCs/>
                <w:szCs w:val="21"/>
              </w:rPr>
              <w:t>71.0</w:t>
            </w:r>
          </w:p>
        </w:tc>
        <w:tc>
          <w:tcPr>
            <w:tcW w:w="441" w:type="pct"/>
            <w:vAlign w:val="center"/>
          </w:tcPr>
          <w:p>
            <w:pPr>
              <w:jc w:val="center"/>
              <w:rPr>
                <w:bCs/>
                <w:szCs w:val="21"/>
              </w:rPr>
            </w:pPr>
            <w:r>
              <w:rPr>
                <w:rFonts w:hint="eastAsia"/>
                <w:bCs/>
                <w:szCs w:val="21"/>
              </w:rPr>
              <w:t>67.4</w:t>
            </w:r>
          </w:p>
        </w:tc>
        <w:tc>
          <w:tcPr>
            <w:tcW w:w="500" w:type="pct"/>
            <w:vAlign w:val="center"/>
          </w:tcPr>
          <w:p>
            <w:pPr>
              <w:jc w:val="center"/>
              <w:rPr>
                <w:bCs/>
                <w:szCs w:val="21"/>
              </w:rPr>
            </w:pPr>
            <w:r>
              <w:rPr>
                <w:rFonts w:hint="eastAsia"/>
                <w:bCs/>
                <w:szCs w:val="21"/>
              </w:rPr>
              <w:t>64.9</w:t>
            </w:r>
          </w:p>
        </w:tc>
        <w:tc>
          <w:tcPr>
            <w:tcW w:w="500" w:type="pct"/>
            <w:vAlign w:val="center"/>
          </w:tcPr>
          <w:p>
            <w:pPr>
              <w:jc w:val="center"/>
              <w:rPr>
                <w:bCs/>
                <w:szCs w:val="21"/>
              </w:rPr>
            </w:pPr>
            <w:r>
              <w:rPr>
                <w:rFonts w:hint="eastAsia"/>
                <w:bCs/>
                <w:szCs w:val="21"/>
              </w:rPr>
              <w:t>63.0</w:t>
            </w:r>
          </w:p>
        </w:tc>
        <w:tc>
          <w:tcPr>
            <w:tcW w:w="500" w:type="pct"/>
            <w:vAlign w:val="center"/>
          </w:tcPr>
          <w:p>
            <w:pPr>
              <w:jc w:val="center"/>
              <w:rPr>
                <w:bCs/>
                <w:szCs w:val="21"/>
              </w:rPr>
            </w:pPr>
            <w:r>
              <w:rPr>
                <w:rFonts w:hint="eastAsia"/>
                <w:bCs/>
                <w:szCs w:val="21"/>
              </w:rPr>
              <w:t>59.5</w:t>
            </w:r>
          </w:p>
        </w:tc>
        <w:tc>
          <w:tcPr>
            <w:tcW w:w="500" w:type="pct"/>
            <w:vAlign w:val="center"/>
          </w:tcPr>
          <w:p>
            <w:pPr>
              <w:jc w:val="center"/>
              <w:rPr>
                <w:bCs/>
                <w:szCs w:val="21"/>
              </w:rPr>
            </w:pPr>
            <w:r>
              <w:rPr>
                <w:rFonts w:hint="eastAsia"/>
                <w:bCs/>
                <w:szCs w:val="21"/>
              </w:rPr>
              <w:t>57.0</w:t>
            </w:r>
          </w:p>
        </w:tc>
        <w:tc>
          <w:tcPr>
            <w:tcW w:w="502" w:type="pct"/>
            <w:vAlign w:val="center"/>
          </w:tcPr>
          <w:p>
            <w:pPr>
              <w:jc w:val="center"/>
              <w:rPr>
                <w:bCs/>
                <w:szCs w:val="21"/>
              </w:rPr>
            </w:pPr>
            <w:r>
              <w:rPr>
                <w:rFonts w:hint="eastAsia"/>
                <w:bCs/>
                <w:szCs w:val="21"/>
              </w:rPr>
              <w:t>53.5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73" w:type="pct"/>
            <w:vAlign w:val="center"/>
          </w:tcPr>
          <w:p>
            <w:pPr>
              <w:widowControl/>
              <w:jc w:val="center"/>
              <w:rPr>
                <w:bCs/>
                <w:szCs w:val="21"/>
              </w:rPr>
            </w:pPr>
            <w:r>
              <w:rPr>
                <w:bCs/>
                <w:szCs w:val="21"/>
              </w:rPr>
              <w:t>运输车辆</w:t>
            </w:r>
          </w:p>
        </w:tc>
        <w:tc>
          <w:tcPr>
            <w:tcW w:w="702" w:type="pct"/>
            <w:vAlign w:val="center"/>
          </w:tcPr>
          <w:p>
            <w:pPr>
              <w:jc w:val="center"/>
              <w:rPr>
                <w:bCs/>
                <w:szCs w:val="21"/>
              </w:rPr>
            </w:pPr>
            <w:r>
              <w:rPr>
                <w:bCs/>
                <w:szCs w:val="21"/>
              </w:rPr>
              <w:t>运输车辆</w:t>
            </w:r>
          </w:p>
        </w:tc>
        <w:tc>
          <w:tcPr>
            <w:tcW w:w="441" w:type="pct"/>
            <w:vAlign w:val="center"/>
          </w:tcPr>
          <w:p>
            <w:pPr>
              <w:jc w:val="center"/>
              <w:rPr>
                <w:bCs/>
                <w:szCs w:val="21"/>
              </w:rPr>
            </w:pPr>
            <w:r>
              <w:rPr>
                <w:rFonts w:hint="eastAsia"/>
                <w:bCs/>
                <w:szCs w:val="21"/>
              </w:rPr>
              <w:t>68.0</w:t>
            </w:r>
          </w:p>
        </w:tc>
        <w:tc>
          <w:tcPr>
            <w:tcW w:w="441" w:type="pct"/>
            <w:vAlign w:val="center"/>
          </w:tcPr>
          <w:p>
            <w:pPr>
              <w:jc w:val="center"/>
              <w:rPr>
                <w:bCs/>
                <w:szCs w:val="21"/>
              </w:rPr>
            </w:pPr>
            <w:r>
              <w:rPr>
                <w:rFonts w:hint="eastAsia"/>
                <w:bCs/>
                <w:szCs w:val="21"/>
              </w:rPr>
              <w:t>62.0</w:t>
            </w:r>
          </w:p>
        </w:tc>
        <w:tc>
          <w:tcPr>
            <w:tcW w:w="441" w:type="pct"/>
            <w:vAlign w:val="center"/>
          </w:tcPr>
          <w:p>
            <w:pPr>
              <w:jc w:val="center"/>
              <w:rPr>
                <w:bCs/>
                <w:szCs w:val="21"/>
              </w:rPr>
            </w:pPr>
            <w:r>
              <w:rPr>
                <w:rFonts w:hint="eastAsia"/>
                <w:bCs/>
                <w:szCs w:val="21"/>
              </w:rPr>
              <w:t>58.5</w:t>
            </w:r>
          </w:p>
        </w:tc>
        <w:tc>
          <w:tcPr>
            <w:tcW w:w="500" w:type="pct"/>
            <w:vAlign w:val="center"/>
          </w:tcPr>
          <w:p>
            <w:pPr>
              <w:jc w:val="center"/>
              <w:rPr>
                <w:bCs/>
                <w:szCs w:val="21"/>
              </w:rPr>
            </w:pPr>
            <w:r>
              <w:rPr>
                <w:rFonts w:hint="eastAsia"/>
                <w:bCs/>
                <w:szCs w:val="21"/>
              </w:rPr>
              <w:t>56.0</w:t>
            </w:r>
          </w:p>
        </w:tc>
        <w:tc>
          <w:tcPr>
            <w:tcW w:w="500" w:type="pct"/>
            <w:vAlign w:val="center"/>
          </w:tcPr>
          <w:p>
            <w:pPr>
              <w:jc w:val="center"/>
              <w:rPr>
                <w:bCs/>
                <w:szCs w:val="21"/>
              </w:rPr>
            </w:pPr>
            <w:r>
              <w:rPr>
                <w:rFonts w:hint="eastAsia"/>
                <w:bCs/>
                <w:szCs w:val="21"/>
              </w:rPr>
              <w:t>54.0</w:t>
            </w:r>
          </w:p>
        </w:tc>
        <w:tc>
          <w:tcPr>
            <w:tcW w:w="500" w:type="pct"/>
            <w:vAlign w:val="center"/>
          </w:tcPr>
          <w:p>
            <w:pPr>
              <w:jc w:val="center"/>
              <w:rPr>
                <w:bCs/>
                <w:szCs w:val="21"/>
              </w:rPr>
            </w:pPr>
            <w:r>
              <w:rPr>
                <w:rFonts w:hint="eastAsia"/>
                <w:bCs/>
                <w:szCs w:val="21"/>
              </w:rPr>
              <w:t>50.5</w:t>
            </w:r>
          </w:p>
        </w:tc>
        <w:tc>
          <w:tcPr>
            <w:tcW w:w="500" w:type="pct"/>
            <w:vAlign w:val="center"/>
          </w:tcPr>
          <w:p>
            <w:pPr>
              <w:jc w:val="center"/>
              <w:rPr>
                <w:bCs/>
                <w:szCs w:val="21"/>
              </w:rPr>
            </w:pPr>
            <w:r>
              <w:rPr>
                <w:rFonts w:hint="eastAsia"/>
                <w:bCs/>
                <w:szCs w:val="21"/>
              </w:rPr>
              <w:t>48.0</w:t>
            </w:r>
          </w:p>
        </w:tc>
        <w:tc>
          <w:tcPr>
            <w:tcW w:w="502" w:type="pct"/>
            <w:vAlign w:val="center"/>
          </w:tcPr>
          <w:p>
            <w:pPr>
              <w:jc w:val="center"/>
              <w:rPr>
                <w:bCs/>
                <w:szCs w:val="21"/>
              </w:rPr>
            </w:pPr>
            <w:r>
              <w:rPr>
                <w:rFonts w:hint="eastAsia"/>
                <w:bCs/>
                <w:szCs w:val="21"/>
              </w:rPr>
              <w:t>44.5</w:t>
            </w:r>
          </w:p>
        </w:tc>
      </w:tr>
    </w:tbl>
    <w:p>
      <w:pPr>
        <w:pStyle w:val="5"/>
        <w:adjustRightInd w:val="0"/>
        <w:snapToGrid w:val="0"/>
        <w:spacing w:beforeLines="50" w:after="0"/>
        <w:ind w:firstLine="0" w:firstLineChars="0"/>
        <w:jc w:val="center"/>
        <w:rPr>
          <w:rFonts w:ascii="Times New Roman" w:hAnsi="Times New Roman" w:cs="Times New Roman"/>
          <w:b/>
        </w:rPr>
      </w:pPr>
      <w:r>
        <w:rPr>
          <w:rFonts w:ascii="Times New Roman" w:hAnsi="Times New Roman" w:cs="Times New Roman"/>
          <w:b/>
        </w:rPr>
        <w:t>表6.1-</w:t>
      </w:r>
      <w:r>
        <w:rPr>
          <w:rFonts w:hint="eastAsia" w:ascii="Times New Roman" w:hAnsi="Times New Roman" w:cs="Times New Roman"/>
          <w:b/>
        </w:rPr>
        <w:t>4  主要施工机械和车辆的噪声影响范围</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50"/>
        <w:gridCol w:w="1997"/>
        <w:gridCol w:w="1254"/>
        <w:gridCol w:w="1177"/>
        <w:gridCol w:w="1329"/>
        <w:gridCol w:w="14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92" w:type="pct"/>
            <w:vMerge w:val="restart"/>
            <w:vAlign w:val="center"/>
          </w:tcPr>
          <w:p>
            <w:pPr>
              <w:jc w:val="center"/>
              <w:rPr>
                <w:b/>
                <w:bCs/>
                <w:szCs w:val="21"/>
              </w:rPr>
            </w:pPr>
            <w:r>
              <w:rPr>
                <w:b/>
                <w:bCs/>
                <w:szCs w:val="21"/>
              </w:rPr>
              <w:t>施工阶段</w:t>
            </w:r>
          </w:p>
        </w:tc>
        <w:tc>
          <w:tcPr>
            <w:tcW w:w="1171" w:type="pct"/>
            <w:vMerge w:val="restart"/>
            <w:vAlign w:val="center"/>
          </w:tcPr>
          <w:p>
            <w:pPr>
              <w:jc w:val="center"/>
              <w:rPr>
                <w:b/>
                <w:bCs/>
                <w:szCs w:val="21"/>
              </w:rPr>
            </w:pPr>
            <w:r>
              <w:rPr>
                <w:b/>
                <w:bCs/>
                <w:szCs w:val="21"/>
              </w:rPr>
              <w:t>设备名称</w:t>
            </w:r>
          </w:p>
        </w:tc>
        <w:tc>
          <w:tcPr>
            <w:tcW w:w="1425" w:type="pct"/>
            <w:gridSpan w:val="2"/>
            <w:vAlign w:val="center"/>
          </w:tcPr>
          <w:p>
            <w:pPr>
              <w:jc w:val="center"/>
              <w:rPr>
                <w:b/>
                <w:bCs/>
                <w:szCs w:val="21"/>
              </w:rPr>
            </w:pPr>
            <w:r>
              <w:rPr>
                <w:b/>
                <w:bCs/>
                <w:szCs w:val="21"/>
              </w:rPr>
              <w:t>限值标准（dB）</w:t>
            </w:r>
          </w:p>
        </w:tc>
        <w:tc>
          <w:tcPr>
            <w:tcW w:w="1612" w:type="pct"/>
            <w:gridSpan w:val="2"/>
            <w:vAlign w:val="center"/>
          </w:tcPr>
          <w:p>
            <w:pPr>
              <w:jc w:val="center"/>
              <w:rPr>
                <w:b/>
                <w:bCs/>
                <w:szCs w:val="21"/>
              </w:rPr>
            </w:pPr>
            <w:r>
              <w:rPr>
                <w:b/>
                <w:bCs/>
                <w:szCs w:val="21"/>
              </w:rPr>
              <w:t>影响范围</w:t>
            </w:r>
            <w:r>
              <w:rPr>
                <w:rFonts w:hint="eastAsia"/>
                <w:b/>
                <w:bCs/>
                <w:szCs w:val="21"/>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92" w:type="pct"/>
            <w:vMerge w:val="continue"/>
            <w:vAlign w:val="center"/>
          </w:tcPr>
          <w:p>
            <w:pPr>
              <w:widowControl/>
              <w:jc w:val="center"/>
              <w:rPr>
                <w:b/>
                <w:bCs/>
                <w:szCs w:val="21"/>
              </w:rPr>
            </w:pPr>
          </w:p>
        </w:tc>
        <w:tc>
          <w:tcPr>
            <w:tcW w:w="1171" w:type="pct"/>
            <w:vMerge w:val="continue"/>
            <w:vAlign w:val="center"/>
          </w:tcPr>
          <w:p>
            <w:pPr>
              <w:widowControl/>
              <w:jc w:val="center"/>
              <w:rPr>
                <w:b/>
                <w:bCs/>
                <w:szCs w:val="21"/>
              </w:rPr>
            </w:pPr>
          </w:p>
        </w:tc>
        <w:tc>
          <w:tcPr>
            <w:tcW w:w="735" w:type="pct"/>
            <w:vAlign w:val="center"/>
          </w:tcPr>
          <w:p>
            <w:pPr>
              <w:jc w:val="center"/>
              <w:rPr>
                <w:b/>
                <w:szCs w:val="21"/>
              </w:rPr>
            </w:pPr>
            <w:r>
              <w:rPr>
                <w:b/>
                <w:szCs w:val="21"/>
              </w:rPr>
              <w:t>昼间</w:t>
            </w:r>
          </w:p>
        </w:tc>
        <w:tc>
          <w:tcPr>
            <w:tcW w:w="690" w:type="pct"/>
            <w:vAlign w:val="center"/>
          </w:tcPr>
          <w:p>
            <w:pPr>
              <w:jc w:val="center"/>
              <w:rPr>
                <w:b/>
                <w:szCs w:val="21"/>
              </w:rPr>
            </w:pPr>
            <w:r>
              <w:rPr>
                <w:b/>
                <w:szCs w:val="21"/>
              </w:rPr>
              <w:t>夜间</w:t>
            </w:r>
          </w:p>
        </w:tc>
        <w:tc>
          <w:tcPr>
            <w:tcW w:w="779" w:type="pct"/>
            <w:vAlign w:val="center"/>
          </w:tcPr>
          <w:p>
            <w:pPr>
              <w:jc w:val="center"/>
              <w:rPr>
                <w:b/>
                <w:szCs w:val="21"/>
              </w:rPr>
            </w:pPr>
            <w:r>
              <w:rPr>
                <w:b/>
                <w:szCs w:val="21"/>
              </w:rPr>
              <w:t>昼间</w:t>
            </w:r>
          </w:p>
        </w:tc>
        <w:tc>
          <w:tcPr>
            <w:tcW w:w="833" w:type="pct"/>
            <w:vAlign w:val="center"/>
          </w:tcPr>
          <w:p>
            <w:pPr>
              <w:jc w:val="center"/>
              <w:rPr>
                <w:b/>
                <w:szCs w:val="21"/>
              </w:rPr>
            </w:pPr>
            <w:r>
              <w:rPr>
                <w:b/>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92" w:type="pct"/>
            <w:vMerge w:val="restart"/>
            <w:vAlign w:val="center"/>
          </w:tcPr>
          <w:p>
            <w:pPr>
              <w:jc w:val="center"/>
              <w:rPr>
                <w:bCs/>
                <w:szCs w:val="21"/>
              </w:rPr>
            </w:pPr>
            <w:r>
              <w:rPr>
                <w:bCs/>
                <w:szCs w:val="21"/>
              </w:rPr>
              <w:t>土石方阶段</w:t>
            </w:r>
          </w:p>
        </w:tc>
        <w:tc>
          <w:tcPr>
            <w:tcW w:w="1171" w:type="pct"/>
            <w:vAlign w:val="center"/>
          </w:tcPr>
          <w:p>
            <w:pPr>
              <w:jc w:val="center"/>
              <w:rPr>
                <w:szCs w:val="21"/>
              </w:rPr>
            </w:pPr>
            <w:r>
              <w:rPr>
                <w:szCs w:val="21"/>
              </w:rPr>
              <w:t>推土机</w:t>
            </w:r>
          </w:p>
        </w:tc>
        <w:tc>
          <w:tcPr>
            <w:tcW w:w="735" w:type="pct"/>
            <w:vAlign w:val="center"/>
          </w:tcPr>
          <w:p>
            <w:pPr>
              <w:jc w:val="center"/>
              <w:rPr>
                <w:szCs w:val="21"/>
              </w:rPr>
            </w:pPr>
            <w:r>
              <w:rPr>
                <w:rFonts w:hint="eastAsia"/>
                <w:szCs w:val="21"/>
              </w:rPr>
              <w:t>70</w:t>
            </w:r>
          </w:p>
        </w:tc>
        <w:tc>
          <w:tcPr>
            <w:tcW w:w="690" w:type="pct"/>
            <w:vAlign w:val="center"/>
          </w:tcPr>
          <w:p>
            <w:pPr>
              <w:jc w:val="center"/>
              <w:rPr>
                <w:szCs w:val="21"/>
              </w:rPr>
            </w:pPr>
            <w:r>
              <w:rPr>
                <w:rFonts w:hint="eastAsia"/>
                <w:szCs w:val="21"/>
              </w:rPr>
              <w:t>55</w:t>
            </w:r>
          </w:p>
        </w:tc>
        <w:tc>
          <w:tcPr>
            <w:tcW w:w="779" w:type="pct"/>
            <w:vAlign w:val="center"/>
          </w:tcPr>
          <w:p>
            <w:pPr>
              <w:jc w:val="center"/>
              <w:rPr>
                <w:szCs w:val="21"/>
              </w:rPr>
            </w:pPr>
            <w:r>
              <w:rPr>
                <w:rFonts w:hint="eastAsia"/>
                <w:szCs w:val="21"/>
              </w:rPr>
              <w:t>50</w:t>
            </w:r>
          </w:p>
        </w:tc>
        <w:tc>
          <w:tcPr>
            <w:tcW w:w="833" w:type="pct"/>
            <w:vAlign w:val="center"/>
          </w:tcPr>
          <w:p>
            <w:pPr>
              <w:jc w:val="center"/>
              <w:rPr>
                <w:szCs w:val="21"/>
              </w:rPr>
            </w:pPr>
            <w:r>
              <w:rPr>
                <w:rFonts w:hint="eastAsia"/>
                <w:szCs w:val="21"/>
              </w:rPr>
              <w:t>281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92" w:type="pct"/>
            <w:vMerge w:val="continue"/>
            <w:vAlign w:val="center"/>
          </w:tcPr>
          <w:p>
            <w:pPr>
              <w:widowControl/>
              <w:jc w:val="center"/>
              <w:rPr>
                <w:bCs/>
                <w:szCs w:val="21"/>
              </w:rPr>
            </w:pPr>
          </w:p>
        </w:tc>
        <w:tc>
          <w:tcPr>
            <w:tcW w:w="1171" w:type="pct"/>
            <w:vAlign w:val="center"/>
          </w:tcPr>
          <w:p>
            <w:pPr>
              <w:jc w:val="center"/>
              <w:rPr>
                <w:szCs w:val="21"/>
              </w:rPr>
            </w:pPr>
            <w:r>
              <w:rPr>
                <w:rFonts w:hint="eastAsia"/>
                <w:szCs w:val="21"/>
              </w:rPr>
              <w:t>装载机</w:t>
            </w:r>
          </w:p>
        </w:tc>
        <w:tc>
          <w:tcPr>
            <w:tcW w:w="735" w:type="pct"/>
            <w:vAlign w:val="center"/>
          </w:tcPr>
          <w:p>
            <w:pPr>
              <w:jc w:val="center"/>
              <w:rPr>
                <w:szCs w:val="21"/>
              </w:rPr>
            </w:pPr>
            <w:r>
              <w:rPr>
                <w:rFonts w:hint="eastAsia"/>
                <w:szCs w:val="21"/>
              </w:rPr>
              <w:t>70</w:t>
            </w:r>
          </w:p>
        </w:tc>
        <w:tc>
          <w:tcPr>
            <w:tcW w:w="690" w:type="pct"/>
            <w:vAlign w:val="center"/>
          </w:tcPr>
          <w:p>
            <w:pPr>
              <w:jc w:val="center"/>
              <w:rPr>
                <w:szCs w:val="21"/>
              </w:rPr>
            </w:pPr>
            <w:r>
              <w:rPr>
                <w:rFonts w:hint="eastAsia"/>
                <w:szCs w:val="21"/>
              </w:rPr>
              <w:t>55</w:t>
            </w:r>
          </w:p>
        </w:tc>
        <w:tc>
          <w:tcPr>
            <w:tcW w:w="779" w:type="pct"/>
            <w:vAlign w:val="center"/>
          </w:tcPr>
          <w:p>
            <w:pPr>
              <w:jc w:val="center"/>
              <w:rPr>
                <w:szCs w:val="21"/>
              </w:rPr>
            </w:pPr>
            <w:r>
              <w:rPr>
                <w:rFonts w:hint="eastAsia"/>
                <w:szCs w:val="21"/>
              </w:rPr>
              <w:t>32</w:t>
            </w:r>
          </w:p>
        </w:tc>
        <w:tc>
          <w:tcPr>
            <w:tcW w:w="833" w:type="pct"/>
            <w:vAlign w:val="center"/>
          </w:tcPr>
          <w:p>
            <w:pPr>
              <w:jc w:val="center"/>
              <w:rPr>
                <w:szCs w:val="21"/>
              </w:rPr>
            </w:pPr>
            <w:r>
              <w:rPr>
                <w:rFonts w:hint="eastAsia"/>
                <w:szCs w:val="21"/>
              </w:rPr>
              <w:t>177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92" w:type="pct"/>
            <w:vMerge w:val="continue"/>
            <w:vAlign w:val="center"/>
          </w:tcPr>
          <w:p>
            <w:pPr>
              <w:widowControl/>
              <w:jc w:val="center"/>
              <w:rPr>
                <w:bCs/>
                <w:szCs w:val="21"/>
              </w:rPr>
            </w:pPr>
          </w:p>
        </w:tc>
        <w:tc>
          <w:tcPr>
            <w:tcW w:w="1171" w:type="pct"/>
            <w:vAlign w:val="center"/>
          </w:tcPr>
          <w:p>
            <w:pPr>
              <w:jc w:val="center"/>
              <w:rPr>
                <w:szCs w:val="21"/>
              </w:rPr>
            </w:pPr>
            <w:r>
              <w:rPr>
                <w:szCs w:val="21"/>
              </w:rPr>
              <w:t>挖掘机</w:t>
            </w:r>
          </w:p>
        </w:tc>
        <w:tc>
          <w:tcPr>
            <w:tcW w:w="735" w:type="pct"/>
            <w:vAlign w:val="center"/>
          </w:tcPr>
          <w:p>
            <w:pPr>
              <w:jc w:val="center"/>
              <w:rPr>
                <w:szCs w:val="21"/>
              </w:rPr>
            </w:pPr>
            <w:r>
              <w:rPr>
                <w:rFonts w:hint="eastAsia"/>
                <w:szCs w:val="21"/>
              </w:rPr>
              <w:t>70</w:t>
            </w:r>
          </w:p>
        </w:tc>
        <w:tc>
          <w:tcPr>
            <w:tcW w:w="690" w:type="pct"/>
            <w:vAlign w:val="center"/>
          </w:tcPr>
          <w:p>
            <w:pPr>
              <w:jc w:val="center"/>
              <w:rPr>
                <w:szCs w:val="21"/>
              </w:rPr>
            </w:pPr>
            <w:r>
              <w:rPr>
                <w:rFonts w:hint="eastAsia"/>
                <w:szCs w:val="21"/>
              </w:rPr>
              <w:t>55</w:t>
            </w:r>
          </w:p>
        </w:tc>
        <w:tc>
          <w:tcPr>
            <w:tcW w:w="779" w:type="pct"/>
            <w:vAlign w:val="center"/>
          </w:tcPr>
          <w:p>
            <w:pPr>
              <w:jc w:val="center"/>
              <w:rPr>
                <w:szCs w:val="21"/>
              </w:rPr>
            </w:pPr>
            <w:r>
              <w:rPr>
                <w:rFonts w:hint="eastAsia"/>
                <w:szCs w:val="21"/>
              </w:rPr>
              <w:t>28</w:t>
            </w:r>
          </w:p>
        </w:tc>
        <w:tc>
          <w:tcPr>
            <w:tcW w:w="833" w:type="pct"/>
            <w:vAlign w:val="center"/>
          </w:tcPr>
          <w:p>
            <w:pPr>
              <w:jc w:val="center"/>
              <w:rPr>
                <w:szCs w:val="21"/>
              </w:rPr>
            </w:pPr>
            <w:r>
              <w:rPr>
                <w:rFonts w:hint="eastAsia"/>
                <w:szCs w:val="21"/>
              </w:rPr>
              <w:t>158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92" w:type="pct"/>
            <w:vMerge w:val="restart"/>
            <w:vAlign w:val="center"/>
          </w:tcPr>
          <w:p>
            <w:pPr>
              <w:jc w:val="center"/>
              <w:rPr>
                <w:bCs/>
                <w:szCs w:val="21"/>
              </w:rPr>
            </w:pPr>
            <w:r>
              <w:rPr>
                <w:bCs/>
                <w:szCs w:val="21"/>
              </w:rPr>
              <w:t>基础施工阶段</w:t>
            </w:r>
          </w:p>
        </w:tc>
        <w:tc>
          <w:tcPr>
            <w:tcW w:w="1171" w:type="pct"/>
            <w:vAlign w:val="center"/>
          </w:tcPr>
          <w:p>
            <w:pPr>
              <w:jc w:val="center"/>
              <w:rPr>
                <w:szCs w:val="21"/>
              </w:rPr>
            </w:pPr>
            <w:r>
              <w:rPr>
                <w:rFonts w:hint="eastAsia"/>
                <w:szCs w:val="21"/>
              </w:rPr>
              <w:t>静压式打桩机</w:t>
            </w:r>
          </w:p>
        </w:tc>
        <w:tc>
          <w:tcPr>
            <w:tcW w:w="735" w:type="pct"/>
            <w:vAlign w:val="center"/>
          </w:tcPr>
          <w:p>
            <w:pPr>
              <w:jc w:val="center"/>
              <w:rPr>
                <w:szCs w:val="21"/>
              </w:rPr>
            </w:pPr>
            <w:r>
              <w:rPr>
                <w:rFonts w:hint="eastAsia"/>
                <w:szCs w:val="21"/>
              </w:rPr>
              <w:t>70</w:t>
            </w:r>
          </w:p>
        </w:tc>
        <w:tc>
          <w:tcPr>
            <w:tcW w:w="690" w:type="pct"/>
            <w:vAlign w:val="center"/>
          </w:tcPr>
          <w:p>
            <w:pPr>
              <w:jc w:val="center"/>
              <w:rPr>
                <w:szCs w:val="21"/>
              </w:rPr>
            </w:pPr>
            <w:r>
              <w:rPr>
                <w:rFonts w:hint="eastAsia"/>
                <w:szCs w:val="21"/>
              </w:rPr>
              <w:t>55</w:t>
            </w:r>
          </w:p>
        </w:tc>
        <w:tc>
          <w:tcPr>
            <w:tcW w:w="779" w:type="pct"/>
            <w:vAlign w:val="center"/>
          </w:tcPr>
          <w:p>
            <w:pPr>
              <w:jc w:val="center"/>
              <w:rPr>
                <w:szCs w:val="21"/>
              </w:rPr>
            </w:pPr>
            <w:r>
              <w:rPr>
                <w:rFonts w:hint="eastAsia"/>
                <w:szCs w:val="21"/>
              </w:rPr>
              <w:t>47</w:t>
            </w:r>
          </w:p>
        </w:tc>
        <w:tc>
          <w:tcPr>
            <w:tcW w:w="833" w:type="pct"/>
            <w:vAlign w:val="center"/>
          </w:tcPr>
          <w:p>
            <w:pPr>
              <w:jc w:val="center"/>
              <w:rPr>
                <w:szCs w:val="21"/>
              </w:rPr>
            </w:pPr>
            <w:r>
              <w:rPr>
                <w:rFonts w:hint="eastAsia"/>
                <w:szCs w:val="21"/>
              </w:rPr>
              <w:t>265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92" w:type="pct"/>
            <w:vMerge w:val="continue"/>
            <w:vAlign w:val="center"/>
          </w:tcPr>
          <w:p>
            <w:pPr>
              <w:jc w:val="center"/>
              <w:rPr>
                <w:bCs/>
                <w:szCs w:val="21"/>
              </w:rPr>
            </w:pPr>
          </w:p>
        </w:tc>
        <w:tc>
          <w:tcPr>
            <w:tcW w:w="1171" w:type="pct"/>
            <w:vAlign w:val="center"/>
          </w:tcPr>
          <w:p>
            <w:pPr>
              <w:jc w:val="center"/>
              <w:rPr>
                <w:szCs w:val="21"/>
              </w:rPr>
            </w:pPr>
            <w:r>
              <w:rPr>
                <w:szCs w:val="21"/>
              </w:rPr>
              <w:t>钻孔式灌注桩机</w:t>
            </w:r>
          </w:p>
        </w:tc>
        <w:tc>
          <w:tcPr>
            <w:tcW w:w="735" w:type="pct"/>
            <w:vAlign w:val="center"/>
          </w:tcPr>
          <w:p>
            <w:pPr>
              <w:jc w:val="center"/>
              <w:rPr>
                <w:szCs w:val="21"/>
              </w:rPr>
            </w:pPr>
            <w:r>
              <w:rPr>
                <w:rFonts w:hint="eastAsia"/>
                <w:szCs w:val="21"/>
              </w:rPr>
              <w:t>70</w:t>
            </w:r>
          </w:p>
        </w:tc>
        <w:tc>
          <w:tcPr>
            <w:tcW w:w="690" w:type="pct"/>
            <w:vAlign w:val="center"/>
          </w:tcPr>
          <w:p>
            <w:pPr>
              <w:jc w:val="center"/>
              <w:rPr>
                <w:szCs w:val="21"/>
              </w:rPr>
            </w:pPr>
            <w:r>
              <w:rPr>
                <w:rFonts w:hint="eastAsia"/>
                <w:szCs w:val="21"/>
              </w:rPr>
              <w:t>55</w:t>
            </w:r>
          </w:p>
        </w:tc>
        <w:tc>
          <w:tcPr>
            <w:tcW w:w="779" w:type="pct"/>
            <w:vAlign w:val="center"/>
          </w:tcPr>
          <w:p>
            <w:pPr>
              <w:jc w:val="center"/>
              <w:rPr>
                <w:szCs w:val="21"/>
              </w:rPr>
            </w:pPr>
            <w:r>
              <w:rPr>
                <w:rFonts w:hint="eastAsia"/>
                <w:szCs w:val="21"/>
              </w:rPr>
              <w:t>48</w:t>
            </w:r>
          </w:p>
        </w:tc>
        <w:tc>
          <w:tcPr>
            <w:tcW w:w="833" w:type="pct"/>
            <w:vAlign w:val="center"/>
          </w:tcPr>
          <w:p>
            <w:pPr>
              <w:jc w:val="center"/>
              <w:rPr>
                <w:szCs w:val="21"/>
              </w:rPr>
            </w:pPr>
            <w:r>
              <w:rPr>
                <w:rFonts w:hint="eastAsia"/>
                <w:szCs w:val="21"/>
              </w:rPr>
              <w: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92" w:type="pct"/>
            <w:vMerge w:val="continue"/>
            <w:vAlign w:val="center"/>
          </w:tcPr>
          <w:p>
            <w:pPr>
              <w:widowControl/>
              <w:jc w:val="center"/>
              <w:rPr>
                <w:bCs/>
                <w:szCs w:val="21"/>
              </w:rPr>
            </w:pPr>
          </w:p>
        </w:tc>
        <w:tc>
          <w:tcPr>
            <w:tcW w:w="1171" w:type="pct"/>
            <w:vAlign w:val="center"/>
          </w:tcPr>
          <w:p>
            <w:pPr>
              <w:jc w:val="center"/>
              <w:rPr>
                <w:szCs w:val="21"/>
              </w:rPr>
            </w:pPr>
            <w:r>
              <w:rPr>
                <w:szCs w:val="21"/>
              </w:rPr>
              <w:t>空压机</w:t>
            </w:r>
          </w:p>
        </w:tc>
        <w:tc>
          <w:tcPr>
            <w:tcW w:w="735" w:type="pct"/>
            <w:vAlign w:val="center"/>
          </w:tcPr>
          <w:p>
            <w:pPr>
              <w:jc w:val="center"/>
              <w:rPr>
                <w:szCs w:val="21"/>
              </w:rPr>
            </w:pPr>
            <w:r>
              <w:rPr>
                <w:rFonts w:hint="eastAsia"/>
                <w:szCs w:val="21"/>
              </w:rPr>
              <w:t>70</w:t>
            </w:r>
          </w:p>
        </w:tc>
        <w:tc>
          <w:tcPr>
            <w:tcW w:w="690" w:type="pct"/>
            <w:vAlign w:val="center"/>
          </w:tcPr>
          <w:p>
            <w:pPr>
              <w:jc w:val="center"/>
              <w:rPr>
                <w:szCs w:val="21"/>
              </w:rPr>
            </w:pPr>
            <w:r>
              <w:rPr>
                <w:rFonts w:hint="eastAsia"/>
                <w:szCs w:val="21"/>
              </w:rPr>
              <w:t>55</w:t>
            </w:r>
          </w:p>
        </w:tc>
        <w:tc>
          <w:tcPr>
            <w:tcW w:w="779" w:type="pct"/>
            <w:vAlign w:val="center"/>
          </w:tcPr>
          <w:p>
            <w:pPr>
              <w:jc w:val="center"/>
              <w:rPr>
                <w:szCs w:val="21"/>
              </w:rPr>
            </w:pPr>
            <w:r>
              <w:rPr>
                <w:rFonts w:hint="eastAsia"/>
                <w:szCs w:val="21"/>
              </w:rPr>
              <w:t>38</w:t>
            </w:r>
          </w:p>
        </w:tc>
        <w:tc>
          <w:tcPr>
            <w:tcW w:w="833" w:type="pct"/>
            <w:vAlign w:val="center"/>
          </w:tcPr>
          <w:p>
            <w:pPr>
              <w:jc w:val="center"/>
              <w:rPr>
                <w:szCs w:val="21"/>
              </w:rPr>
            </w:pPr>
            <w:r>
              <w:rPr>
                <w:rFonts w:hint="eastAsia"/>
                <w:szCs w:val="21"/>
              </w:rPr>
              <w:t>210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92" w:type="pct"/>
            <w:vMerge w:val="restart"/>
            <w:vAlign w:val="center"/>
          </w:tcPr>
          <w:p>
            <w:pPr>
              <w:jc w:val="center"/>
              <w:rPr>
                <w:bCs/>
                <w:szCs w:val="21"/>
              </w:rPr>
            </w:pPr>
            <w:r>
              <w:rPr>
                <w:bCs/>
                <w:szCs w:val="21"/>
              </w:rPr>
              <w:t>结构施工阶段</w:t>
            </w:r>
          </w:p>
        </w:tc>
        <w:tc>
          <w:tcPr>
            <w:tcW w:w="1171" w:type="pct"/>
            <w:vAlign w:val="center"/>
          </w:tcPr>
          <w:p>
            <w:pPr>
              <w:jc w:val="center"/>
              <w:rPr>
                <w:szCs w:val="21"/>
              </w:rPr>
            </w:pPr>
            <w:r>
              <w:rPr>
                <w:szCs w:val="21"/>
              </w:rPr>
              <w:t>吊车</w:t>
            </w:r>
          </w:p>
        </w:tc>
        <w:tc>
          <w:tcPr>
            <w:tcW w:w="735" w:type="pct"/>
            <w:vAlign w:val="center"/>
          </w:tcPr>
          <w:p>
            <w:pPr>
              <w:jc w:val="center"/>
              <w:rPr>
                <w:szCs w:val="21"/>
              </w:rPr>
            </w:pPr>
            <w:r>
              <w:rPr>
                <w:rFonts w:hint="eastAsia"/>
                <w:szCs w:val="21"/>
              </w:rPr>
              <w:t>70</w:t>
            </w:r>
          </w:p>
        </w:tc>
        <w:tc>
          <w:tcPr>
            <w:tcW w:w="690" w:type="pct"/>
            <w:vAlign w:val="center"/>
          </w:tcPr>
          <w:p>
            <w:pPr>
              <w:jc w:val="center"/>
              <w:rPr>
                <w:szCs w:val="21"/>
              </w:rPr>
            </w:pPr>
            <w:r>
              <w:rPr>
                <w:rFonts w:hint="eastAsia"/>
                <w:szCs w:val="21"/>
              </w:rPr>
              <w:t>55</w:t>
            </w:r>
          </w:p>
        </w:tc>
        <w:tc>
          <w:tcPr>
            <w:tcW w:w="779" w:type="pct"/>
            <w:vAlign w:val="center"/>
          </w:tcPr>
          <w:p>
            <w:pPr>
              <w:jc w:val="center"/>
              <w:rPr>
                <w:szCs w:val="21"/>
              </w:rPr>
            </w:pPr>
            <w:r>
              <w:rPr>
                <w:rFonts w:hint="eastAsia"/>
                <w:szCs w:val="21"/>
              </w:rPr>
              <w:t>21</w:t>
            </w:r>
          </w:p>
        </w:tc>
        <w:tc>
          <w:tcPr>
            <w:tcW w:w="833" w:type="pct"/>
            <w:vAlign w:val="center"/>
          </w:tcPr>
          <w:p>
            <w:pPr>
              <w:jc w:val="center"/>
              <w:rPr>
                <w:szCs w:val="21"/>
              </w:rPr>
            </w:pPr>
            <w:r>
              <w:rPr>
                <w:rFonts w:hint="eastAsia"/>
                <w:szCs w:val="21"/>
              </w:rPr>
              <w:t>119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92" w:type="pct"/>
            <w:vMerge w:val="continue"/>
            <w:vAlign w:val="center"/>
          </w:tcPr>
          <w:p>
            <w:pPr>
              <w:widowControl/>
              <w:jc w:val="center"/>
              <w:rPr>
                <w:bCs/>
                <w:szCs w:val="21"/>
              </w:rPr>
            </w:pPr>
          </w:p>
        </w:tc>
        <w:tc>
          <w:tcPr>
            <w:tcW w:w="1171" w:type="pct"/>
            <w:vAlign w:val="center"/>
          </w:tcPr>
          <w:p>
            <w:pPr>
              <w:jc w:val="center"/>
              <w:rPr>
                <w:szCs w:val="21"/>
              </w:rPr>
            </w:pPr>
            <w:r>
              <w:rPr>
                <w:szCs w:val="21"/>
              </w:rPr>
              <w:t>振捣棒</w:t>
            </w:r>
          </w:p>
        </w:tc>
        <w:tc>
          <w:tcPr>
            <w:tcW w:w="735" w:type="pct"/>
            <w:vAlign w:val="center"/>
          </w:tcPr>
          <w:p>
            <w:pPr>
              <w:jc w:val="center"/>
              <w:rPr>
                <w:szCs w:val="21"/>
              </w:rPr>
            </w:pPr>
            <w:r>
              <w:rPr>
                <w:rFonts w:hint="eastAsia"/>
                <w:szCs w:val="21"/>
              </w:rPr>
              <w:t>70</w:t>
            </w:r>
          </w:p>
        </w:tc>
        <w:tc>
          <w:tcPr>
            <w:tcW w:w="690" w:type="pct"/>
            <w:vAlign w:val="center"/>
          </w:tcPr>
          <w:p>
            <w:pPr>
              <w:jc w:val="center"/>
              <w:rPr>
                <w:szCs w:val="21"/>
              </w:rPr>
            </w:pPr>
            <w:r>
              <w:rPr>
                <w:rFonts w:hint="eastAsia"/>
                <w:szCs w:val="21"/>
              </w:rPr>
              <w:t>55</w:t>
            </w:r>
          </w:p>
        </w:tc>
        <w:tc>
          <w:tcPr>
            <w:tcW w:w="779" w:type="pct"/>
            <w:vAlign w:val="center"/>
          </w:tcPr>
          <w:p>
            <w:pPr>
              <w:jc w:val="center"/>
              <w:rPr>
                <w:szCs w:val="21"/>
              </w:rPr>
            </w:pPr>
            <w:r>
              <w:rPr>
                <w:rFonts w:hint="eastAsia"/>
                <w:szCs w:val="21"/>
              </w:rPr>
              <w:t>14</w:t>
            </w:r>
          </w:p>
        </w:tc>
        <w:tc>
          <w:tcPr>
            <w:tcW w:w="833" w:type="pct"/>
            <w:vAlign w:val="center"/>
          </w:tcPr>
          <w:p>
            <w:pPr>
              <w:jc w:val="center"/>
              <w:rPr>
                <w:szCs w:val="21"/>
              </w:rPr>
            </w:pPr>
            <w:r>
              <w:rPr>
                <w:rFonts w:hint="eastAsia"/>
                <w:szCs w:val="21"/>
              </w:rPr>
              <w:t>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92" w:type="pct"/>
            <w:vMerge w:val="restart"/>
            <w:vAlign w:val="center"/>
          </w:tcPr>
          <w:p>
            <w:pPr>
              <w:jc w:val="center"/>
              <w:rPr>
                <w:bCs/>
                <w:szCs w:val="21"/>
              </w:rPr>
            </w:pPr>
            <w:r>
              <w:rPr>
                <w:bCs/>
                <w:szCs w:val="21"/>
              </w:rPr>
              <w:t>装修阶段</w:t>
            </w:r>
          </w:p>
        </w:tc>
        <w:tc>
          <w:tcPr>
            <w:tcW w:w="1171" w:type="pct"/>
            <w:vAlign w:val="center"/>
          </w:tcPr>
          <w:p>
            <w:pPr>
              <w:jc w:val="center"/>
              <w:rPr>
                <w:szCs w:val="21"/>
              </w:rPr>
            </w:pPr>
            <w:r>
              <w:rPr>
                <w:szCs w:val="21"/>
              </w:rPr>
              <w:t>电锯</w:t>
            </w:r>
          </w:p>
        </w:tc>
        <w:tc>
          <w:tcPr>
            <w:tcW w:w="735" w:type="pct"/>
            <w:vAlign w:val="center"/>
          </w:tcPr>
          <w:p>
            <w:pPr>
              <w:jc w:val="center"/>
              <w:rPr>
                <w:szCs w:val="21"/>
              </w:rPr>
            </w:pPr>
            <w:r>
              <w:rPr>
                <w:rFonts w:hint="eastAsia"/>
                <w:szCs w:val="21"/>
              </w:rPr>
              <w:t>70</w:t>
            </w:r>
          </w:p>
        </w:tc>
        <w:tc>
          <w:tcPr>
            <w:tcW w:w="690" w:type="pct"/>
            <w:vAlign w:val="center"/>
          </w:tcPr>
          <w:p>
            <w:pPr>
              <w:jc w:val="center"/>
              <w:rPr>
                <w:szCs w:val="21"/>
              </w:rPr>
            </w:pPr>
            <w:r>
              <w:rPr>
                <w:rFonts w:hint="eastAsia"/>
                <w:szCs w:val="21"/>
              </w:rPr>
              <w:t>55</w:t>
            </w:r>
          </w:p>
        </w:tc>
        <w:tc>
          <w:tcPr>
            <w:tcW w:w="779" w:type="pct"/>
            <w:vAlign w:val="center"/>
          </w:tcPr>
          <w:p>
            <w:pPr>
              <w:jc w:val="center"/>
              <w:rPr>
                <w:szCs w:val="21"/>
              </w:rPr>
            </w:pPr>
            <w:r>
              <w:rPr>
                <w:rFonts w:hint="eastAsia"/>
                <w:szCs w:val="21"/>
              </w:rPr>
              <w:t>45</w:t>
            </w:r>
          </w:p>
        </w:tc>
        <w:tc>
          <w:tcPr>
            <w:tcW w:w="833" w:type="pct"/>
            <w:vAlign w:val="center"/>
          </w:tcPr>
          <w:p>
            <w:pPr>
              <w:jc w:val="center"/>
              <w:rPr>
                <w:szCs w:val="21"/>
              </w:rPr>
            </w:pPr>
            <w:r>
              <w:rPr>
                <w:rFonts w:hint="eastAsia"/>
                <w:szCs w:val="21"/>
              </w:rPr>
              <w:t>251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92" w:type="pct"/>
            <w:vMerge w:val="continue"/>
            <w:vAlign w:val="center"/>
          </w:tcPr>
          <w:p>
            <w:pPr>
              <w:widowControl/>
              <w:jc w:val="center"/>
              <w:rPr>
                <w:bCs/>
                <w:szCs w:val="21"/>
              </w:rPr>
            </w:pPr>
          </w:p>
        </w:tc>
        <w:tc>
          <w:tcPr>
            <w:tcW w:w="1171" w:type="pct"/>
            <w:vAlign w:val="center"/>
          </w:tcPr>
          <w:p>
            <w:pPr>
              <w:jc w:val="center"/>
              <w:rPr>
                <w:bCs/>
                <w:szCs w:val="21"/>
              </w:rPr>
            </w:pPr>
            <w:r>
              <w:rPr>
                <w:bCs/>
                <w:szCs w:val="21"/>
              </w:rPr>
              <w:t>无齿锯</w:t>
            </w:r>
          </w:p>
        </w:tc>
        <w:tc>
          <w:tcPr>
            <w:tcW w:w="735" w:type="pct"/>
            <w:vAlign w:val="center"/>
          </w:tcPr>
          <w:p>
            <w:pPr>
              <w:jc w:val="center"/>
              <w:rPr>
                <w:szCs w:val="21"/>
              </w:rPr>
            </w:pPr>
            <w:r>
              <w:rPr>
                <w:rFonts w:hint="eastAsia"/>
                <w:szCs w:val="21"/>
              </w:rPr>
              <w:t>70</w:t>
            </w:r>
          </w:p>
        </w:tc>
        <w:tc>
          <w:tcPr>
            <w:tcW w:w="690" w:type="pct"/>
            <w:vAlign w:val="center"/>
          </w:tcPr>
          <w:p>
            <w:pPr>
              <w:jc w:val="center"/>
              <w:rPr>
                <w:szCs w:val="21"/>
              </w:rPr>
            </w:pPr>
            <w:r>
              <w:rPr>
                <w:rFonts w:hint="eastAsia"/>
                <w:szCs w:val="21"/>
              </w:rPr>
              <w:t>55</w:t>
            </w:r>
          </w:p>
        </w:tc>
        <w:tc>
          <w:tcPr>
            <w:tcW w:w="779" w:type="pct"/>
            <w:vAlign w:val="center"/>
          </w:tcPr>
          <w:p>
            <w:pPr>
              <w:jc w:val="center"/>
              <w:rPr>
                <w:bCs/>
                <w:szCs w:val="21"/>
              </w:rPr>
            </w:pPr>
            <w:r>
              <w:rPr>
                <w:rFonts w:hint="eastAsia"/>
                <w:bCs/>
                <w:szCs w:val="21"/>
              </w:rPr>
              <w:t>21</w:t>
            </w:r>
          </w:p>
        </w:tc>
        <w:tc>
          <w:tcPr>
            <w:tcW w:w="833" w:type="pct"/>
            <w:vAlign w:val="center"/>
          </w:tcPr>
          <w:p>
            <w:pPr>
              <w:jc w:val="center"/>
              <w:rPr>
                <w:bCs/>
                <w:szCs w:val="21"/>
              </w:rPr>
            </w:pPr>
            <w:r>
              <w:rPr>
                <w:rFonts w:hint="eastAsia"/>
                <w:bCs/>
                <w:szCs w:val="21"/>
              </w:rPr>
              <w:t>119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92" w:type="pct"/>
            <w:vMerge w:val="continue"/>
            <w:vAlign w:val="center"/>
          </w:tcPr>
          <w:p>
            <w:pPr>
              <w:widowControl/>
              <w:jc w:val="center"/>
              <w:rPr>
                <w:bCs/>
                <w:szCs w:val="21"/>
              </w:rPr>
            </w:pPr>
          </w:p>
        </w:tc>
        <w:tc>
          <w:tcPr>
            <w:tcW w:w="1171" w:type="pct"/>
            <w:vAlign w:val="center"/>
          </w:tcPr>
          <w:p>
            <w:pPr>
              <w:jc w:val="center"/>
              <w:rPr>
                <w:bCs/>
                <w:szCs w:val="21"/>
              </w:rPr>
            </w:pPr>
            <w:r>
              <w:rPr>
                <w:bCs/>
                <w:szCs w:val="21"/>
              </w:rPr>
              <w:t>手工钻</w:t>
            </w:r>
          </w:p>
        </w:tc>
        <w:tc>
          <w:tcPr>
            <w:tcW w:w="735" w:type="pct"/>
            <w:vAlign w:val="center"/>
          </w:tcPr>
          <w:p>
            <w:pPr>
              <w:jc w:val="center"/>
              <w:rPr>
                <w:szCs w:val="21"/>
              </w:rPr>
            </w:pPr>
            <w:r>
              <w:rPr>
                <w:rFonts w:hint="eastAsia"/>
                <w:szCs w:val="21"/>
              </w:rPr>
              <w:t>70</w:t>
            </w:r>
          </w:p>
        </w:tc>
        <w:tc>
          <w:tcPr>
            <w:tcW w:w="690" w:type="pct"/>
            <w:vAlign w:val="center"/>
          </w:tcPr>
          <w:p>
            <w:pPr>
              <w:jc w:val="center"/>
              <w:rPr>
                <w:szCs w:val="21"/>
              </w:rPr>
            </w:pPr>
            <w:r>
              <w:rPr>
                <w:rFonts w:hint="eastAsia"/>
                <w:szCs w:val="21"/>
              </w:rPr>
              <w:t>55</w:t>
            </w:r>
          </w:p>
        </w:tc>
        <w:tc>
          <w:tcPr>
            <w:tcW w:w="779" w:type="pct"/>
            <w:vAlign w:val="center"/>
          </w:tcPr>
          <w:p>
            <w:pPr>
              <w:jc w:val="center"/>
              <w:rPr>
                <w:bCs/>
                <w:szCs w:val="21"/>
              </w:rPr>
            </w:pPr>
            <w:r>
              <w:rPr>
                <w:rFonts w:hint="eastAsia"/>
                <w:bCs/>
                <w:szCs w:val="21"/>
              </w:rPr>
              <w:t>45</w:t>
            </w:r>
          </w:p>
        </w:tc>
        <w:tc>
          <w:tcPr>
            <w:tcW w:w="833" w:type="pct"/>
            <w:vAlign w:val="center"/>
          </w:tcPr>
          <w:p>
            <w:pPr>
              <w:jc w:val="center"/>
              <w:rPr>
                <w:bCs/>
                <w:szCs w:val="21"/>
              </w:rPr>
            </w:pPr>
            <w:r>
              <w:rPr>
                <w:rFonts w:hint="eastAsia"/>
                <w:bCs/>
                <w:szCs w:val="21"/>
              </w:rPr>
              <w:t>251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92" w:type="pct"/>
            <w:vAlign w:val="center"/>
          </w:tcPr>
          <w:p>
            <w:pPr>
              <w:widowControl/>
              <w:jc w:val="center"/>
              <w:rPr>
                <w:bCs/>
                <w:szCs w:val="21"/>
              </w:rPr>
            </w:pPr>
            <w:r>
              <w:rPr>
                <w:bCs/>
                <w:szCs w:val="21"/>
              </w:rPr>
              <w:t>运输车辆</w:t>
            </w:r>
          </w:p>
        </w:tc>
        <w:tc>
          <w:tcPr>
            <w:tcW w:w="1171" w:type="pct"/>
            <w:vAlign w:val="center"/>
          </w:tcPr>
          <w:p>
            <w:pPr>
              <w:jc w:val="center"/>
              <w:rPr>
                <w:bCs/>
                <w:szCs w:val="21"/>
              </w:rPr>
            </w:pPr>
            <w:r>
              <w:rPr>
                <w:bCs/>
                <w:szCs w:val="21"/>
              </w:rPr>
              <w:t>运输车辆</w:t>
            </w:r>
          </w:p>
        </w:tc>
        <w:tc>
          <w:tcPr>
            <w:tcW w:w="735" w:type="pct"/>
            <w:vAlign w:val="center"/>
          </w:tcPr>
          <w:p>
            <w:pPr>
              <w:jc w:val="center"/>
              <w:rPr>
                <w:szCs w:val="21"/>
              </w:rPr>
            </w:pPr>
            <w:r>
              <w:rPr>
                <w:rFonts w:hint="eastAsia"/>
                <w:szCs w:val="21"/>
              </w:rPr>
              <w:t>70</w:t>
            </w:r>
          </w:p>
        </w:tc>
        <w:tc>
          <w:tcPr>
            <w:tcW w:w="690" w:type="pct"/>
            <w:vAlign w:val="center"/>
          </w:tcPr>
          <w:p>
            <w:pPr>
              <w:jc w:val="center"/>
              <w:rPr>
                <w:szCs w:val="21"/>
              </w:rPr>
            </w:pPr>
            <w:r>
              <w:rPr>
                <w:rFonts w:hint="eastAsia"/>
                <w:szCs w:val="21"/>
              </w:rPr>
              <w:t>55</w:t>
            </w:r>
          </w:p>
        </w:tc>
        <w:tc>
          <w:tcPr>
            <w:tcW w:w="779" w:type="pct"/>
            <w:vAlign w:val="center"/>
          </w:tcPr>
          <w:p>
            <w:pPr>
              <w:jc w:val="center"/>
              <w:rPr>
                <w:bCs/>
                <w:szCs w:val="21"/>
              </w:rPr>
            </w:pPr>
            <w:r>
              <w:rPr>
                <w:rFonts w:hint="eastAsia"/>
                <w:bCs/>
                <w:szCs w:val="21"/>
              </w:rPr>
              <w:t>16</w:t>
            </w:r>
          </w:p>
        </w:tc>
        <w:tc>
          <w:tcPr>
            <w:tcW w:w="833" w:type="pct"/>
            <w:vAlign w:val="center"/>
          </w:tcPr>
          <w:p>
            <w:pPr>
              <w:jc w:val="center"/>
              <w:rPr>
                <w:bCs/>
                <w:szCs w:val="21"/>
              </w:rPr>
            </w:pPr>
            <w:r>
              <w:rPr>
                <w:rFonts w:hint="eastAsia"/>
                <w:bCs/>
                <w:szCs w:val="21"/>
              </w:rPr>
              <w:t>89</w:t>
            </w:r>
          </w:p>
        </w:tc>
      </w:tr>
    </w:tbl>
    <w:p>
      <w:pPr>
        <w:spacing w:line="360" w:lineRule="auto"/>
        <w:ind w:firstLine="480" w:firstLineChars="200"/>
        <w:rPr>
          <w:rFonts w:ascii="宋体" w:hAnsi="宋体" w:cs="宋体"/>
          <w:kern w:val="0"/>
          <w:sz w:val="24"/>
        </w:rPr>
      </w:pPr>
      <w:r>
        <w:rPr>
          <w:sz w:val="24"/>
        </w:rPr>
        <w:t>由上表可看出：</w:t>
      </w:r>
    </w:p>
    <w:p>
      <w:pPr>
        <w:spacing w:line="360" w:lineRule="auto"/>
        <w:ind w:firstLine="480" w:firstLineChars="200"/>
        <w:rPr>
          <w:rFonts w:ascii="宋体" w:hAnsi="宋体" w:cs="宋体"/>
          <w:kern w:val="0"/>
          <w:sz w:val="24"/>
        </w:rPr>
      </w:pPr>
      <w:r>
        <w:rPr>
          <w:rFonts w:ascii="宋体" w:hAnsi="宋体" w:cs="宋体"/>
          <w:kern w:val="0"/>
          <w:sz w:val="24"/>
        </w:rPr>
        <w:t>①施工噪声因不同的施工机械影响的范围相差很大，夜间施工噪声的影响范围比昼间大得多。在实际施工过程中可能出现多台施工机械同时在一起作业，则此时施工噪声的影响范围比预测值大。</w:t>
      </w:r>
    </w:p>
    <w:p>
      <w:pPr>
        <w:spacing w:line="360" w:lineRule="auto"/>
        <w:ind w:firstLine="480" w:firstLineChars="200"/>
        <w:rPr>
          <w:sz w:val="24"/>
        </w:rPr>
      </w:pPr>
      <w:r>
        <w:rPr>
          <w:rFonts w:hint="eastAsia"/>
          <w:sz w:val="24"/>
        </w:rPr>
        <w:t>②施工噪声将对周围声环境质量产生一定的影响，其中钻孔式灌注桩机影响最大，施工设备昼间影响主要出现在距施工场地50m的范围内，夜间将出现在距施工场地300m的范围内。材料运输造成车辆交通噪声在昼间道路两16m以外可基本达到标准限值，夜间在89m处基本达到标准限值。</w:t>
      </w:r>
    </w:p>
    <w:p>
      <w:pPr>
        <w:spacing w:line="360" w:lineRule="auto"/>
        <w:ind w:firstLine="480" w:firstLineChars="200"/>
        <w:rPr>
          <w:sz w:val="24"/>
        </w:rPr>
      </w:pPr>
      <w:r>
        <w:rPr>
          <w:rFonts w:hint="eastAsia"/>
          <w:sz w:val="24"/>
        </w:rPr>
        <w:t>从噪声源衰减特征可以看出，施工机械对不同距离的声环境有一定影响，施工场地边界达标距离将超出施工道路宽度范围，特别是夜间，影响范围更大。</w:t>
      </w:r>
    </w:p>
    <w:p>
      <w:pPr>
        <w:spacing w:line="360" w:lineRule="auto"/>
        <w:ind w:firstLine="480" w:firstLineChars="200"/>
        <w:rPr>
          <w:sz w:val="24"/>
        </w:rPr>
      </w:pPr>
      <w:r>
        <w:rPr>
          <w:rFonts w:hint="eastAsia"/>
          <w:sz w:val="24"/>
        </w:rPr>
        <w:t>结合预测计算结果和类比监测调查，由于施工机械一般都布置在施工场地内远离周边敏感点一侧并距离场界15~40m地段，施工场界昼间噪声值一般可以达标，但部分施工机械运行时，如推土机、打桩机、电锯产生的噪声将会导致土方阶段、基础阶段和结构阶段昼间场界超标；夜间施工时，场界噪声大部分都将出现超标现象；为此工程应严格控制高噪声设备的运行时段，严禁夜间施工（夜间22:00~06:00），避免夜间施工产生扰民现象。</w:t>
      </w:r>
    </w:p>
    <w:p>
      <w:pPr>
        <w:spacing w:line="360" w:lineRule="auto"/>
        <w:ind w:firstLine="480" w:firstLineChars="200"/>
        <w:rPr>
          <w:sz w:val="24"/>
        </w:rPr>
      </w:pPr>
      <w:r>
        <w:rPr>
          <w:rFonts w:hint="eastAsia"/>
          <w:sz w:val="24"/>
        </w:rPr>
        <w:t>根据现状调查，距离项目最近的敏感目标为项目区南侧</w:t>
      </w:r>
      <w:r>
        <w:rPr>
          <w:rFonts w:hint="eastAsia"/>
          <w:sz w:val="24"/>
          <w:lang w:val="en-US" w:eastAsia="zh-CN"/>
        </w:rPr>
        <w:t>楼堂</w:t>
      </w:r>
      <w:r>
        <w:rPr>
          <w:rFonts w:hint="eastAsia"/>
          <w:sz w:val="24"/>
        </w:rPr>
        <w:t>村居民点，项目施工期间采用低噪声设备，尽量避免了对居民区的影响。为了能够尽量降低施工中施工机械噪声对居住区的影响，施工单位应合理安排好施工计划，高噪声设备布置尽量远离敏感目标，同时尽量避免在同一地点布置多个高噪声设备，严格控制高噪声设备的运行时段；夜间22时~凌晨06时禁止施工，避开午休时间动用高噪声设备，避免夜间施工产生扰民现象，并尽可能缩短施工周期把噪声污染控制到最小，随着施工期的结束其噪声影响将会消失。</w:t>
      </w:r>
    </w:p>
    <w:p>
      <w:pPr>
        <w:spacing w:line="360" w:lineRule="auto"/>
        <w:ind w:firstLine="482" w:firstLineChars="200"/>
        <w:rPr>
          <w:b/>
          <w:sz w:val="24"/>
        </w:rPr>
      </w:pPr>
      <w:r>
        <w:rPr>
          <w:rFonts w:hint="eastAsia"/>
          <w:b/>
          <w:sz w:val="24"/>
        </w:rPr>
        <w:t>2、交通噪声影响分析</w:t>
      </w:r>
    </w:p>
    <w:p>
      <w:pPr>
        <w:spacing w:line="360" w:lineRule="auto"/>
        <w:ind w:firstLine="480" w:firstLineChars="200"/>
        <w:rPr>
          <w:sz w:val="24"/>
        </w:rPr>
      </w:pPr>
      <w:r>
        <w:rPr>
          <w:sz w:val="24"/>
        </w:rPr>
        <w:t>施工期建筑材料、施工弃土、建筑垃圾的运输会加重沿线交通噪声污染，运输车辆噪声级一般为</w:t>
      </w:r>
      <w:r>
        <w:rPr>
          <w:rFonts w:hint="eastAsia"/>
          <w:sz w:val="24"/>
        </w:rPr>
        <w:t>75~90dB（A）。由于项目运输量有限，加上车辆禁止夜间、午休时间鸣笛，因此施工期产生的交通噪声污染是暂时的，不会对沿线居民生活造成大的影响。</w:t>
      </w:r>
    </w:p>
    <w:p>
      <w:pPr>
        <w:pStyle w:val="7"/>
        <w:adjustRightInd w:val="0"/>
        <w:snapToGrid w:val="0"/>
        <w:spacing w:before="0" w:after="0" w:line="360" w:lineRule="auto"/>
        <w:jc w:val="left"/>
        <w:rPr>
          <w:sz w:val="24"/>
          <w:szCs w:val="24"/>
        </w:rPr>
      </w:pPr>
      <w:bookmarkStart w:id="311" w:name="_Toc30287"/>
      <w:bookmarkStart w:id="312" w:name="_Toc9205"/>
      <w:bookmarkStart w:id="313" w:name="_Toc517522309"/>
      <w:bookmarkStart w:id="314" w:name="_Toc17758"/>
      <w:bookmarkStart w:id="315" w:name="_Toc6182"/>
      <w:bookmarkStart w:id="316" w:name="_Toc9544"/>
      <w:bookmarkStart w:id="317" w:name="_Toc30729"/>
      <w:r>
        <w:rPr>
          <w:sz w:val="24"/>
          <w:szCs w:val="24"/>
        </w:rPr>
        <w:t>6.1.4 施工期固体废物影响分析</w:t>
      </w:r>
      <w:bookmarkEnd w:id="311"/>
      <w:bookmarkEnd w:id="312"/>
      <w:bookmarkEnd w:id="313"/>
      <w:bookmarkEnd w:id="314"/>
      <w:bookmarkEnd w:id="315"/>
      <w:bookmarkEnd w:id="316"/>
      <w:bookmarkEnd w:id="317"/>
    </w:p>
    <w:p>
      <w:pPr>
        <w:spacing w:line="360" w:lineRule="auto"/>
        <w:ind w:firstLine="480" w:firstLineChars="200"/>
        <w:rPr>
          <w:sz w:val="24"/>
        </w:rPr>
      </w:pPr>
      <w:r>
        <w:rPr>
          <w:sz w:val="24"/>
        </w:rPr>
        <w:t>施工期间产生的固体废物主要包括</w:t>
      </w:r>
      <w:r>
        <w:rPr>
          <w:rFonts w:hint="eastAsia"/>
          <w:sz w:val="24"/>
        </w:rPr>
        <w:t>施工渣土</w:t>
      </w:r>
      <w:r>
        <w:rPr>
          <w:sz w:val="24"/>
        </w:rPr>
        <w:t>、建筑垃圾和施工人员生活垃圾等。</w:t>
      </w:r>
    </w:p>
    <w:p>
      <w:pPr>
        <w:spacing w:line="360" w:lineRule="auto"/>
        <w:ind w:firstLine="480" w:firstLineChars="200"/>
        <w:rPr>
          <w:sz w:val="24"/>
        </w:rPr>
      </w:pPr>
      <w:r>
        <w:rPr>
          <w:rFonts w:hint="eastAsia"/>
          <w:sz w:val="24"/>
        </w:rPr>
        <w:t>（1）施工渣土</w:t>
      </w:r>
    </w:p>
    <w:p>
      <w:pPr>
        <w:spacing w:line="360" w:lineRule="auto"/>
        <w:ind w:firstLine="480" w:firstLineChars="200"/>
        <w:rPr>
          <w:sz w:val="24"/>
        </w:rPr>
      </w:pPr>
      <w:r>
        <w:rPr>
          <w:rFonts w:hint="eastAsia"/>
          <w:sz w:val="24"/>
        </w:rPr>
        <w:t>由工程分析可知，</w:t>
      </w:r>
      <w:r>
        <w:rPr>
          <w:bCs/>
          <w:snapToGrid w:val="0"/>
          <w:color w:val="000000" w:themeColor="text1"/>
          <w:kern w:val="0"/>
          <w:sz w:val="24"/>
        </w:rPr>
        <w:t>本项目内部能实现土石方平衡，无废土石方外运</w:t>
      </w:r>
      <w:r>
        <w:rPr>
          <w:rFonts w:hint="eastAsia"/>
          <w:sz w:val="24"/>
        </w:rPr>
        <w:t>。</w:t>
      </w:r>
    </w:p>
    <w:p>
      <w:pPr>
        <w:spacing w:line="360" w:lineRule="auto"/>
        <w:ind w:firstLine="480" w:firstLineChars="200"/>
        <w:rPr>
          <w:sz w:val="24"/>
        </w:rPr>
      </w:pPr>
      <w:r>
        <w:rPr>
          <w:bCs/>
          <w:sz w:val="24"/>
        </w:rPr>
        <w:t>（</w:t>
      </w:r>
      <w:r>
        <w:rPr>
          <w:rFonts w:hint="eastAsia"/>
          <w:bCs/>
          <w:sz w:val="24"/>
        </w:rPr>
        <w:t>2</w:t>
      </w:r>
      <w:r>
        <w:rPr>
          <w:bCs/>
          <w:sz w:val="24"/>
        </w:rPr>
        <w:t>）建筑垃圾</w:t>
      </w:r>
    </w:p>
    <w:p>
      <w:pPr>
        <w:spacing w:line="360" w:lineRule="auto"/>
        <w:ind w:firstLine="480" w:firstLineChars="200"/>
        <w:rPr>
          <w:sz w:val="24"/>
        </w:rPr>
      </w:pPr>
      <w:r>
        <w:rPr>
          <w:rFonts w:hint="eastAsia"/>
          <w:sz w:val="24"/>
        </w:rPr>
        <w:t>项目总建筑垃圾产生量约339.95</w:t>
      </w:r>
      <w:r>
        <w:rPr>
          <w:sz w:val="24"/>
        </w:rPr>
        <w:t>t。</w:t>
      </w:r>
      <w:r>
        <w:rPr>
          <w:rFonts w:hint="eastAsia"/>
          <w:sz w:val="24"/>
        </w:rPr>
        <w:t>建筑垃圾中的废金属、玻璃、木块等集中收集后回收利用，废塑料、废包装袋等运往当地生活垃圾填埋场处置，其余的废混凝土、砂石砖瓦等全部用于场地平整，油漆桶等危险废弃物交给有资质的单位回收处理。</w:t>
      </w:r>
    </w:p>
    <w:p>
      <w:pPr>
        <w:spacing w:line="360" w:lineRule="auto"/>
        <w:ind w:firstLine="480" w:firstLineChars="200"/>
        <w:rPr>
          <w:bCs/>
          <w:sz w:val="24"/>
        </w:rPr>
      </w:pPr>
      <w:r>
        <w:rPr>
          <w:bCs/>
          <w:sz w:val="24"/>
        </w:rPr>
        <w:t>（</w:t>
      </w:r>
      <w:r>
        <w:rPr>
          <w:rFonts w:hint="eastAsia"/>
          <w:bCs/>
          <w:sz w:val="24"/>
        </w:rPr>
        <w:t>3</w:t>
      </w:r>
      <w:r>
        <w:rPr>
          <w:bCs/>
          <w:sz w:val="24"/>
        </w:rPr>
        <w:t>）生活垃圾</w:t>
      </w:r>
    </w:p>
    <w:p>
      <w:pPr>
        <w:spacing w:line="360" w:lineRule="auto"/>
        <w:ind w:firstLine="480" w:firstLineChars="200"/>
        <w:rPr>
          <w:sz w:val="24"/>
        </w:rPr>
      </w:pPr>
      <w:r>
        <w:rPr>
          <w:sz w:val="24"/>
        </w:rPr>
        <w:t>施工期生活垃圾产生总量约为</w:t>
      </w:r>
      <w:r>
        <w:rPr>
          <w:rFonts w:hint="eastAsia"/>
          <w:sz w:val="24"/>
        </w:rPr>
        <w:t>6.88</w:t>
      </w:r>
      <w:r>
        <w:rPr>
          <w:sz w:val="24"/>
        </w:rPr>
        <w:t>t，由于这些垃圾含有大量有机物和病毒、寄生虫和肠道病原体，如不及时收集处理，垃圾中的有机部分就会腐烂发臭，成为细菌繁殖的场所。对施工人员产生的生活垃圾应设置专门的垃圾收集点，并采取密闭措施，定期交乡环卫部门统一处置，不会对周边环境产生污染影响。</w:t>
      </w:r>
    </w:p>
    <w:p>
      <w:pPr>
        <w:spacing w:line="360" w:lineRule="auto"/>
        <w:ind w:firstLine="480" w:firstLineChars="200"/>
        <w:rPr>
          <w:sz w:val="24"/>
        </w:rPr>
      </w:pPr>
      <w:r>
        <w:rPr>
          <w:rFonts w:hint="eastAsia"/>
          <w:sz w:val="24"/>
        </w:rPr>
        <w:t>采取上述措施后，施工期间产生的各类固体废物都将得到妥善处置，对周围环境影响较小</w:t>
      </w:r>
      <w:r>
        <w:rPr>
          <w:sz w:val="24"/>
        </w:rPr>
        <w:t>。</w:t>
      </w:r>
    </w:p>
    <w:p>
      <w:pPr>
        <w:pStyle w:val="7"/>
        <w:adjustRightInd w:val="0"/>
        <w:snapToGrid w:val="0"/>
        <w:spacing w:before="0" w:after="0" w:line="360" w:lineRule="auto"/>
        <w:jc w:val="left"/>
        <w:rPr>
          <w:sz w:val="24"/>
          <w:szCs w:val="24"/>
        </w:rPr>
      </w:pPr>
      <w:r>
        <w:rPr>
          <w:sz w:val="24"/>
          <w:szCs w:val="24"/>
        </w:rPr>
        <w:t>6.1.5 施工期水土流失环境影响分析</w:t>
      </w:r>
    </w:p>
    <w:p>
      <w:pPr>
        <w:spacing w:line="360" w:lineRule="auto"/>
        <w:ind w:firstLine="482" w:firstLineChars="200"/>
        <w:rPr>
          <w:b/>
          <w:sz w:val="24"/>
        </w:rPr>
      </w:pPr>
      <w:r>
        <w:rPr>
          <w:rFonts w:hint="eastAsia"/>
          <w:b/>
          <w:sz w:val="24"/>
        </w:rPr>
        <w:t>1、水土流失分析</w:t>
      </w:r>
    </w:p>
    <w:p>
      <w:pPr>
        <w:spacing w:line="360" w:lineRule="auto"/>
        <w:ind w:firstLine="480" w:firstLineChars="200"/>
        <w:rPr>
          <w:sz w:val="24"/>
        </w:rPr>
      </w:pPr>
      <w:r>
        <w:rPr>
          <w:rFonts w:hint="eastAsia"/>
          <w:sz w:val="24"/>
        </w:rPr>
        <w:t>施工期可能导致水土流失的主要原因是降雨、地表开挖和弃土堆放等。楼宇、道路的土建施工是引起水土流失的工程因素。在施工过程中，突然暴露在雨、风和其他的干扰中，另外，大量的土方挖填和弃土的堆放，都会使土壤暴露情况加剧。施工过程中，泥土转运装卸过程中和堆放时，都可能出现散落和水土流失。</w:t>
      </w:r>
    </w:p>
    <w:p>
      <w:pPr>
        <w:spacing w:line="360" w:lineRule="auto"/>
        <w:ind w:firstLine="480" w:firstLineChars="200"/>
        <w:rPr>
          <w:sz w:val="24"/>
        </w:rPr>
      </w:pPr>
      <w:r>
        <w:rPr>
          <w:rFonts w:hint="eastAsia"/>
          <w:sz w:val="24"/>
        </w:rPr>
        <w:t>根据前文工程分析，项目施工期水土流失量约为98.9t，其土壤侵蚀和流失的程度般，若不采取水土保持措施，裸露的开挖面、松散的弃土弃渣遭遇暴雨、径流的冲蚀，很容易对土地资源、项目区及周边生态环境及项目的建设和运营等造成不利影响。</w:t>
      </w:r>
    </w:p>
    <w:p>
      <w:pPr>
        <w:spacing w:line="360" w:lineRule="auto"/>
        <w:ind w:firstLine="480" w:firstLineChars="200"/>
        <w:rPr>
          <w:sz w:val="24"/>
        </w:rPr>
      </w:pPr>
      <w:r>
        <w:rPr>
          <w:rFonts w:hint="eastAsia"/>
          <w:sz w:val="24"/>
        </w:rPr>
        <w:t>根据主体工程设计，按开发建设项目正常的设计功能，无水土保持工程条件下，将产生土壤流失量，并由此对周边生态环境造成危害。项目建设施工区的水土流失是由于工程施工中挖损破坏以及占压地表，使施工区地形地貌、植被、土壤发生巨大的变化而引起的，属于人为因素的加速侵蚀，具有流失面积集中、流失形式多样等特点，并主要集中在工程施工期间。</w:t>
      </w:r>
    </w:p>
    <w:p>
      <w:pPr>
        <w:spacing w:line="360" w:lineRule="auto"/>
        <w:ind w:firstLine="480" w:firstLineChars="200"/>
        <w:rPr>
          <w:sz w:val="24"/>
        </w:rPr>
      </w:pPr>
      <w:r>
        <w:rPr>
          <w:rFonts w:hint="eastAsia"/>
          <w:sz w:val="24"/>
        </w:rPr>
        <w:t>在工程建设期间，项目区各个功能区均有一定量的土石方工程。虽然各处产生的土石方工程基本上能够在建设区内调运进行内部平衡，但在场地在平整活动中，改变了原地貌形态和地表士层结构，同时损坏了植被层，产生大量的裸露地面和疏松土体，使土壤抗蚀抗冲能力下降。因而在项目建设期内，因为地表的扰动，将会产生不同程度的水土流失。</w:t>
      </w:r>
    </w:p>
    <w:p>
      <w:pPr>
        <w:spacing w:line="360" w:lineRule="auto"/>
        <w:ind w:firstLine="480" w:firstLineChars="200"/>
        <w:rPr>
          <w:sz w:val="24"/>
        </w:rPr>
      </w:pPr>
      <w:r>
        <w:rPr>
          <w:sz w:val="24"/>
        </w:rPr>
        <w:t>（</w:t>
      </w:r>
      <w:r>
        <w:rPr>
          <w:rFonts w:hint="eastAsia"/>
          <w:sz w:val="24"/>
        </w:rPr>
        <w:t>1</w:t>
      </w:r>
      <w:r>
        <w:rPr>
          <w:sz w:val="24"/>
        </w:rPr>
        <w:t>）对土地资源的破坏</w:t>
      </w:r>
    </w:p>
    <w:p>
      <w:pPr>
        <w:spacing w:line="360" w:lineRule="auto"/>
        <w:ind w:firstLine="480" w:firstLineChars="200"/>
        <w:rPr>
          <w:sz w:val="24"/>
        </w:rPr>
      </w:pPr>
      <w:r>
        <w:rPr>
          <w:sz w:val="24"/>
        </w:rPr>
        <w:t>项目建设区施工活动损坏原自然地表、地表植被，形成大面积裸露地表，改变土壤结构，降低或丧失水土保持功能。施工结束后，土地生产力的基础一土壤丧失殆尽，尤其项日区内的红壤区域，扰动后随着侵蚀强度增大，土壤中的N、P、K等有机养分流失量相应加大，使区域土壤日趋贫瘠，严重区域可能产生石漠化。</w:t>
      </w:r>
    </w:p>
    <w:p>
      <w:pPr>
        <w:spacing w:line="360" w:lineRule="auto"/>
        <w:ind w:firstLine="480" w:firstLineChars="200"/>
        <w:rPr>
          <w:sz w:val="24"/>
        </w:rPr>
      </w:pPr>
      <w:r>
        <w:rPr>
          <w:rFonts w:hint="eastAsia"/>
          <w:sz w:val="24"/>
        </w:rPr>
        <w:t>（2）</w:t>
      </w:r>
      <w:r>
        <w:rPr>
          <w:sz w:val="24"/>
        </w:rPr>
        <w:t>对工程区及周边地区生态环境的破坏</w:t>
      </w:r>
    </w:p>
    <w:p>
      <w:pPr>
        <w:spacing w:line="360" w:lineRule="auto"/>
        <w:ind w:firstLine="480" w:firstLineChars="200"/>
        <w:rPr>
          <w:sz w:val="24"/>
        </w:rPr>
      </w:pPr>
      <w:r>
        <w:rPr>
          <w:sz w:val="24"/>
        </w:rPr>
        <w:t>项目开工后，这些林草将遭到严重破坏，导致区域林草覆盖率降低，一些物种数量减少，生物多样性降低，生态系统抵御和抗干扰能力下降，生态环境稳定性降低，工程建设扰动后，土壤侵蚀模数往往是原来的几倍甚至几十倍，加之当地降雨量较集中，如不采取有效的水土保持措施，在水力侵蚀和重力侵蚀的双重作用下，极易造成严重的水土流失及危害。</w:t>
      </w:r>
    </w:p>
    <w:p>
      <w:pPr>
        <w:spacing w:line="360" w:lineRule="auto"/>
        <w:ind w:firstLine="480" w:firstLineChars="200"/>
        <w:rPr>
          <w:sz w:val="24"/>
        </w:rPr>
      </w:pPr>
      <w:r>
        <w:rPr>
          <w:sz w:val="24"/>
        </w:rPr>
        <w:t>（</w:t>
      </w:r>
      <w:r>
        <w:rPr>
          <w:rFonts w:hint="eastAsia"/>
          <w:sz w:val="24"/>
        </w:rPr>
        <w:t>3</w:t>
      </w:r>
      <w:r>
        <w:rPr>
          <w:sz w:val="24"/>
        </w:rPr>
        <w:t>）对项目建设和运营安全的影响</w:t>
      </w:r>
    </w:p>
    <w:p>
      <w:pPr>
        <w:spacing w:line="360" w:lineRule="auto"/>
        <w:ind w:firstLine="480" w:firstLineChars="200"/>
        <w:rPr>
          <w:sz w:val="24"/>
        </w:rPr>
      </w:pPr>
      <w:r>
        <w:rPr>
          <w:sz w:val="24"/>
        </w:rPr>
        <w:t>工程建设可能导致的水土流失与项目区建设的安全息息相关。建设扰动地表可能诱发的水土流失，若得不到有效防治，必将对项目建设和运行期的安全生产造成很大影响。尤其值得注意的是，若得不到及时、有效防治而诱发大量水土流失的发生。</w:t>
      </w:r>
    </w:p>
    <w:p>
      <w:pPr>
        <w:spacing w:line="360" w:lineRule="auto"/>
        <w:ind w:firstLine="480" w:firstLineChars="200"/>
        <w:rPr>
          <w:sz w:val="24"/>
        </w:rPr>
      </w:pPr>
      <w:r>
        <w:rPr>
          <w:rFonts w:hint="eastAsia"/>
          <w:sz w:val="24"/>
        </w:rPr>
        <w:t>（4）</w:t>
      </w:r>
      <w:r>
        <w:rPr>
          <w:sz w:val="24"/>
        </w:rPr>
        <w:t>对当地社会经济活动的影响</w:t>
      </w:r>
    </w:p>
    <w:p>
      <w:pPr>
        <w:spacing w:line="360" w:lineRule="auto"/>
        <w:ind w:firstLine="480" w:firstLineChars="200"/>
        <w:rPr>
          <w:sz w:val="24"/>
        </w:rPr>
      </w:pPr>
      <w:r>
        <w:rPr>
          <w:rFonts w:hint="eastAsia"/>
          <w:sz w:val="24"/>
        </w:rPr>
        <w:t>项</w:t>
      </w:r>
      <w:r>
        <w:rPr>
          <w:sz w:val="24"/>
        </w:rPr>
        <w:t>目的建设为促进地区社会经济发展具有重要意义。若建设过程中产生的水土流失得不到有效防治，必将使建设区现有水土流失加剧，危及周边农田、下游的河流、</w:t>
      </w:r>
      <w:r>
        <w:rPr>
          <w:rFonts w:hint="eastAsia"/>
          <w:sz w:val="24"/>
        </w:rPr>
        <w:t>公路等，不仅给建设区周边居民和企业生产生活带来不利影响，也直接影响整个地区的开发与发展。</w:t>
      </w:r>
    </w:p>
    <w:p>
      <w:pPr>
        <w:spacing w:line="360" w:lineRule="auto"/>
        <w:ind w:firstLine="480" w:firstLineChars="200"/>
        <w:rPr>
          <w:sz w:val="24"/>
        </w:rPr>
      </w:pPr>
      <w:r>
        <w:rPr>
          <w:rFonts w:hint="eastAsia"/>
          <w:sz w:val="24"/>
        </w:rPr>
        <w:t>（5）对项目区周边河流水系的影响</w:t>
      </w:r>
    </w:p>
    <w:p>
      <w:pPr>
        <w:spacing w:line="360" w:lineRule="auto"/>
        <w:ind w:firstLine="480" w:firstLineChars="200"/>
        <w:rPr>
          <w:sz w:val="24"/>
        </w:rPr>
      </w:pPr>
      <w:r>
        <w:rPr>
          <w:rFonts w:hint="eastAsia"/>
          <w:sz w:val="24"/>
        </w:rPr>
        <w:t>项目区在建设过程中产生的渣量较大，如果无有效的措施进行全面防护，在雨季时会使大量弃方被雨水冲入项目区周边的河流、水库中，一方面对水体造成一定污染，另一方面造成渠道淤塞、影响行洪，最终导致水质下降，威胁到渠道周边区域的农田灌溉，造成直接经济损失。</w:t>
      </w:r>
    </w:p>
    <w:p>
      <w:pPr>
        <w:spacing w:line="360" w:lineRule="auto"/>
        <w:ind w:firstLine="480" w:firstLineChars="200"/>
        <w:rPr>
          <w:sz w:val="24"/>
        </w:rPr>
      </w:pPr>
      <w:r>
        <w:rPr>
          <w:rFonts w:hint="eastAsia"/>
          <w:sz w:val="24"/>
        </w:rPr>
        <w:t>总体上，项目区施工阶段的水土流失影响主要集中于生产区及生活区施工期前期，工期较长。另外因项目建设所造成的水士流失的负面影响是短暂和可控的，而项目建成后可大幅度降低项目区的水土流失，其正面影响是相对长期的。因此需要在项目施工过程中采取相应的水土保持措施，可以在施工区设置临时分区围拦设施，减少水土流失的形成面积，另外特别注意加强挖填土阶段的施工环境管理，固定土方的堆放场地，禁止土方在场外的乱堆乱放，防止运输抛洒等，通过以上措施的采取，可将施工造成的水土流失进行有效控制，防止施工的泥土随地表径流流入项目周边农灌渠。</w:t>
      </w:r>
    </w:p>
    <w:p>
      <w:pPr>
        <w:spacing w:line="360" w:lineRule="auto"/>
        <w:ind w:firstLine="482" w:firstLineChars="200"/>
        <w:rPr>
          <w:b/>
          <w:sz w:val="24"/>
        </w:rPr>
      </w:pPr>
      <w:r>
        <w:rPr>
          <w:rFonts w:hint="eastAsia"/>
          <w:b/>
          <w:sz w:val="24"/>
        </w:rPr>
        <w:t>2、生态环境影响分析</w:t>
      </w:r>
    </w:p>
    <w:p>
      <w:pPr>
        <w:spacing w:line="360" w:lineRule="auto"/>
        <w:ind w:firstLine="480" w:firstLineChars="200"/>
        <w:rPr>
          <w:sz w:val="24"/>
        </w:rPr>
      </w:pPr>
      <w:r>
        <w:rPr>
          <w:rFonts w:hint="eastAsia"/>
          <w:sz w:val="24"/>
        </w:rPr>
        <w:t>项目在施工期因土方开挖，铲除地表植被，局部改变区域地形地貌，使原已斑驳的地表大面积显露出人工开挖的痕迹，使区域的景观进一步受到破坏。与施工前相比较，施工场地的景观与项目周边的景色愈加不协调，加上地面扬尘和场地上的施工机械，正在建设的建构筑物，给周围居民造成视觉污染，即施工期将使区域的景观进一步恶化。但是由于项目施工期对景观的不利影响不可避免，只有在施工后期项目区已初具规模，裸露的地表得覆盖，项目区绿化完成后，不利影响才会逐渐减缓和消失。</w:t>
      </w:r>
    </w:p>
    <w:p>
      <w:pPr>
        <w:spacing w:line="360" w:lineRule="auto"/>
        <w:ind w:firstLine="480" w:firstLineChars="200"/>
        <w:rPr>
          <w:sz w:val="24"/>
        </w:rPr>
      </w:pPr>
      <w:r>
        <w:rPr>
          <w:rFonts w:hint="eastAsia"/>
          <w:sz w:val="24"/>
        </w:rPr>
        <w:t>在项目运营期，因施工破坏的局部地形地貌得到修复和恢复，裸露的地表进行了绿化，施工形成的临时凹坑和堆体得到了恢复和防护，构建筑物的施工已结束并进行了装修，使用初期对景观的破坏可以得到恢复。待项目运营一段时间后，项目绿化工程得到效益，景观还会进一步改善。</w:t>
      </w:r>
    </w:p>
    <w:p>
      <w:pPr>
        <w:pStyle w:val="7"/>
        <w:adjustRightInd w:val="0"/>
        <w:snapToGrid w:val="0"/>
        <w:spacing w:before="0" w:after="0" w:line="360" w:lineRule="auto"/>
        <w:jc w:val="left"/>
        <w:rPr>
          <w:sz w:val="24"/>
          <w:szCs w:val="24"/>
        </w:rPr>
      </w:pPr>
      <w:bookmarkStart w:id="318" w:name="_Toc13346"/>
      <w:bookmarkStart w:id="319" w:name="_Toc517522311"/>
      <w:bookmarkStart w:id="320" w:name="_Toc11926"/>
      <w:bookmarkStart w:id="321" w:name="_Toc23602"/>
      <w:bookmarkStart w:id="322" w:name="_Toc2838"/>
      <w:bookmarkStart w:id="323" w:name="_Toc21071"/>
      <w:bookmarkStart w:id="324" w:name="_Toc13935"/>
      <w:r>
        <w:rPr>
          <w:sz w:val="24"/>
          <w:szCs w:val="24"/>
        </w:rPr>
        <w:t>6.1.6 施工期环境影响小结</w:t>
      </w:r>
      <w:bookmarkEnd w:id="318"/>
      <w:bookmarkEnd w:id="319"/>
      <w:bookmarkEnd w:id="320"/>
      <w:bookmarkEnd w:id="321"/>
      <w:bookmarkEnd w:id="322"/>
      <w:bookmarkEnd w:id="323"/>
      <w:bookmarkEnd w:id="324"/>
    </w:p>
    <w:p>
      <w:pPr>
        <w:autoSpaceDE w:val="0"/>
        <w:autoSpaceDN w:val="0"/>
        <w:adjustRightInd w:val="0"/>
        <w:spacing w:line="360" w:lineRule="auto"/>
        <w:ind w:firstLine="480" w:firstLineChars="200"/>
        <w:rPr>
          <w:rFonts w:ascii="宋体" w:cs="宋体" w:hAnsiTheme="minorHAnsi"/>
          <w:kern w:val="0"/>
          <w:sz w:val="24"/>
        </w:rPr>
      </w:pPr>
      <w:r>
        <w:rPr>
          <w:rFonts w:hint="eastAsia" w:ascii="宋体" w:cs="宋体" w:hAnsiTheme="minorHAnsi"/>
          <w:kern w:val="0"/>
          <w:sz w:val="24"/>
        </w:rPr>
        <w:t>通过以上预测分析，为了把施工噪声、扬尘对环境敏感点的影响降至最低，在施工期，由施工单位负责场地环境管理，并接受当地生态环境部门监督、管理。项目建设过程中涉及到地基开挖，在施工中，若发现未勘探到的地下文物，应及时上报有关文物管理部门。</w:t>
      </w:r>
    </w:p>
    <w:p>
      <w:pPr>
        <w:autoSpaceDE w:val="0"/>
        <w:autoSpaceDN w:val="0"/>
        <w:adjustRightInd w:val="0"/>
        <w:spacing w:line="360" w:lineRule="auto"/>
        <w:ind w:firstLine="480" w:firstLineChars="200"/>
        <w:rPr>
          <w:sz w:val="24"/>
        </w:rPr>
      </w:pPr>
      <w:r>
        <w:rPr>
          <w:rFonts w:hint="eastAsia" w:ascii="宋体" w:cs="宋体" w:hAnsiTheme="minorHAnsi"/>
          <w:kern w:val="0"/>
          <w:sz w:val="24"/>
        </w:rPr>
        <w:t>环境管理工作应根据国家有关法律法规及地方生态环境部门的要求建立一套“环境污染控制管理方案”，并利用其中的“运行控制程序”进行严格管理，以便做到文明施工，把对周围环境造成的污染影响降至最低。</w:t>
      </w:r>
    </w:p>
    <w:p>
      <w:pPr>
        <w:pStyle w:val="6"/>
        <w:numPr>
          <w:ilvl w:val="0"/>
          <w:numId w:val="0"/>
        </w:numPr>
        <w:rPr>
          <w:rFonts w:ascii="Times New Roman" w:hAnsi="Times New Roman" w:eastAsia="宋体"/>
          <w:szCs w:val="30"/>
        </w:rPr>
      </w:pPr>
      <w:bookmarkStart w:id="325" w:name="_Toc123886419"/>
      <w:r>
        <w:rPr>
          <w:rFonts w:hint="eastAsia" w:ascii="Times New Roman" w:hAnsi="Times New Roman" w:eastAsia="宋体"/>
          <w:szCs w:val="30"/>
        </w:rPr>
        <w:t>6</w:t>
      </w:r>
      <w:r>
        <w:rPr>
          <w:rFonts w:ascii="Times New Roman" w:hAnsi="Times New Roman" w:eastAsia="宋体"/>
          <w:szCs w:val="30"/>
        </w:rPr>
        <w:t>.2</w:t>
      </w:r>
      <w:r>
        <w:rPr>
          <w:rFonts w:hint="eastAsia" w:ascii="Times New Roman" w:hAnsi="Times New Roman" w:eastAsia="宋体"/>
          <w:szCs w:val="30"/>
        </w:rPr>
        <w:t xml:space="preserve"> </w:t>
      </w:r>
      <w:r>
        <w:rPr>
          <w:rFonts w:ascii="Times New Roman" w:hAnsi="Times New Roman" w:eastAsia="宋体"/>
          <w:szCs w:val="30"/>
        </w:rPr>
        <w:t>运营期环境影响分析</w:t>
      </w:r>
      <w:bookmarkEnd w:id="325"/>
    </w:p>
    <w:p>
      <w:pPr>
        <w:pStyle w:val="7"/>
        <w:adjustRightInd w:val="0"/>
        <w:snapToGrid w:val="0"/>
        <w:spacing w:before="0" w:after="0" w:line="360" w:lineRule="auto"/>
        <w:jc w:val="left"/>
        <w:rPr>
          <w:sz w:val="24"/>
          <w:szCs w:val="24"/>
        </w:rPr>
      </w:pPr>
      <w:r>
        <w:rPr>
          <w:rFonts w:hint="eastAsia"/>
          <w:sz w:val="24"/>
          <w:szCs w:val="24"/>
        </w:rPr>
        <w:t>6.2.1</w:t>
      </w:r>
      <w:bookmarkEnd w:id="288"/>
      <w:bookmarkEnd w:id="289"/>
      <w:bookmarkEnd w:id="290"/>
      <w:bookmarkEnd w:id="291"/>
      <w:bookmarkEnd w:id="292"/>
      <w:bookmarkEnd w:id="293"/>
      <w:bookmarkEnd w:id="294"/>
      <w:r>
        <w:rPr>
          <w:rFonts w:hint="eastAsia"/>
          <w:sz w:val="24"/>
          <w:szCs w:val="24"/>
        </w:rPr>
        <w:t xml:space="preserve"> </w:t>
      </w:r>
      <w:r>
        <w:rPr>
          <w:sz w:val="24"/>
          <w:szCs w:val="24"/>
        </w:rPr>
        <w:t>大气环境影响分析</w:t>
      </w:r>
    </w:p>
    <w:p>
      <w:pPr>
        <w:pStyle w:val="215"/>
        <w:ind w:firstLine="482"/>
        <w:rPr>
          <w:b/>
          <w:bCs/>
        </w:rPr>
      </w:pPr>
      <w:r>
        <w:rPr>
          <w:rFonts w:hint="eastAsia"/>
          <w:b/>
        </w:rPr>
        <w:t>1、污染物排放与预测分析</w:t>
      </w:r>
    </w:p>
    <w:p>
      <w:pPr>
        <w:pStyle w:val="215"/>
        <w:rPr>
          <w:bCs/>
        </w:rPr>
      </w:pPr>
      <w:r>
        <w:rPr>
          <w:bCs/>
        </w:rPr>
        <w:t>根据《环境影响评价技术导则大气环境》（HJT2.2-2018）要求，</w:t>
      </w:r>
      <w:r>
        <w:rPr>
          <w:rFonts w:hint="eastAsia"/>
          <w:bCs/>
        </w:rPr>
        <w:t>结合项目工程分析结果，选择正常排放的主要污染物及排放参数，采用附录A推荐模型中的AERSCREEN模式计算项目污染源的最大环境影响，然后按评价工作分级判据进行分级。</w:t>
      </w:r>
    </w:p>
    <w:p>
      <w:pPr>
        <w:snapToGrid w:val="0"/>
        <w:spacing w:line="360" w:lineRule="auto"/>
        <w:ind w:firstLine="480" w:firstLineChars="200"/>
        <w:rPr>
          <w:sz w:val="24"/>
        </w:rPr>
      </w:pPr>
      <w:r>
        <w:rPr>
          <w:rFonts w:hint="eastAsia"/>
          <w:sz w:val="24"/>
        </w:rPr>
        <w:t>（1）</w:t>
      </w:r>
      <w:r>
        <w:rPr>
          <w:sz w:val="24"/>
        </w:rPr>
        <w:t>Pmax</w:t>
      </w:r>
      <w:r>
        <w:rPr>
          <w:rFonts w:hint="eastAsia"/>
          <w:sz w:val="24"/>
        </w:rPr>
        <w:t>及</w:t>
      </w:r>
      <w:r>
        <w:rPr>
          <w:sz w:val="24"/>
        </w:rPr>
        <w:t>D10%</w:t>
      </w:r>
      <w:r>
        <w:rPr>
          <w:rFonts w:hint="eastAsia"/>
          <w:sz w:val="24"/>
        </w:rPr>
        <w:t>的确定</w:t>
      </w:r>
    </w:p>
    <w:p>
      <w:pPr>
        <w:pStyle w:val="215"/>
        <w:rPr>
          <w:bCs/>
        </w:rPr>
      </w:pPr>
      <w:r>
        <w:rPr>
          <w:rFonts w:hint="eastAsia"/>
          <w:bCs/>
        </w:rPr>
        <w:t>根据项目污染源初步调查结果，分别计算项目排放主要污染物的最大地面空气质量浓度占标率Pi（第i个污染物），及第i个污染物的地面空气质量浓度达到标准值的10%时所对应的最远距离D10%，其中Pi定义为：</w:t>
      </w:r>
    </w:p>
    <w:p>
      <w:pPr>
        <w:snapToGrid w:val="0"/>
        <w:spacing w:line="360" w:lineRule="auto"/>
        <w:jc w:val="center"/>
        <w:rPr>
          <w:sz w:val="24"/>
        </w:rPr>
      </w:pPr>
      <w:r>
        <w:rPr>
          <w:sz w:val="24"/>
        </w:rPr>
        <w:t>P</w:t>
      </w:r>
      <w:r>
        <w:rPr>
          <w:sz w:val="24"/>
          <w:vertAlign w:val="subscript"/>
        </w:rPr>
        <w:t>i</w:t>
      </w:r>
      <w:r>
        <w:rPr>
          <w:sz w:val="24"/>
        </w:rPr>
        <w:t>=C</w:t>
      </w:r>
      <w:r>
        <w:rPr>
          <w:sz w:val="24"/>
          <w:vertAlign w:val="subscript"/>
        </w:rPr>
        <w:t>i</w:t>
      </w:r>
      <w:r>
        <w:rPr>
          <w:sz w:val="24"/>
        </w:rPr>
        <w:t>/C</w:t>
      </w:r>
      <w:r>
        <w:rPr>
          <w:sz w:val="24"/>
          <w:vertAlign w:val="subscript"/>
        </w:rPr>
        <w:t>0i</w:t>
      </w:r>
      <w:r>
        <w:rPr>
          <w:sz w:val="24"/>
        </w:rPr>
        <w:t>×100%</w:t>
      </w:r>
    </w:p>
    <w:p>
      <w:pPr>
        <w:snapToGrid w:val="0"/>
        <w:spacing w:line="360" w:lineRule="auto"/>
        <w:ind w:firstLine="480" w:firstLineChars="200"/>
        <w:rPr>
          <w:sz w:val="24"/>
        </w:rPr>
      </w:pPr>
      <w:r>
        <w:rPr>
          <w:sz w:val="24"/>
        </w:rPr>
        <w:t>P</w:t>
      </w:r>
      <w:r>
        <w:rPr>
          <w:sz w:val="24"/>
          <w:vertAlign w:val="subscript"/>
        </w:rPr>
        <w:t>i</w:t>
      </w:r>
      <w:r>
        <w:rPr>
          <w:sz w:val="24"/>
        </w:rPr>
        <w:t>—</w:t>
      </w:r>
      <w:r>
        <w:rPr>
          <w:sz w:val="24"/>
          <w:lang w:val="zh-CN"/>
        </w:rPr>
        <w:t>第</w:t>
      </w:r>
      <w:r>
        <w:rPr>
          <w:sz w:val="24"/>
        </w:rPr>
        <w:t>i</w:t>
      </w:r>
      <w:r>
        <w:rPr>
          <w:sz w:val="24"/>
          <w:lang w:val="zh-CN"/>
        </w:rPr>
        <w:t>类污染物的最大地面</w:t>
      </w:r>
      <w:r>
        <w:rPr>
          <w:rFonts w:hint="eastAsia"/>
          <w:sz w:val="24"/>
          <w:lang w:val="zh-CN"/>
        </w:rPr>
        <w:t>空气质量</w:t>
      </w:r>
      <w:r>
        <w:rPr>
          <w:sz w:val="24"/>
          <w:lang w:val="zh-CN"/>
        </w:rPr>
        <w:t>浓度占标率</w:t>
      </w:r>
      <w:r>
        <w:rPr>
          <w:sz w:val="24"/>
        </w:rPr>
        <w:t>，%；</w:t>
      </w:r>
    </w:p>
    <w:p>
      <w:pPr>
        <w:snapToGrid w:val="0"/>
        <w:spacing w:line="360" w:lineRule="auto"/>
        <w:ind w:firstLine="480" w:firstLineChars="200"/>
        <w:rPr>
          <w:sz w:val="24"/>
          <w:lang w:val="zh-CN"/>
        </w:rPr>
      </w:pPr>
      <w:r>
        <w:rPr>
          <w:sz w:val="24"/>
          <w:lang w:val="zh-CN"/>
        </w:rPr>
        <w:t>C</w:t>
      </w:r>
      <w:r>
        <w:rPr>
          <w:sz w:val="24"/>
          <w:vertAlign w:val="subscript"/>
          <w:lang w:val="zh-CN"/>
        </w:rPr>
        <w:t>i</w:t>
      </w:r>
      <w:r>
        <w:rPr>
          <w:sz w:val="24"/>
          <w:lang w:val="zh-CN"/>
        </w:rPr>
        <w:t>—采用估算模型计算出的第i个污染物的最大1h地面空气质量浓度，μg/m</w:t>
      </w:r>
      <w:r>
        <w:rPr>
          <w:sz w:val="24"/>
          <w:vertAlign w:val="superscript"/>
          <w:lang w:val="zh-CN"/>
        </w:rPr>
        <w:t>3</w:t>
      </w:r>
      <w:r>
        <w:rPr>
          <w:sz w:val="24"/>
          <w:lang w:val="zh-CN"/>
        </w:rPr>
        <w:t>。</w:t>
      </w:r>
    </w:p>
    <w:p>
      <w:pPr>
        <w:pStyle w:val="215"/>
        <w:rPr>
          <w:lang w:val="zh-CN"/>
        </w:rPr>
      </w:pPr>
      <w:r>
        <w:rPr>
          <w:lang w:val="zh-CN"/>
        </w:rPr>
        <w:t>C</w:t>
      </w:r>
      <w:r>
        <w:rPr>
          <w:vertAlign w:val="subscript"/>
          <w:lang w:val="zh-CN"/>
        </w:rPr>
        <w:t>0i</w:t>
      </w:r>
      <w:r>
        <w:rPr>
          <w:lang w:val="zh-CN"/>
        </w:rPr>
        <w:t>—第i个污染物空气质量浓度标准，μg/m</w:t>
      </w:r>
      <w:r>
        <w:rPr>
          <w:vertAlign w:val="superscript"/>
          <w:lang w:val="zh-CN"/>
        </w:rPr>
        <w:t>3</w:t>
      </w:r>
      <w:r>
        <w:rPr>
          <w:lang w:val="zh-CN"/>
        </w:rPr>
        <w:t>。</w:t>
      </w:r>
    </w:p>
    <w:p>
      <w:pPr>
        <w:pStyle w:val="215"/>
        <w:rPr>
          <w:lang w:val="zh-CN"/>
        </w:rPr>
      </w:pPr>
      <w:r>
        <w:rPr>
          <w:rFonts w:hint="eastAsia"/>
          <w:lang w:val="zh-CN"/>
        </w:rPr>
        <w:t>（2）评价等级判别</w:t>
      </w:r>
    </w:p>
    <w:p>
      <w:pPr>
        <w:snapToGrid w:val="0"/>
        <w:spacing w:line="360" w:lineRule="auto"/>
        <w:ind w:firstLine="480" w:firstLineChars="200"/>
        <w:rPr>
          <w:sz w:val="24"/>
          <w:lang w:val="zh-CN"/>
        </w:rPr>
      </w:pPr>
      <w:r>
        <w:rPr>
          <w:sz w:val="24"/>
          <w:lang w:val="zh-CN"/>
        </w:rPr>
        <w:t>根据《环境影响评价技术导则大气环境》</w:t>
      </w:r>
      <w:r>
        <w:rPr>
          <w:rFonts w:hint="eastAsia"/>
          <w:sz w:val="24"/>
          <w:lang w:val="zh-CN"/>
        </w:rPr>
        <w:t>（</w:t>
      </w:r>
      <w:r>
        <w:rPr>
          <w:sz w:val="24"/>
          <w:lang w:val="zh-CN"/>
        </w:rPr>
        <w:t>HJ2.2-2018</w:t>
      </w:r>
      <w:r>
        <w:rPr>
          <w:rFonts w:hint="eastAsia"/>
          <w:sz w:val="24"/>
          <w:lang w:val="zh-CN"/>
        </w:rPr>
        <w:t>）</w:t>
      </w:r>
      <w:r>
        <w:rPr>
          <w:sz w:val="24"/>
          <w:lang w:val="zh-CN"/>
        </w:rPr>
        <w:t>，大气环境影响评价工作等级按表</w:t>
      </w:r>
      <w:r>
        <w:rPr>
          <w:rFonts w:hint="eastAsia"/>
          <w:sz w:val="24"/>
          <w:lang w:val="zh-CN"/>
        </w:rPr>
        <w:t>6.2-1</w:t>
      </w:r>
      <w:r>
        <w:rPr>
          <w:sz w:val="24"/>
          <w:lang w:val="zh-CN"/>
        </w:rPr>
        <w:t>的分级判据进行划分。</w:t>
      </w:r>
    </w:p>
    <w:p>
      <w:pPr>
        <w:pStyle w:val="263"/>
        <w:spacing w:beforeLines="50" w:line="240" w:lineRule="auto"/>
        <w:ind w:firstLine="0"/>
        <w:jc w:val="center"/>
        <w:rPr>
          <w:rFonts w:ascii="Times New Roman" w:hAnsi="Times New Roman" w:cs="Times New Roman" w:eastAsiaTheme="majorEastAsia"/>
          <w:b/>
          <w:sz w:val="21"/>
          <w:szCs w:val="21"/>
        </w:rPr>
      </w:pPr>
      <w:r>
        <w:rPr>
          <w:rFonts w:ascii="Times New Roman" w:cs="Times New Roman" w:hAnsiTheme="majorEastAsia" w:eastAsiaTheme="majorEastAsia"/>
          <w:b/>
          <w:sz w:val="21"/>
          <w:szCs w:val="21"/>
        </w:rPr>
        <w:t>表</w:t>
      </w:r>
      <w:r>
        <w:rPr>
          <w:rFonts w:hint="eastAsia" w:ascii="Times New Roman" w:hAnsi="Times New Roman" w:cs="Times New Roman" w:eastAsiaTheme="majorEastAsia"/>
          <w:b/>
          <w:sz w:val="21"/>
          <w:szCs w:val="21"/>
        </w:rPr>
        <w:t xml:space="preserve">6.2-1  </w:t>
      </w:r>
      <w:r>
        <w:rPr>
          <w:rFonts w:ascii="Times New Roman" w:cs="Times New Roman" w:hAnsiTheme="majorEastAsia" w:eastAsiaTheme="majorEastAsia"/>
          <w:b/>
          <w:sz w:val="21"/>
          <w:szCs w:val="21"/>
        </w:rPr>
        <w:t>大气评价工作等级划分判据</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44"/>
        <w:gridCol w:w="57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1609" w:type="pct"/>
            <w:vAlign w:val="center"/>
          </w:tcPr>
          <w:p>
            <w:pPr>
              <w:pStyle w:val="245"/>
              <w:tabs>
                <w:tab w:val="left" w:pos="352"/>
              </w:tabs>
              <w:snapToGrid w:val="0"/>
              <w:spacing w:line="300" w:lineRule="exact"/>
              <w:jc w:val="center"/>
              <w:rPr>
                <w:rFonts w:ascii="Times New Roman" w:hAnsi="Times New Roman"/>
                <w:b/>
                <w:bCs w:val="0"/>
                <w:sz w:val="21"/>
                <w:szCs w:val="21"/>
              </w:rPr>
            </w:pPr>
            <w:r>
              <w:rPr>
                <w:rFonts w:ascii="Times New Roman" w:hAnsi="Times New Roman"/>
                <w:b/>
                <w:bCs w:val="0"/>
                <w:sz w:val="21"/>
                <w:szCs w:val="21"/>
              </w:rPr>
              <w:t>评价工作等级</w:t>
            </w:r>
          </w:p>
        </w:tc>
        <w:tc>
          <w:tcPr>
            <w:tcW w:w="3391" w:type="pct"/>
            <w:vAlign w:val="center"/>
          </w:tcPr>
          <w:p>
            <w:pPr>
              <w:pStyle w:val="245"/>
              <w:tabs>
                <w:tab w:val="left" w:pos="352"/>
              </w:tabs>
              <w:snapToGrid w:val="0"/>
              <w:spacing w:line="300" w:lineRule="exact"/>
              <w:jc w:val="center"/>
              <w:rPr>
                <w:rFonts w:ascii="Times New Roman" w:hAnsi="Times New Roman"/>
                <w:b/>
                <w:bCs w:val="0"/>
                <w:sz w:val="21"/>
                <w:szCs w:val="21"/>
              </w:rPr>
            </w:pPr>
            <w:r>
              <w:rPr>
                <w:rFonts w:ascii="Times New Roman" w:hAnsi="Times New Roman"/>
                <w:b/>
                <w:bCs w:val="0"/>
                <w:sz w:val="21"/>
                <w:szCs w:val="21"/>
              </w:rPr>
              <w:t>评价工作分级判据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1609" w:type="pct"/>
            <w:vAlign w:val="center"/>
          </w:tcPr>
          <w:p>
            <w:pPr>
              <w:pStyle w:val="245"/>
              <w:tabs>
                <w:tab w:val="left" w:pos="352"/>
              </w:tabs>
              <w:snapToGrid w:val="0"/>
              <w:spacing w:line="300" w:lineRule="exact"/>
              <w:jc w:val="center"/>
              <w:rPr>
                <w:rFonts w:ascii="Times New Roman" w:hAnsi="Times New Roman"/>
                <w:sz w:val="21"/>
                <w:szCs w:val="21"/>
              </w:rPr>
            </w:pPr>
            <w:r>
              <w:rPr>
                <w:rFonts w:ascii="Times New Roman" w:hAnsi="Times New Roman"/>
                <w:sz w:val="21"/>
                <w:szCs w:val="21"/>
              </w:rPr>
              <w:t>一级</w:t>
            </w:r>
          </w:p>
        </w:tc>
        <w:tc>
          <w:tcPr>
            <w:tcW w:w="3391" w:type="pct"/>
            <w:vAlign w:val="center"/>
          </w:tcPr>
          <w:p>
            <w:pPr>
              <w:pStyle w:val="245"/>
              <w:tabs>
                <w:tab w:val="left" w:pos="352"/>
              </w:tabs>
              <w:snapToGrid w:val="0"/>
              <w:spacing w:line="300" w:lineRule="exact"/>
              <w:jc w:val="center"/>
              <w:rPr>
                <w:rFonts w:ascii="Times New Roman" w:hAnsi="Times New Roman"/>
                <w:sz w:val="21"/>
                <w:szCs w:val="21"/>
              </w:rPr>
            </w:pPr>
            <w:r>
              <w:rPr>
                <w:rFonts w:ascii="Times New Roman" w:hAnsi="Times New Roman"/>
                <w:sz w:val="21"/>
                <w:szCs w:val="21"/>
              </w:rPr>
              <w:t>P</w:t>
            </w:r>
            <w:r>
              <w:rPr>
                <w:rFonts w:ascii="Times New Roman" w:hAnsi="Times New Roman"/>
                <w:sz w:val="21"/>
                <w:szCs w:val="21"/>
                <w:vertAlign w:val="subscript"/>
              </w:rPr>
              <w:t>max</w:t>
            </w:r>
            <w:r>
              <w:rPr>
                <w:rFonts w:ascii="Times New Roman" w:hAnsi="Times New Roman"/>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5" w:hRule="atLeast"/>
        </w:trPr>
        <w:tc>
          <w:tcPr>
            <w:tcW w:w="1609" w:type="pct"/>
            <w:vAlign w:val="center"/>
          </w:tcPr>
          <w:p>
            <w:pPr>
              <w:pStyle w:val="245"/>
              <w:tabs>
                <w:tab w:val="left" w:pos="352"/>
              </w:tabs>
              <w:snapToGrid w:val="0"/>
              <w:spacing w:line="300" w:lineRule="exact"/>
              <w:jc w:val="center"/>
              <w:rPr>
                <w:rFonts w:ascii="Times New Roman" w:hAnsi="Times New Roman"/>
                <w:sz w:val="21"/>
                <w:szCs w:val="21"/>
              </w:rPr>
            </w:pPr>
            <w:r>
              <w:rPr>
                <w:rFonts w:ascii="Times New Roman" w:hAnsi="Times New Roman"/>
                <w:sz w:val="21"/>
                <w:szCs w:val="21"/>
              </w:rPr>
              <w:t>二级</w:t>
            </w:r>
          </w:p>
        </w:tc>
        <w:tc>
          <w:tcPr>
            <w:tcW w:w="3391" w:type="pct"/>
            <w:vAlign w:val="center"/>
          </w:tcPr>
          <w:p>
            <w:pPr>
              <w:pStyle w:val="245"/>
              <w:tabs>
                <w:tab w:val="left" w:pos="352"/>
              </w:tabs>
              <w:snapToGrid w:val="0"/>
              <w:spacing w:line="300" w:lineRule="exact"/>
              <w:jc w:val="center"/>
              <w:rPr>
                <w:rFonts w:ascii="Times New Roman" w:hAnsi="Times New Roman"/>
                <w:sz w:val="21"/>
                <w:szCs w:val="21"/>
              </w:rPr>
            </w:pPr>
            <w:r>
              <w:rPr>
                <w:rFonts w:ascii="Times New Roman" w:hAnsi="Times New Roman"/>
                <w:sz w:val="21"/>
                <w:szCs w:val="21"/>
              </w:rPr>
              <w:t>1%≤P</w:t>
            </w:r>
            <w:r>
              <w:rPr>
                <w:rFonts w:ascii="Times New Roman" w:hAnsi="Times New Roman"/>
                <w:sz w:val="21"/>
                <w:szCs w:val="21"/>
                <w:vertAlign w:val="subscript"/>
              </w:rPr>
              <w:t>max</w:t>
            </w:r>
            <w:r>
              <w:rPr>
                <w:rFonts w:ascii="Times New Roman" w:hAnsi="Times New Roman"/>
                <w:sz w:val="21"/>
                <w:szCs w:val="21"/>
              </w:rPr>
              <w:t>&lt;10%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05" w:hRule="atLeast"/>
        </w:trPr>
        <w:tc>
          <w:tcPr>
            <w:tcW w:w="1609" w:type="pct"/>
            <w:vAlign w:val="center"/>
          </w:tcPr>
          <w:p>
            <w:pPr>
              <w:pStyle w:val="245"/>
              <w:tabs>
                <w:tab w:val="left" w:pos="352"/>
              </w:tabs>
              <w:snapToGrid w:val="0"/>
              <w:spacing w:line="300" w:lineRule="exact"/>
              <w:jc w:val="center"/>
              <w:rPr>
                <w:rFonts w:ascii="Times New Roman" w:hAnsi="Times New Roman"/>
                <w:sz w:val="21"/>
                <w:szCs w:val="21"/>
              </w:rPr>
            </w:pPr>
            <w:r>
              <w:rPr>
                <w:rFonts w:ascii="Times New Roman" w:hAnsi="Times New Roman"/>
                <w:sz w:val="21"/>
                <w:szCs w:val="21"/>
              </w:rPr>
              <w:t>三级</w:t>
            </w:r>
          </w:p>
        </w:tc>
        <w:tc>
          <w:tcPr>
            <w:tcW w:w="3391" w:type="pct"/>
            <w:vAlign w:val="center"/>
          </w:tcPr>
          <w:p>
            <w:pPr>
              <w:pStyle w:val="245"/>
              <w:tabs>
                <w:tab w:val="left" w:pos="352"/>
              </w:tabs>
              <w:snapToGrid w:val="0"/>
              <w:spacing w:line="300" w:lineRule="exact"/>
              <w:jc w:val="center"/>
              <w:rPr>
                <w:rFonts w:ascii="Times New Roman" w:hAnsi="Times New Roman"/>
                <w:sz w:val="21"/>
                <w:szCs w:val="21"/>
              </w:rPr>
            </w:pPr>
            <w:r>
              <w:rPr>
                <w:rFonts w:ascii="Times New Roman" w:hAnsi="Times New Roman"/>
                <w:sz w:val="21"/>
                <w:szCs w:val="21"/>
              </w:rPr>
              <w:t>P</w:t>
            </w:r>
            <w:r>
              <w:rPr>
                <w:rFonts w:ascii="Times New Roman" w:hAnsi="Times New Roman"/>
                <w:sz w:val="21"/>
                <w:szCs w:val="21"/>
                <w:vertAlign w:val="subscript"/>
              </w:rPr>
              <w:t>max</w:t>
            </w:r>
            <w:r>
              <w:rPr>
                <w:rFonts w:ascii="Times New Roman" w:hAnsi="Times New Roman"/>
                <w:sz w:val="21"/>
                <w:szCs w:val="21"/>
              </w:rPr>
              <w:t>&lt;1%</w:t>
            </w:r>
          </w:p>
        </w:tc>
      </w:tr>
    </w:tbl>
    <w:p>
      <w:pPr>
        <w:pStyle w:val="215"/>
        <w:rPr>
          <w:bCs/>
        </w:rPr>
      </w:pPr>
      <w:r>
        <w:rPr>
          <w:rFonts w:hint="eastAsia"/>
          <w:bCs/>
        </w:rPr>
        <w:t>（3）污染物评价标准</w:t>
      </w:r>
    </w:p>
    <w:p>
      <w:pPr>
        <w:snapToGrid w:val="0"/>
        <w:spacing w:line="360" w:lineRule="auto"/>
        <w:ind w:firstLine="480"/>
        <w:rPr>
          <w:sz w:val="24"/>
        </w:rPr>
      </w:pPr>
      <w:r>
        <w:rPr>
          <w:sz w:val="24"/>
        </w:rPr>
        <w:t>评价因子和评价标准见下表。</w:t>
      </w:r>
    </w:p>
    <w:p>
      <w:pPr>
        <w:pStyle w:val="263"/>
        <w:spacing w:beforeLines="50" w:line="240" w:lineRule="auto"/>
        <w:ind w:firstLine="0"/>
        <w:jc w:val="center"/>
        <w:rPr>
          <w:rFonts w:ascii="Times New Roman" w:cs="Times New Roman" w:hAnsiTheme="majorEastAsia" w:eastAsiaTheme="majorEastAsia"/>
          <w:b/>
          <w:sz w:val="21"/>
          <w:szCs w:val="21"/>
        </w:rPr>
      </w:pPr>
      <w:r>
        <w:rPr>
          <w:rFonts w:ascii="Times New Roman" w:cs="Times New Roman" w:hAnsiTheme="majorEastAsia" w:eastAsiaTheme="majorEastAsia"/>
          <w:b/>
          <w:sz w:val="21"/>
          <w:szCs w:val="21"/>
        </w:rPr>
        <w:t>表</w:t>
      </w:r>
      <w:r>
        <w:rPr>
          <w:rFonts w:hint="eastAsia" w:ascii="Times New Roman" w:cs="Times New Roman" w:hAnsiTheme="majorEastAsia" w:eastAsiaTheme="majorEastAsia"/>
          <w:b/>
          <w:sz w:val="21"/>
          <w:szCs w:val="21"/>
        </w:rPr>
        <w:t>6.2</w:t>
      </w:r>
      <w:r>
        <w:rPr>
          <w:rFonts w:ascii="Times New Roman" w:cs="Times New Roman" w:hAnsiTheme="majorEastAsia" w:eastAsiaTheme="majorEastAsia"/>
          <w:b/>
          <w:sz w:val="21"/>
          <w:szCs w:val="21"/>
        </w:rPr>
        <w:t>-</w:t>
      </w:r>
      <w:r>
        <w:rPr>
          <w:rFonts w:hint="eastAsia" w:ascii="Times New Roman" w:cs="Times New Roman" w:hAnsiTheme="majorEastAsia" w:eastAsiaTheme="majorEastAsia"/>
          <w:b/>
          <w:sz w:val="21"/>
          <w:szCs w:val="21"/>
        </w:rPr>
        <w:t xml:space="preserve">2   </w:t>
      </w:r>
      <w:r>
        <w:rPr>
          <w:rFonts w:ascii="Times New Roman" w:cs="Times New Roman" w:hAnsiTheme="majorEastAsia" w:eastAsiaTheme="majorEastAsia"/>
          <w:b/>
          <w:sz w:val="21"/>
          <w:szCs w:val="21"/>
        </w:rPr>
        <w:t>评价因子和评价标准表</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89"/>
        <w:gridCol w:w="1191"/>
        <w:gridCol w:w="1571"/>
        <w:gridCol w:w="1764"/>
        <w:gridCol w:w="32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3" w:type="pct"/>
            <w:vAlign w:val="center"/>
          </w:tcPr>
          <w:p>
            <w:pPr>
              <w:snapToGrid w:val="0"/>
              <w:jc w:val="center"/>
              <w:rPr>
                <w:b/>
                <w:spacing w:val="-20"/>
                <w:szCs w:val="21"/>
              </w:rPr>
            </w:pPr>
            <w:r>
              <w:rPr>
                <w:b/>
                <w:spacing w:val="-20"/>
                <w:szCs w:val="21"/>
              </w:rPr>
              <w:t>序号</w:t>
            </w:r>
          </w:p>
        </w:tc>
        <w:tc>
          <w:tcPr>
            <w:tcW w:w="698" w:type="pct"/>
            <w:vAlign w:val="center"/>
          </w:tcPr>
          <w:p>
            <w:pPr>
              <w:snapToGrid w:val="0"/>
              <w:jc w:val="center"/>
              <w:rPr>
                <w:b/>
                <w:szCs w:val="21"/>
              </w:rPr>
            </w:pPr>
            <w:r>
              <w:rPr>
                <w:b/>
                <w:szCs w:val="21"/>
              </w:rPr>
              <w:t>污染物</w:t>
            </w:r>
          </w:p>
        </w:tc>
        <w:tc>
          <w:tcPr>
            <w:tcW w:w="921" w:type="pct"/>
            <w:vAlign w:val="center"/>
          </w:tcPr>
          <w:p>
            <w:pPr>
              <w:snapToGrid w:val="0"/>
              <w:jc w:val="center"/>
              <w:rPr>
                <w:b/>
                <w:szCs w:val="21"/>
              </w:rPr>
            </w:pPr>
            <w:r>
              <w:rPr>
                <w:b/>
                <w:szCs w:val="21"/>
              </w:rPr>
              <w:t>取值时间</w:t>
            </w:r>
          </w:p>
        </w:tc>
        <w:tc>
          <w:tcPr>
            <w:tcW w:w="1034" w:type="pct"/>
            <w:vAlign w:val="center"/>
          </w:tcPr>
          <w:p>
            <w:pPr>
              <w:snapToGrid w:val="0"/>
              <w:jc w:val="center"/>
              <w:rPr>
                <w:b/>
                <w:szCs w:val="21"/>
              </w:rPr>
            </w:pPr>
            <w:r>
              <w:rPr>
                <w:b/>
                <w:szCs w:val="21"/>
              </w:rPr>
              <w:t>标准值（μg/m</w:t>
            </w:r>
            <w:r>
              <w:rPr>
                <w:b/>
                <w:szCs w:val="21"/>
                <w:vertAlign w:val="superscript"/>
              </w:rPr>
              <w:t>3</w:t>
            </w:r>
            <w:r>
              <w:rPr>
                <w:b/>
                <w:szCs w:val="21"/>
              </w:rPr>
              <w:t>）</w:t>
            </w:r>
          </w:p>
        </w:tc>
        <w:tc>
          <w:tcPr>
            <w:tcW w:w="1884" w:type="pct"/>
            <w:vAlign w:val="center"/>
          </w:tcPr>
          <w:p>
            <w:pPr>
              <w:snapToGrid w:val="0"/>
              <w:jc w:val="center"/>
              <w:rPr>
                <w:b/>
                <w:szCs w:val="21"/>
              </w:rPr>
            </w:pPr>
            <w:r>
              <w:rPr>
                <w:b/>
                <w:szCs w:val="21"/>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3" w:type="pct"/>
            <w:vAlign w:val="center"/>
          </w:tcPr>
          <w:p>
            <w:pPr>
              <w:snapToGrid w:val="0"/>
              <w:jc w:val="center"/>
              <w:rPr>
                <w:szCs w:val="21"/>
              </w:rPr>
            </w:pPr>
            <w:r>
              <w:rPr>
                <w:szCs w:val="21"/>
              </w:rPr>
              <w:t>1</w:t>
            </w:r>
          </w:p>
        </w:tc>
        <w:tc>
          <w:tcPr>
            <w:tcW w:w="698" w:type="pct"/>
            <w:vAlign w:val="center"/>
          </w:tcPr>
          <w:p>
            <w:pPr>
              <w:snapToGrid w:val="0"/>
              <w:jc w:val="center"/>
              <w:rPr>
                <w:szCs w:val="21"/>
              </w:rPr>
            </w:pPr>
            <w:r>
              <w:rPr>
                <w:szCs w:val="21"/>
              </w:rPr>
              <w:t>H</w:t>
            </w:r>
            <w:r>
              <w:rPr>
                <w:szCs w:val="21"/>
                <w:vertAlign w:val="subscript"/>
              </w:rPr>
              <w:t>2</w:t>
            </w:r>
            <w:r>
              <w:rPr>
                <w:szCs w:val="21"/>
              </w:rPr>
              <w:t>S</w:t>
            </w:r>
          </w:p>
        </w:tc>
        <w:tc>
          <w:tcPr>
            <w:tcW w:w="921" w:type="pct"/>
            <w:vAlign w:val="center"/>
          </w:tcPr>
          <w:p>
            <w:pPr>
              <w:adjustRightInd w:val="0"/>
              <w:snapToGrid w:val="0"/>
              <w:jc w:val="center"/>
              <w:rPr>
                <w:szCs w:val="21"/>
              </w:rPr>
            </w:pPr>
            <w:r>
              <w:rPr>
                <w:szCs w:val="21"/>
              </w:rPr>
              <w:t>1小时平均</w:t>
            </w:r>
          </w:p>
        </w:tc>
        <w:tc>
          <w:tcPr>
            <w:tcW w:w="1034" w:type="pct"/>
            <w:vAlign w:val="center"/>
          </w:tcPr>
          <w:p>
            <w:pPr>
              <w:snapToGrid w:val="0"/>
              <w:jc w:val="center"/>
              <w:rPr>
                <w:szCs w:val="21"/>
              </w:rPr>
            </w:pPr>
            <w:r>
              <w:rPr>
                <w:szCs w:val="21"/>
              </w:rPr>
              <w:t>10</w:t>
            </w:r>
          </w:p>
        </w:tc>
        <w:tc>
          <w:tcPr>
            <w:tcW w:w="1884" w:type="pct"/>
            <w:vMerge w:val="restart"/>
            <w:vAlign w:val="center"/>
          </w:tcPr>
          <w:p>
            <w:pPr>
              <w:snapToGrid w:val="0"/>
              <w:jc w:val="center"/>
              <w:rPr>
                <w:szCs w:val="21"/>
              </w:rPr>
            </w:pPr>
            <w:r>
              <w:rPr>
                <w:szCs w:val="21"/>
              </w:rPr>
              <w:t>《环境影响评价技术导则大气环境》（HJ2.2—2018）中附录D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3" w:type="pct"/>
            <w:vAlign w:val="center"/>
          </w:tcPr>
          <w:p>
            <w:pPr>
              <w:snapToGrid w:val="0"/>
              <w:jc w:val="center"/>
              <w:rPr>
                <w:szCs w:val="21"/>
              </w:rPr>
            </w:pPr>
            <w:r>
              <w:rPr>
                <w:szCs w:val="21"/>
              </w:rPr>
              <w:t>2</w:t>
            </w:r>
          </w:p>
        </w:tc>
        <w:tc>
          <w:tcPr>
            <w:tcW w:w="698" w:type="pct"/>
            <w:vAlign w:val="center"/>
          </w:tcPr>
          <w:p>
            <w:pPr>
              <w:snapToGrid w:val="0"/>
              <w:jc w:val="center"/>
              <w:rPr>
                <w:szCs w:val="21"/>
              </w:rPr>
            </w:pPr>
            <w:r>
              <w:rPr>
                <w:szCs w:val="21"/>
              </w:rPr>
              <w:t>NH</w:t>
            </w:r>
            <w:r>
              <w:rPr>
                <w:szCs w:val="21"/>
                <w:vertAlign w:val="subscript"/>
              </w:rPr>
              <w:t>3</w:t>
            </w:r>
          </w:p>
        </w:tc>
        <w:tc>
          <w:tcPr>
            <w:tcW w:w="921" w:type="pct"/>
            <w:vAlign w:val="center"/>
          </w:tcPr>
          <w:p>
            <w:pPr>
              <w:adjustRightInd w:val="0"/>
              <w:snapToGrid w:val="0"/>
              <w:jc w:val="center"/>
              <w:rPr>
                <w:szCs w:val="21"/>
              </w:rPr>
            </w:pPr>
            <w:r>
              <w:rPr>
                <w:szCs w:val="21"/>
              </w:rPr>
              <w:t>1小时平均</w:t>
            </w:r>
          </w:p>
        </w:tc>
        <w:tc>
          <w:tcPr>
            <w:tcW w:w="1034" w:type="pct"/>
            <w:vAlign w:val="center"/>
          </w:tcPr>
          <w:p>
            <w:pPr>
              <w:snapToGrid w:val="0"/>
              <w:jc w:val="center"/>
              <w:rPr>
                <w:szCs w:val="21"/>
              </w:rPr>
            </w:pPr>
            <w:r>
              <w:rPr>
                <w:szCs w:val="21"/>
              </w:rPr>
              <w:t>200</w:t>
            </w:r>
          </w:p>
        </w:tc>
        <w:tc>
          <w:tcPr>
            <w:tcW w:w="1884" w:type="pct"/>
            <w:vMerge w:val="continue"/>
            <w:vAlign w:val="center"/>
          </w:tcPr>
          <w:p>
            <w:pPr>
              <w:snapToGrid w:val="0"/>
              <w:ind w:firstLine="420"/>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3" w:type="pct"/>
            <w:vAlign w:val="center"/>
          </w:tcPr>
          <w:p>
            <w:pPr>
              <w:snapToGrid w:val="0"/>
              <w:jc w:val="center"/>
              <w:rPr>
                <w:rFonts w:hint="eastAsia" w:eastAsia="宋体"/>
                <w:szCs w:val="21"/>
                <w:lang w:val="en-US" w:eastAsia="zh-CN"/>
              </w:rPr>
            </w:pPr>
            <w:r>
              <w:rPr>
                <w:rFonts w:hint="eastAsia"/>
                <w:szCs w:val="21"/>
                <w:lang w:val="en-US" w:eastAsia="zh-CN"/>
              </w:rPr>
              <w:t>3</w:t>
            </w:r>
          </w:p>
        </w:tc>
        <w:tc>
          <w:tcPr>
            <w:tcW w:w="698" w:type="pct"/>
            <w:vAlign w:val="center"/>
          </w:tcPr>
          <w:p>
            <w:pPr>
              <w:snapToGrid w:val="0"/>
              <w:jc w:val="center"/>
              <w:rPr>
                <w:rFonts w:hint="default" w:eastAsia="宋体"/>
                <w:szCs w:val="21"/>
                <w:lang w:val="en-US" w:eastAsia="zh-CN"/>
              </w:rPr>
            </w:pPr>
            <w:r>
              <w:rPr>
                <w:rFonts w:hint="eastAsia"/>
                <w:szCs w:val="21"/>
                <w:lang w:val="en-US" w:eastAsia="zh-CN"/>
              </w:rPr>
              <w:t>TSP</w:t>
            </w:r>
          </w:p>
        </w:tc>
        <w:tc>
          <w:tcPr>
            <w:tcW w:w="921" w:type="pct"/>
            <w:vAlign w:val="center"/>
          </w:tcPr>
          <w:p>
            <w:pPr>
              <w:adjustRightInd w:val="0"/>
              <w:snapToGrid w:val="0"/>
              <w:jc w:val="center"/>
              <w:rPr>
                <w:szCs w:val="21"/>
              </w:rPr>
            </w:pPr>
            <w:r>
              <w:rPr>
                <w:szCs w:val="21"/>
              </w:rPr>
              <w:t>1小时平均</w:t>
            </w:r>
          </w:p>
        </w:tc>
        <w:tc>
          <w:tcPr>
            <w:tcW w:w="1034" w:type="pct"/>
            <w:vAlign w:val="center"/>
          </w:tcPr>
          <w:p>
            <w:pPr>
              <w:snapToGrid w:val="0"/>
              <w:jc w:val="center"/>
              <w:rPr>
                <w:rFonts w:hint="default" w:eastAsia="宋体"/>
                <w:szCs w:val="21"/>
                <w:lang w:val="en-US" w:eastAsia="zh-CN"/>
              </w:rPr>
            </w:pPr>
            <w:r>
              <w:rPr>
                <w:rFonts w:hint="eastAsia"/>
                <w:szCs w:val="21"/>
                <w:lang w:val="en-US" w:eastAsia="zh-CN"/>
              </w:rPr>
              <w:t>900</w:t>
            </w:r>
          </w:p>
        </w:tc>
        <w:tc>
          <w:tcPr>
            <w:tcW w:w="1884" w:type="pct"/>
            <w:vAlign w:val="center"/>
          </w:tcPr>
          <w:p>
            <w:pPr>
              <w:snapToGrid w:val="0"/>
              <w:ind w:firstLine="420"/>
              <w:jc w:val="center"/>
              <w:rPr>
                <w:rFonts w:hint="default" w:eastAsia="宋体"/>
                <w:szCs w:val="21"/>
                <w:lang w:val="en-US" w:eastAsia="zh-CN"/>
              </w:rPr>
            </w:pPr>
            <w:r>
              <w:rPr>
                <w:kern w:val="0"/>
                <w:szCs w:val="21"/>
              </w:rPr>
              <w:t>《环境空气质量标准》（GB3095-2012）</w:t>
            </w:r>
            <w:r>
              <w:rPr>
                <w:rFonts w:hint="eastAsia"/>
                <w:kern w:val="0"/>
                <w:szCs w:val="21"/>
                <w:lang w:val="en-US" w:eastAsia="zh-CN"/>
              </w:rPr>
              <w:t>日均值的3倍</w:t>
            </w:r>
          </w:p>
        </w:tc>
      </w:tr>
    </w:tbl>
    <w:p>
      <w:pPr>
        <w:pStyle w:val="215"/>
        <w:rPr>
          <w:bCs/>
        </w:rPr>
      </w:pPr>
      <w:r>
        <w:rPr>
          <w:rFonts w:hint="eastAsia"/>
          <w:bCs/>
        </w:rPr>
        <w:t>（4）污染源参数</w:t>
      </w:r>
    </w:p>
    <w:p>
      <w:pPr>
        <w:snapToGrid w:val="0"/>
        <w:spacing w:line="360" w:lineRule="auto"/>
        <w:ind w:firstLine="480"/>
        <w:rPr>
          <w:sz w:val="24"/>
        </w:rPr>
      </w:pPr>
      <w:r>
        <w:rPr>
          <w:sz w:val="24"/>
        </w:rPr>
        <w:t>根据工程分析，项目</w:t>
      </w:r>
      <w:r>
        <w:rPr>
          <w:rFonts w:hint="eastAsia"/>
          <w:sz w:val="24"/>
        </w:rPr>
        <w:t>源强参数见表6.2-</w:t>
      </w:r>
      <w:r>
        <w:rPr>
          <w:rFonts w:hint="eastAsia"/>
          <w:sz w:val="24"/>
          <w:lang w:val="en-US" w:eastAsia="zh-CN"/>
        </w:rPr>
        <w:t>3</w:t>
      </w:r>
      <w:r>
        <w:rPr>
          <w:rFonts w:hint="eastAsia"/>
          <w:sz w:val="24"/>
        </w:rPr>
        <w:t>。</w:t>
      </w:r>
    </w:p>
    <w:p>
      <w:pPr>
        <w:pStyle w:val="263"/>
        <w:spacing w:beforeLines="50" w:line="240" w:lineRule="auto"/>
        <w:ind w:firstLine="0"/>
        <w:jc w:val="center"/>
        <w:rPr>
          <w:rFonts w:ascii="Times New Roman" w:cs="Times New Roman" w:hAnsiTheme="majorEastAsia" w:eastAsiaTheme="majorEastAsia"/>
          <w:b/>
          <w:sz w:val="21"/>
          <w:szCs w:val="21"/>
        </w:rPr>
        <w:sectPr>
          <w:headerReference r:id="rId16" w:type="default"/>
          <w:footerReference r:id="rId17"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17"/>
        <w:spacing w:beforeLines="50"/>
        <w:rPr>
          <w:rFonts w:ascii="Times New Roman" w:cs="Times New Roman"/>
          <w:color w:val="auto"/>
          <w:sz w:val="21"/>
        </w:rPr>
      </w:pPr>
      <w:r>
        <w:rPr>
          <w:rFonts w:ascii="Times New Roman" w:cs="Times New Roman"/>
          <w:color w:val="auto"/>
          <w:sz w:val="21"/>
        </w:rPr>
        <w:t>表</w:t>
      </w:r>
      <w:r>
        <w:rPr>
          <w:rFonts w:ascii="Times New Roman" w:hAnsi="Times New Roman" w:cs="Times New Roman"/>
          <w:color w:val="auto"/>
          <w:sz w:val="21"/>
        </w:rPr>
        <w:t>6.2-</w:t>
      </w:r>
      <w:r>
        <w:rPr>
          <w:rFonts w:hint="eastAsia" w:ascii="Times New Roman" w:hAnsi="Times New Roman" w:cs="Times New Roman"/>
          <w:color w:val="auto"/>
          <w:sz w:val="21"/>
          <w:lang w:val="en-US" w:eastAsia="zh-CN"/>
        </w:rPr>
        <w:t>3</w:t>
      </w:r>
      <w:r>
        <w:rPr>
          <w:rFonts w:ascii="Times New Roman" w:hAnsi="Times New Roman" w:cs="Times New Roman"/>
          <w:color w:val="auto"/>
          <w:sz w:val="21"/>
        </w:rPr>
        <w:t xml:space="preserve">  </w:t>
      </w:r>
      <w:r>
        <w:rPr>
          <w:rFonts w:ascii="Times New Roman" w:cs="Times New Roman"/>
          <w:color w:val="auto"/>
          <w:sz w:val="21"/>
        </w:rPr>
        <w:t>项目面源参数表</w:t>
      </w:r>
    </w:p>
    <w:tbl>
      <w:tblPr>
        <w:tblStyle w:val="47"/>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16"/>
        <w:gridCol w:w="1416"/>
        <w:gridCol w:w="1321"/>
        <w:gridCol w:w="1000"/>
        <w:gridCol w:w="1034"/>
        <w:gridCol w:w="924"/>
        <w:gridCol w:w="1162"/>
        <w:gridCol w:w="1034"/>
        <w:gridCol w:w="1034"/>
        <w:gridCol w:w="1530"/>
        <w:gridCol w:w="1221"/>
        <w:gridCol w:w="14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59" w:type="pct"/>
            <w:vMerge w:val="restart"/>
            <w:vAlign w:val="center"/>
          </w:tcPr>
          <w:p>
            <w:pPr>
              <w:jc w:val="center"/>
              <w:rPr>
                <w:b/>
              </w:rPr>
            </w:pPr>
            <w:r>
              <w:rPr>
                <w:rFonts w:hAnsi="Calibri"/>
                <w:b/>
              </w:rPr>
              <w:t>名称</w:t>
            </w:r>
          </w:p>
        </w:tc>
        <w:tc>
          <w:tcPr>
            <w:tcW w:w="965" w:type="pct"/>
            <w:gridSpan w:val="2"/>
            <w:vAlign w:val="center"/>
          </w:tcPr>
          <w:p>
            <w:pPr>
              <w:jc w:val="center"/>
              <w:rPr>
                <w:b/>
              </w:rPr>
            </w:pPr>
            <w:r>
              <w:rPr>
                <w:rFonts w:hAnsi="Calibri"/>
                <w:b/>
              </w:rPr>
              <w:t>中心点坐标</w:t>
            </w:r>
            <w:r>
              <w:rPr>
                <w:rFonts w:hint="eastAsia" w:hAnsi="Calibri"/>
                <w:b/>
              </w:rPr>
              <w:t>/m</w:t>
            </w:r>
          </w:p>
        </w:tc>
        <w:tc>
          <w:tcPr>
            <w:tcW w:w="353" w:type="pct"/>
            <w:vMerge w:val="restart"/>
            <w:vAlign w:val="center"/>
          </w:tcPr>
          <w:p>
            <w:pPr>
              <w:jc w:val="center"/>
              <w:rPr>
                <w:b/>
              </w:rPr>
            </w:pPr>
            <w:r>
              <w:rPr>
                <w:rFonts w:hint="eastAsia"/>
                <w:b/>
              </w:rPr>
              <w:t>面源海拔高度/m</w:t>
            </w:r>
          </w:p>
        </w:tc>
        <w:tc>
          <w:tcPr>
            <w:tcW w:w="1101" w:type="pct"/>
            <w:gridSpan w:val="3"/>
            <w:vAlign w:val="center"/>
          </w:tcPr>
          <w:p>
            <w:pPr>
              <w:jc w:val="center"/>
              <w:rPr>
                <w:b/>
              </w:rPr>
            </w:pPr>
            <w:r>
              <w:rPr>
                <w:rFonts w:hint="eastAsia"/>
                <w:b/>
              </w:rPr>
              <w:t>矩形面源/m</w:t>
            </w:r>
          </w:p>
        </w:tc>
        <w:tc>
          <w:tcPr>
            <w:tcW w:w="365" w:type="pct"/>
            <w:vMerge w:val="restart"/>
            <w:vAlign w:val="center"/>
          </w:tcPr>
          <w:p>
            <w:pPr>
              <w:jc w:val="center"/>
              <w:rPr>
                <w:b/>
              </w:rPr>
            </w:pPr>
            <w:r>
              <w:rPr>
                <w:rFonts w:hint="eastAsia"/>
                <w:b/>
              </w:rPr>
              <w:t>年排放小时数/h</w:t>
            </w:r>
          </w:p>
        </w:tc>
        <w:tc>
          <w:tcPr>
            <w:tcW w:w="365" w:type="pct"/>
            <w:vMerge w:val="restart"/>
            <w:vAlign w:val="center"/>
          </w:tcPr>
          <w:p>
            <w:pPr>
              <w:jc w:val="center"/>
              <w:rPr>
                <w:b/>
              </w:rPr>
            </w:pPr>
            <w:r>
              <w:rPr>
                <w:rFonts w:hint="eastAsia"/>
                <w:b/>
              </w:rPr>
              <w:t>排放工况</w:t>
            </w:r>
          </w:p>
        </w:tc>
        <w:tc>
          <w:tcPr>
            <w:tcW w:w="1490" w:type="pct"/>
            <w:gridSpan w:val="3"/>
            <w:vAlign w:val="center"/>
          </w:tcPr>
          <w:p>
            <w:pPr>
              <w:jc w:val="center"/>
              <w:rPr>
                <w:rFonts w:hint="eastAsia"/>
                <w:b/>
              </w:rPr>
            </w:pPr>
            <w:r>
              <w:rPr>
                <w:rFonts w:hint="eastAsia"/>
                <w:b/>
              </w:rPr>
              <w:t>污染物排放速率/（kg/h）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59" w:type="pct"/>
            <w:vMerge w:val="continue"/>
            <w:vAlign w:val="center"/>
          </w:tcPr>
          <w:p>
            <w:pPr>
              <w:jc w:val="center"/>
              <w:rPr>
                <w:b/>
              </w:rPr>
            </w:pPr>
          </w:p>
        </w:tc>
        <w:tc>
          <w:tcPr>
            <w:tcW w:w="499" w:type="pct"/>
            <w:vAlign w:val="center"/>
          </w:tcPr>
          <w:p>
            <w:pPr>
              <w:jc w:val="center"/>
              <w:rPr>
                <w:b/>
              </w:rPr>
            </w:pPr>
            <w:r>
              <w:rPr>
                <w:b/>
              </w:rPr>
              <w:t>X</w:t>
            </w:r>
          </w:p>
        </w:tc>
        <w:tc>
          <w:tcPr>
            <w:tcW w:w="466" w:type="pct"/>
            <w:vAlign w:val="center"/>
          </w:tcPr>
          <w:p>
            <w:pPr>
              <w:jc w:val="center"/>
              <w:rPr>
                <w:b/>
              </w:rPr>
            </w:pPr>
            <w:r>
              <w:rPr>
                <w:b/>
              </w:rPr>
              <w:t>Y</w:t>
            </w:r>
          </w:p>
        </w:tc>
        <w:tc>
          <w:tcPr>
            <w:tcW w:w="353" w:type="pct"/>
            <w:vMerge w:val="continue"/>
            <w:vAlign w:val="center"/>
          </w:tcPr>
          <w:p>
            <w:pPr>
              <w:jc w:val="center"/>
              <w:rPr>
                <w:b/>
              </w:rPr>
            </w:pPr>
          </w:p>
        </w:tc>
        <w:tc>
          <w:tcPr>
            <w:tcW w:w="365" w:type="pct"/>
            <w:vAlign w:val="center"/>
          </w:tcPr>
          <w:p>
            <w:pPr>
              <w:jc w:val="center"/>
              <w:rPr>
                <w:b/>
              </w:rPr>
            </w:pPr>
            <w:r>
              <w:rPr>
                <w:b/>
              </w:rPr>
              <w:t>长度</w:t>
            </w:r>
          </w:p>
        </w:tc>
        <w:tc>
          <w:tcPr>
            <w:tcW w:w="326" w:type="pct"/>
            <w:vAlign w:val="center"/>
          </w:tcPr>
          <w:p>
            <w:pPr>
              <w:jc w:val="center"/>
              <w:rPr>
                <w:b/>
              </w:rPr>
            </w:pPr>
            <w:r>
              <w:rPr>
                <w:b/>
              </w:rPr>
              <w:t>宽度</w:t>
            </w:r>
          </w:p>
        </w:tc>
        <w:tc>
          <w:tcPr>
            <w:tcW w:w="409" w:type="pct"/>
            <w:vAlign w:val="center"/>
          </w:tcPr>
          <w:p>
            <w:pPr>
              <w:jc w:val="center"/>
              <w:rPr>
                <w:b/>
              </w:rPr>
            </w:pPr>
            <w:r>
              <w:rPr>
                <w:b/>
              </w:rPr>
              <w:t>有效高度</w:t>
            </w:r>
          </w:p>
        </w:tc>
        <w:tc>
          <w:tcPr>
            <w:tcW w:w="365" w:type="pct"/>
            <w:vMerge w:val="continue"/>
            <w:vAlign w:val="center"/>
          </w:tcPr>
          <w:p>
            <w:pPr>
              <w:jc w:val="center"/>
              <w:rPr>
                <w:b/>
              </w:rPr>
            </w:pPr>
          </w:p>
        </w:tc>
        <w:tc>
          <w:tcPr>
            <w:tcW w:w="365" w:type="pct"/>
            <w:vMerge w:val="continue"/>
            <w:vAlign w:val="center"/>
          </w:tcPr>
          <w:p>
            <w:pPr>
              <w:jc w:val="center"/>
              <w:rPr>
                <w:b/>
              </w:rPr>
            </w:pPr>
          </w:p>
        </w:tc>
        <w:tc>
          <w:tcPr>
            <w:tcW w:w="540" w:type="pct"/>
            <w:vAlign w:val="center"/>
          </w:tcPr>
          <w:p>
            <w:pPr>
              <w:jc w:val="center"/>
              <w:rPr>
                <w:b/>
              </w:rPr>
            </w:pPr>
            <w:r>
              <w:rPr>
                <w:b/>
              </w:rPr>
              <w:t>氨气</w:t>
            </w:r>
          </w:p>
        </w:tc>
        <w:tc>
          <w:tcPr>
            <w:tcW w:w="431" w:type="pct"/>
            <w:vAlign w:val="center"/>
          </w:tcPr>
          <w:p>
            <w:pPr>
              <w:jc w:val="center"/>
              <w:rPr>
                <w:b/>
              </w:rPr>
            </w:pPr>
            <w:r>
              <w:rPr>
                <w:b/>
              </w:rPr>
              <w:t>硫化氢</w:t>
            </w:r>
          </w:p>
        </w:tc>
        <w:tc>
          <w:tcPr>
            <w:tcW w:w="518" w:type="pct"/>
            <w:vAlign w:val="center"/>
          </w:tcPr>
          <w:p>
            <w:pPr>
              <w:jc w:val="center"/>
              <w:rPr>
                <w:rFonts w:hint="default" w:eastAsia="宋体"/>
                <w:b/>
                <w:lang w:val="en-US" w:eastAsia="zh-CN"/>
              </w:rPr>
            </w:pPr>
            <w:r>
              <w:rPr>
                <w:rFonts w:hint="eastAsia"/>
                <w:b/>
                <w:lang w:val="en-US" w:eastAsia="zh-CN"/>
              </w:rPr>
              <w:t>TSP</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59" w:type="pct"/>
            <w:vAlign w:val="center"/>
          </w:tcPr>
          <w:p>
            <w:pPr>
              <w:jc w:val="center"/>
              <w:rPr>
                <w:rFonts w:hint="eastAsia" w:eastAsia="宋体"/>
                <w:lang w:eastAsia="zh-CN"/>
              </w:rPr>
            </w:pPr>
            <w:r>
              <w:rPr>
                <w:rFonts w:hint="eastAsia"/>
                <w:lang w:eastAsia="zh-CN"/>
              </w:rPr>
              <w:t>南部养殖区</w:t>
            </w:r>
          </w:p>
        </w:tc>
        <w:tc>
          <w:tcPr>
            <w:tcW w:w="499" w:type="pct"/>
            <w:vAlign w:val="center"/>
          </w:tcPr>
          <w:p>
            <w:pPr>
              <w:jc w:val="center"/>
            </w:pPr>
            <w:r>
              <w:rPr>
                <w:rFonts w:hint="eastAsia"/>
              </w:rPr>
              <w:t>112.398189</w:t>
            </w:r>
            <w:r>
              <w:rPr>
                <w:rFonts w:hint="eastAsia"/>
                <w:szCs w:val="21"/>
              </w:rPr>
              <w:t>°</w:t>
            </w:r>
          </w:p>
        </w:tc>
        <w:tc>
          <w:tcPr>
            <w:tcW w:w="466" w:type="pct"/>
            <w:vAlign w:val="center"/>
          </w:tcPr>
          <w:p>
            <w:pPr>
              <w:jc w:val="center"/>
            </w:pPr>
            <w:r>
              <w:rPr>
                <w:rFonts w:hint="eastAsia"/>
              </w:rPr>
              <w:t>27.071350</w:t>
            </w:r>
            <w:r>
              <w:rPr>
                <w:rFonts w:hint="eastAsia"/>
                <w:szCs w:val="21"/>
              </w:rPr>
              <w:t>°</w:t>
            </w:r>
          </w:p>
        </w:tc>
        <w:tc>
          <w:tcPr>
            <w:tcW w:w="353" w:type="pct"/>
            <w:vAlign w:val="center"/>
          </w:tcPr>
          <w:p>
            <w:pPr>
              <w:jc w:val="center"/>
              <w:rPr>
                <w:rFonts w:hint="default" w:eastAsia="宋体"/>
                <w:lang w:val="en-US" w:eastAsia="zh-CN"/>
              </w:rPr>
            </w:pPr>
            <w:r>
              <w:rPr>
                <w:rFonts w:hint="eastAsia"/>
                <w:lang w:val="en-US" w:eastAsia="zh-CN"/>
              </w:rPr>
              <w:t>100</w:t>
            </w:r>
          </w:p>
        </w:tc>
        <w:tc>
          <w:tcPr>
            <w:tcW w:w="365" w:type="pct"/>
            <w:vAlign w:val="center"/>
          </w:tcPr>
          <w:p>
            <w:pPr>
              <w:jc w:val="center"/>
              <w:rPr>
                <w:rFonts w:hint="eastAsia" w:eastAsia="宋体"/>
                <w:lang w:val="en-US" w:eastAsia="zh-CN"/>
              </w:rPr>
            </w:pPr>
            <w:r>
              <w:rPr>
                <w:rFonts w:hint="eastAsia"/>
              </w:rPr>
              <w:t>11</w:t>
            </w:r>
            <w:r>
              <w:rPr>
                <w:rFonts w:hint="eastAsia"/>
                <w:lang w:val="en-US" w:eastAsia="zh-CN"/>
              </w:rPr>
              <w:t>5</w:t>
            </w:r>
          </w:p>
        </w:tc>
        <w:tc>
          <w:tcPr>
            <w:tcW w:w="326" w:type="pct"/>
            <w:vAlign w:val="center"/>
          </w:tcPr>
          <w:p>
            <w:pPr>
              <w:jc w:val="center"/>
              <w:rPr>
                <w:rFonts w:hint="eastAsia" w:eastAsia="宋体"/>
                <w:lang w:val="en-US" w:eastAsia="zh-CN"/>
              </w:rPr>
            </w:pPr>
            <w:r>
              <w:rPr>
                <w:rFonts w:hint="eastAsia"/>
              </w:rPr>
              <w:t>7</w:t>
            </w:r>
            <w:r>
              <w:rPr>
                <w:rFonts w:hint="eastAsia"/>
                <w:lang w:val="en-US" w:eastAsia="zh-CN"/>
              </w:rPr>
              <w:t>3</w:t>
            </w:r>
          </w:p>
        </w:tc>
        <w:tc>
          <w:tcPr>
            <w:tcW w:w="409" w:type="pct"/>
            <w:vAlign w:val="center"/>
          </w:tcPr>
          <w:p>
            <w:pPr>
              <w:jc w:val="center"/>
            </w:pPr>
            <w:r>
              <w:rPr>
                <w:rFonts w:hint="eastAsia"/>
              </w:rPr>
              <w:t>8</w:t>
            </w:r>
          </w:p>
        </w:tc>
        <w:tc>
          <w:tcPr>
            <w:tcW w:w="365" w:type="pct"/>
            <w:vAlign w:val="center"/>
          </w:tcPr>
          <w:p>
            <w:pPr>
              <w:jc w:val="center"/>
            </w:pPr>
            <w:r>
              <w:rPr>
                <w:rFonts w:hint="eastAsia"/>
              </w:rPr>
              <w:t>8760</w:t>
            </w:r>
          </w:p>
        </w:tc>
        <w:tc>
          <w:tcPr>
            <w:tcW w:w="365" w:type="pct"/>
            <w:vAlign w:val="center"/>
          </w:tcPr>
          <w:p>
            <w:pPr>
              <w:jc w:val="center"/>
            </w:pPr>
            <w:r>
              <w:t>正常</w:t>
            </w:r>
          </w:p>
        </w:tc>
        <w:tc>
          <w:tcPr>
            <w:tcW w:w="540" w:type="pct"/>
            <w:vAlign w:val="center"/>
          </w:tcPr>
          <w:p>
            <w:pPr>
              <w:jc w:val="center"/>
              <w:rPr>
                <w:rFonts w:hint="default" w:eastAsia="宋体"/>
                <w:lang w:val="en-US" w:eastAsia="zh-CN"/>
              </w:rPr>
            </w:pPr>
            <w:r>
              <w:rPr>
                <w:rFonts w:hint="eastAsia"/>
              </w:rPr>
              <w:t>0.0108</w:t>
            </w:r>
          </w:p>
        </w:tc>
        <w:tc>
          <w:tcPr>
            <w:tcW w:w="431" w:type="pct"/>
            <w:vAlign w:val="center"/>
          </w:tcPr>
          <w:p>
            <w:pPr>
              <w:jc w:val="center"/>
              <w:rPr>
                <w:rFonts w:hint="eastAsia"/>
              </w:rPr>
            </w:pPr>
            <w:r>
              <w:rPr>
                <w:rFonts w:hint="eastAsia"/>
              </w:rPr>
              <w:t>0.00108</w:t>
            </w:r>
          </w:p>
        </w:tc>
        <w:tc>
          <w:tcPr>
            <w:tcW w:w="518" w:type="pct"/>
            <w:vAlign w:val="center"/>
          </w:tcPr>
          <w:p>
            <w:pPr>
              <w:jc w:val="center"/>
              <w:rPr>
                <w:rFonts w:hint="default" w:eastAsia="宋体"/>
                <w:lang w:val="en-US" w:eastAsia="zh-CN"/>
              </w:rPr>
            </w:pPr>
            <w:r>
              <w:rPr>
                <w:rFonts w:hint="eastAsia"/>
                <w:lang w:val="en-US" w:eastAsia="zh-CN"/>
              </w:rPr>
              <w:t>0.101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59" w:type="pct"/>
            <w:vAlign w:val="center"/>
          </w:tcPr>
          <w:p>
            <w:pPr>
              <w:jc w:val="center"/>
            </w:pPr>
            <w:r>
              <w:t>东部养殖区</w:t>
            </w:r>
          </w:p>
        </w:tc>
        <w:tc>
          <w:tcPr>
            <w:tcW w:w="499" w:type="pct"/>
            <w:vAlign w:val="center"/>
          </w:tcPr>
          <w:p>
            <w:pPr>
              <w:jc w:val="center"/>
            </w:pPr>
            <w:r>
              <w:rPr>
                <w:rFonts w:hint="eastAsia"/>
              </w:rPr>
              <w:t>112.402743</w:t>
            </w:r>
            <w:r>
              <w:rPr>
                <w:rFonts w:hint="eastAsia"/>
                <w:szCs w:val="21"/>
              </w:rPr>
              <w:t>°</w:t>
            </w:r>
          </w:p>
        </w:tc>
        <w:tc>
          <w:tcPr>
            <w:tcW w:w="466" w:type="pct"/>
            <w:vAlign w:val="center"/>
          </w:tcPr>
          <w:p>
            <w:pPr>
              <w:jc w:val="center"/>
            </w:pPr>
            <w:r>
              <w:rPr>
                <w:rFonts w:hint="eastAsia"/>
              </w:rPr>
              <w:t>26.070662</w:t>
            </w:r>
            <w:r>
              <w:rPr>
                <w:rFonts w:hint="eastAsia"/>
                <w:szCs w:val="21"/>
              </w:rPr>
              <w:t>°</w:t>
            </w:r>
          </w:p>
        </w:tc>
        <w:tc>
          <w:tcPr>
            <w:tcW w:w="353" w:type="pct"/>
            <w:vAlign w:val="center"/>
          </w:tcPr>
          <w:p>
            <w:pPr>
              <w:jc w:val="center"/>
              <w:rPr>
                <w:rFonts w:hint="eastAsia" w:eastAsia="宋体"/>
                <w:lang w:val="en-US" w:eastAsia="zh-CN"/>
              </w:rPr>
            </w:pPr>
            <w:r>
              <w:rPr>
                <w:rFonts w:hint="eastAsia"/>
              </w:rPr>
              <w:t>10</w:t>
            </w:r>
            <w:r>
              <w:rPr>
                <w:rFonts w:hint="eastAsia"/>
                <w:lang w:val="en-US" w:eastAsia="zh-CN"/>
              </w:rPr>
              <w:t>6</w:t>
            </w:r>
          </w:p>
        </w:tc>
        <w:tc>
          <w:tcPr>
            <w:tcW w:w="365" w:type="pct"/>
            <w:vAlign w:val="center"/>
          </w:tcPr>
          <w:p>
            <w:pPr>
              <w:jc w:val="center"/>
              <w:rPr>
                <w:rFonts w:hint="eastAsia" w:eastAsia="宋体"/>
                <w:lang w:val="en-US" w:eastAsia="zh-CN"/>
              </w:rPr>
            </w:pPr>
            <w:r>
              <w:rPr>
                <w:rFonts w:hint="eastAsia"/>
              </w:rPr>
              <w:t>11</w:t>
            </w:r>
            <w:r>
              <w:rPr>
                <w:rFonts w:hint="eastAsia"/>
                <w:lang w:val="en-US" w:eastAsia="zh-CN"/>
              </w:rPr>
              <w:t>5</w:t>
            </w:r>
          </w:p>
        </w:tc>
        <w:tc>
          <w:tcPr>
            <w:tcW w:w="326" w:type="pct"/>
            <w:vAlign w:val="center"/>
          </w:tcPr>
          <w:p>
            <w:pPr>
              <w:jc w:val="center"/>
              <w:rPr>
                <w:rFonts w:hint="eastAsia" w:eastAsia="宋体"/>
                <w:lang w:val="en-US" w:eastAsia="zh-CN"/>
              </w:rPr>
            </w:pPr>
            <w:r>
              <w:rPr>
                <w:rFonts w:hint="eastAsia"/>
              </w:rPr>
              <w:t>7</w:t>
            </w:r>
            <w:r>
              <w:rPr>
                <w:rFonts w:hint="eastAsia"/>
                <w:lang w:val="en-US" w:eastAsia="zh-CN"/>
              </w:rPr>
              <w:t>3</w:t>
            </w:r>
          </w:p>
        </w:tc>
        <w:tc>
          <w:tcPr>
            <w:tcW w:w="409" w:type="pct"/>
            <w:vAlign w:val="center"/>
          </w:tcPr>
          <w:p>
            <w:pPr>
              <w:jc w:val="center"/>
            </w:pPr>
            <w:r>
              <w:rPr>
                <w:rFonts w:hint="eastAsia"/>
              </w:rPr>
              <w:t>8</w:t>
            </w:r>
          </w:p>
        </w:tc>
        <w:tc>
          <w:tcPr>
            <w:tcW w:w="365" w:type="pct"/>
            <w:vAlign w:val="center"/>
          </w:tcPr>
          <w:p>
            <w:pPr>
              <w:jc w:val="center"/>
            </w:pPr>
            <w:r>
              <w:rPr>
                <w:rFonts w:hint="eastAsia"/>
              </w:rPr>
              <w:t>8760</w:t>
            </w:r>
          </w:p>
        </w:tc>
        <w:tc>
          <w:tcPr>
            <w:tcW w:w="365" w:type="pct"/>
            <w:vAlign w:val="center"/>
          </w:tcPr>
          <w:p>
            <w:pPr>
              <w:jc w:val="center"/>
            </w:pPr>
            <w:r>
              <w:t>正常</w:t>
            </w:r>
          </w:p>
        </w:tc>
        <w:tc>
          <w:tcPr>
            <w:tcW w:w="540" w:type="pct"/>
            <w:vAlign w:val="center"/>
          </w:tcPr>
          <w:p>
            <w:pPr>
              <w:jc w:val="center"/>
              <w:rPr>
                <w:rFonts w:hint="default" w:ascii="Times New Roman" w:hAnsi="Times New Roman" w:eastAsia="宋体" w:cs="Times New Roman"/>
                <w:kern w:val="2"/>
                <w:sz w:val="21"/>
                <w:szCs w:val="24"/>
                <w:lang w:val="en-US" w:eastAsia="zh-CN" w:bidi="ar-SA"/>
              </w:rPr>
            </w:pPr>
            <w:r>
              <w:rPr>
                <w:rFonts w:hint="eastAsia"/>
              </w:rPr>
              <w:t>0.0108</w:t>
            </w:r>
          </w:p>
        </w:tc>
        <w:tc>
          <w:tcPr>
            <w:tcW w:w="431" w:type="pct"/>
            <w:vAlign w:val="center"/>
          </w:tcPr>
          <w:p>
            <w:pPr>
              <w:jc w:val="center"/>
              <w:rPr>
                <w:rFonts w:hint="eastAsia" w:ascii="Times New Roman" w:hAnsi="Times New Roman" w:eastAsia="宋体" w:cs="Times New Roman"/>
                <w:kern w:val="2"/>
                <w:sz w:val="21"/>
                <w:szCs w:val="24"/>
                <w:lang w:val="en-US" w:eastAsia="zh-CN" w:bidi="ar-SA"/>
              </w:rPr>
            </w:pPr>
            <w:r>
              <w:rPr>
                <w:rFonts w:hint="eastAsia"/>
              </w:rPr>
              <w:t>0.00108</w:t>
            </w:r>
          </w:p>
        </w:tc>
        <w:tc>
          <w:tcPr>
            <w:tcW w:w="518" w:type="pct"/>
            <w:vAlign w:val="center"/>
          </w:tcPr>
          <w:p>
            <w:pPr>
              <w:jc w:val="center"/>
              <w:rPr>
                <w:rFonts w:hint="default" w:ascii="Times New Roman" w:hAnsi="Times New Roman" w:eastAsia="宋体" w:cs="Times New Roman"/>
                <w:kern w:val="2"/>
                <w:sz w:val="21"/>
                <w:szCs w:val="24"/>
                <w:lang w:val="en-US" w:eastAsia="zh-CN" w:bidi="ar-SA"/>
              </w:rPr>
            </w:pPr>
            <w:r>
              <w:rPr>
                <w:rFonts w:hint="eastAsia"/>
                <w:lang w:val="en-US" w:eastAsia="zh-CN"/>
              </w:rPr>
              <w:t>0.101</w:t>
            </w:r>
          </w:p>
        </w:tc>
      </w:tr>
    </w:tbl>
    <w:p>
      <w:pPr>
        <w:pStyle w:val="215"/>
        <w:rPr>
          <w:bCs/>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215"/>
        <w:rPr>
          <w:bCs/>
        </w:rPr>
      </w:pPr>
      <w:r>
        <w:rPr>
          <w:rFonts w:hint="eastAsia"/>
          <w:bCs/>
        </w:rPr>
        <w:t>（5）项目参数</w:t>
      </w:r>
    </w:p>
    <w:p>
      <w:pPr>
        <w:pStyle w:val="215"/>
        <w:rPr>
          <w:bCs/>
        </w:rPr>
      </w:pPr>
      <w:r>
        <w:rPr>
          <w:bCs/>
        </w:rPr>
        <w:t>估算模型参数见表</w:t>
      </w:r>
      <w:r>
        <w:rPr>
          <w:rFonts w:hint="eastAsia"/>
          <w:bCs/>
        </w:rPr>
        <w:t>6.2-</w:t>
      </w:r>
      <w:r>
        <w:rPr>
          <w:rFonts w:hint="eastAsia"/>
          <w:bCs/>
          <w:lang w:val="en-US" w:eastAsia="zh-CN"/>
        </w:rPr>
        <w:t>4</w:t>
      </w:r>
      <w:r>
        <w:rPr>
          <w:bCs/>
        </w:rPr>
        <w:t>。</w:t>
      </w:r>
    </w:p>
    <w:p>
      <w:pPr>
        <w:pStyle w:val="263"/>
        <w:spacing w:beforeLines="50" w:line="240" w:lineRule="auto"/>
        <w:ind w:firstLine="0"/>
        <w:jc w:val="center"/>
        <w:rPr>
          <w:rFonts w:ascii="Times New Roman" w:hAnsi="Times New Roman"/>
          <w:b/>
          <w:sz w:val="21"/>
          <w:szCs w:val="21"/>
        </w:rPr>
      </w:pPr>
      <w:r>
        <w:rPr>
          <w:rFonts w:ascii="Times New Roman" w:hAnsi="Times New Roman"/>
          <w:b/>
          <w:sz w:val="21"/>
          <w:szCs w:val="21"/>
        </w:rPr>
        <w:t>表</w:t>
      </w:r>
      <w:r>
        <w:rPr>
          <w:rFonts w:hint="eastAsia" w:ascii="Times New Roman" w:hAnsi="Times New Roman"/>
          <w:b/>
          <w:sz w:val="21"/>
          <w:szCs w:val="21"/>
        </w:rPr>
        <w:t>6.2-</w:t>
      </w:r>
      <w:r>
        <w:rPr>
          <w:rFonts w:hint="eastAsia" w:ascii="Times New Roman" w:hAnsi="Times New Roman"/>
          <w:b/>
          <w:sz w:val="21"/>
          <w:szCs w:val="21"/>
          <w:lang w:val="en-US" w:eastAsia="zh-CN"/>
        </w:rPr>
        <w:t>4</w:t>
      </w:r>
      <w:r>
        <w:rPr>
          <w:rFonts w:hint="eastAsia" w:ascii="Times New Roman" w:hAnsi="Times New Roman"/>
          <w:b/>
          <w:sz w:val="21"/>
          <w:szCs w:val="21"/>
        </w:rPr>
        <w:t xml:space="preserve"> </w:t>
      </w:r>
      <w:r>
        <w:rPr>
          <w:rFonts w:ascii="Times New Roman" w:hAnsi="Times New Roman"/>
          <w:b/>
          <w:sz w:val="21"/>
          <w:szCs w:val="21"/>
        </w:rPr>
        <w:t xml:space="preserve"> 估算模型参数表</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2"/>
        <w:gridCol w:w="2843"/>
        <w:gridCol w:w="28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33" w:type="pct"/>
            <w:gridSpan w:val="2"/>
            <w:vAlign w:val="center"/>
          </w:tcPr>
          <w:p>
            <w:pPr>
              <w:jc w:val="center"/>
              <w:rPr>
                <w:b/>
                <w:bCs/>
                <w:szCs w:val="21"/>
              </w:rPr>
            </w:pPr>
            <w:r>
              <w:rPr>
                <w:b/>
                <w:bCs/>
              </w:rPr>
              <w:t>参数</w:t>
            </w:r>
          </w:p>
        </w:tc>
        <w:tc>
          <w:tcPr>
            <w:tcW w:w="1667" w:type="pct"/>
            <w:vAlign w:val="center"/>
          </w:tcPr>
          <w:p>
            <w:pPr>
              <w:jc w:val="center"/>
              <w:rPr>
                <w:b/>
                <w:bCs/>
                <w:szCs w:val="21"/>
              </w:rPr>
            </w:pPr>
            <w:r>
              <w:rPr>
                <w:b/>
                <w:bCs/>
              </w:rPr>
              <w:t>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6" w:type="pct"/>
            <w:vMerge w:val="restart"/>
            <w:vAlign w:val="center"/>
          </w:tcPr>
          <w:p>
            <w:pPr>
              <w:jc w:val="center"/>
              <w:rPr>
                <w:szCs w:val="21"/>
              </w:rPr>
            </w:pPr>
            <w:r>
              <w:t>城市/农村选项</w:t>
            </w:r>
          </w:p>
        </w:tc>
        <w:tc>
          <w:tcPr>
            <w:tcW w:w="1667" w:type="pct"/>
            <w:vAlign w:val="center"/>
          </w:tcPr>
          <w:p>
            <w:pPr>
              <w:jc w:val="center"/>
              <w:rPr>
                <w:szCs w:val="21"/>
              </w:rPr>
            </w:pPr>
            <w:r>
              <w:t>城市/农村</w:t>
            </w:r>
          </w:p>
        </w:tc>
        <w:tc>
          <w:tcPr>
            <w:tcW w:w="1667" w:type="pct"/>
            <w:vAlign w:val="center"/>
          </w:tcPr>
          <w:p>
            <w:pPr>
              <w:jc w:val="center"/>
              <w:rPr>
                <w:szCs w:val="21"/>
              </w:rPr>
            </w:pPr>
            <w:r>
              <w:rPr>
                <w:szCs w:val="21"/>
              </w:rPr>
              <w:t>农村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6" w:type="pct"/>
            <w:vMerge w:val="continue"/>
            <w:vAlign w:val="center"/>
          </w:tcPr>
          <w:p>
            <w:pPr>
              <w:widowControl/>
              <w:jc w:val="left"/>
              <w:rPr>
                <w:szCs w:val="21"/>
              </w:rPr>
            </w:pPr>
          </w:p>
        </w:tc>
        <w:tc>
          <w:tcPr>
            <w:tcW w:w="1667" w:type="pct"/>
            <w:vAlign w:val="center"/>
          </w:tcPr>
          <w:p>
            <w:pPr>
              <w:jc w:val="center"/>
              <w:rPr>
                <w:szCs w:val="21"/>
              </w:rPr>
            </w:pPr>
            <w:r>
              <w:t>人口数（城市选项）</w:t>
            </w:r>
          </w:p>
        </w:tc>
        <w:tc>
          <w:tcPr>
            <w:tcW w:w="1667" w:type="pct"/>
            <w:vAlign w:val="center"/>
          </w:tcPr>
          <w:p>
            <w:pPr>
              <w:jc w:val="center"/>
              <w:rPr>
                <w:szCs w:val="21"/>
              </w:rPr>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33" w:type="pct"/>
            <w:gridSpan w:val="2"/>
            <w:vAlign w:val="center"/>
          </w:tcPr>
          <w:p>
            <w:pPr>
              <w:jc w:val="center"/>
              <w:rPr>
                <w:szCs w:val="21"/>
              </w:rPr>
            </w:pPr>
            <w:r>
              <w:t>最高环境温度/℃</w:t>
            </w:r>
          </w:p>
        </w:tc>
        <w:tc>
          <w:tcPr>
            <w:tcW w:w="1667" w:type="pct"/>
            <w:vAlign w:val="center"/>
          </w:tcPr>
          <w:p>
            <w:pPr>
              <w:jc w:val="center"/>
              <w:rPr>
                <w:szCs w:val="21"/>
              </w:rPr>
            </w:pPr>
            <w:r>
              <w:t>40.8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33" w:type="pct"/>
            <w:gridSpan w:val="2"/>
            <w:vAlign w:val="center"/>
          </w:tcPr>
          <w:p>
            <w:pPr>
              <w:jc w:val="center"/>
              <w:rPr>
                <w:szCs w:val="21"/>
              </w:rPr>
            </w:pPr>
            <w:r>
              <w:t>最低环境温度/℃</w:t>
            </w:r>
          </w:p>
        </w:tc>
        <w:tc>
          <w:tcPr>
            <w:tcW w:w="1667" w:type="pct"/>
            <w:vAlign w:val="center"/>
          </w:tcPr>
          <w:p>
            <w:pPr>
              <w:jc w:val="center"/>
              <w:rPr>
                <w:rFonts w:hint="default" w:eastAsia="宋体"/>
                <w:szCs w:val="21"/>
                <w:lang w:val="en-US" w:eastAsia="zh-CN"/>
              </w:rPr>
            </w:pPr>
            <w:r>
              <w:t>-</w:t>
            </w:r>
            <w:r>
              <w:rPr>
                <w:rFonts w:hint="eastAsia"/>
                <w:lang w:val="en-US" w:eastAsia="zh-CN"/>
              </w:rPr>
              <w:t>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33" w:type="pct"/>
            <w:gridSpan w:val="2"/>
            <w:vAlign w:val="center"/>
          </w:tcPr>
          <w:p>
            <w:pPr>
              <w:jc w:val="center"/>
              <w:rPr>
                <w:szCs w:val="21"/>
              </w:rPr>
            </w:pPr>
            <w:r>
              <w:t>土地利用类型</w:t>
            </w:r>
          </w:p>
        </w:tc>
        <w:tc>
          <w:tcPr>
            <w:tcW w:w="1667" w:type="pct"/>
            <w:vAlign w:val="center"/>
          </w:tcPr>
          <w:p>
            <w:pPr>
              <w:jc w:val="center"/>
              <w:rPr>
                <w:szCs w:val="21"/>
              </w:rPr>
            </w:pPr>
            <w:r>
              <w:rPr>
                <w:szCs w:val="21"/>
              </w:rPr>
              <w:t>农作地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33" w:type="pct"/>
            <w:gridSpan w:val="2"/>
            <w:vAlign w:val="center"/>
          </w:tcPr>
          <w:p>
            <w:pPr>
              <w:jc w:val="center"/>
              <w:rPr>
                <w:szCs w:val="21"/>
              </w:rPr>
            </w:pPr>
            <w:r>
              <w:t>区域湿度条件</w:t>
            </w:r>
          </w:p>
        </w:tc>
        <w:tc>
          <w:tcPr>
            <w:tcW w:w="1667" w:type="pct"/>
            <w:vAlign w:val="center"/>
          </w:tcPr>
          <w:p>
            <w:pPr>
              <w:jc w:val="center"/>
              <w:rPr>
                <w:szCs w:val="21"/>
              </w:rPr>
            </w:pPr>
            <w:r>
              <w:rPr>
                <w:szCs w:val="21"/>
              </w:rPr>
              <w:t>潮湿气候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6" w:type="pct"/>
            <w:vMerge w:val="restart"/>
            <w:vAlign w:val="center"/>
          </w:tcPr>
          <w:p>
            <w:pPr>
              <w:jc w:val="center"/>
              <w:rPr>
                <w:szCs w:val="21"/>
              </w:rPr>
            </w:pPr>
            <w:r>
              <w:t>是否考虑地形</w:t>
            </w:r>
          </w:p>
        </w:tc>
        <w:tc>
          <w:tcPr>
            <w:tcW w:w="1667" w:type="pct"/>
            <w:vAlign w:val="center"/>
          </w:tcPr>
          <w:p>
            <w:pPr>
              <w:jc w:val="center"/>
              <w:rPr>
                <w:szCs w:val="21"/>
              </w:rPr>
            </w:pPr>
            <w:r>
              <w:t>考虑地形</w:t>
            </w:r>
          </w:p>
        </w:tc>
        <w:tc>
          <w:tcPr>
            <w:tcW w:w="1667" w:type="pct"/>
            <w:vAlign w:val="center"/>
          </w:tcPr>
          <w:p>
            <w:pPr>
              <w:jc w:val="center"/>
              <w:rPr>
                <w:szCs w:val="21"/>
              </w:rPr>
            </w:pPr>
            <w:r>
              <w:rPr>
                <w:szCs w:val="21"/>
              </w:rPr>
              <w:t>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6" w:type="pct"/>
            <w:vMerge w:val="continue"/>
            <w:vAlign w:val="center"/>
          </w:tcPr>
          <w:p>
            <w:pPr>
              <w:widowControl/>
              <w:jc w:val="left"/>
              <w:rPr>
                <w:szCs w:val="21"/>
              </w:rPr>
            </w:pPr>
          </w:p>
        </w:tc>
        <w:tc>
          <w:tcPr>
            <w:tcW w:w="1667" w:type="pct"/>
            <w:vAlign w:val="center"/>
          </w:tcPr>
          <w:p>
            <w:pPr>
              <w:jc w:val="center"/>
              <w:rPr>
                <w:szCs w:val="21"/>
              </w:rPr>
            </w:pPr>
            <w:r>
              <w:t>地形数据分辨率/m</w:t>
            </w:r>
          </w:p>
        </w:tc>
        <w:tc>
          <w:tcPr>
            <w:tcW w:w="1667" w:type="pct"/>
            <w:vAlign w:val="center"/>
          </w:tcPr>
          <w:p>
            <w:pPr>
              <w:jc w:val="center"/>
              <w:rPr>
                <w:szCs w:val="21"/>
              </w:rPr>
            </w:pPr>
            <w: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6" w:type="pct"/>
            <w:vMerge w:val="restart"/>
            <w:vAlign w:val="center"/>
          </w:tcPr>
          <w:p>
            <w:pPr>
              <w:jc w:val="center"/>
              <w:rPr>
                <w:szCs w:val="21"/>
              </w:rPr>
            </w:pPr>
            <w:r>
              <w:t>是否考虑岸线熏烟</w:t>
            </w:r>
          </w:p>
        </w:tc>
        <w:tc>
          <w:tcPr>
            <w:tcW w:w="1667" w:type="pct"/>
            <w:vAlign w:val="center"/>
          </w:tcPr>
          <w:p>
            <w:pPr>
              <w:jc w:val="center"/>
              <w:rPr>
                <w:szCs w:val="21"/>
              </w:rPr>
            </w:pPr>
            <w:r>
              <w:t>考虑岸线熏烟</w:t>
            </w:r>
          </w:p>
        </w:tc>
        <w:tc>
          <w:tcPr>
            <w:tcW w:w="1667" w:type="pct"/>
            <w:vAlign w:val="center"/>
          </w:tcPr>
          <w:p>
            <w:pPr>
              <w:jc w:val="center"/>
              <w:rPr>
                <w:szCs w:val="21"/>
              </w:rPr>
            </w:pPr>
            <w: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6" w:type="pct"/>
            <w:vMerge w:val="continue"/>
            <w:vAlign w:val="center"/>
          </w:tcPr>
          <w:p>
            <w:pPr>
              <w:widowControl/>
              <w:jc w:val="left"/>
              <w:rPr>
                <w:szCs w:val="21"/>
              </w:rPr>
            </w:pPr>
          </w:p>
        </w:tc>
        <w:tc>
          <w:tcPr>
            <w:tcW w:w="1667" w:type="pct"/>
            <w:vAlign w:val="center"/>
          </w:tcPr>
          <w:p>
            <w:pPr>
              <w:jc w:val="center"/>
              <w:rPr>
                <w:szCs w:val="21"/>
              </w:rPr>
            </w:pPr>
            <w:r>
              <w:t>岸线距离/km</w:t>
            </w:r>
          </w:p>
        </w:tc>
        <w:tc>
          <w:tcPr>
            <w:tcW w:w="1667" w:type="pct"/>
            <w:vAlign w:val="center"/>
          </w:tcPr>
          <w:p>
            <w:pPr>
              <w:jc w:val="center"/>
              <w:rPr>
                <w:szCs w:val="21"/>
              </w:rPr>
            </w:pPr>
            <w: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6" w:type="pct"/>
            <w:vMerge w:val="continue"/>
            <w:vAlign w:val="center"/>
          </w:tcPr>
          <w:p>
            <w:pPr>
              <w:widowControl/>
              <w:jc w:val="left"/>
              <w:rPr>
                <w:szCs w:val="21"/>
              </w:rPr>
            </w:pPr>
          </w:p>
        </w:tc>
        <w:tc>
          <w:tcPr>
            <w:tcW w:w="1667" w:type="pct"/>
            <w:vAlign w:val="center"/>
          </w:tcPr>
          <w:p>
            <w:pPr>
              <w:jc w:val="center"/>
              <w:rPr>
                <w:szCs w:val="21"/>
              </w:rPr>
            </w:pPr>
            <w:r>
              <w:t>岸线方向/°</w:t>
            </w:r>
          </w:p>
        </w:tc>
        <w:tc>
          <w:tcPr>
            <w:tcW w:w="1667" w:type="pct"/>
            <w:vAlign w:val="center"/>
          </w:tcPr>
          <w:p>
            <w:pPr>
              <w:jc w:val="center"/>
              <w:rPr>
                <w:szCs w:val="21"/>
              </w:rPr>
            </w:pPr>
            <w:r>
              <w:t>/</w:t>
            </w:r>
          </w:p>
        </w:tc>
      </w:tr>
      <w:bookmarkEnd w:id="295"/>
    </w:tbl>
    <w:p>
      <w:pPr>
        <w:spacing w:line="360" w:lineRule="auto"/>
        <w:ind w:firstLine="480" w:firstLineChars="200"/>
        <w:rPr>
          <w:kern w:val="0"/>
          <w:sz w:val="24"/>
        </w:rPr>
      </w:pPr>
      <w:bookmarkStart w:id="326" w:name="_Toc16034"/>
      <w:bookmarkStart w:id="327" w:name="_Toc11633"/>
      <w:bookmarkStart w:id="328" w:name="_Toc16426"/>
      <w:bookmarkStart w:id="329" w:name="_Toc538"/>
      <w:bookmarkStart w:id="330" w:name="_Toc2080"/>
      <w:bookmarkStart w:id="331" w:name="_Toc25721"/>
      <w:r>
        <w:rPr>
          <w:kern w:val="0"/>
          <w:sz w:val="24"/>
        </w:rPr>
        <w:t>（</w:t>
      </w:r>
      <w:r>
        <w:rPr>
          <w:rFonts w:hint="eastAsia"/>
          <w:kern w:val="0"/>
          <w:sz w:val="24"/>
        </w:rPr>
        <w:t>6</w:t>
      </w:r>
      <w:r>
        <w:rPr>
          <w:kern w:val="0"/>
          <w:sz w:val="24"/>
        </w:rPr>
        <w:t>）评价工作等级确定</w:t>
      </w:r>
    </w:p>
    <w:p>
      <w:pPr>
        <w:spacing w:line="360" w:lineRule="auto"/>
        <w:ind w:firstLine="480" w:firstLineChars="200"/>
        <w:rPr>
          <w:kern w:val="0"/>
          <w:sz w:val="24"/>
        </w:rPr>
      </w:pPr>
      <w:r>
        <w:rPr>
          <w:rFonts w:hint="eastAsia"/>
          <w:kern w:val="0"/>
          <w:sz w:val="24"/>
        </w:rPr>
        <w:t>本项目所有污染源的正常排放的污染物的Pmax和D10%预测结果如下：</w:t>
      </w:r>
    </w:p>
    <w:p>
      <w:pPr>
        <w:pStyle w:val="17"/>
        <w:spacing w:beforeLines="50"/>
        <w:rPr>
          <w:rFonts w:ascii="Times New Roman" w:cs="Times New Roman"/>
          <w:color w:val="auto"/>
          <w:sz w:val="21"/>
        </w:rPr>
      </w:pPr>
      <w:r>
        <w:rPr>
          <w:rFonts w:hint="eastAsia" w:ascii="Times New Roman" w:cs="Times New Roman"/>
          <w:color w:val="auto"/>
          <w:sz w:val="21"/>
        </w:rPr>
        <w:t>表6.2-</w:t>
      </w:r>
      <w:r>
        <w:rPr>
          <w:rFonts w:hint="eastAsia" w:ascii="Times New Roman" w:cs="Times New Roman"/>
          <w:color w:val="auto"/>
          <w:sz w:val="21"/>
          <w:lang w:val="en-US" w:eastAsia="zh-CN"/>
        </w:rPr>
        <w:t>5</w:t>
      </w:r>
      <w:r>
        <w:rPr>
          <w:rFonts w:hint="eastAsia" w:ascii="Times New Roman" w:cs="Times New Roman"/>
          <w:color w:val="auto"/>
          <w:sz w:val="21"/>
        </w:rPr>
        <w:t xml:space="preserve"> </w:t>
      </w:r>
      <w:r>
        <w:rPr>
          <w:rFonts w:ascii="Times New Roman" w:cs="Times New Roman"/>
          <w:color w:val="auto"/>
          <w:sz w:val="21"/>
        </w:rPr>
        <w:t xml:space="preserve"> Pmax</w:t>
      </w:r>
      <w:r>
        <w:rPr>
          <w:rFonts w:hint="eastAsia" w:ascii="Times New Roman" w:cs="Times New Roman"/>
          <w:color w:val="auto"/>
          <w:sz w:val="21"/>
        </w:rPr>
        <w:t>和</w:t>
      </w:r>
      <w:r>
        <w:rPr>
          <w:rFonts w:ascii="Times New Roman" w:cs="Times New Roman"/>
          <w:color w:val="auto"/>
          <w:sz w:val="21"/>
        </w:rPr>
        <w:t>D10%</w:t>
      </w:r>
      <w:r>
        <w:rPr>
          <w:rFonts w:hint="eastAsia" w:ascii="Times New Roman" w:cs="Times New Roman"/>
          <w:color w:val="auto"/>
          <w:sz w:val="21"/>
        </w:rPr>
        <w:t>预测和计算结果一览表</w:t>
      </w:r>
    </w:p>
    <w:tbl>
      <w:tblPr>
        <w:tblStyle w:val="4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1"/>
        <w:gridCol w:w="917"/>
        <w:gridCol w:w="1437"/>
        <w:gridCol w:w="1169"/>
        <w:gridCol w:w="1073"/>
        <w:gridCol w:w="1037"/>
        <w:gridCol w:w="897"/>
        <w:gridCol w:w="8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01" w:type="dxa"/>
            <w:vMerge w:val="restart"/>
            <w:vAlign w:val="center"/>
          </w:tcPr>
          <w:p>
            <w:pPr>
              <w:pStyle w:val="263"/>
              <w:spacing w:line="240" w:lineRule="auto"/>
              <w:ind w:firstLine="0"/>
              <w:jc w:val="center"/>
              <w:rPr>
                <w:rFonts w:ascii="Times New Roman" w:hAnsi="Times New Roman" w:cs="Times New Roman"/>
                <w:b/>
                <w:sz w:val="21"/>
                <w:szCs w:val="21"/>
              </w:rPr>
            </w:pPr>
            <w:r>
              <w:rPr>
                <w:rFonts w:ascii="Times New Roman" w:cs="Times New Roman" w:hAnsiTheme="minorEastAsia"/>
                <w:b/>
                <w:sz w:val="21"/>
                <w:szCs w:val="21"/>
              </w:rPr>
              <w:t>污染源位置</w:t>
            </w:r>
          </w:p>
        </w:tc>
        <w:tc>
          <w:tcPr>
            <w:tcW w:w="917" w:type="dxa"/>
            <w:vMerge w:val="restart"/>
            <w:vAlign w:val="center"/>
          </w:tcPr>
          <w:p>
            <w:pPr>
              <w:jc w:val="center"/>
              <w:rPr>
                <w:rFonts w:eastAsiaTheme="minorEastAsia"/>
                <w:b/>
                <w:szCs w:val="21"/>
              </w:rPr>
            </w:pPr>
            <w:r>
              <w:rPr>
                <w:rFonts w:hAnsiTheme="minorEastAsia" w:eastAsiaTheme="minorEastAsia"/>
                <w:b/>
                <w:szCs w:val="21"/>
              </w:rPr>
              <w:t>污染物</w:t>
            </w:r>
          </w:p>
        </w:tc>
        <w:tc>
          <w:tcPr>
            <w:tcW w:w="3679" w:type="dxa"/>
            <w:gridSpan w:val="3"/>
            <w:vAlign w:val="center"/>
          </w:tcPr>
          <w:p>
            <w:pPr>
              <w:jc w:val="center"/>
              <w:rPr>
                <w:rFonts w:eastAsiaTheme="minorEastAsia"/>
                <w:b/>
                <w:szCs w:val="21"/>
              </w:rPr>
            </w:pPr>
            <w:r>
              <w:rPr>
                <w:rFonts w:hAnsiTheme="minorEastAsia" w:eastAsiaTheme="minorEastAsia"/>
                <w:b/>
                <w:szCs w:val="21"/>
              </w:rPr>
              <w:t>下风向最大落地浓度</w:t>
            </w:r>
          </w:p>
        </w:tc>
        <w:tc>
          <w:tcPr>
            <w:tcW w:w="1037" w:type="dxa"/>
            <w:vMerge w:val="restart"/>
            <w:vAlign w:val="center"/>
          </w:tcPr>
          <w:p>
            <w:pPr>
              <w:jc w:val="center"/>
              <w:rPr>
                <w:rFonts w:eastAsiaTheme="minorEastAsia"/>
                <w:b/>
                <w:szCs w:val="21"/>
              </w:rPr>
            </w:pPr>
            <w:r>
              <w:rPr>
                <w:rFonts w:eastAsiaTheme="minorEastAsia"/>
                <w:b/>
                <w:szCs w:val="21"/>
              </w:rPr>
              <w:t>D10%</w:t>
            </w:r>
            <w:r>
              <w:rPr>
                <w:rFonts w:hAnsiTheme="minorEastAsia" w:eastAsiaTheme="minorEastAsia"/>
                <w:b/>
                <w:szCs w:val="21"/>
              </w:rPr>
              <w:t>出现的最远距离</w:t>
            </w:r>
            <w:r>
              <w:rPr>
                <w:rFonts w:eastAsiaTheme="minorEastAsia"/>
                <w:b/>
                <w:szCs w:val="21"/>
              </w:rPr>
              <w:t>/m</w:t>
            </w:r>
          </w:p>
        </w:tc>
        <w:tc>
          <w:tcPr>
            <w:tcW w:w="897" w:type="dxa"/>
            <w:vMerge w:val="restart"/>
            <w:vAlign w:val="center"/>
          </w:tcPr>
          <w:p>
            <w:pPr>
              <w:pStyle w:val="263"/>
              <w:spacing w:line="240" w:lineRule="auto"/>
              <w:ind w:firstLine="0"/>
              <w:jc w:val="center"/>
              <w:rPr>
                <w:rFonts w:ascii="Times New Roman" w:hAnsi="Times New Roman" w:cs="Times New Roman"/>
                <w:b/>
                <w:sz w:val="21"/>
                <w:szCs w:val="21"/>
              </w:rPr>
            </w:pPr>
            <w:r>
              <w:rPr>
                <w:rFonts w:ascii="Times New Roman" w:cs="Times New Roman" w:hAnsiTheme="minorEastAsia"/>
                <w:b/>
                <w:sz w:val="21"/>
                <w:szCs w:val="21"/>
              </w:rPr>
              <w:t>评价等级</w:t>
            </w:r>
          </w:p>
        </w:tc>
        <w:tc>
          <w:tcPr>
            <w:tcW w:w="897" w:type="dxa"/>
            <w:vMerge w:val="restart"/>
            <w:vAlign w:val="center"/>
          </w:tcPr>
          <w:p>
            <w:pPr>
              <w:pStyle w:val="263"/>
              <w:spacing w:line="240" w:lineRule="auto"/>
              <w:ind w:firstLine="0"/>
              <w:jc w:val="center"/>
              <w:rPr>
                <w:rFonts w:hint="default" w:ascii="Times New Roman" w:hAnsi="Times New Roman" w:cs="Times New Roman" w:eastAsiaTheme="minorEastAsia"/>
                <w:b/>
                <w:sz w:val="21"/>
                <w:szCs w:val="21"/>
                <w:lang w:val="en-US" w:eastAsia="zh-CN"/>
              </w:rPr>
            </w:pPr>
            <w:r>
              <w:rPr>
                <w:rFonts w:ascii="Times New Roman" w:cs="Times New Roman" w:hAnsiTheme="minorEastAsia"/>
                <w:b/>
                <w:sz w:val="21"/>
                <w:szCs w:val="21"/>
              </w:rPr>
              <w:t>最终确定价等级</w:t>
            </w:r>
            <w:r>
              <w:rPr>
                <w:rFonts w:hint="eastAsia" w:ascii="Times New Roman" w:cs="Times New Roman" w:hAnsiTheme="minorEastAsia"/>
                <w:b/>
                <w:sz w:val="21"/>
                <w:szCs w:val="21"/>
                <w:lang w:eastAsia="zh-CN"/>
              </w:rPr>
              <w:t>：</w:t>
            </w:r>
            <w:r>
              <w:rPr>
                <w:rFonts w:hint="eastAsia" w:ascii="Times New Roman" w:cs="Times New Roman" w:hAnsiTheme="minorEastAsia"/>
                <w:b/>
                <w:sz w:val="21"/>
                <w:szCs w:val="21"/>
                <w:lang w:val="en-US" w:eastAsia="zh-CN"/>
              </w:rPr>
              <w:t>二级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01" w:type="dxa"/>
            <w:vMerge w:val="continue"/>
            <w:vAlign w:val="center"/>
          </w:tcPr>
          <w:p>
            <w:pPr>
              <w:pStyle w:val="263"/>
              <w:spacing w:line="240" w:lineRule="auto"/>
              <w:ind w:firstLine="0"/>
              <w:jc w:val="center"/>
              <w:rPr>
                <w:rFonts w:ascii="Times New Roman" w:hAnsi="Times New Roman" w:cs="Times New Roman"/>
                <w:b/>
                <w:sz w:val="21"/>
                <w:szCs w:val="21"/>
              </w:rPr>
            </w:pPr>
          </w:p>
        </w:tc>
        <w:tc>
          <w:tcPr>
            <w:tcW w:w="917" w:type="dxa"/>
            <w:vMerge w:val="continue"/>
            <w:vAlign w:val="center"/>
          </w:tcPr>
          <w:p>
            <w:pPr>
              <w:jc w:val="center"/>
              <w:rPr>
                <w:rFonts w:eastAsiaTheme="minorEastAsia"/>
                <w:b/>
                <w:szCs w:val="21"/>
              </w:rPr>
            </w:pPr>
          </w:p>
        </w:tc>
        <w:tc>
          <w:tcPr>
            <w:tcW w:w="1437" w:type="dxa"/>
            <w:vAlign w:val="center"/>
          </w:tcPr>
          <w:p>
            <w:pPr>
              <w:jc w:val="center"/>
              <w:rPr>
                <w:rFonts w:eastAsiaTheme="minorEastAsia"/>
                <w:b/>
                <w:szCs w:val="21"/>
              </w:rPr>
            </w:pPr>
            <w:r>
              <w:rPr>
                <w:rFonts w:hAnsiTheme="minorEastAsia" w:eastAsiaTheme="minorEastAsia"/>
                <w:b/>
                <w:szCs w:val="21"/>
              </w:rPr>
              <w:t>下风向预测最大落地浓度</w:t>
            </w:r>
            <w:r>
              <w:rPr>
                <w:rFonts w:eastAsiaTheme="minorEastAsia"/>
                <w:b/>
                <w:szCs w:val="21"/>
              </w:rPr>
              <w:t>Ci</w:t>
            </w:r>
            <w:r>
              <w:rPr>
                <w:rFonts w:hAnsiTheme="minorEastAsia" w:eastAsiaTheme="minorEastAsia"/>
                <w:b/>
                <w:szCs w:val="21"/>
              </w:rPr>
              <w:t>（</w:t>
            </w:r>
            <w:r>
              <w:rPr>
                <w:rFonts w:eastAsiaTheme="minorEastAsia"/>
                <w:b/>
                <w:szCs w:val="21"/>
              </w:rPr>
              <w:t>μg/m</w:t>
            </w:r>
            <w:r>
              <w:rPr>
                <w:rFonts w:eastAsiaTheme="minorEastAsia"/>
                <w:b/>
                <w:szCs w:val="21"/>
                <w:vertAlign w:val="superscript"/>
              </w:rPr>
              <w:t>3</w:t>
            </w:r>
            <w:r>
              <w:rPr>
                <w:rFonts w:hAnsiTheme="minorEastAsia" w:eastAsiaTheme="minorEastAsia"/>
                <w:b/>
                <w:szCs w:val="21"/>
              </w:rPr>
              <w:t>）</w:t>
            </w:r>
          </w:p>
        </w:tc>
        <w:tc>
          <w:tcPr>
            <w:tcW w:w="1169" w:type="dxa"/>
            <w:vAlign w:val="center"/>
          </w:tcPr>
          <w:p>
            <w:pPr>
              <w:jc w:val="center"/>
              <w:rPr>
                <w:rFonts w:eastAsiaTheme="minorEastAsia"/>
                <w:b/>
                <w:szCs w:val="21"/>
              </w:rPr>
            </w:pPr>
            <w:r>
              <w:rPr>
                <w:rFonts w:hAnsiTheme="minorEastAsia" w:eastAsiaTheme="minorEastAsia"/>
                <w:b/>
                <w:snapToGrid w:val="0"/>
                <w:kern w:val="0"/>
                <w:szCs w:val="21"/>
              </w:rPr>
              <w:t>浓度占标率</w:t>
            </w:r>
            <w:r>
              <w:rPr>
                <w:rFonts w:eastAsiaTheme="minorEastAsia"/>
                <w:b/>
                <w:snapToGrid w:val="0"/>
                <w:kern w:val="0"/>
                <w:szCs w:val="21"/>
              </w:rPr>
              <w:t>Pi</w:t>
            </w:r>
            <w:r>
              <w:rPr>
                <w:rFonts w:hAnsiTheme="minorEastAsia" w:eastAsiaTheme="minorEastAsia"/>
                <w:b/>
                <w:snapToGrid w:val="0"/>
                <w:kern w:val="0"/>
                <w:szCs w:val="21"/>
              </w:rPr>
              <w:t>（</w:t>
            </w:r>
            <w:r>
              <w:rPr>
                <w:rFonts w:eastAsiaTheme="minorEastAsia"/>
                <w:b/>
                <w:snapToGrid w:val="0"/>
                <w:kern w:val="0"/>
                <w:szCs w:val="21"/>
              </w:rPr>
              <w:t>%</w:t>
            </w:r>
            <w:r>
              <w:rPr>
                <w:rFonts w:hAnsiTheme="minorEastAsia" w:eastAsiaTheme="minorEastAsia"/>
                <w:b/>
                <w:snapToGrid w:val="0"/>
                <w:kern w:val="0"/>
                <w:szCs w:val="21"/>
              </w:rPr>
              <w:t>）</w:t>
            </w:r>
          </w:p>
        </w:tc>
        <w:tc>
          <w:tcPr>
            <w:tcW w:w="1073" w:type="dxa"/>
            <w:vAlign w:val="center"/>
          </w:tcPr>
          <w:p>
            <w:pPr>
              <w:jc w:val="center"/>
              <w:rPr>
                <w:rFonts w:eastAsiaTheme="minorEastAsia"/>
                <w:b/>
                <w:szCs w:val="21"/>
              </w:rPr>
            </w:pPr>
            <w:r>
              <w:rPr>
                <w:rFonts w:hAnsiTheme="minorEastAsia" w:eastAsiaTheme="minorEastAsia"/>
                <w:b/>
                <w:szCs w:val="21"/>
              </w:rPr>
              <w:t>最大落地浓度出现的距离</w:t>
            </w:r>
            <w:r>
              <w:rPr>
                <w:rFonts w:eastAsiaTheme="minorEastAsia"/>
                <w:b/>
                <w:szCs w:val="21"/>
              </w:rPr>
              <w:t>D/m</w:t>
            </w:r>
          </w:p>
        </w:tc>
        <w:tc>
          <w:tcPr>
            <w:tcW w:w="1037" w:type="dxa"/>
            <w:vMerge w:val="continue"/>
            <w:vAlign w:val="center"/>
          </w:tcPr>
          <w:p>
            <w:pPr>
              <w:jc w:val="center"/>
              <w:rPr>
                <w:rFonts w:eastAsiaTheme="minorEastAsia"/>
                <w:b/>
                <w:szCs w:val="21"/>
              </w:rPr>
            </w:pPr>
          </w:p>
        </w:tc>
        <w:tc>
          <w:tcPr>
            <w:tcW w:w="897" w:type="dxa"/>
            <w:vMerge w:val="continue"/>
            <w:vAlign w:val="center"/>
          </w:tcPr>
          <w:p>
            <w:pPr>
              <w:pStyle w:val="263"/>
              <w:spacing w:line="240" w:lineRule="auto"/>
              <w:ind w:firstLine="0"/>
              <w:jc w:val="center"/>
              <w:rPr>
                <w:rFonts w:ascii="Times New Roman" w:hAnsi="Times New Roman" w:cs="Times New Roman"/>
                <w:b/>
                <w:sz w:val="21"/>
                <w:szCs w:val="21"/>
              </w:rPr>
            </w:pPr>
          </w:p>
        </w:tc>
        <w:tc>
          <w:tcPr>
            <w:tcW w:w="897" w:type="dxa"/>
            <w:vMerge w:val="continue"/>
            <w:vAlign w:val="center"/>
          </w:tcPr>
          <w:p>
            <w:pPr>
              <w:pStyle w:val="263"/>
              <w:spacing w:line="240" w:lineRule="auto"/>
              <w:ind w:firstLine="0"/>
              <w:jc w:val="center"/>
              <w:rPr>
                <w:rFonts w:ascii="Times New Roman" w:hAnsi="Times New Roman" w:cs="Times New Roman"/>
                <w:b/>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01" w:type="dxa"/>
            <w:vMerge w:val="restart"/>
            <w:vAlign w:val="center"/>
          </w:tcPr>
          <w:p>
            <w:pPr>
              <w:pStyle w:val="263"/>
              <w:spacing w:line="240" w:lineRule="auto"/>
              <w:ind w:firstLine="0"/>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南部养殖区</w:t>
            </w:r>
          </w:p>
        </w:tc>
        <w:tc>
          <w:tcPr>
            <w:tcW w:w="917" w:type="dxa"/>
            <w:vAlign w:val="center"/>
          </w:tcPr>
          <w:p>
            <w:pPr>
              <w:jc w:val="center"/>
              <w:rPr>
                <w:rFonts w:eastAsiaTheme="minorEastAsia"/>
                <w:szCs w:val="21"/>
              </w:rPr>
            </w:pPr>
            <w:r>
              <w:rPr>
                <w:rFonts w:hAnsiTheme="minorEastAsia" w:eastAsiaTheme="minorEastAsia"/>
                <w:szCs w:val="21"/>
              </w:rPr>
              <w:t>氨</w:t>
            </w:r>
          </w:p>
        </w:tc>
        <w:tc>
          <w:tcPr>
            <w:tcW w:w="1437" w:type="dxa"/>
            <w:vAlign w:val="center"/>
          </w:tcPr>
          <w:p>
            <w:pPr>
              <w:jc w:val="center"/>
              <w:rPr>
                <w:rFonts w:hint="default" w:eastAsiaTheme="minorEastAsia"/>
                <w:szCs w:val="21"/>
                <w:lang w:val="en-US" w:eastAsia="zh-CN"/>
              </w:rPr>
            </w:pPr>
            <w:r>
              <w:rPr>
                <w:rFonts w:hint="eastAsia" w:eastAsiaTheme="minorEastAsia"/>
                <w:szCs w:val="21"/>
              </w:rPr>
              <w:t>4.5</w:t>
            </w:r>
            <w:r>
              <w:rPr>
                <w:rFonts w:hint="eastAsia" w:eastAsiaTheme="minorEastAsia"/>
                <w:szCs w:val="21"/>
                <w:lang w:val="en-US" w:eastAsia="zh-CN"/>
              </w:rPr>
              <w:t>318</w:t>
            </w:r>
          </w:p>
        </w:tc>
        <w:tc>
          <w:tcPr>
            <w:tcW w:w="1169" w:type="dxa"/>
            <w:vAlign w:val="center"/>
          </w:tcPr>
          <w:p>
            <w:pPr>
              <w:jc w:val="center"/>
              <w:rPr>
                <w:rFonts w:hint="eastAsia" w:eastAsiaTheme="minorEastAsia"/>
                <w:szCs w:val="21"/>
                <w:lang w:val="en-US" w:eastAsia="zh-CN"/>
              </w:rPr>
            </w:pPr>
            <w:r>
              <w:rPr>
                <w:rFonts w:hint="eastAsia" w:eastAsiaTheme="minorEastAsia"/>
                <w:szCs w:val="21"/>
              </w:rPr>
              <w:t>2.2</w:t>
            </w:r>
            <w:r>
              <w:rPr>
                <w:rFonts w:hint="eastAsia" w:eastAsiaTheme="minorEastAsia"/>
                <w:szCs w:val="21"/>
                <w:lang w:val="en-US" w:eastAsia="zh-CN"/>
              </w:rPr>
              <w:t>7</w:t>
            </w:r>
          </w:p>
        </w:tc>
        <w:tc>
          <w:tcPr>
            <w:tcW w:w="1073" w:type="dxa"/>
            <w:vAlign w:val="center"/>
          </w:tcPr>
          <w:p>
            <w:pPr>
              <w:jc w:val="center"/>
              <w:rPr>
                <w:rFonts w:eastAsiaTheme="minorEastAsia"/>
                <w:szCs w:val="21"/>
              </w:rPr>
            </w:pPr>
            <w:r>
              <w:rPr>
                <w:rFonts w:hint="eastAsia" w:eastAsiaTheme="minorEastAsia"/>
                <w:szCs w:val="21"/>
              </w:rPr>
              <w:t>68</w:t>
            </w:r>
          </w:p>
        </w:tc>
        <w:tc>
          <w:tcPr>
            <w:tcW w:w="1037" w:type="dxa"/>
            <w:vAlign w:val="center"/>
          </w:tcPr>
          <w:p>
            <w:pPr>
              <w:jc w:val="center"/>
              <w:rPr>
                <w:rFonts w:eastAsiaTheme="minorEastAsia"/>
                <w:szCs w:val="21"/>
              </w:rPr>
            </w:pPr>
            <w:r>
              <w:rPr>
                <w:rFonts w:hAnsiTheme="minorEastAsia" w:eastAsiaTheme="minorEastAsia"/>
                <w:szCs w:val="21"/>
              </w:rPr>
              <w:t>未出现</w:t>
            </w:r>
          </w:p>
        </w:tc>
        <w:tc>
          <w:tcPr>
            <w:tcW w:w="897" w:type="dxa"/>
            <w:vAlign w:val="center"/>
          </w:tcPr>
          <w:p>
            <w:pPr>
              <w:pStyle w:val="263"/>
              <w:spacing w:line="240" w:lineRule="auto"/>
              <w:ind w:firstLine="0"/>
              <w:jc w:val="center"/>
              <w:rPr>
                <w:rFonts w:ascii="Times New Roman" w:hAnsi="Times New Roman" w:cs="Times New Roman"/>
                <w:sz w:val="21"/>
                <w:szCs w:val="21"/>
              </w:rPr>
            </w:pPr>
            <w:r>
              <w:rPr>
                <w:rFonts w:ascii="Times New Roman" w:cs="Times New Roman" w:hAnsiTheme="minorEastAsia"/>
                <w:sz w:val="21"/>
                <w:szCs w:val="21"/>
              </w:rPr>
              <w:t>二级</w:t>
            </w:r>
          </w:p>
        </w:tc>
        <w:tc>
          <w:tcPr>
            <w:tcW w:w="897" w:type="dxa"/>
            <w:vMerge w:val="continue"/>
            <w:vAlign w:val="center"/>
          </w:tcPr>
          <w:p>
            <w:pPr>
              <w:pStyle w:val="263"/>
              <w:spacing w:line="240" w:lineRule="auto"/>
              <w:ind w:firstLine="0"/>
              <w:jc w:val="center"/>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01" w:type="dxa"/>
            <w:vMerge w:val="continue"/>
            <w:vAlign w:val="center"/>
          </w:tcPr>
          <w:p>
            <w:pPr>
              <w:pStyle w:val="263"/>
              <w:spacing w:line="240" w:lineRule="auto"/>
              <w:ind w:firstLine="0"/>
              <w:jc w:val="center"/>
              <w:rPr>
                <w:rFonts w:ascii="Times New Roman" w:hAnsi="Times New Roman" w:cs="Times New Roman"/>
                <w:sz w:val="21"/>
                <w:szCs w:val="21"/>
              </w:rPr>
            </w:pPr>
          </w:p>
        </w:tc>
        <w:tc>
          <w:tcPr>
            <w:tcW w:w="917" w:type="dxa"/>
            <w:vAlign w:val="center"/>
          </w:tcPr>
          <w:p>
            <w:pPr>
              <w:jc w:val="center"/>
              <w:rPr>
                <w:rFonts w:eastAsiaTheme="minorEastAsia"/>
                <w:szCs w:val="21"/>
              </w:rPr>
            </w:pPr>
            <w:r>
              <w:rPr>
                <w:rFonts w:hAnsiTheme="minorEastAsia" w:eastAsiaTheme="minorEastAsia"/>
                <w:szCs w:val="21"/>
              </w:rPr>
              <w:t>硫化氢</w:t>
            </w:r>
          </w:p>
        </w:tc>
        <w:tc>
          <w:tcPr>
            <w:tcW w:w="1437" w:type="dxa"/>
            <w:vAlign w:val="center"/>
          </w:tcPr>
          <w:p>
            <w:pPr>
              <w:jc w:val="center"/>
              <w:rPr>
                <w:rFonts w:hint="default" w:eastAsiaTheme="minorEastAsia"/>
                <w:szCs w:val="21"/>
                <w:lang w:val="en-US" w:eastAsia="zh-CN"/>
              </w:rPr>
            </w:pPr>
            <w:r>
              <w:rPr>
                <w:rFonts w:hint="eastAsia" w:eastAsiaTheme="minorEastAsia"/>
                <w:szCs w:val="21"/>
              </w:rPr>
              <w:t>0.4</w:t>
            </w:r>
            <w:r>
              <w:rPr>
                <w:rFonts w:hint="eastAsia" w:eastAsiaTheme="minorEastAsia"/>
                <w:szCs w:val="21"/>
                <w:lang w:val="en-US" w:eastAsia="zh-CN"/>
              </w:rPr>
              <w:t>5318</w:t>
            </w:r>
          </w:p>
        </w:tc>
        <w:tc>
          <w:tcPr>
            <w:tcW w:w="1169" w:type="dxa"/>
            <w:vAlign w:val="center"/>
          </w:tcPr>
          <w:p>
            <w:pPr>
              <w:jc w:val="center"/>
              <w:rPr>
                <w:rFonts w:hint="eastAsia" w:eastAsiaTheme="minorEastAsia"/>
                <w:szCs w:val="21"/>
                <w:lang w:val="en-US" w:eastAsia="zh-CN"/>
              </w:rPr>
            </w:pPr>
            <w:r>
              <w:rPr>
                <w:rFonts w:hint="eastAsia" w:eastAsiaTheme="minorEastAsia"/>
                <w:szCs w:val="21"/>
              </w:rPr>
              <w:t>4.5</w:t>
            </w:r>
            <w:r>
              <w:rPr>
                <w:rFonts w:hint="eastAsia" w:eastAsiaTheme="minorEastAsia"/>
                <w:szCs w:val="21"/>
                <w:lang w:val="en-US" w:eastAsia="zh-CN"/>
              </w:rPr>
              <w:t>3</w:t>
            </w:r>
          </w:p>
        </w:tc>
        <w:tc>
          <w:tcPr>
            <w:tcW w:w="1073" w:type="dxa"/>
            <w:vAlign w:val="center"/>
          </w:tcPr>
          <w:p>
            <w:pPr>
              <w:jc w:val="center"/>
              <w:rPr>
                <w:rFonts w:eastAsiaTheme="minorEastAsia"/>
                <w:szCs w:val="21"/>
              </w:rPr>
            </w:pPr>
            <w:r>
              <w:rPr>
                <w:rFonts w:hint="eastAsia" w:eastAsiaTheme="minorEastAsia"/>
                <w:szCs w:val="21"/>
              </w:rPr>
              <w:t>68</w:t>
            </w:r>
          </w:p>
        </w:tc>
        <w:tc>
          <w:tcPr>
            <w:tcW w:w="1037" w:type="dxa"/>
            <w:vAlign w:val="center"/>
          </w:tcPr>
          <w:p>
            <w:pPr>
              <w:jc w:val="center"/>
              <w:rPr>
                <w:rFonts w:eastAsiaTheme="minorEastAsia"/>
                <w:szCs w:val="21"/>
              </w:rPr>
            </w:pPr>
            <w:r>
              <w:rPr>
                <w:rFonts w:hAnsiTheme="minorEastAsia" w:eastAsiaTheme="minorEastAsia"/>
                <w:szCs w:val="21"/>
              </w:rPr>
              <w:t>未出现</w:t>
            </w:r>
          </w:p>
        </w:tc>
        <w:tc>
          <w:tcPr>
            <w:tcW w:w="897" w:type="dxa"/>
            <w:vAlign w:val="center"/>
          </w:tcPr>
          <w:p>
            <w:pPr>
              <w:pStyle w:val="263"/>
              <w:spacing w:line="240" w:lineRule="auto"/>
              <w:ind w:firstLine="0"/>
              <w:jc w:val="center"/>
              <w:rPr>
                <w:rFonts w:ascii="Times New Roman" w:hAnsi="Times New Roman" w:cs="Times New Roman"/>
                <w:sz w:val="21"/>
                <w:szCs w:val="21"/>
              </w:rPr>
            </w:pPr>
            <w:r>
              <w:rPr>
                <w:rFonts w:ascii="Times New Roman" w:cs="Times New Roman" w:hAnsiTheme="minorEastAsia"/>
                <w:sz w:val="21"/>
                <w:szCs w:val="21"/>
              </w:rPr>
              <w:t>二级</w:t>
            </w:r>
          </w:p>
        </w:tc>
        <w:tc>
          <w:tcPr>
            <w:tcW w:w="897" w:type="dxa"/>
            <w:vMerge w:val="continue"/>
            <w:vAlign w:val="center"/>
          </w:tcPr>
          <w:p>
            <w:pPr>
              <w:pStyle w:val="263"/>
              <w:spacing w:line="240" w:lineRule="auto"/>
              <w:ind w:firstLine="0"/>
              <w:jc w:val="center"/>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01" w:type="dxa"/>
            <w:vMerge w:val="continue"/>
            <w:vAlign w:val="center"/>
          </w:tcPr>
          <w:p>
            <w:pPr>
              <w:pStyle w:val="263"/>
              <w:spacing w:line="240" w:lineRule="auto"/>
              <w:ind w:firstLine="0"/>
              <w:jc w:val="center"/>
              <w:rPr>
                <w:rFonts w:ascii="Times New Roman" w:hAnsi="Times New Roman" w:cs="Times New Roman"/>
                <w:sz w:val="21"/>
                <w:szCs w:val="21"/>
              </w:rPr>
            </w:pPr>
          </w:p>
        </w:tc>
        <w:tc>
          <w:tcPr>
            <w:tcW w:w="917" w:type="dxa"/>
            <w:vAlign w:val="center"/>
          </w:tcPr>
          <w:p>
            <w:pPr>
              <w:jc w:val="center"/>
              <w:rPr>
                <w:rFonts w:hint="default" w:hAnsiTheme="minorEastAsia" w:eastAsiaTheme="minorEastAsia"/>
                <w:szCs w:val="21"/>
                <w:lang w:val="en-US" w:eastAsia="zh-CN"/>
              </w:rPr>
            </w:pPr>
            <w:r>
              <w:rPr>
                <w:rFonts w:hint="eastAsia" w:hAnsiTheme="minorEastAsia" w:eastAsiaTheme="minorEastAsia"/>
                <w:szCs w:val="21"/>
                <w:lang w:val="en-US" w:eastAsia="zh-CN"/>
              </w:rPr>
              <w:t>TSP</w:t>
            </w:r>
          </w:p>
        </w:tc>
        <w:tc>
          <w:tcPr>
            <w:tcW w:w="1437" w:type="dxa"/>
            <w:vAlign w:val="center"/>
          </w:tcPr>
          <w:p>
            <w:pPr>
              <w:jc w:val="center"/>
              <w:rPr>
                <w:rFonts w:hint="default" w:eastAsiaTheme="minorEastAsia"/>
                <w:szCs w:val="21"/>
                <w:lang w:val="en-US" w:eastAsia="zh-CN"/>
              </w:rPr>
            </w:pPr>
            <w:r>
              <w:rPr>
                <w:rFonts w:hint="eastAsia" w:eastAsiaTheme="minorEastAsia"/>
                <w:szCs w:val="21"/>
                <w:lang w:val="en-US" w:eastAsia="zh-CN"/>
              </w:rPr>
              <w:t>42.585</w:t>
            </w:r>
          </w:p>
        </w:tc>
        <w:tc>
          <w:tcPr>
            <w:tcW w:w="1169" w:type="dxa"/>
            <w:vAlign w:val="center"/>
          </w:tcPr>
          <w:p>
            <w:pPr>
              <w:jc w:val="center"/>
              <w:rPr>
                <w:rFonts w:hint="default" w:eastAsiaTheme="minorEastAsia"/>
                <w:szCs w:val="21"/>
                <w:lang w:val="en-US" w:eastAsia="zh-CN"/>
              </w:rPr>
            </w:pPr>
            <w:r>
              <w:rPr>
                <w:rFonts w:hint="eastAsia" w:eastAsiaTheme="minorEastAsia"/>
                <w:szCs w:val="21"/>
                <w:lang w:val="en-US" w:eastAsia="zh-CN"/>
              </w:rPr>
              <w:t>4.73</w:t>
            </w:r>
          </w:p>
        </w:tc>
        <w:tc>
          <w:tcPr>
            <w:tcW w:w="1073" w:type="dxa"/>
            <w:vAlign w:val="center"/>
          </w:tcPr>
          <w:p>
            <w:pPr>
              <w:jc w:val="center"/>
              <w:rPr>
                <w:rFonts w:hint="default" w:eastAsiaTheme="minorEastAsia"/>
                <w:szCs w:val="21"/>
                <w:lang w:val="en-US" w:eastAsia="zh-CN"/>
              </w:rPr>
            </w:pPr>
            <w:r>
              <w:rPr>
                <w:rFonts w:hint="eastAsia" w:eastAsiaTheme="minorEastAsia"/>
                <w:szCs w:val="21"/>
                <w:lang w:val="en-US" w:eastAsia="zh-CN"/>
              </w:rPr>
              <w:t>68</w:t>
            </w:r>
          </w:p>
        </w:tc>
        <w:tc>
          <w:tcPr>
            <w:tcW w:w="1037" w:type="dxa"/>
            <w:vAlign w:val="center"/>
          </w:tcPr>
          <w:p>
            <w:pPr>
              <w:jc w:val="center"/>
              <w:rPr>
                <w:rFonts w:ascii="Times New Roman" w:hAnsi="Times New Roman" w:cs="Times New Roman" w:eastAsiaTheme="minorEastAsia"/>
                <w:kern w:val="2"/>
                <w:sz w:val="21"/>
                <w:szCs w:val="21"/>
                <w:lang w:val="en-US" w:eastAsia="zh-CN" w:bidi="ar-SA"/>
              </w:rPr>
            </w:pPr>
            <w:r>
              <w:rPr>
                <w:rFonts w:hAnsiTheme="minorEastAsia" w:eastAsiaTheme="minorEastAsia"/>
                <w:szCs w:val="21"/>
              </w:rPr>
              <w:t>未出现</w:t>
            </w:r>
          </w:p>
        </w:tc>
        <w:tc>
          <w:tcPr>
            <w:tcW w:w="897" w:type="dxa"/>
            <w:vAlign w:val="center"/>
          </w:tcPr>
          <w:p>
            <w:pPr>
              <w:pStyle w:val="263"/>
              <w:spacing w:line="240" w:lineRule="auto"/>
              <w:ind w:firstLine="0" w:firstLineChars="0"/>
              <w:jc w:val="center"/>
              <w:rPr>
                <w:rFonts w:ascii="Times New Roman" w:hAnsi="Times New Roman" w:cs="Times New Roman" w:eastAsiaTheme="minorEastAsia"/>
                <w:kern w:val="0"/>
                <w:sz w:val="21"/>
                <w:szCs w:val="21"/>
                <w:lang w:val="en-US" w:eastAsia="zh-CN" w:bidi="ar-SA"/>
              </w:rPr>
            </w:pPr>
            <w:r>
              <w:rPr>
                <w:rFonts w:ascii="Times New Roman" w:cs="Times New Roman" w:hAnsiTheme="minorEastAsia"/>
                <w:sz w:val="21"/>
                <w:szCs w:val="21"/>
              </w:rPr>
              <w:t>二级</w:t>
            </w:r>
          </w:p>
        </w:tc>
        <w:tc>
          <w:tcPr>
            <w:tcW w:w="897" w:type="dxa"/>
            <w:vMerge w:val="continue"/>
            <w:vAlign w:val="center"/>
          </w:tcPr>
          <w:p>
            <w:pPr>
              <w:pStyle w:val="263"/>
              <w:spacing w:line="240" w:lineRule="auto"/>
              <w:ind w:firstLine="0"/>
              <w:jc w:val="center"/>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01" w:type="dxa"/>
            <w:vMerge w:val="restart"/>
            <w:vAlign w:val="center"/>
          </w:tcPr>
          <w:p>
            <w:pPr>
              <w:pStyle w:val="263"/>
              <w:spacing w:line="240" w:lineRule="auto"/>
              <w:ind w:firstLine="0"/>
              <w:jc w:val="center"/>
              <w:rPr>
                <w:rFonts w:ascii="Times New Roman" w:hAnsi="Times New Roman" w:cs="Times New Roman"/>
                <w:sz w:val="21"/>
                <w:szCs w:val="21"/>
              </w:rPr>
            </w:pPr>
            <w:r>
              <w:rPr>
                <w:rFonts w:hint="eastAsia" w:ascii="Times New Roman" w:hAnsi="Times New Roman" w:cs="Times New Roman"/>
                <w:sz w:val="21"/>
                <w:szCs w:val="21"/>
              </w:rPr>
              <w:t>东部养殖区</w:t>
            </w:r>
          </w:p>
        </w:tc>
        <w:tc>
          <w:tcPr>
            <w:tcW w:w="917" w:type="dxa"/>
            <w:vAlign w:val="center"/>
          </w:tcPr>
          <w:p>
            <w:pPr>
              <w:jc w:val="center"/>
              <w:rPr>
                <w:rFonts w:eastAsiaTheme="minorEastAsia"/>
                <w:szCs w:val="21"/>
              </w:rPr>
            </w:pPr>
            <w:r>
              <w:rPr>
                <w:rFonts w:hAnsiTheme="minorEastAsia" w:eastAsiaTheme="minorEastAsia"/>
                <w:szCs w:val="21"/>
              </w:rPr>
              <w:t>氨</w:t>
            </w:r>
          </w:p>
        </w:tc>
        <w:tc>
          <w:tcPr>
            <w:tcW w:w="1437" w:type="dxa"/>
            <w:vAlign w:val="center"/>
          </w:tcPr>
          <w:p>
            <w:pPr>
              <w:jc w:val="center"/>
              <w:rPr>
                <w:rFonts w:hint="default" w:eastAsiaTheme="minorEastAsia"/>
                <w:szCs w:val="21"/>
                <w:lang w:val="en-US" w:eastAsia="zh-CN"/>
              </w:rPr>
            </w:pPr>
            <w:r>
              <w:rPr>
                <w:rFonts w:hint="eastAsia" w:eastAsiaTheme="minorEastAsia"/>
                <w:szCs w:val="21"/>
              </w:rPr>
              <w:t>4.</w:t>
            </w:r>
            <w:r>
              <w:rPr>
                <w:rFonts w:hint="eastAsia" w:eastAsiaTheme="minorEastAsia"/>
                <w:szCs w:val="21"/>
                <w:lang w:val="en-US" w:eastAsia="zh-CN"/>
              </w:rPr>
              <w:t>3467</w:t>
            </w:r>
          </w:p>
        </w:tc>
        <w:tc>
          <w:tcPr>
            <w:tcW w:w="1169" w:type="dxa"/>
            <w:vAlign w:val="center"/>
          </w:tcPr>
          <w:p>
            <w:pPr>
              <w:jc w:val="center"/>
              <w:rPr>
                <w:rFonts w:eastAsiaTheme="minorEastAsia"/>
                <w:szCs w:val="21"/>
              </w:rPr>
            </w:pPr>
            <w:r>
              <w:rPr>
                <w:rFonts w:hint="eastAsia" w:eastAsiaTheme="minorEastAsia"/>
                <w:szCs w:val="21"/>
              </w:rPr>
              <w:t>2.</w:t>
            </w:r>
            <w:r>
              <w:rPr>
                <w:rFonts w:hint="eastAsia" w:eastAsiaTheme="minorEastAsia"/>
                <w:szCs w:val="21"/>
                <w:lang w:val="en-US" w:eastAsia="zh-CN"/>
              </w:rPr>
              <w:t>17</w:t>
            </w:r>
          </w:p>
        </w:tc>
        <w:tc>
          <w:tcPr>
            <w:tcW w:w="1073" w:type="dxa"/>
            <w:vAlign w:val="center"/>
          </w:tcPr>
          <w:p>
            <w:pPr>
              <w:jc w:val="center"/>
              <w:rPr>
                <w:rFonts w:eastAsiaTheme="minorEastAsia"/>
                <w:szCs w:val="21"/>
              </w:rPr>
            </w:pPr>
            <w:r>
              <w:rPr>
                <w:rFonts w:hint="eastAsia" w:eastAsiaTheme="minorEastAsia"/>
                <w:szCs w:val="21"/>
              </w:rPr>
              <w:t>70</w:t>
            </w:r>
          </w:p>
        </w:tc>
        <w:tc>
          <w:tcPr>
            <w:tcW w:w="1037" w:type="dxa"/>
            <w:vAlign w:val="center"/>
          </w:tcPr>
          <w:p>
            <w:pPr>
              <w:jc w:val="center"/>
              <w:rPr>
                <w:rFonts w:eastAsiaTheme="minorEastAsia"/>
                <w:szCs w:val="21"/>
              </w:rPr>
            </w:pPr>
            <w:r>
              <w:rPr>
                <w:rFonts w:hAnsiTheme="minorEastAsia" w:eastAsiaTheme="minorEastAsia"/>
                <w:szCs w:val="21"/>
              </w:rPr>
              <w:t>未出现</w:t>
            </w:r>
          </w:p>
        </w:tc>
        <w:tc>
          <w:tcPr>
            <w:tcW w:w="897" w:type="dxa"/>
            <w:vAlign w:val="center"/>
          </w:tcPr>
          <w:p>
            <w:pPr>
              <w:pStyle w:val="263"/>
              <w:spacing w:line="240" w:lineRule="auto"/>
              <w:ind w:firstLine="0"/>
              <w:jc w:val="center"/>
              <w:rPr>
                <w:rFonts w:ascii="Times New Roman" w:hAnsi="Times New Roman" w:cs="Times New Roman"/>
                <w:sz w:val="21"/>
                <w:szCs w:val="21"/>
              </w:rPr>
            </w:pPr>
            <w:r>
              <w:rPr>
                <w:rFonts w:ascii="Times New Roman" w:cs="Times New Roman" w:hAnsiTheme="minorEastAsia"/>
                <w:sz w:val="21"/>
                <w:szCs w:val="21"/>
              </w:rPr>
              <w:t>二级</w:t>
            </w:r>
          </w:p>
        </w:tc>
        <w:tc>
          <w:tcPr>
            <w:tcW w:w="897" w:type="dxa"/>
            <w:vMerge w:val="continue"/>
            <w:vAlign w:val="center"/>
          </w:tcPr>
          <w:p>
            <w:pPr>
              <w:pStyle w:val="263"/>
              <w:spacing w:line="240" w:lineRule="auto"/>
              <w:ind w:firstLine="0"/>
              <w:jc w:val="center"/>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01" w:type="dxa"/>
            <w:vMerge w:val="continue"/>
            <w:vAlign w:val="center"/>
          </w:tcPr>
          <w:p>
            <w:pPr>
              <w:pStyle w:val="263"/>
              <w:spacing w:line="240" w:lineRule="auto"/>
              <w:ind w:firstLine="0"/>
              <w:jc w:val="center"/>
              <w:rPr>
                <w:rFonts w:hint="eastAsia" w:ascii="Times New Roman" w:hAnsi="Times New Roman" w:cs="Times New Roman"/>
                <w:sz w:val="21"/>
                <w:szCs w:val="21"/>
              </w:rPr>
            </w:pPr>
          </w:p>
        </w:tc>
        <w:tc>
          <w:tcPr>
            <w:tcW w:w="917" w:type="dxa"/>
            <w:vAlign w:val="center"/>
          </w:tcPr>
          <w:p>
            <w:pPr>
              <w:jc w:val="center"/>
              <w:rPr>
                <w:rFonts w:ascii="Times New Roman" w:hAnsi="Times New Roman" w:cs="Times New Roman" w:eastAsiaTheme="minorEastAsia"/>
                <w:kern w:val="2"/>
                <w:sz w:val="21"/>
                <w:szCs w:val="21"/>
                <w:lang w:val="en-US" w:eastAsia="zh-CN" w:bidi="ar-SA"/>
              </w:rPr>
            </w:pPr>
            <w:r>
              <w:rPr>
                <w:rFonts w:hAnsiTheme="minorEastAsia" w:eastAsiaTheme="minorEastAsia"/>
                <w:szCs w:val="21"/>
              </w:rPr>
              <w:t>硫化氢</w:t>
            </w:r>
          </w:p>
        </w:tc>
        <w:tc>
          <w:tcPr>
            <w:tcW w:w="1437"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eastAsiaTheme="minorEastAsia"/>
                <w:szCs w:val="21"/>
              </w:rPr>
              <w:t>0.4</w:t>
            </w:r>
            <w:r>
              <w:rPr>
                <w:rFonts w:hint="eastAsia" w:eastAsiaTheme="minorEastAsia"/>
                <w:szCs w:val="21"/>
                <w:lang w:val="en-US" w:eastAsia="zh-CN"/>
              </w:rPr>
              <w:t>3467</w:t>
            </w:r>
          </w:p>
        </w:tc>
        <w:tc>
          <w:tcPr>
            <w:tcW w:w="116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eastAsiaTheme="minorEastAsia"/>
                <w:szCs w:val="21"/>
              </w:rPr>
              <w:t>4.</w:t>
            </w:r>
            <w:r>
              <w:rPr>
                <w:rFonts w:hint="eastAsia" w:eastAsiaTheme="minorEastAsia"/>
                <w:szCs w:val="21"/>
                <w:lang w:val="en-US" w:eastAsia="zh-CN"/>
              </w:rPr>
              <w:t>35</w:t>
            </w:r>
          </w:p>
        </w:tc>
        <w:tc>
          <w:tcPr>
            <w:tcW w:w="1073" w:type="dxa"/>
            <w:vAlign w:val="center"/>
          </w:tcPr>
          <w:p>
            <w:pPr>
              <w:jc w:val="center"/>
              <w:rPr>
                <w:rFonts w:hint="eastAsia" w:ascii="Times New Roman" w:hAnsi="Times New Roman" w:cs="Times New Roman" w:eastAsiaTheme="minorEastAsia"/>
                <w:kern w:val="2"/>
                <w:sz w:val="21"/>
                <w:szCs w:val="21"/>
                <w:lang w:val="en-US" w:eastAsia="zh-CN" w:bidi="ar-SA"/>
              </w:rPr>
            </w:pPr>
            <w:r>
              <w:rPr>
                <w:rFonts w:hint="eastAsia" w:eastAsiaTheme="minorEastAsia"/>
                <w:szCs w:val="21"/>
              </w:rPr>
              <w:t>70</w:t>
            </w:r>
          </w:p>
        </w:tc>
        <w:tc>
          <w:tcPr>
            <w:tcW w:w="1037" w:type="dxa"/>
            <w:vAlign w:val="center"/>
          </w:tcPr>
          <w:p>
            <w:pPr>
              <w:jc w:val="center"/>
              <w:rPr>
                <w:rFonts w:ascii="Times New Roman" w:hAnsi="Times New Roman" w:cs="Times New Roman" w:eastAsiaTheme="minorEastAsia"/>
                <w:kern w:val="2"/>
                <w:sz w:val="21"/>
                <w:szCs w:val="21"/>
                <w:lang w:val="en-US" w:eastAsia="zh-CN" w:bidi="ar-SA"/>
              </w:rPr>
            </w:pPr>
            <w:r>
              <w:rPr>
                <w:rFonts w:hAnsiTheme="minorEastAsia" w:eastAsiaTheme="minorEastAsia"/>
                <w:szCs w:val="21"/>
              </w:rPr>
              <w:t>未出现</w:t>
            </w:r>
          </w:p>
        </w:tc>
        <w:tc>
          <w:tcPr>
            <w:tcW w:w="897" w:type="dxa"/>
            <w:vAlign w:val="center"/>
          </w:tcPr>
          <w:p>
            <w:pPr>
              <w:pStyle w:val="263"/>
              <w:spacing w:line="240" w:lineRule="auto"/>
              <w:ind w:firstLine="0" w:firstLineChars="0"/>
              <w:jc w:val="center"/>
              <w:rPr>
                <w:rFonts w:ascii="Times New Roman" w:hAnsi="Times New Roman" w:cs="Times New Roman" w:eastAsiaTheme="minorEastAsia"/>
                <w:kern w:val="0"/>
                <w:sz w:val="21"/>
                <w:szCs w:val="21"/>
                <w:lang w:val="en-US" w:eastAsia="zh-CN" w:bidi="ar-SA"/>
              </w:rPr>
            </w:pPr>
            <w:r>
              <w:rPr>
                <w:rFonts w:ascii="Times New Roman" w:cs="Times New Roman" w:hAnsiTheme="minorEastAsia"/>
                <w:sz w:val="21"/>
                <w:szCs w:val="21"/>
              </w:rPr>
              <w:t>二级</w:t>
            </w:r>
          </w:p>
        </w:tc>
        <w:tc>
          <w:tcPr>
            <w:tcW w:w="897" w:type="dxa"/>
            <w:vMerge w:val="continue"/>
            <w:vAlign w:val="center"/>
          </w:tcPr>
          <w:p>
            <w:pPr>
              <w:pStyle w:val="263"/>
              <w:spacing w:line="240" w:lineRule="auto"/>
              <w:ind w:firstLine="0"/>
              <w:jc w:val="center"/>
              <w:rPr>
                <w:rFonts w:ascii="Times New Roman" w:hAnsi="Times New Roman" w:cs="Times New Roman"/>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01" w:type="dxa"/>
            <w:vMerge w:val="continue"/>
            <w:vAlign w:val="center"/>
          </w:tcPr>
          <w:p>
            <w:pPr>
              <w:pStyle w:val="263"/>
              <w:spacing w:line="240" w:lineRule="auto"/>
              <w:ind w:firstLine="0"/>
              <w:jc w:val="center"/>
              <w:rPr>
                <w:rFonts w:ascii="Times New Roman" w:hAnsi="Times New Roman" w:cs="Times New Roman"/>
                <w:sz w:val="21"/>
                <w:szCs w:val="21"/>
              </w:rPr>
            </w:pPr>
          </w:p>
        </w:tc>
        <w:tc>
          <w:tcPr>
            <w:tcW w:w="917" w:type="dxa"/>
            <w:vAlign w:val="center"/>
          </w:tcPr>
          <w:p>
            <w:pPr>
              <w:jc w:val="center"/>
              <w:rPr>
                <w:rFonts w:hint="default" w:eastAsiaTheme="minorEastAsia"/>
                <w:szCs w:val="21"/>
                <w:lang w:val="en-US" w:eastAsia="zh-CN"/>
              </w:rPr>
            </w:pPr>
            <w:r>
              <w:rPr>
                <w:rFonts w:hint="eastAsia" w:eastAsiaTheme="minorEastAsia"/>
                <w:szCs w:val="21"/>
                <w:lang w:val="en-US" w:eastAsia="zh-CN"/>
              </w:rPr>
              <w:t>TSP</w:t>
            </w:r>
          </w:p>
        </w:tc>
        <w:tc>
          <w:tcPr>
            <w:tcW w:w="1437"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eastAsiaTheme="minorEastAsia"/>
                <w:szCs w:val="21"/>
                <w:lang w:val="en-US" w:eastAsia="zh-CN"/>
              </w:rPr>
              <w:t>40.837</w:t>
            </w:r>
          </w:p>
        </w:tc>
        <w:tc>
          <w:tcPr>
            <w:tcW w:w="1169"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eastAsiaTheme="minorEastAsia"/>
                <w:szCs w:val="21"/>
                <w:lang w:val="en-US" w:eastAsia="zh-CN"/>
              </w:rPr>
              <w:t>4.54</w:t>
            </w:r>
          </w:p>
        </w:tc>
        <w:tc>
          <w:tcPr>
            <w:tcW w:w="1073" w:type="dxa"/>
            <w:vAlign w:val="center"/>
          </w:tcPr>
          <w:p>
            <w:pPr>
              <w:jc w:val="center"/>
              <w:rPr>
                <w:rFonts w:hint="default" w:ascii="Times New Roman" w:hAnsi="Times New Roman" w:cs="Times New Roman" w:eastAsiaTheme="minorEastAsia"/>
                <w:kern w:val="2"/>
                <w:sz w:val="21"/>
                <w:szCs w:val="21"/>
                <w:lang w:val="en-US" w:eastAsia="zh-CN" w:bidi="ar-SA"/>
              </w:rPr>
            </w:pPr>
            <w:r>
              <w:rPr>
                <w:rFonts w:hint="eastAsia" w:eastAsiaTheme="minorEastAsia"/>
                <w:szCs w:val="21"/>
                <w:lang w:val="en-US" w:eastAsia="zh-CN"/>
              </w:rPr>
              <w:t>70</w:t>
            </w:r>
          </w:p>
        </w:tc>
        <w:tc>
          <w:tcPr>
            <w:tcW w:w="1037" w:type="dxa"/>
            <w:vAlign w:val="center"/>
          </w:tcPr>
          <w:p>
            <w:pPr>
              <w:jc w:val="center"/>
              <w:rPr>
                <w:rFonts w:ascii="Times New Roman" w:hAnsi="Times New Roman" w:cs="Times New Roman" w:eastAsiaTheme="minorEastAsia"/>
                <w:kern w:val="2"/>
                <w:sz w:val="21"/>
                <w:szCs w:val="21"/>
                <w:lang w:val="en-US" w:eastAsia="zh-CN" w:bidi="ar-SA"/>
              </w:rPr>
            </w:pPr>
            <w:r>
              <w:rPr>
                <w:rFonts w:hAnsiTheme="minorEastAsia" w:eastAsiaTheme="minorEastAsia"/>
                <w:szCs w:val="21"/>
              </w:rPr>
              <w:t>未出现</w:t>
            </w:r>
          </w:p>
        </w:tc>
        <w:tc>
          <w:tcPr>
            <w:tcW w:w="897" w:type="dxa"/>
            <w:vAlign w:val="center"/>
          </w:tcPr>
          <w:p>
            <w:pPr>
              <w:pStyle w:val="263"/>
              <w:spacing w:line="240" w:lineRule="auto"/>
              <w:ind w:firstLine="0" w:firstLineChars="0"/>
              <w:jc w:val="center"/>
              <w:rPr>
                <w:rFonts w:ascii="Times New Roman" w:hAnsi="Times New Roman" w:cs="Times New Roman" w:eastAsiaTheme="minorEastAsia"/>
                <w:kern w:val="0"/>
                <w:sz w:val="21"/>
                <w:szCs w:val="21"/>
                <w:lang w:val="en-US" w:eastAsia="zh-CN" w:bidi="ar-SA"/>
              </w:rPr>
            </w:pPr>
            <w:r>
              <w:rPr>
                <w:rFonts w:ascii="Times New Roman" w:cs="Times New Roman" w:hAnsiTheme="minorEastAsia"/>
                <w:sz w:val="21"/>
                <w:szCs w:val="21"/>
              </w:rPr>
              <w:t>二级</w:t>
            </w:r>
          </w:p>
        </w:tc>
        <w:tc>
          <w:tcPr>
            <w:tcW w:w="897" w:type="dxa"/>
            <w:vMerge w:val="continue"/>
            <w:vAlign w:val="center"/>
          </w:tcPr>
          <w:p>
            <w:pPr>
              <w:pStyle w:val="263"/>
              <w:spacing w:line="240" w:lineRule="auto"/>
              <w:ind w:firstLine="0"/>
              <w:jc w:val="center"/>
              <w:rPr>
                <w:rFonts w:ascii="Times New Roman" w:hAnsi="Times New Roman" w:cs="Times New Roman"/>
                <w:sz w:val="21"/>
                <w:szCs w:val="21"/>
              </w:rPr>
            </w:pPr>
          </w:p>
        </w:tc>
      </w:tr>
    </w:tbl>
    <w:p>
      <w:pPr>
        <w:pStyle w:val="17"/>
        <w:spacing w:beforeLines="50"/>
        <w:rPr>
          <w:rFonts w:ascii="Times New Roman" w:cs="Times New Roman"/>
          <w:color w:val="auto"/>
          <w:sz w:val="21"/>
        </w:rPr>
      </w:pPr>
      <w:r>
        <w:rPr>
          <w:rFonts w:ascii="Times New Roman" w:cs="Times New Roman"/>
          <w:color w:val="auto"/>
          <w:sz w:val="21"/>
        </w:rPr>
        <w:t>表</w:t>
      </w:r>
      <w:r>
        <w:rPr>
          <w:rFonts w:ascii="Times New Roman" w:hAnsi="Times New Roman" w:cs="Times New Roman"/>
          <w:color w:val="auto"/>
          <w:sz w:val="21"/>
        </w:rPr>
        <w:t>6.2-</w:t>
      </w:r>
      <w:r>
        <w:rPr>
          <w:rFonts w:hint="eastAsia" w:ascii="Times New Roman" w:hAnsi="Times New Roman" w:cs="Times New Roman"/>
          <w:color w:val="auto"/>
          <w:sz w:val="21"/>
          <w:lang w:val="en-US" w:eastAsia="zh-CN"/>
        </w:rPr>
        <w:t>6</w:t>
      </w:r>
      <w:r>
        <w:rPr>
          <w:rFonts w:hint="eastAsia" w:ascii="Times New Roman" w:hAnsi="Times New Roman" w:cs="Times New Roman"/>
          <w:color w:val="auto"/>
          <w:sz w:val="21"/>
        </w:rPr>
        <w:t>（1）</w:t>
      </w:r>
      <w:r>
        <w:rPr>
          <w:rFonts w:ascii="Times New Roman" w:hAnsi="Times New Roman" w:cs="Times New Roman"/>
          <w:color w:val="auto"/>
          <w:sz w:val="21"/>
        </w:rPr>
        <w:t xml:space="preserve">  无组织排放源强</w:t>
      </w:r>
      <w:r>
        <w:rPr>
          <w:rFonts w:ascii="Times New Roman" w:cs="Times New Roman"/>
          <w:color w:val="auto"/>
          <w:sz w:val="21"/>
        </w:rPr>
        <w:t>Pmax</w:t>
      </w:r>
      <w:r>
        <w:rPr>
          <w:rFonts w:hint="eastAsia" w:ascii="Times New Roman" w:cs="Times New Roman"/>
          <w:color w:val="auto"/>
          <w:sz w:val="21"/>
        </w:rPr>
        <w:t>和</w:t>
      </w:r>
      <w:r>
        <w:rPr>
          <w:rFonts w:ascii="Times New Roman" w:cs="Times New Roman"/>
          <w:color w:val="auto"/>
          <w:sz w:val="21"/>
        </w:rPr>
        <w:t>D10%</w:t>
      </w:r>
      <w:r>
        <w:rPr>
          <w:rFonts w:hint="eastAsia" w:ascii="Times New Roman" w:cs="Times New Roman"/>
          <w:color w:val="auto"/>
          <w:sz w:val="21"/>
        </w:rPr>
        <w:t>预测结果表</w:t>
      </w:r>
    </w:p>
    <w:tbl>
      <w:tblPr>
        <w:tblStyle w:val="4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94"/>
        <w:gridCol w:w="1163"/>
        <w:gridCol w:w="1170"/>
        <w:gridCol w:w="1163"/>
        <w:gridCol w:w="1211"/>
        <w:gridCol w:w="1206"/>
        <w:gridCol w:w="12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8" w:type="pct"/>
            <w:vMerge w:val="restart"/>
            <w:vAlign w:val="center"/>
          </w:tcPr>
          <w:p>
            <w:pPr>
              <w:adjustRightInd w:val="0"/>
              <w:snapToGrid w:val="0"/>
              <w:jc w:val="center"/>
              <w:rPr>
                <w:b/>
                <w:snapToGrid w:val="0"/>
                <w:kern w:val="0"/>
                <w:szCs w:val="21"/>
              </w:rPr>
            </w:pPr>
            <w:r>
              <w:rPr>
                <w:b/>
                <w:snapToGrid w:val="0"/>
                <w:kern w:val="0"/>
                <w:szCs w:val="21"/>
              </w:rPr>
              <w:t>下方向距离（m）</w:t>
            </w:r>
          </w:p>
        </w:tc>
        <w:tc>
          <w:tcPr>
            <w:tcW w:w="4181" w:type="pct"/>
            <w:gridSpan w:val="6"/>
            <w:vAlign w:val="center"/>
          </w:tcPr>
          <w:p>
            <w:pPr>
              <w:adjustRightInd w:val="0"/>
              <w:snapToGrid w:val="0"/>
              <w:jc w:val="center"/>
              <w:rPr>
                <w:b/>
                <w:snapToGrid w:val="0"/>
                <w:kern w:val="0"/>
                <w:szCs w:val="21"/>
              </w:rPr>
            </w:pPr>
            <w:r>
              <w:rPr>
                <w:rFonts w:hint="eastAsia"/>
                <w:b/>
                <w:snapToGrid w:val="0"/>
                <w:kern w:val="0"/>
                <w:szCs w:val="21"/>
                <w:lang w:eastAsia="zh-CN"/>
              </w:rPr>
              <w:t>南部养殖区</w:t>
            </w:r>
            <w:r>
              <w:rPr>
                <w:b/>
                <w:snapToGrid w:val="0"/>
                <w:kern w:val="0"/>
                <w:szCs w:val="21"/>
              </w:rPr>
              <w:t>无组织面源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8" w:type="pct"/>
            <w:vMerge w:val="continue"/>
            <w:vAlign w:val="center"/>
          </w:tcPr>
          <w:p>
            <w:pPr>
              <w:adjustRightInd w:val="0"/>
              <w:snapToGrid w:val="0"/>
              <w:jc w:val="center"/>
              <w:rPr>
                <w:b/>
                <w:snapToGrid w:val="0"/>
                <w:kern w:val="0"/>
                <w:szCs w:val="21"/>
              </w:rPr>
            </w:pPr>
          </w:p>
        </w:tc>
        <w:tc>
          <w:tcPr>
            <w:tcW w:w="1368" w:type="pct"/>
            <w:gridSpan w:val="2"/>
            <w:vAlign w:val="center"/>
          </w:tcPr>
          <w:p>
            <w:pPr>
              <w:adjustRightInd w:val="0"/>
              <w:snapToGrid w:val="0"/>
              <w:jc w:val="center"/>
              <w:rPr>
                <w:b/>
                <w:snapToGrid w:val="0"/>
                <w:kern w:val="0"/>
                <w:szCs w:val="21"/>
              </w:rPr>
            </w:pPr>
            <w:r>
              <w:rPr>
                <w:b/>
                <w:snapToGrid w:val="0"/>
                <w:kern w:val="0"/>
                <w:szCs w:val="21"/>
              </w:rPr>
              <w:t>氨气</w:t>
            </w:r>
          </w:p>
        </w:tc>
        <w:tc>
          <w:tcPr>
            <w:tcW w:w="1392" w:type="pct"/>
            <w:gridSpan w:val="2"/>
            <w:vAlign w:val="center"/>
          </w:tcPr>
          <w:p>
            <w:pPr>
              <w:adjustRightInd w:val="0"/>
              <w:snapToGrid w:val="0"/>
              <w:jc w:val="center"/>
              <w:rPr>
                <w:b/>
                <w:snapToGrid w:val="0"/>
                <w:kern w:val="0"/>
                <w:szCs w:val="21"/>
              </w:rPr>
            </w:pPr>
            <w:r>
              <w:rPr>
                <w:b/>
                <w:snapToGrid w:val="0"/>
                <w:kern w:val="0"/>
                <w:szCs w:val="21"/>
              </w:rPr>
              <w:t>硫化氢</w:t>
            </w:r>
          </w:p>
        </w:tc>
        <w:tc>
          <w:tcPr>
            <w:tcW w:w="1420" w:type="pct"/>
            <w:gridSpan w:val="2"/>
            <w:vAlign w:val="center"/>
          </w:tcPr>
          <w:p>
            <w:pPr>
              <w:adjustRightInd w:val="0"/>
              <w:snapToGrid w:val="0"/>
              <w:jc w:val="center"/>
              <w:rPr>
                <w:rFonts w:hint="default" w:eastAsia="宋体"/>
                <w:b/>
                <w:snapToGrid w:val="0"/>
                <w:kern w:val="0"/>
                <w:szCs w:val="21"/>
                <w:lang w:val="en-US" w:eastAsia="zh-CN"/>
              </w:rPr>
            </w:pPr>
            <w:r>
              <w:rPr>
                <w:rFonts w:hint="eastAsia"/>
                <w:b/>
                <w:snapToGrid w:val="0"/>
                <w:kern w:val="0"/>
                <w:szCs w:val="21"/>
                <w:lang w:val="en-US" w:eastAsia="zh-CN"/>
              </w:rPr>
              <w:t>TSP</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8" w:type="pct"/>
            <w:vMerge w:val="continue"/>
            <w:vAlign w:val="center"/>
          </w:tcPr>
          <w:p>
            <w:pPr>
              <w:adjustRightInd w:val="0"/>
              <w:snapToGrid w:val="0"/>
              <w:jc w:val="center"/>
              <w:rPr>
                <w:b/>
                <w:snapToGrid w:val="0"/>
                <w:kern w:val="0"/>
                <w:szCs w:val="21"/>
              </w:rPr>
            </w:pPr>
          </w:p>
        </w:tc>
        <w:tc>
          <w:tcPr>
            <w:tcW w:w="682" w:type="pct"/>
            <w:vAlign w:val="center"/>
          </w:tcPr>
          <w:p>
            <w:pPr>
              <w:adjustRightInd w:val="0"/>
              <w:snapToGrid w:val="0"/>
              <w:jc w:val="center"/>
              <w:rPr>
                <w:b/>
                <w:snapToGrid w:val="0"/>
                <w:kern w:val="0"/>
                <w:szCs w:val="21"/>
              </w:rPr>
            </w:pPr>
            <w:r>
              <w:rPr>
                <w:b/>
                <w:snapToGrid w:val="0"/>
                <w:kern w:val="0"/>
                <w:szCs w:val="21"/>
              </w:rPr>
              <w:t>预测浓度Ci（</w:t>
            </w:r>
            <w:r>
              <w:rPr>
                <w:b/>
                <w:szCs w:val="21"/>
              </w:rPr>
              <w:t>μg/m</w:t>
            </w:r>
            <w:r>
              <w:rPr>
                <w:b/>
                <w:szCs w:val="21"/>
                <w:vertAlign w:val="superscript"/>
              </w:rPr>
              <w:t>3</w:t>
            </w:r>
            <w:r>
              <w:rPr>
                <w:b/>
                <w:snapToGrid w:val="0"/>
                <w:kern w:val="0"/>
                <w:szCs w:val="21"/>
              </w:rPr>
              <w:t>）</w:t>
            </w:r>
          </w:p>
        </w:tc>
        <w:tc>
          <w:tcPr>
            <w:tcW w:w="686" w:type="pct"/>
            <w:vAlign w:val="center"/>
          </w:tcPr>
          <w:p>
            <w:pPr>
              <w:adjustRightInd w:val="0"/>
              <w:snapToGrid w:val="0"/>
              <w:jc w:val="center"/>
              <w:rPr>
                <w:b/>
                <w:snapToGrid w:val="0"/>
                <w:kern w:val="0"/>
                <w:szCs w:val="21"/>
              </w:rPr>
            </w:pPr>
            <w:r>
              <w:rPr>
                <w:b/>
                <w:snapToGrid w:val="0"/>
                <w:kern w:val="0"/>
                <w:szCs w:val="21"/>
              </w:rPr>
              <w:t>浓度占标率Pi（%）</w:t>
            </w:r>
          </w:p>
        </w:tc>
        <w:tc>
          <w:tcPr>
            <w:tcW w:w="682" w:type="pct"/>
            <w:vAlign w:val="center"/>
          </w:tcPr>
          <w:p>
            <w:pPr>
              <w:adjustRightInd w:val="0"/>
              <w:snapToGrid w:val="0"/>
              <w:jc w:val="center"/>
              <w:rPr>
                <w:b/>
                <w:snapToGrid w:val="0"/>
                <w:kern w:val="0"/>
                <w:szCs w:val="21"/>
              </w:rPr>
            </w:pPr>
            <w:r>
              <w:rPr>
                <w:b/>
                <w:snapToGrid w:val="0"/>
                <w:kern w:val="0"/>
                <w:szCs w:val="21"/>
              </w:rPr>
              <w:t>预测浓度Ci（</w:t>
            </w:r>
            <w:r>
              <w:rPr>
                <w:b/>
                <w:szCs w:val="21"/>
              </w:rPr>
              <w:t>μg/m</w:t>
            </w:r>
            <w:r>
              <w:rPr>
                <w:b/>
                <w:szCs w:val="21"/>
                <w:vertAlign w:val="superscript"/>
              </w:rPr>
              <w:t>3</w:t>
            </w:r>
            <w:r>
              <w:rPr>
                <w:b/>
                <w:snapToGrid w:val="0"/>
                <w:kern w:val="0"/>
                <w:szCs w:val="21"/>
              </w:rPr>
              <w:t>）</w:t>
            </w:r>
          </w:p>
        </w:tc>
        <w:tc>
          <w:tcPr>
            <w:tcW w:w="710" w:type="pct"/>
            <w:vAlign w:val="center"/>
          </w:tcPr>
          <w:p>
            <w:pPr>
              <w:adjustRightInd w:val="0"/>
              <w:snapToGrid w:val="0"/>
              <w:jc w:val="center"/>
              <w:rPr>
                <w:b/>
                <w:snapToGrid w:val="0"/>
                <w:kern w:val="0"/>
                <w:szCs w:val="21"/>
              </w:rPr>
            </w:pPr>
            <w:r>
              <w:rPr>
                <w:b/>
                <w:snapToGrid w:val="0"/>
                <w:kern w:val="0"/>
                <w:szCs w:val="21"/>
              </w:rPr>
              <w:t>浓度占标率Pi（%）</w:t>
            </w:r>
          </w:p>
        </w:tc>
        <w:tc>
          <w:tcPr>
            <w:tcW w:w="707" w:type="pct"/>
            <w:vAlign w:val="center"/>
          </w:tcPr>
          <w:p>
            <w:pPr>
              <w:adjustRightInd w:val="0"/>
              <w:snapToGrid w:val="0"/>
              <w:jc w:val="center"/>
              <w:rPr>
                <w:rFonts w:ascii="Times New Roman" w:hAnsi="Times New Roman" w:eastAsia="宋体" w:cs="Times New Roman"/>
                <w:b/>
                <w:snapToGrid w:val="0"/>
                <w:kern w:val="0"/>
                <w:sz w:val="21"/>
                <w:szCs w:val="21"/>
                <w:lang w:val="en-US" w:eastAsia="zh-CN" w:bidi="ar-SA"/>
              </w:rPr>
            </w:pPr>
            <w:r>
              <w:rPr>
                <w:b/>
                <w:snapToGrid w:val="0"/>
                <w:kern w:val="0"/>
                <w:szCs w:val="21"/>
              </w:rPr>
              <w:t>预测浓度Ci（</w:t>
            </w:r>
            <w:r>
              <w:rPr>
                <w:b/>
                <w:szCs w:val="21"/>
              </w:rPr>
              <w:t>μg/m</w:t>
            </w:r>
            <w:r>
              <w:rPr>
                <w:b/>
                <w:szCs w:val="21"/>
                <w:vertAlign w:val="superscript"/>
              </w:rPr>
              <w:t>3</w:t>
            </w:r>
            <w:r>
              <w:rPr>
                <w:b/>
                <w:snapToGrid w:val="0"/>
                <w:kern w:val="0"/>
                <w:szCs w:val="21"/>
              </w:rPr>
              <w:t>）</w:t>
            </w:r>
          </w:p>
        </w:tc>
        <w:tc>
          <w:tcPr>
            <w:tcW w:w="713" w:type="pct"/>
            <w:vAlign w:val="center"/>
          </w:tcPr>
          <w:p>
            <w:pPr>
              <w:adjustRightInd w:val="0"/>
              <w:snapToGrid w:val="0"/>
              <w:jc w:val="center"/>
              <w:rPr>
                <w:rFonts w:ascii="Times New Roman" w:hAnsi="Times New Roman" w:eastAsia="宋体" w:cs="Times New Roman"/>
                <w:b/>
                <w:snapToGrid w:val="0"/>
                <w:kern w:val="0"/>
                <w:sz w:val="21"/>
                <w:szCs w:val="21"/>
                <w:lang w:val="en-US" w:eastAsia="zh-CN" w:bidi="ar-SA"/>
              </w:rPr>
            </w:pPr>
            <w:r>
              <w:rPr>
                <w:b/>
                <w:snapToGrid w:val="0"/>
                <w:kern w:val="0"/>
                <w:szCs w:val="21"/>
              </w:rPr>
              <w:t>浓度占标率Pi（%）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8" w:type="pct"/>
            <w:vAlign w:val="center"/>
          </w:tcPr>
          <w:p>
            <w:pPr>
              <w:jc w:val="center"/>
              <w:rPr>
                <w:rFonts w:hint="default" w:eastAsia="宋体"/>
                <w:b w:val="0"/>
                <w:bCs/>
                <w:snapToGrid w:val="0"/>
                <w:kern w:val="0"/>
                <w:szCs w:val="21"/>
                <w:lang w:val="en-US" w:eastAsia="zh-CN"/>
              </w:rPr>
            </w:pPr>
            <w:r>
              <w:rPr>
                <w:rFonts w:hint="eastAsia"/>
                <w:b w:val="0"/>
                <w:bCs/>
                <w:snapToGrid w:val="0"/>
                <w:kern w:val="0"/>
                <w:szCs w:val="21"/>
                <w:lang w:val="en-US" w:eastAsia="zh-CN"/>
              </w:rPr>
              <w:t>10</w:t>
            </w:r>
          </w:p>
        </w:tc>
        <w:tc>
          <w:tcPr>
            <w:tcW w:w="682" w:type="pct"/>
            <w:vAlign w:val="center"/>
          </w:tcPr>
          <w:p>
            <w:pPr>
              <w:jc w:val="center"/>
              <w:rPr>
                <w:snapToGrid w:val="0"/>
                <w:kern w:val="0"/>
                <w:szCs w:val="21"/>
              </w:rPr>
            </w:pPr>
            <w:r>
              <w:rPr>
                <w:rFonts w:hint="eastAsia"/>
                <w:snapToGrid w:val="0"/>
                <w:kern w:val="0"/>
                <w:szCs w:val="21"/>
                <w:lang w:val="en-US" w:eastAsia="zh-CN"/>
              </w:rPr>
              <w:t>2.9069</w:t>
            </w:r>
          </w:p>
        </w:tc>
        <w:tc>
          <w:tcPr>
            <w:tcW w:w="686" w:type="pct"/>
            <w:vAlign w:val="center"/>
          </w:tcPr>
          <w:p>
            <w:pPr>
              <w:jc w:val="center"/>
              <w:rPr>
                <w:snapToGrid w:val="0"/>
                <w:kern w:val="0"/>
                <w:szCs w:val="21"/>
              </w:rPr>
            </w:pPr>
            <w:r>
              <w:rPr>
                <w:rFonts w:hint="eastAsia"/>
                <w:snapToGrid w:val="0"/>
                <w:kern w:val="0"/>
                <w:szCs w:val="21"/>
                <w:lang w:val="en-US" w:eastAsia="zh-CN"/>
              </w:rPr>
              <w:t>1.45</w:t>
            </w:r>
          </w:p>
        </w:tc>
        <w:tc>
          <w:tcPr>
            <w:tcW w:w="682" w:type="pct"/>
            <w:vAlign w:val="center"/>
          </w:tcPr>
          <w:p>
            <w:pPr>
              <w:jc w:val="center"/>
              <w:rPr>
                <w:snapToGrid w:val="0"/>
                <w:kern w:val="0"/>
                <w:szCs w:val="21"/>
              </w:rPr>
            </w:pPr>
            <w:r>
              <w:rPr>
                <w:rFonts w:hint="eastAsia"/>
                <w:snapToGrid w:val="0"/>
                <w:kern w:val="0"/>
                <w:szCs w:val="21"/>
                <w:lang w:val="en-US" w:eastAsia="zh-CN"/>
              </w:rPr>
              <w:t>0.29069</w:t>
            </w:r>
          </w:p>
        </w:tc>
        <w:tc>
          <w:tcPr>
            <w:tcW w:w="710" w:type="pct"/>
            <w:vAlign w:val="center"/>
          </w:tcPr>
          <w:p>
            <w:pPr>
              <w:jc w:val="center"/>
              <w:rPr>
                <w:snapToGrid w:val="0"/>
                <w:kern w:val="0"/>
                <w:szCs w:val="21"/>
              </w:rPr>
            </w:pPr>
            <w:r>
              <w:rPr>
                <w:rFonts w:hint="eastAsia"/>
                <w:snapToGrid w:val="0"/>
                <w:kern w:val="0"/>
                <w:szCs w:val="21"/>
                <w:lang w:val="en-US" w:eastAsia="zh-CN"/>
              </w:rPr>
              <w:t>2.91</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27.316</w:t>
            </w:r>
          </w:p>
        </w:tc>
        <w:tc>
          <w:tcPr>
            <w:tcW w:w="713" w:type="pct"/>
            <w:vAlign w:val="center"/>
          </w:tcPr>
          <w:p>
            <w:pPr>
              <w:jc w:val="center"/>
              <w:rPr>
                <w:rFonts w:hint="eastAsia"/>
                <w:snapToGrid w:val="0"/>
                <w:kern w:val="0"/>
                <w:szCs w:val="21"/>
              </w:rPr>
            </w:pPr>
            <w:r>
              <w:rPr>
                <w:rFonts w:hint="eastAsia"/>
                <w:snapToGrid w:val="0"/>
                <w:kern w:val="0"/>
                <w:szCs w:val="21"/>
                <w:lang w:val="en-US" w:eastAsia="zh-CN"/>
              </w:rPr>
              <w:t>3.04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8" w:type="pct"/>
            <w:vAlign w:val="center"/>
          </w:tcPr>
          <w:p>
            <w:pPr>
              <w:jc w:val="center"/>
              <w:rPr>
                <w:rFonts w:hint="default" w:eastAsia="宋体"/>
                <w:b w:val="0"/>
                <w:bCs/>
                <w:snapToGrid w:val="0"/>
                <w:kern w:val="0"/>
                <w:szCs w:val="21"/>
                <w:lang w:val="en-US" w:eastAsia="zh-CN"/>
              </w:rPr>
            </w:pPr>
            <w:r>
              <w:rPr>
                <w:rFonts w:hint="eastAsia"/>
                <w:b w:val="0"/>
                <w:bCs/>
                <w:snapToGrid w:val="0"/>
                <w:kern w:val="0"/>
                <w:szCs w:val="21"/>
                <w:lang w:val="en-US" w:eastAsia="zh-CN"/>
              </w:rPr>
              <w:t>25</w:t>
            </w:r>
          </w:p>
        </w:tc>
        <w:tc>
          <w:tcPr>
            <w:tcW w:w="682" w:type="pct"/>
            <w:vAlign w:val="center"/>
          </w:tcPr>
          <w:p>
            <w:pPr>
              <w:jc w:val="center"/>
              <w:rPr>
                <w:snapToGrid w:val="0"/>
                <w:kern w:val="0"/>
                <w:szCs w:val="21"/>
              </w:rPr>
            </w:pPr>
            <w:r>
              <w:rPr>
                <w:rFonts w:hint="eastAsia"/>
                <w:snapToGrid w:val="0"/>
                <w:kern w:val="0"/>
                <w:szCs w:val="21"/>
                <w:lang w:val="en-US" w:eastAsia="zh-CN"/>
              </w:rPr>
              <w:t>3.4578</w:t>
            </w:r>
          </w:p>
        </w:tc>
        <w:tc>
          <w:tcPr>
            <w:tcW w:w="686" w:type="pct"/>
            <w:vAlign w:val="center"/>
          </w:tcPr>
          <w:p>
            <w:pPr>
              <w:jc w:val="center"/>
              <w:rPr>
                <w:snapToGrid w:val="0"/>
                <w:kern w:val="0"/>
                <w:szCs w:val="21"/>
              </w:rPr>
            </w:pPr>
            <w:r>
              <w:rPr>
                <w:rFonts w:hint="eastAsia"/>
                <w:snapToGrid w:val="0"/>
                <w:kern w:val="0"/>
                <w:szCs w:val="21"/>
                <w:lang w:val="en-US" w:eastAsia="zh-CN"/>
              </w:rPr>
              <w:t>1.73</w:t>
            </w:r>
          </w:p>
        </w:tc>
        <w:tc>
          <w:tcPr>
            <w:tcW w:w="682" w:type="pct"/>
            <w:vAlign w:val="center"/>
          </w:tcPr>
          <w:p>
            <w:pPr>
              <w:jc w:val="center"/>
              <w:rPr>
                <w:snapToGrid w:val="0"/>
                <w:kern w:val="0"/>
                <w:szCs w:val="21"/>
              </w:rPr>
            </w:pPr>
            <w:r>
              <w:rPr>
                <w:rFonts w:hint="eastAsia"/>
                <w:snapToGrid w:val="0"/>
                <w:kern w:val="0"/>
                <w:szCs w:val="21"/>
                <w:lang w:val="en-US" w:eastAsia="zh-CN"/>
              </w:rPr>
              <w:t>0.34578</w:t>
            </w:r>
          </w:p>
        </w:tc>
        <w:tc>
          <w:tcPr>
            <w:tcW w:w="710" w:type="pct"/>
            <w:vAlign w:val="center"/>
          </w:tcPr>
          <w:p>
            <w:pPr>
              <w:jc w:val="center"/>
              <w:rPr>
                <w:snapToGrid w:val="0"/>
                <w:kern w:val="0"/>
                <w:szCs w:val="21"/>
              </w:rPr>
            </w:pPr>
            <w:r>
              <w:rPr>
                <w:rFonts w:hint="eastAsia"/>
                <w:snapToGrid w:val="0"/>
                <w:kern w:val="0"/>
                <w:szCs w:val="21"/>
                <w:lang w:val="en-US" w:eastAsia="zh-CN"/>
              </w:rPr>
              <w:t>3.46</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32.492</w:t>
            </w:r>
          </w:p>
        </w:tc>
        <w:tc>
          <w:tcPr>
            <w:tcW w:w="713" w:type="pct"/>
            <w:vAlign w:val="center"/>
          </w:tcPr>
          <w:p>
            <w:pPr>
              <w:jc w:val="center"/>
              <w:rPr>
                <w:rFonts w:hint="eastAsia"/>
                <w:snapToGrid w:val="0"/>
                <w:kern w:val="0"/>
                <w:szCs w:val="21"/>
              </w:rPr>
            </w:pPr>
            <w:r>
              <w:rPr>
                <w:rFonts w:hint="eastAsia"/>
                <w:snapToGrid w:val="0"/>
                <w:kern w:val="0"/>
                <w:szCs w:val="21"/>
                <w:lang w:val="en-US" w:eastAsia="zh-CN"/>
              </w:rPr>
              <w:t>3.61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8" w:type="pct"/>
            <w:vAlign w:val="center"/>
          </w:tcPr>
          <w:p>
            <w:pPr>
              <w:jc w:val="center"/>
              <w:rPr>
                <w:rFonts w:hint="default"/>
                <w:b w:val="0"/>
                <w:bCs/>
                <w:snapToGrid w:val="0"/>
                <w:kern w:val="0"/>
                <w:szCs w:val="21"/>
                <w:lang w:val="en-US" w:eastAsia="zh-CN"/>
              </w:rPr>
            </w:pPr>
            <w:r>
              <w:rPr>
                <w:rFonts w:hint="eastAsia"/>
                <w:b w:val="0"/>
                <w:bCs/>
                <w:snapToGrid w:val="0"/>
                <w:kern w:val="0"/>
                <w:szCs w:val="21"/>
                <w:lang w:val="en-US" w:eastAsia="zh-CN"/>
              </w:rPr>
              <w:t>50</w:t>
            </w:r>
          </w:p>
        </w:tc>
        <w:tc>
          <w:tcPr>
            <w:tcW w:w="682" w:type="pct"/>
            <w:vAlign w:val="center"/>
          </w:tcPr>
          <w:p>
            <w:pPr>
              <w:jc w:val="center"/>
              <w:rPr>
                <w:snapToGrid w:val="0"/>
                <w:kern w:val="0"/>
                <w:szCs w:val="21"/>
              </w:rPr>
            </w:pPr>
            <w:r>
              <w:rPr>
                <w:rFonts w:hint="eastAsia"/>
                <w:snapToGrid w:val="0"/>
                <w:kern w:val="0"/>
                <w:szCs w:val="21"/>
                <w:lang w:val="en-US" w:eastAsia="zh-CN"/>
              </w:rPr>
              <w:t>4.2253</w:t>
            </w:r>
          </w:p>
        </w:tc>
        <w:tc>
          <w:tcPr>
            <w:tcW w:w="686" w:type="pct"/>
            <w:vAlign w:val="center"/>
          </w:tcPr>
          <w:p>
            <w:pPr>
              <w:jc w:val="center"/>
              <w:rPr>
                <w:snapToGrid w:val="0"/>
                <w:kern w:val="0"/>
                <w:szCs w:val="21"/>
              </w:rPr>
            </w:pPr>
            <w:r>
              <w:rPr>
                <w:rFonts w:hint="eastAsia"/>
                <w:snapToGrid w:val="0"/>
                <w:kern w:val="0"/>
                <w:szCs w:val="21"/>
                <w:lang w:val="en-US" w:eastAsia="zh-CN"/>
              </w:rPr>
              <w:t>2.11</w:t>
            </w:r>
          </w:p>
        </w:tc>
        <w:tc>
          <w:tcPr>
            <w:tcW w:w="682" w:type="pct"/>
            <w:vAlign w:val="center"/>
          </w:tcPr>
          <w:p>
            <w:pPr>
              <w:jc w:val="center"/>
              <w:rPr>
                <w:snapToGrid w:val="0"/>
                <w:kern w:val="0"/>
                <w:szCs w:val="21"/>
              </w:rPr>
            </w:pPr>
            <w:r>
              <w:rPr>
                <w:rFonts w:hint="eastAsia"/>
                <w:snapToGrid w:val="0"/>
                <w:kern w:val="0"/>
                <w:szCs w:val="21"/>
                <w:lang w:val="en-US" w:eastAsia="zh-CN"/>
              </w:rPr>
              <w:t>0.42253</w:t>
            </w:r>
          </w:p>
        </w:tc>
        <w:tc>
          <w:tcPr>
            <w:tcW w:w="710" w:type="pct"/>
            <w:vAlign w:val="center"/>
          </w:tcPr>
          <w:p>
            <w:pPr>
              <w:jc w:val="center"/>
              <w:rPr>
                <w:snapToGrid w:val="0"/>
                <w:kern w:val="0"/>
                <w:szCs w:val="21"/>
              </w:rPr>
            </w:pPr>
            <w:r>
              <w:rPr>
                <w:rFonts w:hint="eastAsia"/>
                <w:snapToGrid w:val="0"/>
                <w:kern w:val="0"/>
                <w:szCs w:val="21"/>
                <w:lang w:val="en-US" w:eastAsia="zh-CN"/>
              </w:rPr>
              <w:t>4.23</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39.704</w:t>
            </w:r>
          </w:p>
        </w:tc>
        <w:tc>
          <w:tcPr>
            <w:tcW w:w="713" w:type="pct"/>
            <w:vAlign w:val="center"/>
          </w:tcPr>
          <w:p>
            <w:pPr>
              <w:jc w:val="center"/>
              <w:rPr>
                <w:rFonts w:hint="eastAsia"/>
                <w:snapToGrid w:val="0"/>
                <w:kern w:val="0"/>
                <w:szCs w:val="21"/>
              </w:rPr>
            </w:pPr>
            <w:r>
              <w:rPr>
                <w:rFonts w:hint="eastAsia"/>
                <w:snapToGrid w:val="0"/>
                <w:kern w:val="0"/>
                <w:szCs w:val="21"/>
                <w:lang w:val="en-US" w:eastAsia="zh-CN"/>
              </w:rPr>
              <w:t>4.41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8" w:type="pct"/>
            <w:vAlign w:val="center"/>
          </w:tcPr>
          <w:p>
            <w:pPr>
              <w:jc w:val="center"/>
              <w:rPr>
                <w:b/>
                <w:bCs w:val="0"/>
                <w:snapToGrid w:val="0"/>
                <w:kern w:val="0"/>
                <w:szCs w:val="21"/>
              </w:rPr>
            </w:pPr>
            <w:r>
              <w:rPr>
                <w:rFonts w:hint="eastAsia"/>
                <w:b/>
                <w:bCs w:val="0"/>
                <w:snapToGrid w:val="0"/>
                <w:kern w:val="0"/>
                <w:szCs w:val="21"/>
              </w:rPr>
              <w:t>68</w:t>
            </w:r>
          </w:p>
        </w:tc>
        <w:tc>
          <w:tcPr>
            <w:tcW w:w="682" w:type="pct"/>
            <w:vAlign w:val="center"/>
          </w:tcPr>
          <w:p>
            <w:pPr>
              <w:jc w:val="center"/>
              <w:rPr>
                <w:b/>
                <w:bCs w:val="0"/>
                <w:snapToGrid w:val="0"/>
                <w:kern w:val="0"/>
                <w:szCs w:val="21"/>
              </w:rPr>
            </w:pPr>
            <w:r>
              <w:rPr>
                <w:rFonts w:hint="eastAsia"/>
                <w:b/>
                <w:bCs w:val="0"/>
                <w:snapToGrid w:val="0"/>
                <w:kern w:val="0"/>
                <w:szCs w:val="21"/>
                <w:lang w:val="en-US" w:eastAsia="zh-CN"/>
              </w:rPr>
              <w:t>4.5318</w:t>
            </w:r>
          </w:p>
        </w:tc>
        <w:tc>
          <w:tcPr>
            <w:tcW w:w="686" w:type="pct"/>
            <w:vAlign w:val="center"/>
          </w:tcPr>
          <w:p>
            <w:pPr>
              <w:jc w:val="center"/>
              <w:rPr>
                <w:b/>
                <w:bCs w:val="0"/>
                <w:snapToGrid w:val="0"/>
                <w:kern w:val="0"/>
                <w:szCs w:val="21"/>
              </w:rPr>
            </w:pPr>
            <w:r>
              <w:rPr>
                <w:rFonts w:hint="eastAsia"/>
                <w:b/>
                <w:bCs w:val="0"/>
                <w:snapToGrid w:val="0"/>
                <w:kern w:val="0"/>
                <w:szCs w:val="21"/>
                <w:lang w:val="en-US" w:eastAsia="zh-CN"/>
              </w:rPr>
              <w:t>2.27</w:t>
            </w:r>
          </w:p>
        </w:tc>
        <w:tc>
          <w:tcPr>
            <w:tcW w:w="682" w:type="pct"/>
            <w:vAlign w:val="center"/>
          </w:tcPr>
          <w:p>
            <w:pPr>
              <w:jc w:val="center"/>
              <w:rPr>
                <w:b/>
                <w:bCs w:val="0"/>
                <w:snapToGrid w:val="0"/>
                <w:kern w:val="0"/>
                <w:szCs w:val="21"/>
              </w:rPr>
            </w:pPr>
            <w:r>
              <w:rPr>
                <w:rFonts w:hint="eastAsia"/>
                <w:b/>
                <w:bCs w:val="0"/>
                <w:snapToGrid w:val="0"/>
                <w:kern w:val="0"/>
                <w:szCs w:val="21"/>
                <w:lang w:val="en-US" w:eastAsia="zh-CN"/>
              </w:rPr>
              <w:t>0.45318</w:t>
            </w:r>
          </w:p>
        </w:tc>
        <w:tc>
          <w:tcPr>
            <w:tcW w:w="710" w:type="pct"/>
            <w:vAlign w:val="center"/>
          </w:tcPr>
          <w:p>
            <w:pPr>
              <w:jc w:val="center"/>
              <w:rPr>
                <w:b/>
                <w:bCs w:val="0"/>
                <w:snapToGrid w:val="0"/>
                <w:kern w:val="0"/>
                <w:szCs w:val="21"/>
              </w:rPr>
            </w:pPr>
            <w:r>
              <w:rPr>
                <w:rFonts w:hint="eastAsia"/>
                <w:b/>
                <w:bCs w:val="0"/>
                <w:snapToGrid w:val="0"/>
                <w:kern w:val="0"/>
                <w:szCs w:val="21"/>
                <w:lang w:val="en-US" w:eastAsia="zh-CN"/>
              </w:rPr>
              <w:t>4.53</w:t>
            </w:r>
          </w:p>
        </w:tc>
        <w:tc>
          <w:tcPr>
            <w:tcW w:w="707" w:type="pct"/>
            <w:vAlign w:val="center"/>
          </w:tcPr>
          <w:p>
            <w:pPr>
              <w:jc w:val="center"/>
              <w:rPr>
                <w:rFonts w:hint="eastAsia"/>
                <w:b/>
                <w:bCs w:val="0"/>
                <w:snapToGrid w:val="0"/>
                <w:kern w:val="0"/>
                <w:szCs w:val="21"/>
              </w:rPr>
            </w:pPr>
            <w:r>
              <w:rPr>
                <w:rFonts w:hint="eastAsia"/>
                <w:b/>
                <w:bCs w:val="0"/>
                <w:snapToGrid w:val="0"/>
                <w:kern w:val="0"/>
                <w:szCs w:val="21"/>
                <w:lang w:val="en-US" w:eastAsia="zh-CN"/>
              </w:rPr>
              <w:t>42.585</w:t>
            </w:r>
          </w:p>
        </w:tc>
        <w:tc>
          <w:tcPr>
            <w:tcW w:w="713" w:type="pct"/>
            <w:vAlign w:val="center"/>
          </w:tcPr>
          <w:p>
            <w:pPr>
              <w:jc w:val="center"/>
              <w:rPr>
                <w:rFonts w:hint="eastAsia"/>
                <w:b/>
                <w:bCs w:val="0"/>
                <w:snapToGrid w:val="0"/>
                <w:kern w:val="0"/>
                <w:szCs w:val="21"/>
              </w:rPr>
            </w:pPr>
            <w:r>
              <w:rPr>
                <w:rFonts w:hint="eastAsia"/>
                <w:b/>
                <w:bCs w:val="0"/>
                <w:snapToGrid w:val="0"/>
                <w:kern w:val="0"/>
                <w:szCs w:val="21"/>
                <w:lang w:val="en-US" w:eastAsia="zh-CN"/>
              </w:rPr>
              <w:t>4.73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8" w:type="pct"/>
            <w:vAlign w:val="center"/>
          </w:tcPr>
          <w:p>
            <w:pPr>
              <w:jc w:val="center"/>
              <w:rPr>
                <w:snapToGrid w:val="0"/>
                <w:kern w:val="0"/>
                <w:szCs w:val="21"/>
              </w:rPr>
            </w:pPr>
            <w:r>
              <w:rPr>
                <w:snapToGrid w:val="0"/>
                <w:kern w:val="0"/>
                <w:szCs w:val="21"/>
              </w:rPr>
              <w:t>100</w:t>
            </w:r>
          </w:p>
        </w:tc>
        <w:tc>
          <w:tcPr>
            <w:tcW w:w="682" w:type="pct"/>
            <w:vAlign w:val="center"/>
          </w:tcPr>
          <w:p>
            <w:pPr>
              <w:jc w:val="center"/>
              <w:rPr>
                <w:snapToGrid w:val="0"/>
                <w:kern w:val="0"/>
                <w:szCs w:val="21"/>
              </w:rPr>
            </w:pPr>
            <w:r>
              <w:rPr>
                <w:rFonts w:hint="eastAsia"/>
                <w:snapToGrid w:val="0"/>
                <w:kern w:val="0"/>
                <w:szCs w:val="21"/>
                <w:lang w:val="en-US" w:eastAsia="zh-CN"/>
              </w:rPr>
              <w:t>3.7123</w:t>
            </w:r>
          </w:p>
        </w:tc>
        <w:tc>
          <w:tcPr>
            <w:tcW w:w="686" w:type="pct"/>
            <w:vAlign w:val="center"/>
          </w:tcPr>
          <w:p>
            <w:pPr>
              <w:jc w:val="center"/>
              <w:rPr>
                <w:snapToGrid w:val="0"/>
                <w:kern w:val="0"/>
                <w:szCs w:val="21"/>
              </w:rPr>
            </w:pPr>
            <w:r>
              <w:rPr>
                <w:rFonts w:hint="eastAsia"/>
                <w:snapToGrid w:val="0"/>
                <w:kern w:val="0"/>
                <w:szCs w:val="21"/>
                <w:lang w:val="en-US" w:eastAsia="zh-CN"/>
              </w:rPr>
              <w:t>1.86</w:t>
            </w:r>
          </w:p>
        </w:tc>
        <w:tc>
          <w:tcPr>
            <w:tcW w:w="682" w:type="pct"/>
            <w:vAlign w:val="center"/>
          </w:tcPr>
          <w:p>
            <w:pPr>
              <w:jc w:val="center"/>
              <w:rPr>
                <w:snapToGrid w:val="0"/>
                <w:kern w:val="0"/>
                <w:szCs w:val="21"/>
              </w:rPr>
            </w:pPr>
            <w:r>
              <w:rPr>
                <w:rFonts w:hint="eastAsia"/>
                <w:snapToGrid w:val="0"/>
                <w:kern w:val="0"/>
                <w:szCs w:val="21"/>
                <w:lang w:val="en-US" w:eastAsia="zh-CN"/>
              </w:rPr>
              <w:t>0.37123</w:t>
            </w:r>
          </w:p>
        </w:tc>
        <w:tc>
          <w:tcPr>
            <w:tcW w:w="710" w:type="pct"/>
            <w:vAlign w:val="center"/>
          </w:tcPr>
          <w:p>
            <w:pPr>
              <w:jc w:val="center"/>
              <w:rPr>
                <w:snapToGrid w:val="0"/>
                <w:kern w:val="0"/>
                <w:szCs w:val="21"/>
              </w:rPr>
            </w:pPr>
            <w:r>
              <w:rPr>
                <w:rFonts w:hint="eastAsia"/>
                <w:snapToGrid w:val="0"/>
                <w:kern w:val="0"/>
                <w:szCs w:val="21"/>
                <w:lang w:val="en-US" w:eastAsia="zh-CN"/>
              </w:rPr>
              <w:t>3.71</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34.884</w:t>
            </w:r>
          </w:p>
        </w:tc>
        <w:tc>
          <w:tcPr>
            <w:tcW w:w="713" w:type="pct"/>
            <w:vAlign w:val="center"/>
          </w:tcPr>
          <w:p>
            <w:pPr>
              <w:jc w:val="center"/>
              <w:rPr>
                <w:rFonts w:hint="eastAsia"/>
                <w:snapToGrid w:val="0"/>
                <w:kern w:val="0"/>
                <w:szCs w:val="21"/>
              </w:rPr>
            </w:pPr>
            <w:r>
              <w:rPr>
                <w:rFonts w:hint="eastAsia"/>
                <w:snapToGrid w:val="0"/>
                <w:kern w:val="0"/>
                <w:szCs w:val="21"/>
                <w:lang w:val="en-US" w:eastAsia="zh-CN"/>
              </w:rPr>
              <w:t>3.88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8" w:type="pct"/>
            <w:vAlign w:val="center"/>
          </w:tcPr>
          <w:p>
            <w:pPr>
              <w:jc w:val="center"/>
              <w:rPr>
                <w:b/>
                <w:snapToGrid w:val="0"/>
                <w:kern w:val="0"/>
                <w:szCs w:val="21"/>
              </w:rPr>
            </w:pPr>
            <w:r>
              <w:rPr>
                <w:snapToGrid w:val="0"/>
                <w:kern w:val="0"/>
                <w:szCs w:val="21"/>
              </w:rPr>
              <w:t>200</w:t>
            </w:r>
          </w:p>
        </w:tc>
        <w:tc>
          <w:tcPr>
            <w:tcW w:w="682" w:type="pct"/>
            <w:vAlign w:val="center"/>
          </w:tcPr>
          <w:p>
            <w:pPr>
              <w:jc w:val="center"/>
              <w:rPr>
                <w:snapToGrid w:val="0"/>
                <w:kern w:val="0"/>
                <w:szCs w:val="21"/>
              </w:rPr>
            </w:pPr>
            <w:r>
              <w:rPr>
                <w:rFonts w:hint="eastAsia"/>
                <w:snapToGrid w:val="0"/>
                <w:kern w:val="0"/>
                <w:szCs w:val="21"/>
                <w:lang w:val="en-US" w:eastAsia="zh-CN"/>
              </w:rPr>
              <w:t>3.4787</w:t>
            </w:r>
          </w:p>
        </w:tc>
        <w:tc>
          <w:tcPr>
            <w:tcW w:w="686" w:type="pct"/>
            <w:vAlign w:val="center"/>
          </w:tcPr>
          <w:p>
            <w:pPr>
              <w:jc w:val="center"/>
              <w:rPr>
                <w:snapToGrid w:val="0"/>
                <w:kern w:val="0"/>
                <w:szCs w:val="21"/>
              </w:rPr>
            </w:pPr>
            <w:r>
              <w:rPr>
                <w:rFonts w:hint="eastAsia"/>
                <w:snapToGrid w:val="0"/>
                <w:kern w:val="0"/>
                <w:szCs w:val="21"/>
                <w:lang w:val="en-US" w:eastAsia="zh-CN"/>
              </w:rPr>
              <w:t>1.74</w:t>
            </w:r>
          </w:p>
        </w:tc>
        <w:tc>
          <w:tcPr>
            <w:tcW w:w="682" w:type="pct"/>
            <w:vAlign w:val="center"/>
          </w:tcPr>
          <w:p>
            <w:pPr>
              <w:jc w:val="center"/>
              <w:rPr>
                <w:snapToGrid w:val="0"/>
                <w:kern w:val="0"/>
                <w:szCs w:val="21"/>
              </w:rPr>
            </w:pPr>
            <w:r>
              <w:rPr>
                <w:rFonts w:hint="eastAsia"/>
                <w:snapToGrid w:val="0"/>
                <w:kern w:val="0"/>
                <w:szCs w:val="21"/>
                <w:lang w:val="en-US" w:eastAsia="zh-CN"/>
              </w:rPr>
              <w:t>0.34787</w:t>
            </w:r>
          </w:p>
        </w:tc>
        <w:tc>
          <w:tcPr>
            <w:tcW w:w="710" w:type="pct"/>
            <w:vAlign w:val="center"/>
          </w:tcPr>
          <w:p>
            <w:pPr>
              <w:jc w:val="center"/>
              <w:rPr>
                <w:snapToGrid w:val="0"/>
                <w:kern w:val="0"/>
                <w:szCs w:val="21"/>
              </w:rPr>
            </w:pPr>
            <w:r>
              <w:rPr>
                <w:rFonts w:hint="eastAsia"/>
                <w:snapToGrid w:val="0"/>
                <w:kern w:val="0"/>
                <w:szCs w:val="21"/>
                <w:lang w:val="en-US" w:eastAsia="zh-CN"/>
              </w:rPr>
              <w:t>3.48</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32.689</w:t>
            </w:r>
          </w:p>
        </w:tc>
        <w:tc>
          <w:tcPr>
            <w:tcW w:w="713" w:type="pct"/>
            <w:vAlign w:val="center"/>
          </w:tcPr>
          <w:p>
            <w:pPr>
              <w:jc w:val="center"/>
              <w:rPr>
                <w:rFonts w:hint="eastAsia"/>
                <w:snapToGrid w:val="0"/>
                <w:kern w:val="0"/>
                <w:szCs w:val="21"/>
              </w:rPr>
            </w:pPr>
            <w:r>
              <w:rPr>
                <w:rFonts w:hint="eastAsia"/>
                <w:snapToGrid w:val="0"/>
                <w:kern w:val="0"/>
                <w:szCs w:val="21"/>
                <w:lang w:val="en-US" w:eastAsia="zh-CN"/>
              </w:rPr>
              <w:t>3.63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818" w:type="pct"/>
            <w:vAlign w:val="center"/>
          </w:tcPr>
          <w:p>
            <w:pPr>
              <w:jc w:val="center"/>
              <w:rPr>
                <w:b/>
                <w:snapToGrid w:val="0"/>
                <w:kern w:val="0"/>
                <w:szCs w:val="21"/>
              </w:rPr>
            </w:pPr>
            <w:r>
              <w:rPr>
                <w:snapToGrid w:val="0"/>
                <w:kern w:val="0"/>
                <w:szCs w:val="21"/>
              </w:rPr>
              <w:t>300</w:t>
            </w:r>
          </w:p>
        </w:tc>
        <w:tc>
          <w:tcPr>
            <w:tcW w:w="682" w:type="pct"/>
            <w:vAlign w:val="center"/>
          </w:tcPr>
          <w:p>
            <w:pPr>
              <w:jc w:val="center"/>
              <w:rPr>
                <w:snapToGrid w:val="0"/>
                <w:kern w:val="0"/>
                <w:szCs w:val="21"/>
              </w:rPr>
            </w:pPr>
            <w:r>
              <w:rPr>
                <w:rFonts w:hint="eastAsia"/>
                <w:snapToGrid w:val="0"/>
                <w:kern w:val="0"/>
                <w:szCs w:val="21"/>
                <w:lang w:val="en-US" w:eastAsia="zh-CN"/>
              </w:rPr>
              <w:t>3.2677</w:t>
            </w:r>
          </w:p>
        </w:tc>
        <w:tc>
          <w:tcPr>
            <w:tcW w:w="686" w:type="pct"/>
            <w:vAlign w:val="center"/>
          </w:tcPr>
          <w:p>
            <w:pPr>
              <w:jc w:val="center"/>
              <w:rPr>
                <w:snapToGrid w:val="0"/>
                <w:kern w:val="0"/>
                <w:szCs w:val="21"/>
              </w:rPr>
            </w:pPr>
            <w:r>
              <w:rPr>
                <w:rFonts w:hint="eastAsia"/>
                <w:snapToGrid w:val="0"/>
                <w:kern w:val="0"/>
                <w:szCs w:val="21"/>
                <w:lang w:val="en-US" w:eastAsia="zh-CN"/>
              </w:rPr>
              <w:t>1.63</w:t>
            </w:r>
          </w:p>
        </w:tc>
        <w:tc>
          <w:tcPr>
            <w:tcW w:w="682" w:type="pct"/>
            <w:vAlign w:val="center"/>
          </w:tcPr>
          <w:p>
            <w:pPr>
              <w:jc w:val="center"/>
              <w:rPr>
                <w:snapToGrid w:val="0"/>
                <w:kern w:val="0"/>
                <w:szCs w:val="21"/>
              </w:rPr>
            </w:pPr>
            <w:r>
              <w:rPr>
                <w:rFonts w:hint="eastAsia"/>
                <w:snapToGrid w:val="0"/>
                <w:kern w:val="0"/>
                <w:szCs w:val="21"/>
                <w:lang w:val="en-US" w:eastAsia="zh-CN"/>
              </w:rPr>
              <w:t>0.32677</w:t>
            </w:r>
          </w:p>
        </w:tc>
        <w:tc>
          <w:tcPr>
            <w:tcW w:w="710" w:type="pct"/>
            <w:vAlign w:val="center"/>
          </w:tcPr>
          <w:p>
            <w:pPr>
              <w:jc w:val="center"/>
              <w:rPr>
                <w:snapToGrid w:val="0"/>
                <w:kern w:val="0"/>
                <w:szCs w:val="21"/>
              </w:rPr>
            </w:pPr>
            <w:r>
              <w:rPr>
                <w:rFonts w:hint="eastAsia"/>
                <w:snapToGrid w:val="0"/>
                <w:kern w:val="0"/>
                <w:szCs w:val="21"/>
                <w:lang w:val="en-US" w:eastAsia="zh-CN"/>
              </w:rPr>
              <w:t>3.27</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30.706</w:t>
            </w:r>
          </w:p>
        </w:tc>
        <w:tc>
          <w:tcPr>
            <w:tcW w:w="713" w:type="pct"/>
            <w:vAlign w:val="center"/>
          </w:tcPr>
          <w:p>
            <w:pPr>
              <w:jc w:val="center"/>
              <w:rPr>
                <w:rFonts w:hint="eastAsia"/>
                <w:snapToGrid w:val="0"/>
                <w:kern w:val="0"/>
                <w:szCs w:val="21"/>
              </w:rPr>
            </w:pPr>
            <w:r>
              <w:rPr>
                <w:rFonts w:hint="eastAsia"/>
                <w:snapToGrid w:val="0"/>
                <w:kern w:val="0"/>
                <w:szCs w:val="21"/>
                <w:lang w:val="en-US" w:eastAsia="zh-CN"/>
              </w:rPr>
              <w:t>3.41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8" w:type="pct"/>
            <w:vAlign w:val="center"/>
          </w:tcPr>
          <w:p>
            <w:pPr>
              <w:jc w:val="center"/>
              <w:rPr>
                <w:snapToGrid w:val="0"/>
                <w:kern w:val="0"/>
                <w:szCs w:val="21"/>
              </w:rPr>
            </w:pPr>
            <w:r>
              <w:rPr>
                <w:snapToGrid w:val="0"/>
                <w:kern w:val="0"/>
                <w:szCs w:val="21"/>
              </w:rPr>
              <w:t>400</w:t>
            </w:r>
          </w:p>
        </w:tc>
        <w:tc>
          <w:tcPr>
            <w:tcW w:w="682" w:type="pct"/>
            <w:vAlign w:val="center"/>
          </w:tcPr>
          <w:p>
            <w:pPr>
              <w:jc w:val="center"/>
              <w:rPr>
                <w:snapToGrid w:val="0"/>
                <w:kern w:val="0"/>
                <w:szCs w:val="21"/>
              </w:rPr>
            </w:pPr>
            <w:r>
              <w:rPr>
                <w:rFonts w:hint="eastAsia"/>
                <w:snapToGrid w:val="0"/>
                <w:kern w:val="0"/>
                <w:szCs w:val="21"/>
                <w:lang w:val="en-US" w:eastAsia="zh-CN"/>
              </w:rPr>
              <w:t>3.0549</w:t>
            </w:r>
          </w:p>
        </w:tc>
        <w:tc>
          <w:tcPr>
            <w:tcW w:w="686" w:type="pct"/>
            <w:vAlign w:val="center"/>
          </w:tcPr>
          <w:p>
            <w:pPr>
              <w:jc w:val="center"/>
              <w:rPr>
                <w:snapToGrid w:val="0"/>
                <w:kern w:val="0"/>
                <w:szCs w:val="21"/>
              </w:rPr>
            </w:pPr>
            <w:r>
              <w:rPr>
                <w:rFonts w:hint="eastAsia"/>
                <w:snapToGrid w:val="0"/>
                <w:kern w:val="0"/>
                <w:szCs w:val="21"/>
                <w:lang w:val="en-US" w:eastAsia="zh-CN"/>
              </w:rPr>
              <w:t>1.53</w:t>
            </w:r>
          </w:p>
        </w:tc>
        <w:tc>
          <w:tcPr>
            <w:tcW w:w="682" w:type="pct"/>
            <w:vAlign w:val="center"/>
          </w:tcPr>
          <w:p>
            <w:pPr>
              <w:jc w:val="center"/>
              <w:rPr>
                <w:snapToGrid w:val="0"/>
                <w:kern w:val="0"/>
                <w:szCs w:val="21"/>
              </w:rPr>
            </w:pPr>
            <w:r>
              <w:rPr>
                <w:rFonts w:hint="eastAsia"/>
                <w:snapToGrid w:val="0"/>
                <w:kern w:val="0"/>
                <w:szCs w:val="21"/>
                <w:lang w:val="en-US" w:eastAsia="zh-CN"/>
              </w:rPr>
              <w:t>0.30549</w:t>
            </w:r>
          </w:p>
        </w:tc>
        <w:tc>
          <w:tcPr>
            <w:tcW w:w="710" w:type="pct"/>
            <w:vAlign w:val="center"/>
          </w:tcPr>
          <w:p>
            <w:pPr>
              <w:jc w:val="center"/>
              <w:rPr>
                <w:snapToGrid w:val="0"/>
                <w:kern w:val="0"/>
                <w:szCs w:val="21"/>
              </w:rPr>
            </w:pPr>
            <w:r>
              <w:rPr>
                <w:rFonts w:hint="eastAsia"/>
                <w:snapToGrid w:val="0"/>
                <w:kern w:val="0"/>
                <w:szCs w:val="21"/>
                <w:lang w:val="en-US" w:eastAsia="zh-CN"/>
              </w:rPr>
              <w:t>3.05</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28.707</w:t>
            </w:r>
          </w:p>
        </w:tc>
        <w:tc>
          <w:tcPr>
            <w:tcW w:w="713" w:type="pct"/>
            <w:vAlign w:val="center"/>
          </w:tcPr>
          <w:p>
            <w:pPr>
              <w:jc w:val="center"/>
              <w:rPr>
                <w:rFonts w:hint="eastAsia"/>
                <w:snapToGrid w:val="0"/>
                <w:kern w:val="0"/>
                <w:szCs w:val="21"/>
              </w:rPr>
            </w:pPr>
            <w:r>
              <w:rPr>
                <w:rFonts w:hint="eastAsia"/>
                <w:snapToGrid w:val="0"/>
                <w:kern w:val="0"/>
                <w:szCs w:val="21"/>
                <w:lang w:val="en-US" w:eastAsia="zh-CN"/>
              </w:rPr>
              <w:t>3.19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8" w:type="pct"/>
            <w:vAlign w:val="center"/>
          </w:tcPr>
          <w:p>
            <w:pPr>
              <w:jc w:val="center"/>
              <w:rPr>
                <w:snapToGrid w:val="0"/>
                <w:kern w:val="0"/>
                <w:szCs w:val="21"/>
              </w:rPr>
            </w:pPr>
            <w:r>
              <w:rPr>
                <w:snapToGrid w:val="0"/>
                <w:kern w:val="0"/>
                <w:szCs w:val="21"/>
              </w:rPr>
              <w:t>500</w:t>
            </w:r>
          </w:p>
        </w:tc>
        <w:tc>
          <w:tcPr>
            <w:tcW w:w="682" w:type="pct"/>
            <w:vAlign w:val="center"/>
          </w:tcPr>
          <w:p>
            <w:pPr>
              <w:jc w:val="center"/>
              <w:rPr>
                <w:snapToGrid w:val="0"/>
                <w:kern w:val="0"/>
                <w:szCs w:val="21"/>
              </w:rPr>
            </w:pPr>
            <w:r>
              <w:rPr>
                <w:rFonts w:hint="eastAsia"/>
                <w:snapToGrid w:val="0"/>
                <w:kern w:val="0"/>
                <w:szCs w:val="21"/>
                <w:lang w:val="en-US" w:eastAsia="zh-CN"/>
              </w:rPr>
              <w:t>2.8541</w:t>
            </w:r>
          </w:p>
        </w:tc>
        <w:tc>
          <w:tcPr>
            <w:tcW w:w="686" w:type="pct"/>
            <w:vAlign w:val="center"/>
          </w:tcPr>
          <w:p>
            <w:pPr>
              <w:jc w:val="center"/>
              <w:rPr>
                <w:snapToGrid w:val="0"/>
                <w:kern w:val="0"/>
                <w:szCs w:val="21"/>
              </w:rPr>
            </w:pPr>
            <w:r>
              <w:rPr>
                <w:rFonts w:hint="eastAsia"/>
                <w:snapToGrid w:val="0"/>
                <w:kern w:val="0"/>
                <w:szCs w:val="21"/>
                <w:lang w:val="en-US" w:eastAsia="zh-CN"/>
              </w:rPr>
              <w:t>1.43</w:t>
            </w:r>
          </w:p>
        </w:tc>
        <w:tc>
          <w:tcPr>
            <w:tcW w:w="682" w:type="pct"/>
            <w:vAlign w:val="center"/>
          </w:tcPr>
          <w:p>
            <w:pPr>
              <w:jc w:val="center"/>
              <w:rPr>
                <w:snapToGrid w:val="0"/>
                <w:kern w:val="0"/>
                <w:szCs w:val="21"/>
              </w:rPr>
            </w:pPr>
            <w:r>
              <w:rPr>
                <w:rFonts w:hint="eastAsia"/>
                <w:snapToGrid w:val="0"/>
                <w:kern w:val="0"/>
                <w:szCs w:val="21"/>
                <w:lang w:val="en-US" w:eastAsia="zh-CN"/>
              </w:rPr>
              <w:t>0.28541</w:t>
            </w:r>
          </w:p>
        </w:tc>
        <w:tc>
          <w:tcPr>
            <w:tcW w:w="710" w:type="pct"/>
            <w:vAlign w:val="center"/>
          </w:tcPr>
          <w:p>
            <w:pPr>
              <w:jc w:val="center"/>
              <w:rPr>
                <w:snapToGrid w:val="0"/>
                <w:kern w:val="0"/>
                <w:szCs w:val="21"/>
              </w:rPr>
            </w:pPr>
            <w:r>
              <w:rPr>
                <w:rFonts w:hint="eastAsia"/>
                <w:snapToGrid w:val="0"/>
                <w:kern w:val="0"/>
                <w:szCs w:val="21"/>
                <w:lang w:val="en-US" w:eastAsia="zh-CN"/>
              </w:rPr>
              <w:t>2.85</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26.819</w:t>
            </w:r>
          </w:p>
        </w:tc>
        <w:tc>
          <w:tcPr>
            <w:tcW w:w="713" w:type="pct"/>
            <w:vAlign w:val="center"/>
          </w:tcPr>
          <w:p>
            <w:pPr>
              <w:jc w:val="center"/>
              <w:rPr>
                <w:rFonts w:hint="eastAsia"/>
                <w:snapToGrid w:val="0"/>
                <w:kern w:val="0"/>
                <w:szCs w:val="21"/>
              </w:rPr>
            </w:pPr>
            <w:r>
              <w:rPr>
                <w:rFonts w:hint="eastAsia"/>
                <w:snapToGrid w:val="0"/>
                <w:kern w:val="0"/>
                <w:szCs w:val="21"/>
                <w:lang w:val="en-US" w:eastAsia="zh-CN"/>
              </w:rPr>
              <w:t>2.98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8" w:type="pct"/>
            <w:vAlign w:val="center"/>
          </w:tcPr>
          <w:p>
            <w:pPr>
              <w:jc w:val="center"/>
              <w:rPr>
                <w:snapToGrid w:val="0"/>
                <w:kern w:val="0"/>
                <w:szCs w:val="21"/>
              </w:rPr>
            </w:pPr>
            <w:r>
              <w:rPr>
                <w:snapToGrid w:val="0"/>
                <w:kern w:val="0"/>
                <w:szCs w:val="21"/>
              </w:rPr>
              <w:t>600</w:t>
            </w:r>
          </w:p>
        </w:tc>
        <w:tc>
          <w:tcPr>
            <w:tcW w:w="682" w:type="pct"/>
            <w:vAlign w:val="center"/>
          </w:tcPr>
          <w:p>
            <w:pPr>
              <w:jc w:val="center"/>
              <w:rPr>
                <w:snapToGrid w:val="0"/>
                <w:kern w:val="0"/>
                <w:szCs w:val="21"/>
              </w:rPr>
            </w:pPr>
            <w:r>
              <w:rPr>
                <w:rFonts w:hint="eastAsia"/>
                <w:snapToGrid w:val="0"/>
                <w:kern w:val="0"/>
                <w:szCs w:val="21"/>
                <w:lang w:val="en-US" w:eastAsia="zh-CN"/>
              </w:rPr>
              <w:t>2.6708</w:t>
            </w:r>
          </w:p>
        </w:tc>
        <w:tc>
          <w:tcPr>
            <w:tcW w:w="686" w:type="pct"/>
            <w:vAlign w:val="center"/>
          </w:tcPr>
          <w:p>
            <w:pPr>
              <w:jc w:val="center"/>
              <w:rPr>
                <w:snapToGrid w:val="0"/>
                <w:kern w:val="0"/>
                <w:szCs w:val="21"/>
              </w:rPr>
            </w:pPr>
            <w:r>
              <w:rPr>
                <w:rFonts w:hint="eastAsia"/>
                <w:snapToGrid w:val="0"/>
                <w:kern w:val="0"/>
                <w:szCs w:val="21"/>
                <w:lang w:val="en-US" w:eastAsia="zh-CN"/>
              </w:rPr>
              <w:t>1.34</w:t>
            </w:r>
          </w:p>
        </w:tc>
        <w:tc>
          <w:tcPr>
            <w:tcW w:w="682" w:type="pct"/>
            <w:vAlign w:val="center"/>
          </w:tcPr>
          <w:p>
            <w:pPr>
              <w:jc w:val="center"/>
              <w:rPr>
                <w:snapToGrid w:val="0"/>
                <w:kern w:val="0"/>
                <w:szCs w:val="21"/>
              </w:rPr>
            </w:pPr>
            <w:r>
              <w:rPr>
                <w:rFonts w:hint="eastAsia"/>
                <w:snapToGrid w:val="0"/>
                <w:kern w:val="0"/>
                <w:szCs w:val="21"/>
                <w:lang w:val="en-US" w:eastAsia="zh-CN"/>
              </w:rPr>
              <w:t>0.26708</w:t>
            </w:r>
          </w:p>
        </w:tc>
        <w:tc>
          <w:tcPr>
            <w:tcW w:w="710" w:type="pct"/>
            <w:vAlign w:val="center"/>
          </w:tcPr>
          <w:p>
            <w:pPr>
              <w:jc w:val="center"/>
              <w:rPr>
                <w:snapToGrid w:val="0"/>
                <w:kern w:val="0"/>
                <w:szCs w:val="21"/>
              </w:rPr>
            </w:pPr>
            <w:r>
              <w:rPr>
                <w:rFonts w:hint="eastAsia"/>
                <w:snapToGrid w:val="0"/>
                <w:kern w:val="0"/>
                <w:szCs w:val="21"/>
                <w:lang w:val="en-US" w:eastAsia="zh-CN"/>
              </w:rPr>
              <w:t>2.67</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25.097</w:t>
            </w:r>
          </w:p>
        </w:tc>
        <w:tc>
          <w:tcPr>
            <w:tcW w:w="713" w:type="pct"/>
            <w:vAlign w:val="center"/>
          </w:tcPr>
          <w:p>
            <w:pPr>
              <w:jc w:val="center"/>
              <w:rPr>
                <w:rFonts w:hint="eastAsia"/>
                <w:snapToGrid w:val="0"/>
                <w:kern w:val="0"/>
                <w:szCs w:val="21"/>
              </w:rPr>
            </w:pPr>
            <w:r>
              <w:rPr>
                <w:rFonts w:hint="eastAsia"/>
                <w:snapToGrid w:val="0"/>
                <w:kern w:val="0"/>
                <w:szCs w:val="21"/>
                <w:lang w:val="en-US" w:eastAsia="zh-CN"/>
              </w:rPr>
              <w:t>2.79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8" w:type="pct"/>
            <w:vAlign w:val="center"/>
          </w:tcPr>
          <w:p>
            <w:pPr>
              <w:jc w:val="center"/>
              <w:rPr>
                <w:snapToGrid w:val="0"/>
                <w:kern w:val="0"/>
                <w:szCs w:val="21"/>
              </w:rPr>
            </w:pPr>
            <w:r>
              <w:rPr>
                <w:snapToGrid w:val="0"/>
                <w:kern w:val="0"/>
                <w:szCs w:val="21"/>
              </w:rPr>
              <w:t>700</w:t>
            </w:r>
          </w:p>
        </w:tc>
        <w:tc>
          <w:tcPr>
            <w:tcW w:w="682" w:type="pct"/>
            <w:vAlign w:val="center"/>
          </w:tcPr>
          <w:p>
            <w:pPr>
              <w:jc w:val="center"/>
              <w:rPr>
                <w:snapToGrid w:val="0"/>
                <w:kern w:val="0"/>
                <w:szCs w:val="21"/>
              </w:rPr>
            </w:pPr>
            <w:r>
              <w:rPr>
                <w:rFonts w:hint="eastAsia"/>
                <w:snapToGrid w:val="0"/>
                <w:kern w:val="0"/>
                <w:szCs w:val="21"/>
                <w:lang w:val="en-US" w:eastAsia="zh-CN"/>
              </w:rPr>
              <w:t>2.5037</w:t>
            </w:r>
          </w:p>
        </w:tc>
        <w:tc>
          <w:tcPr>
            <w:tcW w:w="686" w:type="pct"/>
            <w:vAlign w:val="center"/>
          </w:tcPr>
          <w:p>
            <w:pPr>
              <w:jc w:val="center"/>
              <w:rPr>
                <w:snapToGrid w:val="0"/>
                <w:kern w:val="0"/>
                <w:szCs w:val="21"/>
              </w:rPr>
            </w:pPr>
            <w:r>
              <w:rPr>
                <w:rFonts w:hint="eastAsia"/>
                <w:snapToGrid w:val="0"/>
                <w:kern w:val="0"/>
                <w:szCs w:val="21"/>
                <w:lang w:val="en-US" w:eastAsia="zh-CN"/>
              </w:rPr>
              <w:t>1.25</w:t>
            </w:r>
          </w:p>
        </w:tc>
        <w:tc>
          <w:tcPr>
            <w:tcW w:w="682" w:type="pct"/>
            <w:vAlign w:val="center"/>
          </w:tcPr>
          <w:p>
            <w:pPr>
              <w:jc w:val="center"/>
              <w:rPr>
                <w:snapToGrid w:val="0"/>
                <w:kern w:val="0"/>
                <w:szCs w:val="21"/>
              </w:rPr>
            </w:pPr>
            <w:r>
              <w:rPr>
                <w:rFonts w:hint="eastAsia"/>
                <w:snapToGrid w:val="0"/>
                <w:kern w:val="0"/>
                <w:szCs w:val="21"/>
                <w:lang w:val="en-US" w:eastAsia="zh-CN"/>
              </w:rPr>
              <w:t>0.25037</w:t>
            </w:r>
          </w:p>
        </w:tc>
        <w:tc>
          <w:tcPr>
            <w:tcW w:w="710" w:type="pct"/>
            <w:vAlign w:val="center"/>
          </w:tcPr>
          <w:p>
            <w:pPr>
              <w:jc w:val="center"/>
              <w:rPr>
                <w:snapToGrid w:val="0"/>
                <w:kern w:val="0"/>
                <w:szCs w:val="21"/>
              </w:rPr>
            </w:pPr>
            <w:r>
              <w:rPr>
                <w:rFonts w:hint="eastAsia"/>
                <w:snapToGrid w:val="0"/>
                <w:kern w:val="0"/>
                <w:szCs w:val="21"/>
                <w:lang w:val="en-US" w:eastAsia="zh-CN"/>
              </w:rPr>
              <w:t>2.5</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23.527</w:t>
            </w:r>
          </w:p>
        </w:tc>
        <w:tc>
          <w:tcPr>
            <w:tcW w:w="713" w:type="pct"/>
            <w:vAlign w:val="center"/>
          </w:tcPr>
          <w:p>
            <w:pPr>
              <w:jc w:val="center"/>
              <w:rPr>
                <w:rFonts w:hint="eastAsia"/>
                <w:snapToGrid w:val="0"/>
                <w:kern w:val="0"/>
                <w:szCs w:val="21"/>
              </w:rPr>
            </w:pPr>
            <w:r>
              <w:rPr>
                <w:rFonts w:hint="eastAsia"/>
                <w:snapToGrid w:val="0"/>
                <w:kern w:val="0"/>
                <w:szCs w:val="21"/>
                <w:lang w:val="en-US" w:eastAsia="zh-CN"/>
              </w:rPr>
              <w:t>2.61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8" w:type="pct"/>
            <w:vAlign w:val="center"/>
          </w:tcPr>
          <w:p>
            <w:pPr>
              <w:jc w:val="center"/>
              <w:rPr>
                <w:snapToGrid w:val="0"/>
                <w:kern w:val="0"/>
                <w:szCs w:val="21"/>
              </w:rPr>
            </w:pPr>
            <w:r>
              <w:rPr>
                <w:snapToGrid w:val="0"/>
                <w:kern w:val="0"/>
                <w:szCs w:val="21"/>
              </w:rPr>
              <w:t>800</w:t>
            </w:r>
          </w:p>
        </w:tc>
        <w:tc>
          <w:tcPr>
            <w:tcW w:w="682" w:type="pct"/>
            <w:vAlign w:val="center"/>
          </w:tcPr>
          <w:p>
            <w:pPr>
              <w:jc w:val="center"/>
              <w:rPr>
                <w:snapToGrid w:val="0"/>
                <w:kern w:val="0"/>
                <w:szCs w:val="21"/>
              </w:rPr>
            </w:pPr>
            <w:r>
              <w:rPr>
                <w:rFonts w:hint="eastAsia"/>
                <w:snapToGrid w:val="0"/>
                <w:kern w:val="0"/>
                <w:szCs w:val="21"/>
                <w:lang w:val="en-US" w:eastAsia="zh-CN"/>
              </w:rPr>
              <w:t>2.3541</w:t>
            </w:r>
          </w:p>
        </w:tc>
        <w:tc>
          <w:tcPr>
            <w:tcW w:w="686" w:type="pct"/>
            <w:vAlign w:val="center"/>
          </w:tcPr>
          <w:p>
            <w:pPr>
              <w:jc w:val="center"/>
              <w:rPr>
                <w:snapToGrid w:val="0"/>
                <w:kern w:val="0"/>
                <w:szCs w:val="21"/>
              </w:rPr>
            </w:pPr>
            <w:r>
              <w:rPr>
                <w:rFonts w:hint="eastAsia"/>
                <w:snapToGrid w:val="0"/>
                <w:kern w:val="0"/>
                <w:szCs w:val="21"/>
                <w:lang w:val="en-US" w:eastAsia="zh-CN"/>
              </w:rPr>
              <w:t>1.18</w:t>
            </w:r>
          </w:p>
        </w:tc>
        <w:tc>
          <w:tcPr>
            <w:tcW w:w="682" w:type="pct"/>
            <w:vAlign w:val="center"/>
          </w:tcPr>
          <w:p>
            <w:pPr>
              <w:jc w:val="center"/>
              <w:rPr>
                <w:snapToGrid w:val="0"/>
                <w:kern w:val="0"/>
                <w:szCs w:val="21"/>
              </w:rPr>
            </w:pPr>
            <w:r>
              <w:rPr>
                <w:rFonts w:hint="eastAsia"/>
                <w:snapToGrid w:val="0"/>
                <w:kern w:val="0"/>
                <w:szCs w:val="21"/>
                <w:lang w:val="en-US" w:eastAsia="zh-CN"/>
              </w:rPr>
              <w:t>0.23541</w:t>
            </w:r>
          </w:p>
        </w:tc>
        <w:tc>
          <w:tcPr>
            <w:tcW w:w="710" w:type="pct"/>
            <w:vAlign w:val="center"/>
          </w:tcPr>
          <w:p>
            <w:pPr>
              <w:jc w:val="center"/>
              <w:rPr>
                <w:snapToGrid w:val="0"/>
                <w:kern w:val="0"/>
                <w:szCs w:val="21"/>
              </w:rPr>
            </w:pPr>
            <w:r>
              <w:rPr>
                <w:rFonts w:hint="eastAsia"/>
                <w:snapToGrid w:val="0"/>
                <w:kern w:val="0"/>
                <w:szCs w:val="21"/>
                <w:lang w:val="en-US" w:eastAsia="zh-CN"/>
              </w:rPr>
              <w:t>2.35</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22.122</w:t>
            </w:r>
          </w:p>
        </w:tc>
        <w:tc>
          <w:tcPr>
            <w:tcW w:w="713" w:type="pct"/>
            <w:vAlign w:val="center"/>
          </w:tcPr>
          <w:p>
            <w:pPr>
              <w:jc w:val="center"/>
              <w:rPr>
                <w:rFonts w:hint="eastAsia"/>
                <w:snapToGrid w:val="0"/>
                <w:kern w:val="0"/>
                <w:szCs w:val="21"/>
              </w:rPr>
            </w:pPr>
            <w:r>
              <w:rPr>
                <w:rFonts w:hint="eastAsia"/>
                <w:snapToGrid w:val="0"/>
                <w:kern w:val="0"/>
                <w:szCs w:val="21"/>
                <w:lang w:val="en-US" w:eastAsia="zh-CN"/>
              </w:rPr>
              <w:t>2.46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8" w:type="pct"/>
            <w:vAlign w:val="center"/>
          </w:tcPr>
          <w:p>
            <w:pPr>
              <w:jc w:val="center"/>
              <w:rPr>
                <w:snapToGrid w:val="0"/>
                <w:kern w:val="0"/>
                <w:szCs w:val="21"/>
              </w:rPr>
            </w:pPr>
            <w:r>
              <w:rPr>
                <w:snapToGrid w:val="0"/>
                <w:kern w:val="0"/>
                <w:szCs w:val="21"/>
              </w:rPr>
              <w:t>900</w:t>
            </w:r>
          </w:p>
        </w:tc>
        <w:tc>
          <w:tcPr>
            <w:tcW w:w="682" w:type="pct"/>
            <w:vAlign w:val="center"/>
          </w:tcPr>
          <w:p>
            <w:pPr>
              <w:jc w:val="center"/>
              <w:rPr>
                <w:snapToGrid w:val="0"/>
                <w:kern w:val="0"/>
                <w:szCs w:val="21"/>
              </w:rPr>
            </w:pPr>
            <w:r>
              <w:rPr>
                <w:rFonts w:hint="eastAsia"/>
                <w:snapToGrid w:val="0"/>
                <w:kern w:val="0"/>
                <w:szCs w:val="21"/>
                <w:lang w:val="en-US" w:eastAsia="zh-CN"/>
              </w:rPr>
              <w:t>2.216</w:t>
            </w:r>
          </w:p>
        </w:tc>
        <w:tc>
          <w:tcPr>
            <w:tcW w:w="686" w:type="pct"/>
            <w:vAlign w:val="center"/>
          </w:tcPr>
          <w:p>
            <w:pPr>
              <w:jc w:val="center"/>
              <w:rPr>
                <w:snapToGrid w:val="0"/>
                <w:kern w:val="0"/>
                <w:szCs w:val="21"/>
              </w:rPr>
            </w:pPr>
            <w:r>
              <w:rPr>
                <w:rFonts w:hint="eastAsia"/>
                <w:snapToGrid w:val="0"/>
                <w:kern w:val="0"/>
                <w:szCs w:val="21"/>
                <w:lang w:val="en-US" w:eastAsia="zh-CN"/>
              </w:rPr>
              <w:t>1.11</w:t>
            </w:r>
          </w:p>
        </w:tc>
        <w:tc>
          <w:tcPr>
            <w:tcW w:w="682" w:type="pct"/>
            <w:vAlign w:val="center"/>
          </w:tcPr>
          <w:p>
            <w:pPr>
              <w:jc w:val="center"/>
              <w:rPr>
                <w:snapToGrid w:val="0"/>
                <w:kern w:val="0"/>
                <w:szCs w:val="21"/>
              </w:rPr>
            </w:pPr>
            <w:r>
              <w:rPr>
                <w:rFonts w:hint="eastAsia"/>
                <w:snapToGrid w:val="0"/>
                <w:kern w:val="0"/>
                <w:szCs w:val="21"/>
                <w:lang w:val="en-US" w:eastAsia="zh-CN"/>
              </w:rPr>
              <w:t>0.2216</w:t>
            </w:r>
          </w:p>
        </w:tc>
        <w:tc>
          <w:tcPr>
            <w:tcW w:w="710" w:type="pct"/>
            <w:vAlign w:val="center"/>
          </w:tcPr>
          <w:p>
            <w:pPr>
              <w:jc w:val="center"/>
              <w:rPr>
                <w:snapToGrid w:val="0"/>
                <w:kern w:val="0"/>
                <w:szCs w:val="21"/>
              </w:rPr>
            </w:pPr>
            <w:r>
              <w:rPr>
                <w:rFonts w:hint="eastAsia"/>
                <w:snapToGrid w:val="0"/>
                <w:kern w:val="0"/>
                <w:szCs w:val="21"/>
                <w:lang w:val="en-US" w:eastAsia="zh-CN"/>
              </w:rPr>
              <w:t>2.22</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20.824</w:t>
            </w:r>
          </w:p>
        </w:tc>
        <w:tc>
          <w:tcPr>
            <w:tcW w:w="713" w:type="pct"/>
            <w:vAlign w:val="center"/>
          </w:tcPr>
          <w:p>
            <w:pPr>
              <w:jc w:val="center"/>
              <w:rPr>
                <w:rFonts w:hint="eastAsia"/>
                <w:snapToGrid w:val="0"/>
                <w:kern w:val="0"/>
                <w:szCs w:val="21"/>
              </w:rPr>
            </w:pPr>
            <w:r>
              <w:rPr>
                <w:rFonts w:hint="eastAsia"/>
                <w:snapToGrid w:val="0"/>
                <w:kern w:val="0"/>
                <w:szCs w:val="21"/>
                <w:lang w:val="en-US" w:eastAsia="zh-CN"/>
              </w:rPr>
              <w:t>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8" w:type="pct"/>
            <w:vAlign w:val="center"/>
          </w:tcPr>
          <w:p>
            <w:pPr>
              <w:jc w:val="center"/>
              <w:rPr>
                <w:snapToGrid w:val="0"/>
                <w:kern w:val="0"/>
                <w:szCs w:val="21"/>
              </w:rPr>
            </w:pPr>
            <w:r>
              <w:rPr>
                <w:snapToGrid w:val="0"/>
                <w:kern w:val="0"/>
                <w:szCs w:val="21"/>
              </w:rPr>
              <w:t>1000</w:t>
            </w:r>
          </w:p>
        </w:tc>
        <w:tc>
          <w:tcPr>
            <w:tcW w:w="682" w:type="pct"/>
            <w:vAlign w:val="center"/>
          </w:tcPr>
          <w:p>
            <w:pPr>
              <w:jc w:val="center"/>
              <w:rPr>
                <w:snapToGrid w:val="0"/>
                <w:kern w:val="0"/>
                <w:szCs w:val="21"/>
              </w:rPr>
            </w:pPr>
            <w:r>
              <w:rPr>
                <w:rFonts w:hint="eastAsia"/>
                <w:snapToGrid w:val="0"/>
                <w:kern w:val="0"/>
                <w:szCs w:val="21"/>
                <w:lang w:val="en-US" w:eastAsia="zh-CN"/>
              </w:rPr>
              <w:t>2.0911</w:t>
            </w:r>
          </w:p>
        </w:tc>
        <w:tc>
          <w:tcPr>
            <w:tcW w:w="686" w:type="pct"/>
            <w:vAlign w:val="center"/>
          </w:tcPr>
          <w:p>
            <w:pPr>
              <w:jc w:val="center"/>
              <w:rPr>
                <w:snapToGrid w:val="0"/>
                <w:kern w:val="0"/>
                <w:szCs w:val="21"/>
              </w:rPr>
            </w:pPr>
            <w:r>
              <w:rPr>
                <w:rFonts w:hint="eastAsia"/>
                <w:snapToGrid w:val="0"/>
                <w:kern w:val="0"/>
                <w:szCs w:val="21"/>
                <w:lang w:val="en-US" w:eastAsia="zh-CN"/>
              </w:rPr>
              <w:t>1.05</w:t>
            </w:r>
          </w:p>
        </w:tc>
        <w:tc>
          <w:tcPr>
            <w:tcW w:w="682" w:type="pct"/>
            <w:vAlign w:val="center"/>
          </w:tcPr>
          <w:p>
            <w:pPr>
              <w:jc w:val="center"/>
              <w:rPr>
                <w:snapToGrid w:val="0"/>
                <w:kern w:val="0"/>
                <w:szCs w:val="21"/>
              </w:rPr>
            </w:pPr>
            <w:r>
              <w:rPr>
                <w:rFonts w:hint="eastAsia"/>
                <w:snapToGrid w:val="0"/>
                <w:kern w:val="0"/>
                <w:szCs w:val="21"/>
                <w:lang w:val="en-US" w:eastAsia="zh-CN"/>
              </w:rPr>
              <w:t>0.20911</w:t>
            </w:r>
          </w:p>
        </w:tc>
        <w:tc>
          <w:tcPr>
            <w:tcW w:w="710" w:type="pct"/>
            <w:vAlign w:val="center"/>
          </w:tcPr>
          <w:p>
            <w:pPr>
              <w:jc w:val="center"/>
              <w:rPr>
                <w:snapToGrid w:val="0"/>
                <w:kern w:val="0"/>
                <w:szCs w:val="21"/>
              </w:rPr>
            </w:pPr>
            <w:r>
              <w:rPr>
                <w:rFonts w:hint="eastAsia"/>
                <w:snapToGrid w:val="0"/>
                <w:kern w:val="0"/>
                <w:szCs w:val="21"/>
                <w:lang w:val="en-US" w:eastAsia="zh-CN"/>
              </w:rPr>
              <w:t>2.09</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19.65</w:t>
            </w:r>
          </w:p>
        </w:tc>
        <w:tc>
          <w:tcPr>
            <w:tcW w:w="713" w:type="pct"/>
            <w:vAlign w:val="center"/>
          </w:tcPr>
          <w:p>
            <w:pPr>
              <w:jc w:val="center"/>
              <w:rPr>
                <w:rFonts w:hint="eastAsia"/>
                <w:snapToGrid w:val="0"/>
                <w:kern w:val="0"/>
                <w:szCs w:val="21"/>
              </w:rPr>
            </w:pPr>
            <w:r>
              <w:rPr>
                <w:rFonts w:hint="eastAsia"/>
                <w:snapToGrid w:val="0"/>
                <w:kern w:val="0"/>
                <w:szCs w:val="21"/>
                <w:lang w:val="en-US" w:eastAsia="zh-CN"/>
              </w:rPr>
              <w:t>2.18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8" w:type="pct"/>
            <w:vAlign w:val="center"/>
          </w:tcPr>
          <w:p>
            <w:pPr>
              <w:jc w:val="center"/>
              <w:rPr>
                <w:snapToGrid w:val="0"/>
                <w:kern w:val="0"/>
                <w:szCs w:val="21"/>
              </w:rPr>
            </w:pPr>
            <w:r>
              <w:rPr>
                <w:snapToGrid w:val="0"/>
                <w:kern w:val="0"/>
                <w:szCs w:val="21"/>
              </w:rPr>
              <w:t>1500</w:t>
            </w:r>
          </w:p>
        </w:tc>
        <w:tc>
          <w:tcPr>
            <w:tcW w:w="682" w:type="pct"/>
            <w:vAlign w:val="center"/>
          </w:tcPr>
          <w:p>
            <w:pPr>
              <w:jc w:val="center"/>
              <w:rPr>
                <w:snapToGrid w:val="0"/>
                <w:kern w:val="0"/>
                <w:szCs w:val="21"/>
              </w:rPr>
            </w:pPr>
            <w:r>
              <w:rPr>
                <w:rFonts w:hint="eastAsia"/>
                <w:snapToGrid w:val="0"/>
                <w:kern w:val="0"/>
                <w:szCs w:val="21"/>
                <w:lang w:val="en-US" w:eastAsia="zh-CN"/>
              </w:rPr>
              <w:t>1.6154</w:t>
            </w:r>
          </w:p>
        </w:tc>
        <w:tc>
          <w:tcPr>
            <w:tcW w:w="686" w:type="pct"/>
            <w:vAlign w:val="center"/>
          </w:tcPr>
          <w:p>
            <w:pPr>
              <w:jc w:val="center"/>
              <w:rPr>
                <w:snapToGrid w:val="0"/>
                <w:kern w:val="0"/>
                <w:szCs w:val="21"/>
              </w:rPr>
            </w:pPr>
            <w:r>
              <w:rPr>
                <w:rFonts w:hint="eastAsia"/>
                <w:snapToGrid w:val="0"/>
                <w:kern w:val="0"/>
                <w:szCs w:val="21"/>
                <w:lang w:val="en-US" w:eastAsia="zh-CN"/>
              </w:rPr>
              <w:t>0.81</w:t>
            </w:r>
          </w:p>
        </w:tc>
        <w:tc>
          <w:tcPr>
            <w:tcW w:w="682" w:type="pct"/>
            <w:vAlign w:val="center"/>
          </w:tcPr>
          <w:p>
            <w:pPr>
              <w:jc w:val="center"/>
              <w:rPr>
                <w:snapToGrid w:val="0"/>
                <w:kern w:val="0"/>
                <w:szCs w:val="21"/>
              </w:rPr>
            </w:pPr>
            <w:r>
              <w:rPr>
                <w:rFonts w:hint="eastAsia"/>
                <w:snapToGrid w:val="0"/>
                <w:kern w:val="0"/>
                <w:szCs w:val="21"/>
                <w:lang w:val="en-US" w:eastAsia="zh-CN"/>
              </w:rPr>
              <w:t>0.16154</w:t>
            </w:r>
          </w:p>
        </w:tc>
        <w:tc>
          <w:tcPr>
            <w:tcW w:w="710" w:type="pct"/>
            <w:vAlign w:val="center"/>
          </w:tcPr>
          <w:p>
            <w:pPr>
              <w:jc w:val="center"/>
              <w:rPr>
                <w:snapToGrid w:val="0"/>
                <w:kern w:val="0"/>
                <w:szCs w:val="21"/>
              </w:rPr>
            </w:pPr>
            <w:r>
              <w:rPr>
                <w:rFonts w:hint="eastAsia"/>
                <w:snapToGrid w:val="0"/>
                <w:kern w:val="0"/>
                <w:szCs w:val="21"/>
                <w:lang w:val="en-US" w:eastAsia="zh-CN"/>
              </w:rPr>
              <w:t>1.62</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15.18</w:t>
            </w:r>
          </w:p>
        </w:tc>
        <w:tc>
          <w:tcPr>
            <w:tcW w:w="713" w:type="pct"/>
            <w:vAlign w:val="center"/>
          </w:tcPr>
          <w:p>
            <w:pPr>
              <w:jc w:val="center"/>
              <w:rPr>
                <w:rFonts w:hint="eastAsia"/>
                <w:snapToGrid w:val="0"/>
                <w:kern w:val="0"/>
                <w:szCs w:val="21"/>
              </w:rPr>
            </w:pPr>
            <w:r>
              <w:rPr>
                <w:rFonts w:hint="eastAsia"/>
                <w:snapToGrid w:val="0"/>
                <w:kern w:val="0"/>
                <w:szCs w:val="21"/>
                <w:lang w:val="en-US" w:eastAsia="zh-CN"/>
              </w:rPr>
              <w:t>1.69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8" w:type="pct"/>
            <w:vAlign w:val="center"/>
          </w:tcPr>
          <w:p>
            <w:pPr>
              <w:jc w:val="center"/>
              <w:rPr>
                <w:snapToGrid w:val="0"/>
                <w:kern w:val="0"/>
                <w:szCs w:val="21"/>
              </w:rPr>
            </w:pPr>
            <w:r>
              <w:rPr>
                <w:snapToGrid w:val="0"/>
                <w:kern w:val="0"/>
                <w:szCs w:val="21"/>
              </w:rPr>
              <w:t>2000</w:t>
            </w:r>
          </w:p>
        </w:tc>
        <w:tc>
          <w:tcPr>
            <w:tcW w:w="682" w:type="pct"/>
            <w:vAlign w:val="center"/>
          </w:tcPr>
          <w:p>
            <w:pPr>
              <w:jc w:val="center"/>
              <w:rPr>
                <w:snapToGrid w:val="0"/>
                <w:kern w:val="0"/>
                <w:szCs w:val="21"/>
              </w:rPr>
            </w:pPr>
            <w:r>
              <w:rPr>
                <w:rFonts w:hint="eastAsia"/>
                <w:snapToGrid w:val="0"/>
                <w:kern w:val="0"/>
                <w:szCs w:val="21"/>
                <w:lang w:val="en-US" w:eastAsia="zh-CN"/>
              </w:rPr>
              <w:t>1.3151</w:t>
            </w:r>
          </w:p>
        </w:tc>
        <w:tc>
          <w:tcPr>
            <w:tcW w:w="686" w:type="pct"/>
            <w:vAlign w:val="center"/>
          </w:tcPr>
          <w:p>
            <w:pPr>
              <w:jc w:val="center"/>
              <w:rPr>
                <w:snapToGrid w:val="0"/>
                <w:kern w:val="0"/>
                <w:szCs w:val="21"/>
              </w:rPr>
            </w:pPr>
            <w:r>
              <w:rPr>
                <w:rFonts w:hint="eastAsia"/>
                <w:snapToGrid w:val="0"/>
                <w:kern w:val="0"/>
                <w:szCs w:val="21"/>
                <w:lang w:val="en-US" w:eastAsia="zh-CN"/>
              </w:rPr>
              <w:t>0.66</w:t>
            </w:r>
          </w:p>
        </w:tc>
        <w:tc>
          <w:tcPr>
            <w:tcW w:w="682" w:type="pct"/>
            <w:vAlign w:val="center"/>
          </w:tcPr>
          <w:p>
            <w:pPr>
              <w:jc w:val="center"/>
              <w:rPr>
                <w:snapToGrid w:val="0"/>
                <w:kern w:val="0"/>
                <w:szCs w:val="21"/>
              </w:rPr>
            </w:pPr>
            <w:r>
              <w:rPr>
                <w:rFonts w:hint="eastAsia"/>
                <w:snapToGrid w:val="0"/>
                <w:kern w:val="0"/>
                <w:szCs w:val="21"/>
                <w:lang w:val="en-US" w:eastAsia="zh-CN"/>
              </w:rPr>
              <w:t>0.13151</w:t>
            </w:r>
          </w:p>
        </w:tc>
        <w:tc>
          <w:tcPr>
            <w:tcW w:w="710" w:type="pct"/>
            <w:vAlign w:val="center"/>
          </w:tcPr>
          <w:p>
            <w:pPr>
              <w:jc w:val="center"/>
              <w:rPr>
                <w:snapToGrid w:val="0"/>
                <w:kern w:val="0"/>
                <w:szCs w:val="21"/>
              </w:rPr>
            </w:pPr>
            <w:r>
              <w:rPr>
                <w:rFonts w:hint="eastAsia"/>
                <w:snapToGrid w:val="0"/>
                <w:kern w:val="0"/>
                <w:szCs w:val="21"/>
                <w:lang w:val="en-US" w:eastAsia="zh-CN"/>
              </w:rPr>
              <w:t>1.32</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12.358</w:t>
            </w:r>
          </w:p>
        </w:tc>
        <w:tc>
          <w:tcPr>
            <w:tcW w:w="713" w:type="pct"/>
            <w:vAlign w:val="center"/>
          </w:tcPr>
          <w:p>
            <w:pPr>
              <w:jc w:val="center"/>
              <w:rPr>
                <w:rFonts w:hint="eastAsia"/>
                <w:snapToGrid w:val="0"/>
                <w:kern w:val="0"/>
                <w:szCs w:val="21"/>
              </w:rPr>
            </w:pPr>
            <w:r>
              <w:rPr>
                <w:rFonts w:hint="eastAsia"/>
                <w:snapToGrid w:val="0"/>
                <w:kern w:val="0"/>
                <w:szCs w:val="21"/>
                <w:lang w:val="en-US" w:eastAsia="zh-CN"/>
              </w:rPr>
              <w:t>1.37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8" w:type="pct"/>
            <w:vAlign w:val="center"/>
          </w:tcPr>
          <w:p>
            <w:pPr>
              <w:jc w:val="center"/>
              <w:rPr>
                <w:snapToGrid w:val="0"/>
                <w:kern w:val="0"/>
                <w:szCs w:val="21"/>
              </w:rPr>
            </w:pPr>
            <w:r>
              <w:rPr>
                <w:snapToGrid w:val="0"/>
                <w:kern w:val="0"/>
                <w:szCs w:val="21"/>
              </w:rPr>
              <w:t>2500</w:t>
            </w:r>
          </w:p>
        </w:tc>
        <w:tc>
          <w:tcPr>
            <w:tcW w:w="682" w:type="pct"/>
            <w:vAlign w:val="center"/>
          </w:tcPr>
          <w:p>
            <w:pPr>
              <w:jc w:val="center"/>
              <w:rPr>
                <w:snapToGrid w:val="0"/>
                <w:kern w:val="0"/>
                <w:szCs w:val="21"/>
              </w:rPr>
            </w:pPr>
            <w:r>
              <w:rPr>
                <w:rFonts w:hint="eastAsia"/>
                <w:snapToGrid w:val="0"/>
                <w:kern w:val="0"/>
                <w:szCs w:val="21"/>
                <w:lang w:val="en-US" w:eastAsia="zh-CN"/>
              </w:rPr>
              <w:t>1.111</w:t>
            </w:r>
          </w:p>
        </w:tc>
        <w:tc>
          <w:tcPr>
            <w:tcW w:w="686" w:type="pct"/>
            <w:vAlign w:val="center"/>
          </w:tcPr>
          <w:p>
            <w:pPr>
              <w:jc w:val="center"/>
              <w:rPr>
                <w:snapToGrid w:val="0"/>
                <w:kern w:val="0"/>
                <w:szCs w:val="21"/>
              </w:rPr>
            </w:pPr>
            <w:r>
              <w:rPr>
                <w:rFonts w:hint="eastAsia"/>
                <w:snapToGrid w:val="0"/>
                <w:kern w:val="0"/>
                <w:szCs w:val="21"/>
                <w:lang w:val="en-US" w:eastAsia="zh-CN"/>
              </w:rPr>
              <w:t>0.56</w:t>
            </w:r>
          </w:p>
        </w:tc>
        <w:tc>
          <w:tcPr>
            <w:tcW w:w="682" w:type="pct"/>
            <w:vAlign w:val="center"/>
          </w:tcPr>
          <w:p>
            <w:pPr>
              <w:jc w:val="center"/>
              <w:rPr>
                <w:snapToGrid w:val="0"/>
                <w:kern w:val="0"/>
                <w:szCs w:val="21"/>
              </w:rPr>
            </w:pPr>
            <w:r>
              <w:rPr>
                <w:rFonts w:hint="eastAsia"/>
                <w:snapToGrid w:val="0"/>
                <w:kern w:val="0"/>
                <w:szCs w:val="21"/>
                <w:lang w:val="en-US" w:eastAsia="zh-CN"/>
              </w:rPr>
              <w:t>0.1111</w:t>
            </w:r>
          </w:p>
        </w:tc>
        <w:tc>
          <w:tcPr>
            <w:tcW w:w="710" w:type="pct"/>
            <w:vAlign w:val="center"/>
          </w:tcPr>
          <w:p>
            <w:pPr>
              <w:jc w:val="center"/>
              <w:rPr>
                <w:snapToGrid w:val="0"/>
                <w:kern w:val="0"/>
                <w:szCs w:val="21"/>
              </w:rPr>
            </w:pPr>
            <w:r>
              <w:rPr>
                <w:rFonts w:hint="eastAsia"/>
                <w:snapToGrid w:val="0"/>
                <w:kern w:val="0"/>
                <w:szCs w:val="21"/>
                <w:lang w:val="en-US" w:eastAsia="zh-CN"/>
              </w:rPr>
              <w:t>1.11</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10.44</w:t>
            </w:r>
          </w:p>
        </w:tc>
        <w:tc>
          <w:tcPr>
            <w:tcW w:w="713" w:type="pct"/>
            <w:vAlign w:val="center"/>
          </w:tcPr>
          <w:p>
            <w:pPr>
              <w:jc w:val="center"/>
              <w:rPr>
                <w:rFonts w:hint="eastAsia"/>
                <w:snapToGrid w:val="0"/>
                <w:kern w:val="0"/>
                <w:szCs w:val="21"/>
              </w:rPr>
            </w:pPr>
            <w:r>
              <w:rPr>
                <w:rFonts w:hint="eastAsia"/>
                <w:snapToGrid w:val="0"/>
                <w:kern w:val="0"/>
                <w:szCs w:val="21"/>
                <w:lang w:val="en-US" w:eastAsia="zh-CN"/>
              </w:rPr>
              <w:t>1.16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8" w:type="pct"/>
            <w:vMerge w:val="restart"/>
            <w:vAlign w:val="center"/>
          </w:tcPr>
          <w:p>
            <w:pPr>
              <w:jc w:val="center"/>
              <w:rPr>
                <w:snapToGrid w:val="0"/>
                <w:kern w:val="0"/>
                <w:szCs w:val="21"/>
              </w:rPr>
            </w:pPr>
            <w:r>
              <w:rPr>
                <w:snapToGrid w:val="0"/>
                <w:kern w:val="0"/>
                <w:szCs w:val="21"/>
              </w:rPr>
              <w:t>下风向最大浓度</w:t>
            </w:r>
          </w:p>
        </w:tc>
        <w:tc>
          <w:tcPr>
            <w:tcW w:w="682" w:type="pct"/>
            <w:vAlign w:val="center"/>
          </w:tcPr>
          <w:p>
            <w:pPr>
              <w:jc w:val="center"/>
              <w:rPr>
                <w:rFonts w:ascii="Times New Roman" w:hAnsi="Times New Roman" w:eastAsia="宋体" w:cs="Times New Roman"/>
                <w:b/>
                <w:bCs w:val="0"/>
                <w:snapToGrid w:val="0"/>
                <w:kern w:val="0"/>
                <w:sz w:val="21"/>
                <w:szCs w:val="21"/>
                <w:lang w:val="en-US" w:eastAsia="zh-CN" w:bidi="ar-SA"/>
              </w:rPr>
            </w:pPr>
            <w:r>
              <w:rPr>
                <w:rFonts w:hint="eastAsia"/>
                <w:b/>
                <w:bCs w:val="0"/>
                <w:snapToGrid w:val="0"/>
                <w:kern w:val="0"/>
                <w:szCs w:val="21"/>
                <w:lang w:val="en-US" w:eastAsia="zh-CN"/>
              </w:rPr>
              <w:t>4.5318</w:t>
            </w:r>
          </w:p>
        </w:tc>
        <w:tc>
          <w:tcPr>
            <w:tcW w:w="686" w:type="pct"/>
            <w:vAlign w:val="center"/>
          </w:tcPr>
          <w:p>
            <w:pPr>
              <w:jc w:val="center"/>
              <w:rPr>
                <w:rFonts w:ascii="Times New Roman" w:hAnsi="Times New Roman" w:eastAsia="宋体" w:cs="Times New Roman"/>
                <w:b/>
                <w:bCs w:val="0"/>
                <w:snapToGrid w:val="0"/>
                <w:kern w:val="0"/>
                <w:sz w:val="21"/>
                <w:szCs w:val="21"/>
                <w:lang w:val="en-US" w:eastAsia="zh-CN" w:bidi="ar-SA"/>
              </w:rPr>
            </w:pPr>
            <w:r>
              <w:rPr>
                <w:rFonts w:hint="eastAsia"/>
                <w:b/>
                <w:bCs w:val="0"/>
                <w:snapToGrid w:val="0"/>
                <w:kern w:val="0"/>
                <w:szCs w:val="21"/>
                <w:lang w:val="en-US" w:eastAsia="zh-CN"/>
              </w:rPr>
              <w:t>2.27</w:t>
            </w:r>
          </w:p>
        </w:tc>
        <w:tc>
          <w:tcPr>
            <w:tcW w:w="682" w:type="pct"/>
            <w:vAlign w:val="center"/>
          </w:tcPr>
          <w:p>
            <w:pPr>
              <w:jc w:val="center"/>
              <w:rPr>
                <w:rFonts w:ascii="Times New Roman" w:hAnsi="Times New Roman" w:eastAsia="宋体" w:cs="Times New Roman"/>
                <w:b/>
                <w:bCs w:val="0"/>
                <w:snapToGrid w:val="0"/>
                <w:kern w:val="0"/>
                <w:sz w:val="21"/>
                <w:szCs w:val="21"/>
                <w:lang w:val="en-US" w:eastAsia="zh-CN" w:bidi="ar-SA"/>
              </w:rPr>
            </w:pPr>
            <w:r>
              <w:rPr>
                <w:rFonts w:hint="eastAsia"/>
                <w:b/>
                <w:bCs w:val="0"/>
                <w:snapToGrid w:val="0"/>
                <w:kern w:val="0"/>
                <w:szCs w:val="21"/>
                <w:lang w:val="en-US" w:eastAsia="zh-CN"/>
              </w:rPr>
              <w:t>0.45318</w:t>
            </w:r>
          </w:p>
        </w:tc>
        <w:tc>
          <w:tcPr>
            <w:tcW w:w="710" w:type="pct"/>
            <w:vAlign w:val="center"/>
          </w:tcPr>
          <w:p>
            <w:pPr>
              <w:jc w:val="center"/>
              <w:rPr>
                <w:rFonts w:ascii="Times New Roman" w:hAnsi="Times New Roman" w:eastAsia="宋体" w:cs="Times New Roman"/>
                <w:b/>
                <w:bCs w:val="0"/>
                <w:snapToGrid w:val="0"/>
                <w:kern w:val="0"/>
                <w:sz w:val="21"/>
                <w:szCs w:val="21"/>
                <w:lang w:val="en-US" w:eastAsia="zh-CN" w:bidi="ar-SA"/>
              </w:rPr>
            </w:pPr>
            <w:r>
              <w:rPr>
                <w:rFonts w:hint="eastAsia"/>
                <w:b/>
                <w:bCs w:val="0"/>
                <w:snapToGrid w:val="0"/>
                <w:kern w:val="0"/>
                <w:szCs w:val="21"/>
                <w:lang w:val="en-US" w:eastAsia="zh-CN"/>
              </w:rPr>
              <w:t>4.53</w:t>
            </w:r>
          </w:p>
        </w:tc>
        <w:tc>
          <w:tcPr>
            <w:tcW w:w="707" w:type="pct"/>
            <w:vAlign w:val="center"/>
          </w:tcPr>
          <w:p>
            <w:pPr>
              <w:jc w:val="center"/>
              <w:rPr>
                <w:rFonts w:hint="eastAsia" w:ascii="Times New Roman" w:hAnsi="Times New Roman" w:eastAsia="宋体" w:cs="Times New Roman"/>
                <w:b/>
                <w:bCs w:val="0"/>
                <w:snapToGrid w:val="0"/>
                <w:kern w:val="0"/>
                <w:sz w:val="21"/>
                <w:szCs w:val="21"/>
                <w:lang w:val="en-US" w:eastAsia="zh-CN" w:bidi="ar-SA"/>
              </w:rPr>
            </w:pPr>
            <w:r>
              <w:rPr>
                <w:rFonts w:hint="eastAsia"/>
                <w:b/>
                <w:bCs w:val="0"/>
                <w:snapToGrid w:val="0"/>
                <w:kern w:val="0"/>
                <w:szCs w:val="21"/>
                <w:lang w:val="en-US" w:eastAsia="zh-CN"/>
              </w:rPr>
              <w:t>42.585</w:t>
            </w:r>
          </w:p>
        </w:tc>
        <w:tc>
          <w:tcPr>
            <w:tcW w:w="713" w:type="pct"/>
            <w:vAlign w:val="center"/>
          </w:tcPr>
          <w:p>
            <w:pPr>
              <w:jc w:val="center"/>
              <w:rPr>
                <w:rFonts w:hint="eastAsia" w:ascii="Times New Roman" w:hAnsi="Times New Roman" w:eastAsia="宋体" w:cs="Times New Roman"/>
                <w:b/>
                <w:bCs w:val="0"/>
                <w:snapToGrid w:val="0"/>
                <w:kern w:val="0"/>
                <w:sz w:val="21"/>
                <w:szCs w:val="21"/>
                <w:lang w:val="en-US" w:eastAsia="zh-CN" w:bidi="ar-SA"/>
              </w:rPr>
            </w:pPr>
            <w:r>
              <w:rPr>
                <w:rFonts w:hint="eastAsia"/>
                <w:b/>
                <w:bCs w:val="0"/>
                <w:snapToGrid w:val="0"/>
                <w:kern w:val="0"/>
                <w:szCs w:val="21"/>
                <w:lang w:val="en-US" w:eastAsia="zh-CN"/>
              </w:rPr>
              <w:t>4.73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8" w:type="pct"/>
            <w:vMerge w:val="continue"/>
            <w:vAlign w:val="center"/>
          </w:tcPr>
          <w:p>
            <w:pPr>
              <w:jc w:val="center"/>
              <w:rPr>
                <w:snapToGrid w:val="0"/>
                <w:kern w:val="0"/>
                <w:szCs w:val="21"/>
              </w:rPr>
            </w:pPr>
          </w:p>
        </w:tc>
        <w:tc>
          <w:tcPr>
            <w:tcW w:w="4181" w:type="pct"/>
            <w:gridSpan w:val="6"/>
            <w:vAlign w:val="center"/>
          </w:tcPr>
          <w:p>
            <w:pPr>
              <w:jc w:val="center"/>
              <w:rPr>
                <w:rFonts w:hint="eastAsia"/>
                <w:b/>
                <w:szCs w:val="21"/>
              </w:rPr>
            </w:pPr>
            <w:r>
              <w:rPr>
                <w:rFonts w:hint="eastAsia"/>
                <w:b/>
                <w:szCs w:val="21"/>
              </w:rPr>
              <w:t>68</w:t>
            </w:r>
          </w:p>
        </w:tc>
      </w:tr>
    </w:tbl>
    <w:p>
      <w:pPr>
        <w:pStyle w:val="17"/>
        <w:spacing w:beforeLines="50"/>
        <w:rPr>
          <w:rFonts w:ascii="Times New Roman" w:cs="Times New Roman"/>
          <w:color w:val="auto"/>
          <w:sz w:val="21"/>
        </w:rPr>
      </w:pPr>
      <w:r>
        <w:rPr>
          <w:rFonts w:ascii="Times New Roman" w:cs="Times New Roman"/>
          <w:color w:val="auto"/>
          <w:sz w:val="21"/>
        </w:rPr>
        <w:t>表</w:t>
      </w:r>
      <w:r>
        <w:rPr>
          <w:rFonts w:ascii="Times New Roman" w:hAnsi="Times New Roman" w:cs="Times New Roman"/>
          <w:color w:val="auto"/>
          <w:sz w:val="21"/>
        </w:rPr>
        <w:t>6.2-</w:t>
      </w:r>
      <w:r>
        <w:rPr>
          <w:rFonts w:hint="eastAsia" w:ascii="Times New Roman" w:hAnsi="Times New Roman" w:cs="Times New Roman"/>
          <w:color w:val="auto"/>
          <w:sz w:val="21"/>
          <w:lang w:val="en-US" w:eastAsia="zh-CN"/>
        </w:rPr>
        <w:t>6</w:t>
      </w:r>
      <w:r>
        <w:rPr>
          <w:rFonts w:hint="eastAsia" w:ascii="Times New Roman" w:hAnsi="Times New Roman" w:cs="Times New Roman"/>
          <w:color w:val="auto"/>
          <w:sz w:val="21"/>
        </w:rPr>
        <w:t>（2）</w:t>
      </w:r>
      <w:r>
        <w:rPr>
          <w:rFonts w:ascii="Times New Roman" w:hAnsi="Times New Roman" w:cs="Times New Roman"/>
          <w:color w:val="auto"/>
          <w:sz w:val="21"/>
        </w:rPr>
        <w:t xml:space="preserve">  </w:t>
      </w:r>
      <w:r>
        <w:rPr>
          <w:rFonts w:hint="eastAsia" w:ascii="Times New Roman" w:hAnsi="Times New Roman" w:cs="Times New Roman"/>
          <w:color w:val="auto"/>
          <w:sz w:val="21"/>
        </w:rPr>
        <w:t>无组织面源</w:t>
      </w:r>
      <w:r>
        <w:rPr>
          <w:rFonts w:ascii="Times New Roman" w:cs="Times New Roman"/>
          <w:color w:val="auto"/>
          <w:sz w:val="21"/>
        </w:rPr>
        <w:t>Pmax</w:t>
      </w:r>
      <w:r>
        <w:rPr>
          <w:rFonts w:hint="eastAsia" w:ascii="Times New Roman" w:cs="Times New Roman"/>
          <w:color w:val="auto"/>
          <w:sz w:val="21"/>
        </w:rPr>
        <w:t>和</w:t>
      </w:r>
      <w:r>
        <w:rPr>
          <w:rFonts w:ascii="Times New Roman" w:cs="Times New Roman"/>
          <w:color w:val="auto"/>
          <w:sz w:val="21"/>
        </w:rPr>
        <w:t>D10%</w:t>
      </w:r>
      <w:r>
        <w:rPr>
          <w:rFonts w:hint="eastAsia" w:ascii="Times New Roman" w:cs="Times New Roman"/>
          <w:color w:val="auto"/>
          <w:sz w:val="21"/>
        </w:rPr>
        <w:t>预测结果表</w:t>
      </w:r>
    </w:p>
    <w:tbl>
      <w:tblPr>
        <w:tblStyle w:val="47"/>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93"/>
        <w:gridCol w:w="1163"/>
        <w:gridCol w:w="1170"/>
        <w:gridCol w:w="1163"/>
        <w:gridCol w:w="1211"/>
        <w:gridCol w:w="1206"/>
        <w:gridCol w:w="121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pct"/>
            <w:vMerge w:val="restart"/>
            <w:vAlign w:val="center"/>
          </w:tcPr>
          <w:p>
            <w:pPr>
              <w:adjustRightInd w:val="0"/>
              <w:snapToGrid w:val="0"/>
              <w:jc w:val="center"/>
              <w:rPr>
                <w:b/>
                <w:snapToGrid w:val="0"/>
                <w:kern w:val="0"/>
                <w:szCs w:val="21"/>
              </w:rPr>
            </w:pPr>
            <w:r>
              <w:rPr>
                <w:b/>
                <w:snapToGrid w:val="0"/>
                <w:kern w:val="0"/>
                <w:szCs w:val="21"/>
              </w:rPr>
              <w:t>下方向距离（m）</w:t>
            </w:r>
          </w:p>
        </w:tc>
        <w:tc>
          <w:tcPr>
            <w:tcW w:w="4182" w:type="pct"/>
            <w:gridSpan w:val="6"/>
            <w:vAlign w:val="center"/>
          </w:tcPr>
          <w:p>
            <w:pPr>
              <w:adjustRightInd w:val="0"/>
              <w:snapToGrid w:val="0"/>
              <w:jc w:val="center"/>
              <w:rPr>
                <w:b/>
                <w:snapToGrid w:val="0"/>
                <w:kern w:val="0"/>
                <w:szCs w:val="21"/>
              </w:rPr>
            </w:pPr>
            <w:r>
              <w:rPr>
                <w:rFonts w:hint="eastAsia"/>
                <w:b/>
                <w:snapToGrid w:val="0"/>
                <w:kern w:val="0"/>
                <w:szCs w:val="21"/>
                <w:lang w:val="en-US" w:eastAsia="zh-CN"/>
              </w:rPr>
              <w:t>东</w:t>
            </w:r>
            <w:r>
              <w:rPr>
                <w:b/>
                <w:snapToGrid w:val="0"/>
                <w:kern w:val="0"/>
                <w:szCs w:val="21"/>
              </w:rPr>
              <w:t>部养殖区无组织面源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pct"/>
            <w:vMerge w:val="continue"/>
            <w:vAlign w:val="center"/>
          </w:tcPr>
          <w:p>
            <w:pPr>
              <w:adjustRightInd w:val="0"/>
              <w:snapToGrid w:val="0"/>
              <w:jc w:val="center"/>
              <w:rPr>
                <w:b/>
                <w:snapToGrid w:val="0"/>
                <w:kern w:val="0"/>
                <w:szCs w:val="21"/>
              </w:rPr>
            </w:pPr>
          </w:p>
        </w:tc>
        <w:tc>
          <w:tcPr>
            <w:tcW w:w="1368" w:type="pct"/>
            <w:gridSpan w:val="2"/>
            <w:vAlign w:val="center"/>
          </w:tcPr>
          <w:p>
            <w:pPr>
              <w:adjustRightInd w:val="0"/>
              <w:snapToGrid w:val="0"/>
              <w:jc w:val="center"/>
              <w:rPr>
                <w:b/>
                <w:snapToGrid w:val="0"/>
                <w:kern w:val="0"/>
                <w:szCs w:val="21"/>
              </w:rPr>
            </w:pPr>
            <w:r>
              <w:rPr>
                <w:b/>
                <w:snapToGrid w:val="0"/>
                <w:kern w:val="0"/>
                <w:szCs w:val="21"/>
              </w:rPr>
              <w:t>氨气</w:t>
            </w:r>
          </w:p>
        </w:tc>
        <w:tc>
          <w:tcPr>
            <w:tcW w:w="1392" w:type="pct"/>
            <w:gridSpan w:val="2"/>
            <w:vAlign w:val="center"/>
          </w:tcPr>
          <w:p>
            <w:pPr>
              <w:adjustRightInd w:val="0"/>
              <w:snapToGrid w:val="0"/>
              <w:jc w:val="center"/>
              <w:rPr>
                <w:b/>
                <w:snapToGrid w:val="0"/>
                <w:kern w:val="0"/>
                <w:szCs w:val="21"/>
              </w:rPr>
            </w:pPr>
            <w:r>
              <w:rPr>
                <w:b/>
                <w:snapToGrid w:val="0"/>
                <w:kern w:val="0"/>
                <w:szCs w:val="21"/>
              </w:rPr>
              <w:t>硫化氢</w:t>
            </w:r>
          </w:p>
        </w:tc>
        <w:tc>
          <w:tcPr>
            <w:tcW w:w="1421" w:type="pct"/>
            <w:gridSpan w:val="2"/>
            <w:vAlign w:val="center"/>
          </w:tcPr>
          <w:p>
            <w:pPr>
              <w:adjustRightInd w:val="0"/>
              <w:snapToGrid w:val="0"/>
              <w:jc w:val="center"/>
              <w:rPr>
                <w:rFonts w:hint="default" w:eastAsia="宋体"/>
                <w:b/>
                <w:snapToGrid w:val="0"/>
                <w:kern w:val="0"/>
                <w:szCs w:val="21"/>
                <w:lang w:val="en-US" w:eastAsia="zh-CN"/>
              </w:rPr>
            </w:pPr>
            <w:r>
              <w:rPr>
                <w:rFonts w:hint="eastAsia"/>
                <w:b/>
                <w:snapToGrid w:val="0"/>
                <w:kern w:val="0"/>
                <w:szCs w:val="21"/>
                <w:lang w:val="en-US" w:eastAsia="zh-CN"/>
              </w:rPr>
              <w:t>TSP</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pct"/>
            <w:vMerge w:val="continue"/>
            <w:vAlign w:val="center"/>
          </w:tcPr>
          <w:p>
            <w:pPr>
              <w:adjustRightInd w:val="0"/>
              <w:snapToGrid w:val="0"/>
              <w:jc w:val="center"/>
              <w:rPr>
                <w:b/>
                <w:snapToGrid w:val="0"/>
                <w:kern w:val="0"/>
                <w:szCs w:val="21"/>
              </w:rPr>
            </w:pPr>
          </w:p>
        </w:tc>
        <w:tc>
          <w:tcPr>
            <w:tcW w:w="682" w:type="pct"/>
            <w:vAlign w:val="center"/>
          </w:tcPr>
          <w:p>
            <w:pPr>
              <w:adjustRightInd w:val="0"/>
              <w:snapToGrid w:val="0"/>
              <w:jc w:val="center"/>
              <w:rPr>
                <w:b/>
                <w:snapToGrid w:val="0"/>
                <w:kern w:val="0"/>
                <w:szCs w:val="21"/>
              </w:rPr>
            </w:pPr>
            <w:r>
              <w:rPr>
                <w:b/>
                <w:snapToGrid w:val="0"/>
                <w:kern w:val="0"/>
                <w:szCs w:val="21"/>
              </w:rPr>
              <w:t>预测浓度Ci（</w:t>
            </w:r>
            <w:r>
              <w:rPr>
                <w:b/>
                <w:szCs w:val="21"/>
              </w:rPr>
              <w:t>μg/m</w:t>
            </w:r>
            <w:r>
              <w:rPr>
                <w:b/>
                <w:szCs w:val="21"/>
                <w:vertAlign w:val="superscript"/>
              </w:rPr>
              <w:t>3</w:t>
            </w:r>
            <w:r>
              <w:rPr>
                <w:b/>
                <w:snapToGrid w:val="0"/>
                <w:kern w:val="0"/>
                <w:szCs w:val="21"/>
              </w:rPr>
              <w:t>）</w:t>
            </w:r>
          </w:p>
        </w:tc>
        <w:tc>
          <w:tcPr>
            <w:tcW w:w="686" w:type="pct"/>
            <w:vAlign w:val="center"/>
          </w:tcPr>
          <w:p>
            <w:pPr>
              <w:adjustRightInd w:val="0"/>
              <w:snapToGrid w:val="0"/>
              <w:jc w:val="center"/>
              <w:rPr>
                <w:b/>
                <w:snapToGrid w:val="0"/>
                <w:kern w:val="0"/>
                <w:szCs w:val="21"/>
              </w:rPr>
            </w:pPr>
            <w:r>
              <w:rPr>
                <w:b/>
                <w:snapToGrid w:val="0"/>
                <w:kern w:val="0"/>
                <w:szCs w:val="21"/>
              </w:rPr>
              <w:t>浓度占标率Pi（%）</w:t>
            </w:r>
          </w:p>
        </w:tc>
        <w:tc>
          <w:tcPr>
            <w:tcW w:w="682" w:type="pct"/>
            <w:vAlign w:val="center"/>
          </w:tcPr>
          <w:p>
            <w:pPr>
              <w:adjustRightInd w:val="0"/>
              <w:snapToGrid w:val="0"/>
              <w:jc w:val="center"/>
              <w:rPr>
                <w:b/>
                <w:snapToGrid w:val="0"/>
                <w:kern w:val="0"/>
                <w:szCs w:val="21"/>
              </w:rPr>
            </w:pPr>
            <w:r>
              <w:rPr>
                <w:b/>
                <w:snapToGrid w:val="0"/>
                <w:kern w:val="0"/>
                <w:szCs w:val="21"/>
              </w:rPr>
              <w:t>预测浓度Ci（</w:t>
            </w:r>
            <w:r>
              <w:rPr>
                <w:b/>
                <w:szCs w:val="21"/>
              </w:rPr>
              <w:t>μg/m</w:t>
            </w:r>
            <w:r>
              <w:rPr>
                <w:b/>
                <w:szCs w:val="21"/>
                <w:vertAlign w:val="superscript"/>
              </w:rPr>
              <w:t>3</w:t>
            </w:r>
            <w:r>
              <w:rPr>
                <w:b/>
                <w:snapToGrid w:val="0"/>
                <w:kern w:val="0"/>
                <w:szCs w:val="21"/>
              </w:rPr>
              <w:t>）</w:t>
            </w:r>
          </w:p>
        </w:tc>
        <w:tc>
          <w:tcPr>
            <w:tcW w:w="710" w:type="pct"/>
            <w:vAlign w:val="center"/>
          </w:tcPr>
          <w:p>
            <w:pPr>
              <w:adjustRightInd w:val="0"/>
              <w:snapToGrid w:val="0"/>
              <w:jc w:val="center"/>
              <w:rPr>
                <w:b/>
                <w:snapToGrid w:val="0"/>
                <w:kern w:val="0"/>
                <w:szCs w:val="21"/>
              </w:rPr>
            </w:pPr>
            <w:r>
              <w:rPr>
                <w:b/>
                <w:snapToGrid w:val="0"/>
                <w:kern w:val="0"/>
                <w:szCs w:val="21"/>
              </w:rPr>
              <w:t>浓度占标率Pi（%）</w:t>
            </w:r>
          </w:p>
        </w:tc>
        <w:tc>
          <w:tcPr>
            <w:tcW w:w="707" w:type="pct"/>
            <w:vAlign w:val="center"/>
          </w:tcPr>
          <w:p>
            <w:pPr>
              <w:adjustRightInd w:val="0"/>
              <w:snapToGrid w:val="0"/>
              <w:jc w:val="center"/>
              <w:rPr>
                <w:rFonts w:ascii="Times New Roman" w:hAnsi="Times New Roman" w:eastAsia="宋体" w:cs="Times New Roman"/>
                <w:b/>
                <w:snapToGrid w:val="0"/>
                <w:kern w:val="0"/>
                <w:sz w:val="21"/>
                <w:szCs w:val="21"/>
                <w:lang w:val="en-US" w:eastAsia="zh-CN" w:bidi="ar-SA"/>
              </w:rPr>
            </w:pPr>
            <w:r>
              <w:rPr>
                <w:b/>
                <w:snapToGrid w:val="0"/>
                <w:kern w:val="0"/>
                <w:szCs w:val="21"/>
              </w:rPr>
              <w:t>预测浓度Ci（</w:t>
            </w:r>
            <w:r>
              <w:rPr>
                <w:b/>
                <w:szCs w:val="21"/>
              </w:rPr>
              <w:t>μg/m</w:t>
            </w:r>
            <w:r>
              <w:rPr>
                <w:b/>
                <w:szCs w:val="21"/>
                <w:vertAlign w:val="superscript"/>
              </w:rPr>
              <w:t>3</w:t>
            </w:r>
            <w:r>
              <w:rPr>
                <w:b/>
                <w:snapToGrid w:val="0"/>
                <w:kern w:val="0"/>
                <w:szCs w:val="21"/>
              </w:rPr>
              <w:t>）</w:t>
            </w:r>
          </w:p>
        </w:tc>
        <w:tc>
          <w:tcPr>
            <w:tcW w:w="714" w:type="pct"/>
            <w:vAlign w:val="center"/>
          </w:tcPr>
          <w:p>
            <w:pPr>
              <w:adjustRightInd w:val="0"/>
              <w:snapToGrid w:val="0"/>
              <w:jc w:val="center"/>
              <w:rPr>
                <w:rFonts w:ascii="Times New Roman" w:hAnsi="Times New Roman" w:eastAsia="宋体" w:cs="Times New Roman"/>
                <w:b/>
                <w:snapToGrid w:val="0"/>
                <w:kern w:val="0"/>
                <w:sz w:val="21"/>
                <w:szCs w:val="21"/>
                <w:lang w:val="en-US" w:eastAsia="zh-CN" w:bidi="ar-SA"/>
              </w:rPr>
            </w:pPr>
            <w:r>
              <w:rPr>
                <w:b/>
                <w:snapToGrid w:val="0"/>
                <w:kern w:val="0"/>
                <w:szCs w:val="21"/>
              </w:rPr>
              <w:t>浓度占标率Pi（%）</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pct"/>
            <w:vAlign w:val="center"/>
          </w:tcPr>
          <w:p>
            <w:pPr>
              <w:jc w:val="center"/>
              <w:rPr>
                <w:rFonts w:hint="eastAsia" w:ascii="Times New Roman" w:hAnsi="Times New Roman" w:eastAsia="宋体" w:cs="Times New Roman"/>
                <w:b w:val="0"/>
                <w:bCs/>
                <w:snapToGrid w:val="0"/>
                <w:kern w:val="0"/>
                <w:sz w:val="21"/>
                <w:szCs w:val="21"/>
                <w:lang w:val="en-US" w:eastAsia="zh-CN" w:bidi="ar-SA"/>
              </w:rPr>
            </w:pPr>
            <w:r>
              <w:rPr>
                <w:rFonts w:hint="eastAsia"/>
                <w:b w:val="0"/>
                <w:bCs/>
                <w:snapToGrid w:val="0"/>
                <w:kern w:val="0"/>
                <w:szCs w:val="21"/>
                <w:lang w:val="en-US" w:eastAsia="zh-CN"/>
              </w:rPr>
              <w:t>10</w:t>
            </w:r>
          </w:p>
        </w:tc>
        <w:tc>
          <w:tcPr>
            <w:tcW w:w="682" w:type="pct"/>
            <w:vAlign w:val="center"/>
          </w:tcPr>
          <w:p>
            <w:pPr>
              <w:jc w:val="center"/>
              <w:rPr>
                <w:snapToGrid w:val="0"/>
                <w:kern w:val="0"/>
                <w:szCs w:val="21"/>
              </w:rPr>
            </w:pPr>
            <w:r>
              <w:rPr>
                <w:rFonts w:hint="eastAsia"/>
                <w:snapToGrid w:val="0"/>
                <w:kern w:val="0"/>
                <w:szCs w:val="21"/>
                <w:lang w:val="en-US" w:eastAsia="zh-CN"/>
              </w:rPr>
              <w:t>2.7653</w:t>
            </w:r>
          </w:p>
        </w:tc>
        <w:tc>
          <w:tcPr>
            <w:tcW w:w="686" w:type="pct"/>
            <w:vAlign w:val="center"/>
          </w:tcPr>
          <w:p>
            <w:pPr>
              <w:jc w:val="center"/>
              <w:rPr>
                <w:snapToGrid w:val="0"/>
                <w:kern w:val="0"/>
                <w:szCs w:val="21"/>
              </w:rPr>
            </w:pPr>
            <w:r>
              <w:rPr>
                <w:rFonts w:hint="eastAsia"/>
                <w:snapToGrid w:val="0"/>
                <w:kern w:val="0"/>
                <w:szCs w:val="21"/>
                <w:lang w:val="en-US" w:eastAsia="zh-CN"/>
              </w:rPr>
              <w:t>1.38</w:t>
            </w:r>
          </w:p>
        </w:tc>
        <w:tc>
          <w:tcPr>
            <w:tcW w:w="682" w:type="pct"/>
            <w:vAlign w:val="center"/>
          </w:tcPr>
          <w:p>
            <w:pPr>
              <w:jc w:val="center"/>
              <w:rPr>
                <w:snapToGrid w:val="0"/>
                <w:kern w:val="0"/>
                <w:szCs w:val="21"/>
              </w:rPr>
            </w:pPr>
            <w:r>
              <w:rPr>
                <w:rFonts w:hint="eastAsia"/>
                <w:snapToGrid w:val="0"/>
                <w:kern w:val="0"/>
                <w:szCs w:val="21"/>
                <w:lang w:val="en-US" w:eastAsia="zh-CN"/>
              </w:rPr>
              <w:t>0.27653</w:t>
            </w:r>
          </w:p>
        </w:tc>
        <w:tc>
          <w:tcPr>
            <w:tcW w:w="710" w:type="pct"/>
            <w:vAlign w:val="center"/>
          </w:tcPr>
          <w:p>
            <w:pPr>
              <w:jc w:val="center"/>
              <w:rPr>
                <w:snapToGrid w:val="0"/>
                <w:kern w:val="0"/>
                <w:szCs w:val="21"/>
              </w:rPr>
            </w:pPr>
            <w:r>
              <w:rPr>
                <w:rFonts w:hint="eastAsia"/>
                <w:snapToGrid w:val="0"/>
                <w:kern w:val="0"/>
                <w:szCs w:val="21"/>
                <w:lang w:val="en-US" w:eastAsia="zh-CN"/>
              </w:rPr>
              <w:t>2.77</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25.98</w:t>
            </w:r>
          </w:p>
        </w:tc>
        <w:tc>
          <w:tcPr>
            <w:tcW w:w="714" w:type="pct"/>
            <w:vAlign w:val="center"/>
          </w:tcPr>
          <w:p>
            <w:pPr>
              <w:jc w:val="center"/>
              <w:rPr>
                <w:rFonts w:hint="eastAsia"/>
                <w:snapToGrid w:val="0"/>
                <w:kern w:val="0"/>
                <w:szCs w:val="21"/>
              </w:rPr>
            </w:pPr>
            <w:r>
              <w:rPr>
                <w:rFonts w:hint="eastAsia"/>
                <w:snapToGrid w:val="0"/>
                <w:kern w:val="0"/>
                <w:szCs w:val="21"/>
                <w:lang w:val="en-US" w:eastAsia="zh-CN"/>
              </w:rPr>
              <w:t>2.89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pct"/>
            <w:vAlign w:val="center"/>
          </w:tcPr>
          <w:p>
            <w:pPr>
              <w:jc w:val="center"/>
              <w:rPr>
                <w:rFonts w:hint="eastAsia" w:ascii="Times New Roman" w:hAnsi="Times New Roman" w:eastAsia="宋体" w:cs="Times New Roman"/>
                <w:b w:val="0"/>
                <w:bCs/>
                <w:snapToGrid w:val="0"/>
                <w:kern w:val="0"/>
                <w:sz w:val="21"/>
                <w:szCs w:val="21"/>
                <w:lang w:val="en-US" w:eastAsia="zh-CN" w:bidi="ar-SA"/>
              </w:rPr>
            </w:pPr>
            <w:r>
              <w:rPr>
                <w:rFonts w:hint="eastAsia"/>
                <w:b w:val="0"/>
                <w:bCs/>
                <w:snapToGrid w:val="0"/>
                <w:kern w:val="0"/>
                <w:szCs w:val="21"/>
                <w:lang w:val="en-US" w:eastAsia="zh-CN"/>
              </w:rPr>
              <w:t>25</w:t>
            </w:r>
          </w:p>
        </w:tc>
        <w:tc>
          <w:tcPr>
            <w:tcW w:w="682" w:type="pct"/>
            <w:vAlign w:val="center"/>
          </w:tcPr>
          <w:p>
            <w:pPr>
              <w:jc w:val="center"/>
              <w:rPr>
                <w:snapToGrid w:val="0"/>
                <w:kern w:val="0"/>
                <w:szCs w:val="21"/>
              </w:rPr>
            </w:pPr>
            <w:r>
              <w:rPr>
                <w:rFonts w:hint="eastAsia"/>
                <w:snapToGrid w:val="0"/>
                <w:kern w:val="0"/>
                <w:szCs w:val="21"/>
                <w:lang w:val="en-US" w:eastAsia="zh-CN"/>
              </w:rPr>
              <w:t>3.2994</w:t>
            </w:r>
          </w:p>
        </w:tc>
        <w:tc>
          <w:tcPr>
            <w:tcW w:w="686" w:type="pct"/>
            <w:vAlign w:val="center"/>
          </w:tcPr>
          <w:p>
            <w:pPr>
              <w:jc w:val="center"/>
              <w:rPr>
                <w:snapToGrid w:val="0"/>
                <w:kern w:val="0"/>
                <w:szCs w:val="21"/>
              </w:rPr>
            </w:pPr>
            <w:r>
              <w:rPr>
                <w:rFonts w:hint="eastAsia"/>
                <w:snapToGrid w:val="0"/>
                <w:kern w:val="0"/>
                <w:szCs w:val="21"/>
                <w:lang w:val="en-US" w:eastAsia="zh-CN"/>
              </w:rPr>
              <w:t>1.65</w:t>
            </w:r>
          </w:p>
        </w:tc>
        <w:tc>
          <w:tcPr>
            <w:tcW w:w="682" w:type="pct"/>
            <w:vAlign w:val="center"/>
          </w:tcPr>
          <w:p>
            <w:pPr>
              <w:jc w:val="center"/>
              <w:rPr>
                <w:snapToGrid w:val="0"/>
                <w:kern w:val="0"/>
                <w:szCs w:val="21"/>
              </w:rPr>
            </w:pPr>
            <w:r>
              <w:rPr>
                <w:rFonts w:hint="eastAsia"/>
                <w:snapToGrid w:val="0"/>
                <w:kern w:val="0"/>
                <w:szCs w:val="21"/>
                <w:lang w:val="en-US" w:eastAsia="zh-CN"/>
              </w:rPr>
              <w:t>0.32994</w:t>
            </w:r>
          </w:p>
        </w:tc>
        <w:tc>
          <w:tcPr>
            <w:tcW w:w="710" w:type="pct"/>
            <w:vAlign w:val="center"/>
          </w:tcPr>
          <w:p>
            <w:pPr>
              <w:jc w:val="center"/>
              <w:rPr>
                <w:snapToGrid w:val="0"/>
                <w:kern w:val="0"/>
                <w:szCs w:val="21"/>
              </w:rPr>
            </w:pPr>
            <w:r>
              <w:rPr>
                <w:rFonts w:hint="eastAsia"/>
                <w:snapToGrid w:val="0"/>
                <w:kern w:val="0"/>
                <w:szCs w:val="21"/>
                <w:lang w:val="en-US" w:eastAsia="zh-CN"/>
              </w:rPr>
              <w:t>3.3</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30.997</w:t>
            </w:r>
          </w:p>
        </w:tc>
        <w:tc>
          <w:tcPr>
            <w:tcW w:w="714" w:type="pct"/>
            <w:vAlign w:val="center"/>
          </w:tcPr>
          <w:p>
            <w:pPr>
              <w:jc w:val="center"/>
              <w:rPr>
                <w:rFonts w:hint="eastAsia"/>
                <w:snapToGrid w:val="0"/>
                <w:kern w:val="0"/>
                <w:szCs w:val="21"/>
              </w:rPr>
            </w:pPr>
            <w:r>
              <w:rPr>
                <w:rFonts w:hint="eastAsia"/>
                <w:snapToGrid w:val="0"/>
                <w:kern w:val="0"/>
                <w:szCs w:val="21"/>
                <w:lang w:val="en-US" w:eastAsia="zh-CN"/>
              </w:rPr>
              <w:t>3.44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pct"/>
            <w:vAlign w:val="center"/>
          </w:tcPr>
          <w:p>
            <w:pPr>
              <w:jc w:val="center"/>
              <w:rPr>
                <w:rFonts w:hint="eastAsia" w:ascii="Times New Roman" w:hAnsi="Times New Roman" w:eastAsia="宋体" w:cs="Times New Roman"/>
                <w:b w:val="0"/>
                <w:bCs/>
                <w:snapToGrid w:val="0"/>
                <w:kern w:val="0"/>
                <w:sz w:val="21"/>
                <w:szCs w:val="21"/>
                <w:lang w:val="en-US" w:eastAsia="zh-CN" w:bidi="ar-SA"/>
              </w:rPr>
            </w:pPr>
            <w:r>
              <w:rPr>
                <w:rFonts w:hint="eastAsia"/>
                <w:b w:val="0"/>
                <w:bCs/>
                <w:snapToGrid w:val="0"/>
                <w:kern w:val="0"/>
                <w:szCs w:val="21"/>
                <w:lang w:val="en-US" w:eastAsia="zh-CN"/>
              </w:rPr>
              <w:t>50</w:t>
            </w:r>
          </w:p>
        </w:tc>
        <w:tc>
          <w:tcPr>
            <w:tcW w:w="682" w:type="pct"/>
            <w:vAlign w:val="center"/>
          </w:tcPr>
          <w:p>
            <w:pPr>
              <w:jc w:val="center"/>
              <w:rPr>
                <w:snapToGrid w:val="0"/>
                <w:kern w:val="0"/>
                <w:szCs w:val="21"/>
              </w:rPr>
            </w:pPr>
            <w:r>
              <w:rPr>
                <w:rFonts w:hint="eastAsia"/>
                <w:snapToGrid w:val="0"/>
                <w:kern w:val="0"/>
                <w:szCs w:val="21"/>
                <w:lang w:val="en-US" w:eastAsia="zh-CN"/>
              </w:rPr>
              <w:t>4.0453</w:t>
            </w:r>
          </w:p>
        </w:tc>
        <w:tc>
          <w:tcPr>
            <w:tcW w:w="686" w:type="pct"/>
            <w:vAlign w:val="center"/>
          </w:tcPr>
          <w:p>
            <w:pPr>
              <w:jc w:val="center"/>
              <w:rPr>
                <w:snapToGrid w:val="0"/>
                <w:kern w:val="0"/>
                <w:szCs w:val="21"/>
              </w:rPr>
            </w:pPr>
            <w:r>
              <w:rPr>
                <w:rFonts w:hint="eastAsia"/>
                <w:snapToGrid w:val="0"/>
                <w:kern w:val="0"/>
                <w:szCs w:val="21"/>
                <w:lang w:val="en-US" w:eastAsia="zh-CN"/>
              </w:rPr>
              <w:t>2.02</w:t>
            </w:r>
          </w:p>
        </w:tc>
        <w:tc>
          <w:tcPr>
            <w:tcW w:w="682" w:type="pct"/>
            <w:vAlign w:val="center"/>
          </w:tcPr>
          <w:p>
            <w:pPr>
              <w:jc w:val="center"/>
              <w:rPr>
                <w:snapToGrid w:val="0"/>
                <w:kern w:val="0"/>
                <w:szCs w:val="21"/>
              </w:rPr>
            </w:pPr>
            <w:r>
              <w:rPr>
                <w:rFonts w:hint="eastAsia"/>
                <w:snapToGrid w:val="0"/>
                <w:kern w:val="0"/>
                <w:szCs w:val="21"/>
                <w:lang w:val="en-US" w:eastAsia="zh-CN"/>
              </w:rPr>
              <w:t>0.40453</w:t>
            </w:r>
          </w:p>
        </w:tc>
        <w:tc>
          <w:tcPr>
            <w:tcW w:w="710" w:type="pct"/>
            <w:vAlign w:val="center"/>
          </w:tcPr>
          <w:p>
            <w:pPr>
              <w:jc w:val="center"/>
              <w:rPr>
                <w:snapToGrid w:val="0"/>
                <w:kern w:val="0"/>
                <w:szCs w:val="21"/>
              </w:rPr>
            </w:pPr>
            <w:r>
              <w:rPr>
                <w:rFonts w:hint="eastAsia"/>
                <w:snapToGrid w:val="0"/>
                <w:kern w:val="0"/>
                <w:szCs w:val="21"/>
                <w:lang w:val="en-US" w:eastAsia="zh-CN"/>
              </w:rPr>
              <w:t>4.05</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38.005</w:t>
            </w:r>
          </w:p>
        </w:tc>
        <w:tc>
          <w:tcPr>
            <w:tcW w:w="714" w:type="pct"/>
            <w:vAlign w:val="center"/>
          </w:tcPr>
          <w:p>
            <w:pPr>
              <w:jc w:val="center"/>
              <w:rPr>
                <w:rFonts w:hint="eastAsia"/>
                <w:snapToGrid w:val="0"/>
                <w:kern w:val="0"/>
                <w:szCs w:val="21"/>
              </w:rPr>
            </w:pPr>
            <w:r>
              <w:rPr>
                <w:rFonts w:hint="eastAsia"/>
                <w:snapToGrid w:val="0"/>
                <w:kern w:val="0"/>
                <w:szCs w:val="21"/>
                <w:lang w:val="en-US" w:eastAsia="zh-CN"/>
              </w:rPr>
              <w:t>4.22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pct"/>
            <w:vAlign w:val="center"/>
          </w:tcPr>
          <w:p>
            <w:pPr>
              <w:jc w:val="center"/>
              <w:rPr>
                <w:rFonts w:hint="default" w:eastAsia="宋体"/>
                <w:b/>
                <w:snapToGrid w:val="0"/>
                <w:kern w:val="0"/>
                <w:szCs w:val="21"/>
                <w:lang w:val="en-US" w:eastAsia="zh-CN"/>
              </w:rPr>
            </w:pPr>
            <w:r>
              <w:rPr>
                <w:rFonts w:hint="eastAsia"/>
                <w:b/>
                <w:snapToGrid w:val="0"/>
                <w:kern w:val="0"/>
                <w:szCs w:val="21"/>
                <w:lang w:val="en-US" w:eastAsia="zh-CN"/>
              </w:rPr>
              <w:t>70</w:t>
            </w:r>
          </w:p>
        </w:tc>
        <w:tc>
          <w:tcPr>
            <w:tcW w:w="682" w:type="pct"/>
            <w:vAlign w:val="center"/>
          </w:tcPr>
          <w:p>
            <w:pPr>
              <w:jc w:val="center"/>
              <w:rPr>
                <w:b/>
                <w:bCs/>
                <w:snapToGrid w:val="0"/>
                <w:kern w:val="0"/>
                <w:szCs w:val="21"/>
              </w:rPr>
            </w:pPr>
            <w:r>
              <w:rPr>
                <w:rFonts w:hint="eastAsia"/>
                <w:b/>
                <w:bCs/>
                <w:snapToGrid w:val="0"/>
                <w:kern w:val="0"/>
                <w:szCs w:val="21"/>
                <w:lang w:val="en-US" w:eastAsia="zh-CN"/>
              </w:rPr>
              <w:t>4.3467</w:t>
            </w:r>
          </w:p>
        </w:tc>
        <w:tc>
          <w:tcPr>
            <w:tcW w:w="686" w:type="pct"/>
            <w:vAlign w:val="center"/>
          </w:tcPr>
          <w:p>
            <w:pPr>
              <w:jc w:val="center"/>
              <w:rPr>
                <w:b/>
                <w:bCs/>
                <w:snapToGrid w:val="0"/>
                <w:kern w:val="0"/>
                <w:szCs w:val="21"/>
              </w:rPr>
            </w:pPr>
            <w:r>
              <w:rPr>
                <w:rFonts w:hint="eastAsia"/>
                <w:b/>
                <w:bCs/>
                <w:snapToGrid w:val="0"/>
                <w:kern w:val="0"/>
                <w:szCs w:val="21"/>
                <w:lang w:val="en-US" w:eastAsia="zh-CN"/>
              </w:rPr>
              <w:t>2.17</w:t>
            </w:r>
          </w:p>
        </w:tc>
        <w:tc>
          <w:tcPr>
            <w:tcW w:w="682" w:type="pct"/>
            <w:vAlign w:val="center"/>
          </w:tcPr>
          <w:p>
            <w:pPr>
              <w:jc w:val="center"/>
              <w:rPr>
                <w:b/>
                <w:bCs/>
                <w:snapToGrid w:val="0"/>
                <w:kern w:val="0"/>
                <w:szCs w:val="21"/>
              </w:rPr>
            </w:pPr>
            <w:r>
              <w:rPr>
                <w:rFonts w:hint="eastAsia"/>
                <w:b/>
                <w:bCs/>
                <w:snapToGrid w:val="0"/>
                <w:kern w:val="0"/>
                <w:szCs w:val="21"/>
                <w:lang w:val="en-US" w:eastAsia="zh-CN"/>
              </w:rPr>
              <w:t>0.43467</w:t>
            </w:r>
          </w:p>
        </w:tc>
        <w:tc>
          <w:tcPr>
            <w:tcW w:w="710" w:type="pct"/>
            <w:vAlign w:val="center"/>
          </w:tcPr>
          <w:p>
            <w:pPr>
              <w:jc w:val="center"/>
              <w:rPr>
                <w:b/>
                <w:bCs/>
                <w:snapToGrid w:val="0"/>
                <w:kern w:val="0"/>
                <w:szCs w:val="21"/>
              </w:rPr>
            </w:pPr>
            <w:r>
              <w:rPr>
                <w:rFonts w:hint="eastAsia"/>
                <w:b/>
                <w:bCs/>
                <w:snapToGrid w:val="0"/>
                <w:kern w:val="0"/>
                <w:szCs w:val="21"/>
                <w:lang w:val="en-US" w:eastAsia="zh-CN"/>
              </w:rPr>
              <w:t>4.35</w:t>
            </w:r>
          </w:p>
        </w:tc>
        <w:tc>
          <w:tcPr>
            <w:tcW w:w="707" w:type="pct"/>
            <w:vAlign w:val="center"/>
          </w:tcPr>
          <w:p>
            <w:pPr>
              <w:jc w:val="center"/>
              <w:rPr>
                <w:rFonts w:hint="eastAsia"/>
                <w:b/>
                <w:bCs/>
                <w:snapToGrid w:val="0"/>
                <w:kern w:val="0"/>
                <w:szCs w:val="21"/>
              </w:rPr>
            </w:pPr>
            <w:r>
              <w:rPr>
                <w:rFonts w:hint="eastAsia"/>
                <w:b/>
                <w:bCs/>
                <w:snapToGrid w:val="0"/>
                <w:kern w:val="0"/>
                <w:szCs w:val="21"/>
                <w:lang w:val="en-US" w:eastAsia="zh-CN"/>
              </w:rPr>
              <w:t>40.83701</w:t>
            </w:r>
          </w:p>
        </w:tc>
        <w:tc>
          <w:tcPr>
            <w:tcW w:w="714" w:type="pct"/>
            <w:vAlign w:val="center"/>
          </w:tcPr>
          <w:p>
            <w:pPr>
              <w:jc w:val="center"/>
              <w:rPr>
                <w:rFonts w:hint="eastAsia"/>
                <w:b/>
                <w:bCs/>
                <w:snapToGrid w:val="0"/>
                <w:kern w:val="0"/>
                <w:szCs w:val="21"/>
              </w:rPr>
            </w:pPr>
            <w:r>
              <w:rPr>
                <w:rFonts w:hint="eastAsia"/>
                <w:b/>
                <w:bCs/>
                <w:snapToGrid w:val="0"/>
                <w:kern w:val="0"/>
                <w:szCs w:val="21"/>
                <w:lang w:val="en-US" w:eastAsia="zh-CN"/>
              </w:rPr>
              <w:t>4.54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pct"/>
            <w:vAlign w:val="center"/>
          </w:tcPr>
          <w:p>
            <w:pPr>
              <w:jc w:val="center"/>
              <w:rPr>
                <w:snapToGrid w:val="0"/>
                <w:kern w:val="0"/>
                <w:szCs w:val="21"/>
              </w:rPr>
            </w:pPr>
            <w:r>
              <w:rPr>
                <w:snapToGrid w:val="0"/>
                <w:kern w:val="0"/>
                <w:szCs w:val="21"/>
              </w:rPr>
              <w:t>100</w:t>
            </w:r>
          </w:p>
        </w:tc>
        <w:tc>
          <w:tcPr>
            <w:tcW w:w="682" w:type="pct"/>
            <w:vAlign w:val="center"/>
          </w:tcPr>
          <w:p>
            <w:pPr>
              <w:jc w:val="center"/>
              <w:rPr>
                <w:snapToGrid w:val="0"/>
                <w:kern w:val="0"/>
                <w:szCs w:val="21"/>
              </w:rPr>
            </w:pPr>
            <w:r>
              <w:rPr>
                <w:rFonts w:hint="eastAsia"/>
                <w:snapToGrid w:val="0"/>
                <w:kern w:val="0"/>
                <w:szCs w:val="21"/>
                <w:lang w:val="en-US" w:eastAsia="zh-CN"/>
              </w:rPr>
              <w:t>3.5867</w:t>
            </w:r>
          </w:p>
        </w:tc>
        <w:tc>
          <w:tcPr>
            <w:tcW w:w="686" w:type="pct"/>
            <w:vAlign w:val="center"/>
          </w:tcPr>
          <w:p>
            <w:pPr>
              <w:jc w:val="center"/>
              <w:rPr>
                <w:snapToGrid w:val="0"/>
                <w:kern w:val="0"/>
                <w:szCs w:val="21"/>
              </w:rPr>
            </w:pPr>
            <w:r>
              <w:rPr>
                <w:rFonts w:hint="eastAsia"/>
                <w:snapToGrid w:val="0"/>
                <w:kern w:val="0"/>
                <w:szCs w:val="21"/>
                <w:lang w:val="en-US" w:eastAsia="zh-CN"/>
              </w:rPr>
              <w:t>1.79</w:t>
            </w:r>
          </w:p>
        </w:tc>
        <w:tc>
          <w:tcPr>
            <w:tcW w:w="682" w:type="pct"/>
            <w:vAlign w:val="center"/>
          </w:tcPr>
          <w:p>
            <w:pPr>
              <w:jc w:val="center"/>
              <w:rPr>
                <w:snapToGrid w:val="0"/>
                <w:kern w:val="0"/>
                <w:szCs w:val="21"/>
              </w:rPr>
            </w:pPr>
            <w:r>
              <w:rPr>
                <w:rFonts w:hint="eastAsia"/>
                <w:snapToGrid w:val="0"/>
                <w:kern w:val="0"/>
                <w:szCs w:val="21"/>
                <w:lang w:val="en-US" w:eastAsia="zh-CN"/>
              </w:rPr>
              <w:t>0.35867</w:t>
            </w:r>
          </w:p>
        </w:tc>
        <w:tc>
          <w:tcPr>
            <w:tcW w:w="710" w:type="pct"/>
            <w:vAlign w:val="center"/>
          </w:tcPr>
          <w:p>
            <w:pPr>
              <w:jc w:val="center"/>
              <w:rPr>
                <w:snapToGrid w:val="0"/>
                <w:kern w:val="0"/>
                <w:szCs w:val="21"/>
              </w:rPr>
            </w:pPr>
            <w:r>
              <w:rPr>
                <w:rFonts w:hint="eastAsia"/>
                <w:snapToGrid w:val="0"/>
                <w:kern w:val="0"/>
                <w:szCs w:val="21"/>
                <w:lang w:val="en-US" w:eastAsia="zh-CN"/>
              </w:rPr>
              <w:t>3.59</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33.697</w:t>
            </w:r>
          </w:p>
        </w:tc>
        <w:tc>
          <w:tcPr>
            <w:tcW w:w="714" w:type="pct"/>
            <w:vAlign w:val="center"/>
          </w:tcPr>
          <w:p>
            <w:pPr>
              <w:jc w:val="center"/>
              <w:rPr>
                <w:rFonts w:hint="eastAsia"/>
                <w:snapToGrid w:val="0"/>
                <w:kern w:val="0"/>
                <w:szCs w:val="21"/>
              </w:rPr>
            </w:pPr>
            <w:r>
              <w:rPr>
                <w:rFonts w:hint="eastAsia"/>
                <w:snapToGrid w:val="0"/>
                <w:kern w:val="0"/>
                <w:szCs w:val="21"/>
                <w:lang w:val="en-US" w:eastAsia="zh-CN"/>
              </w:rPr>
              <w:t>3.74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pct"/>
            <w:vAlign w:val="center"/>
          </w:tcPr>
          <w:p>
            <w:pPr>
              <w:jc w:val="center"/>
              <w:rPr>
                <w:b/>
                <w:snapToGrid w:val="0"/>
                <w:kern w:val="0"/>
                <w:szCs w:val="21"/>
              </w:rPr>
            </w:pPr>
            <w:r>
              <w:rPr>
                <w:snapToGrid w:val="0"/>
                <w:kern w:val="0"/>
                <w:szCs w:val="21"/>
              </w:rPr>
              <w:t>200</w:t>
            </w:r>
          </w:p>
        </w:tc>
        <w:tc>
          <w:tcPr>
            <w:tcW w:w="682" w:type="pct"/>
            <w:vAlign w:val="center"/>
          </w:tcPr>
          <w:p>
            <w:pPr>
              <w:jc w:val="center"/>
              <w:rPr>
                <w:snapToGrid w:val="0"/>
                <w:kern w:val="0"/>
                <w:szCs w:val="21"/>
              </w:rPr>
            </w:pPr>
            <w:r>
              <w:rPr>
                <w:rFonts w:hint="eastAsia"/>
                <w:snapToGrid w:val="0"/>
                <w:kern w:val="0"/>
                <w:szCs w:val="21"/>
                <w:lang w:val="en-US" w:eastAsia="zh-CN"/>
              </w:rPr>
              <w:t>3.4136</w:t>
            </w:r>
          </w:p>
        </w:tc>
        <w:tc>
          <w:tcPr>
            <w:tcW w:w="686" w:type="pct"/>
            <w:vAlign w:val="center"/>
          </w:tcPr>
          <w:p>
            <w:pPr>
              <w:jc w:val="center"/>
              <w:rPr>
                <w:snapToGrid w:val="0"/>
                <w:kern w:val="0"/>
                <w:szCs w:val="21"/>
              </w:rPr>
            </w:pPr>
            <w:r>
              <w:rPr>
                <w:rFonts w:hint="eastAsia"/>
                <w:snapToGrid w:val="0"/>
                <w:kern w:val="0"/>
                <w:szCs w:val="21"/>
                <w:lang w:val="en-US" w:eastAsia="zh-CN"/>
              </w:rPr>
              <w:t>1.71</w:t>
            </w:r>
          </w:p>
        </w:tc>
        <w:tc>
          <w:tcPr>
            <w:tcW w:w="682" w:type="pct"/>
            <w:vAlign w:val="center"/>
          </w:tcPr>
          <w:p>
            <w:pPr>
              <w:jc w:val="center"/>
              <w:rPr>
                <w:snapToGrid w:val="0"/>
                <w:kern w:val="0"/>
                <w:szCs w:val="21"/>
              </w:rPr>
            </w:pPr>
            <w:r>
              <w:rPr>
                <w:rFonts w:hint="eastAsia"/>
                <w:snapToGrid w:val="0"/>
                <w:kern w:val="0"/>
                <w:szCs w:val="21"/>
                <w:lang w:val="en-US" w:eastAsia="zh-CN"/>
              </w:rPr>
              <w:t>0.34136</w:t>
            </w:r>
          </w:p>
        </w:tc>
        <w:tc>
          <w:tcPr>
            <w:tcW w:w="710" w:type="pct"/>
            <w:vAlign w:val="center"/>
          </w:tcPr>
          <w:p>
            <w:pPr>
              <w:jc w:val="center"/>
              <w:rPr>
                <w:snapToGrid w:val="0"/>
                <w:kern w:val="0"/>
                <w:szCs w:val="21"/>
              </w:rPr>
            </w:pPr>
            <w:r>
              <w:rPr>
                <w:rFonts w:hint="eastAsia"/>
                <w:snapToGrid w:val="0"/>
                <w:kern w:val="0"/>
                <w:szCs w:val="21"/>
                <w:lang w:val="en-US" w:eastAsia="zh-CN"/>
              </w:rPr>
              <w:t>3.41</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32.071</w:t>
            </w:r>
          </w:p>
        </w:tc>
        <w:tc>
          <w:tcPr>
            <w:tcW w:w="714" w:type="pct"/>
            <w:vAlign w:val="center"/>
          </w:tcPr>
          <w:p>
            <w:pPr>
              <w:jc w:val="center"/>
              <w:rPr>
                <w:rFonts w:hint="eastAsia"/>
                <w:snapToGrid w:val="0"/>
                <w:kern w:val="0"/>
                <w:szCs w:val="21"/>
              </w:rPr>
            </w:pPr>
            <w:r>
              <w:rPr>
                <w:rFonts w:hint="eastAsia"/>
                <w:snapToGrid w:val="0"/>
                <w:kern w:val="0"/>
                <w:szCs w:val="21"/>
                <w:lang w:val="en-US" w:eastAsia="zh-CN"/>
              </w:rPr>
              <w:t>3.56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pct"/>
            <w:vAlign w:val="center"/>
          </w:tcPr>
          <w:p>
            <w:pPr>
              <w:jc w:val="center"/>
              <w:rPr>
                <w:b/>
                <w:snapToGrid w:val="0"/>
                <w:kern w:val="0"/>
                <w:szCs w:val="21"/>
              </w:rPr>
            </w:pPr>
            <w:r>
              <w:rPr>
                <w:snapToGrid w:val="0"/>
                <w:kern w:val="0"/>
                <w:szCs w:val="21"/>
              </w:rPr>
              <w:t>300</w:t>
            </w:r>
          </w:p>
        </w:tc>
        <w:tc>
          <w:tcPr>
            <w:tcW w:w="682" w:type="pct"/>
            <w:vAlign w:val="center"/>
          </w:tcPr>
          <w:p>
            <w:pPr>
              <w:jc w:val="center"/>
              <w:rPr>
                <w:snapToGrid w:val="0"/>
                <w:kern w:val="0"/>
                <w:szCs w:val="21"/>
              </w:rPr>
            </w:pPr>
            <w:r>
              <w:rPr>
                <w:rFonts w:hint="eastAsia"/>
                <w:snapToGrid w:val="0"/>
                <w:kern w:val="0"/>
                <w:szCs w:val="21"/>
                <w:lang w:val="en-US" w:eastAsia="zh-CN"/>
              </w:rPr>
              <w:t>3.2314</w:t>
            </w:r>
          </w:p>
        </w:tc>
        <w:tc>
          <w:tcPr>
            <w:tcW w:w="686" w:type="pct"/>
            <w:vAlign w:val="center"/>
          </w:tcPr>
          <w:p>
            <w:pPr>
              <w:jc w:val="center"/>
              <w:rPr>
                <w:snapToGrid w:val="0"/>
                <w:kern w:val="0"/>
                <w:szCs w:val="21"/>
              </w:rPr>
            </w:pPr>
            <w:r>
              <w:rPr>
                <w:rFonts w:hint="eastAsia"/>
                <w:snapToGrid w:val="0"/>
                <w:kern w:val="0"/>
                <w:szCs w:val="21"/>
                <w:lang w:val="en-US" w:eastAsia="zh-CN"/>
              </w:rPr>
              <w:t>1.62</w:t>
            </w:r>
          </w:p>
        </w:tc>
        <w:tc>
          <w:tcPr>
            <w:tcW w:w="682" w:type="pct"/>
            <w:vAlign w:val="center"/>
          </w:tcPr>
          <w:p>
            <w:pPr>
              <w:jc w:val="center"/>
              <w:rPr>
                <w:snapToGrid w:val="0"/>
                <w:kern w:val="0"/>
                <w:szCs w:val="21"/>
              </w:rPr>
            </w:pPr>
            <w:r>
              <w:rPr>
                <w:rFonts w:hint="eastAsia"/>
                <w:snapToGrid w:val="0"/>
                <w:kern w:val="0"/>
                <w:szCs w:val="21"/>
                <w:lang w:val="en-US" w:eastAsia="zh-CN"/>
              </w:rPr>
              <w:t>0.32314</w:t>
            </w:r>
          </w:p>
        </w:tc>
        <w:tc>
          <w:tcPr>
            <w:tcW w:w="710" w:type="pct"/>
            <w:vAlign w:val="center"/>
          </w:tcPr>
          <w:p>
            <w:pPr>
              <w:jc w:val="center"/>
              <w:rPr>
                <w:snapToGrid w:val="0"/>
                <w:kern w:val="0"/>
                <w:szCs w:val="21"/>
              </w:rPr>
            </w:pPr>
            <w:r>
              <w:rPr>
                <w:rFonts w:hint="eastAsia"/>
                <w:snapToGrid w:val="0"/>
                <w:kern w:val="0"/>
                <w:szCs w:val="21"/>
                <w:lang w:val="en-US" w:eastAsia="zh-CN"/>
              </w:rPr>
              <w:t>3.23</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30.359</w:t>
            </w:r>
          </w:p>
        </w:tc>
        <w:tc>
          <w:tcPr>
            <w:tcW w:w="714" w:type="pct"/>
            <w:vAlign w:val="center"/>
          </w:tcPr>
          <w:p>
            <w:pPr>
              <w:jc w:val="center"/>
              <w:rPr>
                <w:rFonts w:hint="eastAsia"/>
                <w:snapToGrid w:val="0"/>
                <w:kern w:val="0"/>
                <w:szCs w:val="21"/>
              </w:rPr>
            </w:pPr>
            <w:r>
              <w:rPr>
                <w:rFonts w:hint="eastAsia"/>
                <w:snapToGrid w:val="0"/>
                <w:kern w:val="0"/>
                <w:szCs w:val="21"/>
                <w:lang w:val="en-US" w:eastAsia="zh-CN"/>
              </w:rPr>
              <w:t>3.37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pct"/>
            <w:vAlign w:val="center"/>
          </w:tcPr>
          <w:p>
            <w:pPr>
              <w:jc w:val="center"/>
              <w:rPr>
                <w:snapToGrid w:val="0"/>
                <w:kern w:val="0"/>
                <w:szCs w:val="21"/>
              </w:rPr>
            </w:pPr>
            <w:r>
              <w:rPr>
                <w:snapToGrid w:val="0"/>
                <w:kern w:val="0"/>
                <w:szCs w:val="21"/>
              </w:rPr>
              <w:t>400</w:t>
            </w:r>
          </w:p>
        </w:tc>
        <w:tc>
          <w:tcPr>
            <w:tcW w:w="682" w:type="pct"/>
            <w:vAlign w:val="center"/>
          </w:tcPr>
          <w:p>
            <w:pPr>
              <w:jc w:val="center"/>
              <w:rPr>
                <w:snapToGrid w:val="0"/>
                <w:kern w:val="0"/>
                <w:szCs w:val="21"/>
              </w:rPr>
            </w:pPr>
            <w:r>
              <w:rPr>
                <w:rFonts w:hint="eastAsia"/>
                <w:snapToGrid w:val="0"/>
                <w:kern w:val="0"/>
                <w:szCs w:val="21"/>
                <w:lang w:val="en-US" w:eastAsia="zh-CN"/>
              </w:rPr>
              <w:t>3.0289</w:t>
            </w:r>
          </w:p>
        </w:tc>
        <w:tc>
          <w:tcPr>
            <w:tcW w:w="686" w:type="pct"/>
            <w:vAlign w:val="center"/>
          </w:tcPr>
          <w:p>
            <w:pPr>
              <w:jc w:val="center"/>
              <w:rPr>
                <w:snapToGrid w:val="0"/>
                <w:kern w:val="0"/>
                <w:szCs w:val="21"/>
              </w:rPr>
            </w:pPr>
            <w:r>
              <w:rPr>
                <w:rFonts w:hint="eastAsia"/>
                <w:snapToGrid w:val="0"/>
                <w:kern w:val="0"/>
                <w:szCs w:val="21"/>
                <w:lang w:val="en-US" w:eastAsia="zh-CN"/>
              </w:rPr>
              <w:t>1.51</w:t>
            </w:r>
          </w:p>
        </w:tc>
        <w:tc>
          <w:tcPr>
            <w:tcW w:w="682" w:type="pct"/>
            <w:vAlign w:val="center"/>
          </w:tcPr>
          <w:p>
            <w:pPr>
              <w:jc w:val="center"/>
              <w:rPr>
                <w:snapToGrid w:val="0"/>
                <w:kern w:val="0"/>
                <w:szCs w:val="21"/>
              </w:rPr>
            </w:pPr>
            <w:r>
              <w:rPr>
                <w:rFonts w:hint="eastAsia"/>
                <w:snapToGrid w:val="0"/>
                <w:kern w:val="0"/>
                <w:szCs w:val="21"/>
                <w:lang w:val="en-US" w:eastAsia="zh-CN"/>
              </w:rPr>
              <w:t>0.30289</w:t>
            </w:r>
          </w:p>
        </w:tc>
        <w:tc>
          <w:tcPr>
            <w:tcW w:w="710" w:type="pct"/>
            <w:vAlign w:val="center"/>
          </w:tcPr>
          <w:p>
            <w:pPr>
              <w:jc w:val="center"/>
              <w:rPr>
                <w:snapToGrid w:val="0"/>
                <w:kern w:val="0"/>
                <w:szCs w:val="21"/>
              </w:rPr>
            </w:pPr>
            <w:r>
              <w:rPr>
                <w:rFonts w:hint="eastAsia"/>
                <w:snapToGrid w:val="0"/>
                <w:kern w:val="0"/>
                <w:szCs w:val="21"/>
                <w:lang w:val="en-US" w:eastAsia="zh-CN"/>
              </w:rPr>
              <w:t>3.03</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28.456</w:t>
            </w:r>
          </w:p>
        </w:tc>
        <w:tc>
          <w:tcPr>
            <w:tcW w:w="714" w:type="pct"/>
            <w:vAlign w:val="center"/>
          </w:tcPr>
          <w:p>
            <w:pPr>
              <w:jc w:val="center"/>
              <w:rPr>
                <w:rFonts w:hint="eastAsia"/>
                <w:snapToGrid w:val="0"/>
                <w:kern w:val="0"/>
                <w:szCs w:val="21"/>
              </w:rPr>
            </w:pPr>
            <w:r>
              <w:rPr>
                <w:rFonts w:hint="eastAsia"/>
                <w:snapToGrid w:val="0"/>
                <w:kern w:val="0"/>
                <w:szCs w:val="21"/>
                <w:lang w:val="en-US" w:eastAsia="zh-CN"/>
              </w:rPr>
              <w:t>3.16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pct"/>
            <w:vAlign w:val="center"/>
          </w:tcPr>
          <w:p>
            <w:pPr>
              <w:jc w:val="center"/>
              <w:rPr>
                <w:snapToGrid w:val="0"/>
                <w:kern w:val="0"/>
                <w:szCs w:val="21"/>
              </w:rPr>
            </w:pPr>
            <w:r>
              <w:rPr>
                <w:snapToGrid w:val="0"/>
                <w:kern w:val="0"/>
                <w:szCs w:val="21"/>
              </w:rPr>
              <w:t>500</w:t>
            </w:r>
          </w:p>
        </w:tc>
        <w:tc>
          <w:tcPr>
            <w:tcW w:w="682" w:type="pct"/>
            <w:vAlign w:val="center"/>
          </w:tcPr>
          <w:p>
            <w:pPr>
              <w:jc w:val="center"/>
              <w:rPr>
                <w:snapToGrid w:val="0"/>
                <w:kern w:val="0"/>
                <w:szCs w:val="21"/>
              </w:rPr>
            </w:pPr>
            <w:r>
              <w:rPr>
                <w:rFonts w:hint="eastAsia"/>
                <w:snapToGrid w:val="0"/>
                <w:kern w:val="0"/>
                <w:szCs w:val="21"/>
                <w:lang w:val="en-US" w:eastAsia="zh-CN"/>
              </w:rPr>
              <w:t>2.8371</w:t>
            </w:r>
          </w:p>
        </w:tc>
        <w:tc>
          <w:tcPr>
            <w:tcW w:w="686" w:type="pct"/>
            <w:vAlign w:val="center"/>
          </w:tcPr>
          <w:p>
            <w:pPr>
              <w:jc w:val="center"/>
              <w:rPr>
                <w:snapToGrid w:val="0"/>
                <w:kern w:val="0"/>
                <w:szCs w:val="21"/>
              </w:rPr>
            </w:pPr>
            <w:r>
              <w:rPr>
                <w:rFonts w:hint="eastAsia"/>
                <w:snapToGrid w:val="0"/>
                <w:kern w:val="0"/>
                <w:szCs w:val="21"/>
                <w:lang w:val="en-US" w:eastAsia="zh-CN"/>
              </w:rPr>
              <w:t>1.42</w:t>
            </w:r>
          </w:p>
        </w:tc>
        <w:tc>
          <w:tcPr>
            <w:tcW w:w="682" w:type="pct"/>
            <w:vAlign w:val="center"/>
          </w:tcPr>
          <w:p>
            <w:pPr>
              <w:jc w:val="center"/>
              <w:rPr>
                <w:snapToGrid w:val="0"/>
                <w:kern w:val="0"/>
                <w:szCs w:val="21"/>
              </w:rPr>
            </w:pPr>
            <w:r>
              <w:rPr>
                <w:rFonts w:hint="eastAsia"/>
                <w:snapToGrid w:val="0"/>
                <w:kern w:val="0"/>
                <w:szCs w:val="21"/>
                <w:lang w:val="en-US" w:eastAsia="zh-CN"/>
              </w:rPr>
              <w:t>0.28371</w:t>
            </w:r>
          </w:p>
        </w:tc>
        <w:tc>
          <w:tcPr>
            <w:tcW w:w="710" w:type="pct"/>
            <w:vAlign w:val="center"/>
          </w:tcPr>
          <w:p>
            <w:pPr>
              <w:jc w:val="center"/>
              <w:rPr>
                <w:snapToGrid w:val="0"/>
                <w:kern w:val="0"/>
                <w:szCs w:val="21"/>
              </w:rPr>
            </w:pPr>
            <w:r>
              <w:rPr>
                <w:rFonts w:hint="eastAsia"/>
                <w:snapToGrid w:val="0"/>
                <w:kern w:val="0"/>
                <w:szCs w:val="21"/>
                <w:lang w:val="en-US" w:eastAsia="zh-CN"/>
              </w:rPr>
              <w:t>2.84</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26.654</w:t>
            </w:r>
          </w:p>
        </w:tc>
        <w:tc>
          <w:tcPr>
            <w:tcW w:w="714" w:type="pct"/>
            <w:vAlign w:val="center"/>
          </w:tcPr>
          <w:p>
            <w:pPr>
              <w:jc w:val="center"/>
              <w:rPr>
                <w:rFonts w:hint="eastAsia"/>
                <w:snapToGrid w:val="0"/>
                <w:kern w:val="0"/>
                <w:szCs w:val="21"/>
              </w:rPr>
            </w:pPr>
            <w:r>
              <w:rPr>
                <w:rFonts w:hint="eastAsia"/>
                <w:snapToGrid w:val="0"/>
                <w:kern w:val="0"/>
                <w:szCs w:val="21"/>
                <w:lang w:val="en-US" w:eastAsia="zh-CN"/>
              </w:rPr>
              <w:t>2.96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pct"/>
            <w:vAlign w:val="center"/>
          </w:tcPr>
          <w:p>
            <w:pPr>
              <w:jc w:val="center"/>
              <w:rPr>
                <w:snapToGrid w:val="0"/>
                <w:kern w:val="0"/>
                <w:szCs w:val="21"/>
              </w:rPr>
            </w:pPr>
            <w:r>
              <w:rPr>
                <w:snapToGrid w:val="0"/>
                <w:kern w:val="0"/>
                <w:szCs w:val="21"/>
              </w:rPr>
              <w:t>600</w:t>
            </w:r>
          </w:p>
        </w:tc>
        <w:tc>
          <w:tcPr>
            <w:tcW w:w="682" w:type="pct"/>
            <w:vAlign w:val="center"/>
          </w:tcPr>
          <w:p>
            <w:pPr>
              <w:jc w:val="center"/>
              <w:rPr>
                <w:snapToGrid w:val="0"/>
                <w:kern w:val="0"/>
                <w:szCs w:val="21"/>
              </w:rPr>
            </w:pPr>
            <w:r>
              <w:rPr>
                <w:rFonts w:hint="eastAsia"/>
                <w:snapToGrid w:val="0"/>
                <w:kern w:val="0"/>
                <w:szCs w:val="21"/>
                <w:lang w:val="en-US" w:eastAsia="zh-CN"/>
              </w:rPr>
              <w:t>2.6591</w:t>
            </w:r>
          </w:p>
        </w:tc>
        <w:tc>
          <w:tcPr>
            <w:tcW w:w="686" w:type="pct"/>
            <w:vAlign w:val="center"/>
          </w:tcPr>
          <w:p>
            <w:pPr>
              <w:jc w:val="center"/>
              <w:rPr>
                <w:snapToGrid w:val="0"/>
                <w:kern w:val="0"/>
                <w:szCs w:val="21"/>
              </w:rPr>
            </w:pPr>
            <w:r>
              <w:rPr>
                <w:rFonts w:hint="eastAsia"/>
                <w:snapToGrid w:val="0"/>
                <w:kern w:val="0"/>
                <w:szCs w:val="21"/>
                <w:lang w:val="en-US" w:eastAsia="zh-CN"/>
              </w:rPr>
              <w:t>1.33</w:t>
            </w:r>
          </w:p>
        </w:tc>
        <w:tc>
          <w:tcPr>
            <w:tcW w:w="682" w:type="pct"/>
            <w:vAlign w:val="center"/>
          </w:tcPr>
          <w:p>
            <w:pPr>
              <w:jc w:val="center"/>
              <w:rPr>
                <w:snapToGrid w:val="0"/>
                <w:kern w:val="0"/>
                <w:szCs w:val="21"/>
              </w:rPr>
            </w:pPr>
            <w:r>
              <w:rPr>
                <w:rFonts w:hint="eastAsia"/>
                <w:snapToGrid w:val="0"/>
                <w:kern w:val="0"/>
                <w:szCs w:val="21"/>
                <w:lang w:val="en-US" w:eastAsia="zh-CN"/>
              </w:rPr>
              <w:t>0.26591</w:t>
            </w:r>
          </w:p>
        </w:tc>
        <w:tc>
          <w:tcPr>
            <w:tcW w:w="710" w:type="pct"/>
            <w:vAlign w:val="center"/>
          </w:tcPr>
          <w:p>
            <w:pPr>
              <w:jc w:val="center"/>
              <w:rPr>
                <w:snapToGrid w:val="0"/>
                <w:kern w:val="0"/>
                <w:szCs w:val="21"/>
              </w:rPr>
            </w:pPr>
            <w:r>
              <w:rPr>
                <w:rFonts w:hint="eastAsia"/>
                <w:snapToGrid w:val="0"/>
                <w:kern w:val="0"/>
                <w:szCs w:val="21"/>
                <w:lang w:val="en-US" w:eastAsia="zh-CN"/>
              </w:rPr>
              <w:t>2.66</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24.981</w:t>
            </w:r>
          </w:p>
        </w:tc>
        <w:tc>
          <w:tcPr>
            <w:tcW w:w="714" w:type="pct"/>
            <w:vAlign w:val="center"/>
          </w:tcPr>
          <w:p>
            <w:pPr>
              <w:jc w:val="center"/>
              <w:rPr>
                <w:rFonts w:hint="eastAsia"/>
                <w:snapToGrid w:val="0"/>
                <w:kern w:val="0"/>
                <w:szCs w:val="21"/>
              </w:rPr>
            </w:pPr>
            <w:r>
              <w:rPr>
                <w:rFonts w:hint="eastAsia"/>
                <w:snapToGrid w:val="0"/>
                <w:kern w:val="0"/>
                <w:szCs w:val="21"/>
                <w:lang w:val="en-US" w:eastAsia="zh-CN"/>
              </w:rPr>
              <w:t>2.78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pct"/>
            <w:vAlign w:val="center"/>
          </w:tcPr>
          <w:p>
            <w:pPr>
              <w:jc w:val="center"/>
              <w:rPr>
                <w:snapToGrid w:val="0"/>
                <w:kern w:val="0"/>
                <w:szCs w:val="21"/>
              </w:rPr>
            </w:pPr>
            <w:r>
              <w:rPr>
                <w:snapToGrid w:val="0"/>
                <w:kern w:val="0"/>
                <w:szCs w:val="21"/>
              </w:rPr>
              <w:t>700</w:t>
            </w:r>
          </w:p>
        </w:tc>
        <w:tc>
          <w:tcPr>
            <w:tcW w:w="682" w:type="pct"/>
            <w:vAlign w:val="center"/>
          </w:tcPr>
          <w:p>
            <w:pPr>
              <w:jc w:val="center"/>
              <w:rPr>
                <w:snapToGrid w:val="0"/>
                <w:kern w:val="0"/>
                <w:szCs w:val="21"/>
              </w:rPr>
            </w:pPr>
            <w:r>
              <w:rPr>
                <w:rFonts w:hint="eastAsia"/>
                <w:snapToGrid w:val="0"/>
                <w:kern w:val="0"/>
                <w:szCs w:val="21"/>
                <w:lang w:val="en-US" w:eastAsia="zh-CN"/>
              </w:rPr>
              <w:t>2.4948</w:t>
            </w:r>
          </w:p>
        </w:tc>
        <w:tc>
          <w:tcPr>
            <w:tcW w:w="686" w:type="pct"/>
            <w:vAlign w:val="center"/>
          </w:tcPr>
          <w:p>
            <w:pPr>
              <w:jc w:val="center"/>
              <w:rPr>
                <w:snapToGrid w:val="0"/>
                <w:kern w:val="0"/>
                <w:szCs w:val="21"/>
              </w:rPr>
            </w:pPr>
            <w:r>
              <w:rPr>
                <w:rFonts w:hint="eastAsia"/>
                <w:snapToGrid w:val="0"/>
                <w:kern w:val="0"/>
                <w:szCs w:val="21"/>
                <w:lang w:val="en-US" w:eastAsia="zh-CN"/>
              </w:rPr>
              <w:t>1.25</w:t>
            </w:r>
          </w:p>
        </w:tc>
        <w:tc>
          <w:tcPr>
            <w:tcW w:w="682" w:type="pct"/>
            <w:vAlign w:val="center"/>
          </w:tcPr>
          <w:p>
            <w:pPr>
              <w:jc w:val="center"/>
              <w:rPr>
                <w:snapToGrid w:val="0"/>
                <w:kern w:val="0"/>
                <w:szCs w:val="21"/>
              </w:rPr>
            </w:pPr>
            <w:r>
              <w:rPr>
                <w:rFonts w:hint="eastAsia"/>
                <w:snapToGrid w:val="0"/>
                <w:kern w:val="0"/>
                <w:szCs w:val="21"/>
                <w:lang w:val="en-US" w:eastAsia="zh-CN"/>
              </w:rPr>
              <w:t>0.24949</w:t>
            </w:r>
          </w:p>
        </w:tc>
        <w:tc>
          <w:tcPr>
            <w:tcW w:w="710" w:type="pct"/>
            <w:vAlign w:val="center"/>
          </w:tcPr>
          <w:p>
            <w:pPr>
              <w:jc w:val="center"/>
              <w:rPr>
                <w:snapToGrid w:val="0"/>
                <w:kern w:val="0"/>
                <w:szCs w:val="21"/>
              </w:rPr>
            </w:pPr>
            <w:r>
              <w:rPr>
                <w:rFonts w:hint="eastAsia"/>
                <w:snapToGrid w:val="0"/>
                <w:kern w:val="0"/>
                <w:szCs w:val="21"/>
                <w:lang w:val="en-US" w:eastAsia="zh-CN"/>
              </w:rPr>
              <w:t>2.49</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23.439</w:t>
            </w:r>
          </w:p>
        </w:tc>
        <w:tc>
          <w:tcPr>
            <w:tcW w:w="714" w:type="pct"/>
            <w:vAlign w:val="center"/>
          </w:tcPr>
          <w:p>
            <w:pPr>
              <w:jc w:val="center"/>
              <w:rPr>
                <w:rFonts w:hint="eastAsia"/>
                <w:snapToGrid w:val="0"/>
                <w:kern w:val="0"/>
                <w:szCs w:val="21"/>
              </w:rPr>
            </w:pPr>
            <w:r>
              <w:rPr>
                <w:rFonts w:hint="eastAsia"/>
                <w:snapToGrid w:val="0"/>
                <w:kern w:val="0"/>
                <w:szCs w:val="21"/>
                <w:lang w:val="en-US" w:eastAsia="zh-CN"/>
              </w:rPr>
              <w:t>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pct"/>
            <w:vAlign w:val="center"/>
          </w:tcPr>
          <w:p>
            <w:pPr>
              <w:jc w:val="center"/>
              <w:rPr>
                <w:snapToGrid w:val="0"/>
                <w:kern w:val="0"/>
                <w:szCs w:val="21"/>
              </w:rPr>
            </w:pPr>
            <w:r>
              <w:rPr>
                <w:snapToGrid w:val="0"/>
                <w:kern w:val="0"/>
                <w:szCs w:val="21"/>
              </w:rPr>
              <w:t>800</w:t>
            </w:r>
          </w:p>
        </w:tc>
        <w:tc>
          <w:tcPr>
            <w:tcW w:w="682" w:type="pct"/>
            <w:vAlign w:val="center"/>
          </w:tcPr>
          <w:p>
            <w:pPr>
              <w:jc w:val="center"/>
              <w:rPr>
                <w:snapToGrid w:val="0"/>
                <w:kern w:val="0"/>
                <w:szCs w:val="21"/>
              </w:rPr>
            </w:pPr>
            <w:r>
              <w:rPr>
                <w:rFonts w:hint="eastAsia"/>
                <w:snapToGrid w:val="0"/>
                <w:kern w:val="0"/>
                <w:szCs w:val="21"/>
                <w:lang w:val="en-US" w:eastAsia="zh-CN"/>
              </w:rPr>
              <w:t>2.3461</w:t>
            </w:r>
          </w:p>
        </w:tc>
        <w:tc>
          <w:tcPr>
            <w:tcW w:w="686" w:type="pct"/>
            <w:vAlign w:val="center"/>
          </w:tcPr>
          <w:p>
            <w:pPr>
              <w:jc w:val="center"/>
              <w:rPr>
                <w:snapToGrid w:val="0"/>
                <w:kern w:val="0"/>
                <w:szCs w:val="21"/>
              </w:rPr>
            </w:pPr>
            <w:r>
              <w:rPr>
                <w:rFonts w:hint="eastAsia"/>
                <w:snapToGrid w:val="0"/>
                <w:kern w:val="0"/>
                <w:szCs w:val="21"/>
                <w:lang w:val="en-US" w:eastAsia="zh-CN"/>
              </w:rPr>
              <w:t>1.17</w:t>
            </w:r>
          </w:p>
        </w:tc>
        <w:tc>
          <w:tcPr>
            <w:tcW w:w="682" w:type="pct"/>
            <w:vAlign w:val="center"/>
          </w:tcPr>
          <w:p>
            <w:pPr>
              <w:jc w:val="center"/>
              <w:rPr>
                <w:snapToGrid w:val="0"/>
                <w:kern w:val="0"/>
                <w:szCs w:val="21"/>
              </w:rPr>
            </w:pPr>
            <w:r>
              <w:rPr>
                <w:rFonts w:hint="eastAsia"/>
                <w:snapToGrid w:val="0"/>
                <w:kern w:val="0"/>
                <w:szCs w:val="21"/>
                <w:lang w:val="en-US" w:eastAsia="zh-CN"/>
              </w:rPr>
              <w:t>0.23461</w:t>
            </w:r>
          </w:p>
        </w:tc>
        <w:tc>
          <w:tcPr>
            <w:tcW w:w="710" w:type="pct"/>
            <w:vAlign w:val="center"/>
          </w:tcPr>
          <w:p>
            <w:pPr>
              <w:jc w:val="center"/>
              <w:rPr>
                <w:snapToGrid w:val="0"/>
                <w:kern w:val="0"/>
                <w:szCs w:val="21"/>
              </w:rPr>
            </w:pPr>
            <w:r>
              <w:rPr>
                <w:rFonts w:hint="eastAsia"/>
                <w:snapToGrid w:val="0"/>
                <w:kern w:val="0"/>
                <w:szCs w:val="21"/>
                <w:lang w:val="en-US" w:eastAsia="zh-CN"/>
              </w:rPr>
              <w:t>2.35</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22.042</w:t>
            </w:r>
          </w:p>
        </w:tc>
        <w:tc>
          <w:tcPr>
            <w:tcW w:w="714" w:type="pct"/>
            <w:vAlign w:val="center"/>
          </w:tcPr>
          <w:p>
            <w:pPr>
              <w:jc w:val="center"/>
              <w:rPr>
                <w:rFonts w:hint="eastAsia"/>
                <w:snapToGrid w:val="0"/>
                <w:kern w:val="0"/>
                <w:szCs w:val="21"/>
              </w:rPr>
            </w:pPr>
            <w:r>
              <w:rPr>
                <w:rFonts w:hint="eastAsia"/>
                <w:snapToGrid w:val="0"/>
                <w:kern w:val="0"/>
                <w:szCs w:val="21"/>
                <w:lang w:val="en-US" w:eastAsia="zh-CN"/>
              </w:rPr>
              <w:t>2.45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pct"/>
            <w:vAlign w:val="center"/>
          </w:tcPr>
          <w:p>
            <w:pPr>
              <w:jc w:val="center"/>
              <w:rPr>
                <w:snapToGrid w:val="0"/>
                <w:kern w:val="0"/>
                <w:szCs w:val="21"/>
              </w:rPr>
            </w:pPr>
            <w:r>
              <w:rPr>
                <w:snapToGrid w:val="0"/>
                <w:kern w:val="0"/>
                <w:szCs w:val="21"/>
              </w:rPr>
              <w:t>900</w:t>
            </w:r>
          </w:p>
        </w:tc>
        <w:tc>
          <w:tcPr>
            <w:tcW w:w="682" w:type="pct"/>
            <w:vAlign w:val="center"/>
          </w:tcPr>
          <w:p>
            <w:pPr>
              <w:jc w:val="center"/>
              <w:rPr>
                <w:snapToGrid w:val="0"/>
                <w:kern w:val="0"/>
                <w:szCs w:val="21"/>
              </w:rPr>
            </w:pPr>
            <w:r>
              <w:rPr>
                <w:rFonts w:hint="eastAsia"/>
                <w:snapToGrid w:val="0"/>
                <w:kern w:val="0"/>
                <w:szCs w:val="21"/>
                <w:lang w:val="en-US" w:eastAsia="zh-CN"/>
              </w:rPr>
              <w:t>2.2117</w:t>
            </w:r>
          </w:p>
        </w:tc>
        <w:tc>
          <w:tcPr>
            <w:tcW w:w="686" w:type="pct"/>
            <w:vAlign w:val="center"/>
          </w:tcPr>
          <w:p>
            <w:pPr>
              <w:jc w:val="center"/>
              <w:rPr>
                <w:snapToGrid w:val="0"/>
                <w:kern w:val="0"/>
                <w:szCs w:val="21"/>
              </w:rPr>
            </w:pPr>
            <w:r>
              <w:rPr>
                <w:rFonts w:hint="eastAsia"/>
                <w:snapToGrid w:val="0"/>
                <w:kern w:val="0"/>
                <w:szCs w:val="21"/>
                <w:lang w:val="en-US" w:eastAsia="zh-CN"/>
              </w:rPr>
              <w:t>1.11</w:t>
            </w:r>
          </w:p>
        </w:tc>
        <w:tc>
          <w:tcPr>
            <w:tcW w:w="682" w:type="pct"/>
            <w:vAlign w:val="center"/>
          </w:tcPr>
          <w:p>
            <w:pPr>
              <w:jc w:val="center"/>
              <w:rPr>
                <w:snapToGrid w:val="0"/>
                <w:kern w:val="0"/>
                <w:szCs w:val="21"/>
              </w:rPr>
            </w:pPr>
            <w:r>
              <w:rPr>
                <w:rFonts w:hint="eastAsia"/>
                <w:snapToGrid w:val="0"/>
                <w:kern w:val="0"/>
                <w:szCs w:val="21"/>
                <w:lang w:val="en-US" w:eastAsia="zh-CN"/>
              </w:rPr>
              <w:t>0.22117</w:t>
            </w:r>
          </w:p>
        </w:tc>
        <w:tc>
          <w:tcPr>
            <w:tcW w:w="710" w:type="pct"/>
            <w:vAlign w:val="center"/>
          </w:tcPr>
          <w:p>
            <w:pPr>
              <w:jc w:val="center"/>
              <w:rPr>
                <w:snapToGrid w:val="0"/>
                <w:kern w:val="0"/>
                <w:szCs w:val="21"/>
              </w:rPr>
            </w:pPr>
            <w:r>
              <w:rPr>
                <w:rFonts w:hint="eastAsia"/>
                <w:snapToGrid w:val="0"/>
                <w:kern w:val="0"/>
                <w:szCs w:val="21"/>
                <w:lang w:val="en-US" w:eastAsia="zh-CN"/>
              </w:rPr>
              <w:t>2.21</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20.779</w:t>
            </w:r>
          </w:p>
        </w:tc>
        <w:tc>
          <w:tcPr>
            <w:tcW w:w="714" w:type="pct"/>
            <w:vAlign w:val="center"/>
          </w:tcPr>
          <w:p>
            <w:pPr>
              <w:jc w:val="center"/>
              <w:rPr>
                <w:rFonts w:hint="eastAsia"/>
                <w:snapToGrid w:val="0"/>
                <w:kern w:val="0"/>
                <w:szCs w:val="21"/>
              </w:rPr>
            </w:pPr>
            <w:r>
              <w:rPr>
                <w:rFonts w:hint="eastAsia"/>
                <w:snapToGrid w:val="0"/>
                <w:kern w:val="0"/>
                <w:szCs w:val="21"/>
                <w:lang w:val="en-US" w:eastAsia="zh-CN"/>
              </w:rPr>
              <w:t>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pct"/>
            <w:vAlign w:val="center"/>
          </w:tcPr>
          <w:p>
            <w:pPr>
              <w:jc w:val="center"/>
              <w:rPr>
                <w:snapToGrid w:val="0"/>
                <w:kern w:val="0"/>
                <w:szCs w:val="21"/>
              </w:rPr>
            </w:pPr>
            <w:r>
              <w:rPr>
                <w:snapToGrid w:val="0"/>
                <w:kern w:val="0"/>
                <w:szCs w:val="21"/>
              </w:rPr>
              <w:t>1000</w:t>
            </w:r>
          </w:p>
        </w:tc>
        <w:tc>
          <w:tcPr>
            <w:tcW w:w="682" w:type="pct"/>
            <w:vAlign w:val="center"/>
          </w:tcPr>
          <w:p>
            <w:pPr>
              <w:jc w:val="center"/>
              <w:rPr>
                <w:snapToGrid w:val="0"/>
                <w:kern w:val="0"/>
                <w:szCs w:val="21"/>
              </w:rPr>
            </w:pPr>
            <w:r>
              <w:rPr>
                <w:rFonts w:hint="eastAsia"/>
                <w:snapToGrid w:val="0"/>
                <w:kern w:val="0"/>
                <w:szCs w:val="21"/>
                <w:lang w:val="en-US" w:eastAsia="zh-CN"/>
              </w:rPr>
              <w:t>2.087</w:t>
            </w:r>
          </w:p>
        </w:tc>
        <w:tc>
          <w:tcPr>
            <w:tcW w:w="686" w:type="pct"/>
            <w:vAlign w:val="center"/>
          </w:tcPr>
          <w:p>
            <w:pPr>
              <w:jc w:val="center"/>
              <w:rPr>
                <w:snapToGrid w:val="0"/>
                <w:kern w:val="0"/>
                <w:szCs w:val="21"/>
              </w:rPr>
            </w:pPr>
            <w:r>
              <w:rPr>
                <w:rFonts w:hint="eastAsia"/>
                <w:snapToGrid w:val="0"/>
                <w:kern w:val="0"/>
                <w:szCs w:val="21"/>
                <w:lang w:val="en-US" w:eastAsia="zh-CN"/>
              </w:rPr>
              <w:t>1.04</w:t>
            </w:r>
          </w:p>
        </w:tc>
        <w:tc>
          <w:tcPr>
            <w:tcW w:w="682" w:type="pct"/>
            <w:vAlign w:val="center"/>
          </w:tcPr>
          <w:p>
            <w:pPr>
              <w:jc w:val="center"/>
              <w:rPr>
                <w:snapToGrid w:val="0"/>
                <w:kern w:val="0"/>
                <w:szCs w:val="21"/>
              </w:rPr>
            </w:pPr>
            <w:r>
              <w:rPr>
                <w:rFonts w:hint="eastAsia"/>
                <w:snapToGrid w:val="0"/>
                <w:kern w:val="0"/>
                <w:szCs w:val="21"/>
                <w:lang w:val="en-US" w:eastAsia="zh-CN"/>
              </w:rPr>
              <w:t>0.2087</w:t>
            </w:r>
          </w:p>
        </w:tc>
        <w:tc>
          <w:tcPr>
            <w:tcW w:w="710" w:type="pct"/>
            <w:vAlign w:val="center"/>
          </w:tcPr>
          <w:p>
            <w:pPr>
              <w:jc w:val="center"/>
              <w:rPr>
                <w:snapToGrid w:val="0"/>
                <w:kern w:val="0"/>
                <w:szCs w:val="21"/>
              </w:rPr>
            </w:pPr>
            <w:r>
              <w:rPr>
                <w:rFonts w:hint="eastAsia"/>
                <w:snapToGrid w:val="0"/>
                <w:kern w:val="0"/>
                <w:szCs w:val="21"/>
                <w:lang w:val="en-US" w:eastAsia="zh-CN"/>
              </w:rPr>
              <w:t>2.09</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19.607</w:t>
            </w:r>
          </w:p>
        </w:tc>
        <w:tc>
          <w:tcPr>
            <w:tcW w:w="714" w:type="pct"/>
            <w:vAlign w:val="center"/>
          </w:tcPr>
          <w:p>
            <w:pPr>
              <w:jc w:val="center"/>
              <w:rPr>
                <w:rFonts w:hint="eastAsia"/>
                <w:snapToGrid w:val="0"/>
                <w:kern w:val="0"/>
                <w:szCs w:val="21"/>
              </w:rPr>
            </w:pPr>
            <w:r>
              <w:rPr>
                <w:rFonts w:hint="eastAsia"/>
                <w:snapToGrid w:val="0"/>
                <w:kern w:val="0"/>
                <w:szCs w:val="21"/>
                <w:lang w:val="en-US" w:eastAsia="zh-CN"/>
              </w:rPr>
              <w:t>2.18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pct"/>
            <w:vAlign w:val="center"/>
          </w:tcPr>
          <w:p>
            <w:pPr>
              <w:jc w:val="center"/>
              <w:rPr>
                <w:rFonts w:ascii="Times New Roman" w:hAnsi="Times New Roman" w:eastAsia="宋体" w:cs="Times New Roman"/>
                <w:snapToGrid w:val="0"/>
                <w:kern w:val="0"/>
                <w:sz w:val="21"/>
                <w:szCs w:val="21"/>
                <w:lang w:val="en-US" w:eastAsia="zh-CN" w:bidi="ar-SA"/>
              </w:rPr>
            </w:pPr>
            <w:r>
              <w:rPr>
                <w:snapToGrid w:val="0"/>
                <w:kern w:val="0"/>
                <w:szCs w:val="21"/>
              </w:rPr>
              <w:t>1500</w:t>
            </w:r>
          </w:p>
        </w:tc>
        <w:tc>
          <w:tcPr>
            <w:tcW w:w="682" w:type="pct"/>
            <w:vAlign w:val="center"/>
          </w:tcPr>
          <w:p>
            <w:pPr>
              <w:jc w:val="center"/>
              <w:rPr>
                <w:snapToGrid w:val="0"/>
                <w:kern w:val="0"/>
                <w:szCs w:val="21"/>
              </w:rPr>
            </w:pPr>
            <w:r>
              <w:rPr>
                <w:rFonts w:hint="eastAsia"/>
                <w:snapToGrid w:val="0"/>
                <w:kern w:val="0"/>
                <w:szCs w:val="21"/>
                <w:lang w:val="en-US" w:eastAsia="zh-CN"/>
              </w:rPr>
              <w:t>1.6135</w:t>
            </w:r>
          </w:p>
        </w:tc>
        <w:tc>
          <w:tcPr>
            <w:tcW w:w="686" w:type="pct"/>
            <w:vAlign w:val="center"/>
          </w:tcPr>
          <w:p>
            <w:pPr>
              <w:jc w:val="center"/>
              <w:rPr>
                <w:snapToGrid w:val="0"/>
                <w:kern w:val="0"/>
                <w:szCs w:val="21"/>
              </w:rPr>
            </w:pPr>
            <w:r>
              <w:rPr>
                <w:rFonts w:hint="eastAsia"/>
                <w:snapToGrid w:val="0"/>
                <w:kern w:val="0"/>
                <w:szCs w:val="21"/>
                <w:lang w:val="en-US" w:eastAsia="zh-CN"/>
              </w:rPr>
              <w:t>0.81</w:t>
            </w:r>
          </w:p>
        </w:tc>
        <w:tc>
          <w:tcPr>
            <w:tcW w:w="682" w:type="pct"/>
            <w:vAlign w:val="center"/>
          </w:tcPr>
          <w:p>
            <w:pPr>
              <w:jc w:val="center"/>
              <w:rPr>
                <w:snapToGrid w:val="0"/>
                <w:kern w:val="0"/>
                <w:szCs w:val="21"/>
              </w:rPr>
            </w:pPr>
            <w:r>
              <w:rPr>
                <w:rFonts w:hint="eastAsia"/>
                <w:snapToGrid w:val="0"/>
                <w:kern w:val="0"/>
                <w:szCs w:val="21"/>
                <w:lang w:val="en-US" w:eastAsia="zh-CN"/>
              </w:rPr>
              <w:t>0.16135</w:t>
            </w:r>
          </w:p>
        </w:tc>
        <w:tc>
          <w:tcPr>
            <w:tcW w:w="710" w:type="pct"/>
            <w:vAlign w:val="center"/>
          </w:tcPr>
          <w:p>
            <w:pPr>
              <w:jc w:val="center"/>
              <w:rPr>
                <w:snapToGrid w:val="0"/>
                <w:kern w:val="0"/>
                <w:szCs w:val="21"/>
              </w:rPr>
            </w:pPr>
            <w:r>
              <w:rPr>
                <w:rFonts w:hint="eastAsia"/>
                <w:snapToGrid w:val="0"/>
                <w:kern w:val="0"/>
                <w:szCs w:val="21"/>
                <w:lang w:val="en-US" w:eastAsia="zh-CN"/>
              </w:rPr>
              <w:t>1.61</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15.159</w:t>
            </w:r>
          </w:p>
        </w:tc>
        <w:tc>
          <w:tcPr>
            <w:tcW w:w="714" w:type="pct"/>
            <w:vAlign w:val="center"/>
          </w:tcPr>
          <w:p>
            <w:pPr>
              <w:jc w:val="center"/>
              <w:rPr>
                <w:rFonts w:hint="eastAsia"/>
                <w:snapToGrid w:val="0"/>
                <w:kern w:val="0"/>
                <w:szCs w:val="21"/>
              </w:rPr>
            </w:pPr>
            <w:r>
              <w:rPr>
                <w:rFonts w:hint="eastAsia"/>
                <w:snapToGrid w:val="0"/>
                <w:kern w:val="0"/>
                <w:szCs w:val="21"/>
                <w:lang w:val="en-US" w:eastAsia="zh-CN"/>
              </w:rPr>
              <w:t>1.68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pct"/>
            <w:vAlign w:val="center"/>
          </w:tcPr>
          <w:p>
            <w:pPr>
              <w:jc w:val="center"/>
              <w:rPr>
                <w:rFonts w:ascii="Times New Roman" w:hAnsi="Times New Roman" w:eastAsia="宋体" w:cs="Times New Roman"/>
                <w:snapToGrid w:val="0"/>
                <w:kern w:val="0"/>
                <w:sz w:val="21"/>
                <w:szCs w:val="21"/>
                <w:lang w:val="en-US" w:eastAsia="zh-CN" w:bidi="ar-SA"/>
              </w:rPr>
            </w:pPr>
            <w:r>
              <w:rPr>
                <w:snapToGrid w:val="0"/>
                <w:kern w:val="0"/>
                <w:szCs w:val="21"/>
              </w:rPr>
              <w:t>2000</w:t>
            </w:r>
          </w:p>
        </w:tc>
        <w:tc>
          <w:tcPr>
            <w:tcW w:w="682" w:type="pct"/>
            <w:vAlign w:val="center"/>
          </w:tcPr>
          <w:p>
            <w:pPr>
              <w:jc w:val="center"/>
              <w:rPr>
                <w:snapToGrid w:val="0"/>
                <w:kern w:val="0"/>
                <w:szCs w:val="21"/>
              </w:rPr>
            </w:pPr>
            <w:r>
              <w:rPr>
                <w:rFonts w:hint="eastAsia"/>
                <w:snapToGrid w:val="0"/>
                <w:kern w:val="0"/>
                <w:szCs w:val="21"/>
                <w:lang w:val="en-US" w:eastAsia="zh-CN"/>
              </w:rPr>
              <w:t>1.3027</w:t>
            </w:r>
          </w:p>
        </w:tc>
        <w:tc>
          <w:tcPr>
            <w:tcW w:w="686" w:type="pct"/>
            <w:vAlign w:val="center"/>
          </w:tcPr>
          <w:p>
            <w:pPr>
              <w:jc w:val="center"/>
              <w:rPr>
                <w:snapToGrid w:val="0"/>
                <w:kern w:val="0"/>
                <w:szCs w:val="21"/>
              </w:rPr>
            </w:pPr>
            <w:r>
              <w:rPr>
                <w:rFonts w:hint="eastAsia"/>
                <w:snapToGrid w:val="0"/>
                <w:kern w:val="0"/>
                <w:szCs w:val="21"/>
                <w:lang w:val="en-US" w:eastAsia="zh-CN"/>
              </w:rPr>
              <w:t>0.65</w:t>
            </w:r>
          </w:p>
        </w:tc>
        <w:tc>
          <w:tcPr>
            <w:tcW w:w="682" w:type="pct"/>
            <w:vAlign w:val="center"/>
          </w:tcPr>
          <w:p>
            <w:pPr>
              <w:jc w:val="center"/>
              <w:rPr>
                <w:snapToGrid w:val="0"/>
                <w:kern w:val="0"/>
                <w:szCs w:val="21"/>
              </w:rPr>
            </w:pPr>
            <w:r>
              <w:rPr>
                <w:rFonts w:hint="eastAsia"/>
                <w:snapToGrid w:val="0"/>
                <w:kern w:val="0"/>
                <w:szCs w:val="21"/>
                <w:lang w:val="en-US" w:eastAsia="zh-CN"/>
              </w:rPr>
              <w:t>0.13027</w:t>
            </w:r>
          </w:p>
        </w:tc>
        <w:tc>
          <w:tcPr>
            <w:tcW w:w="710" w:type="pct"/>
            <w:vAlign w:val="center"/>
          </w:tcPr>
          <w:p>
            <w:pPr>
              <w:jc w:val="center"/>
              <w:rPr>
                <w:snapToGrid w:val="0"/>
                <w:kern w:val="0"/>
                <w:szCs w:val="21"/>
              </w:rPr>
            </w:pPr>
            <w:r>
              <w:rPr>
                <w:rFonts w:hint="eastAsia"/>
                <w:snapToGrid w:val="0"/>
                <w:kern w:val="0"/>
                <w:szCs w:val="21"/>
                <w:lang w:val="en-US" w:eastAsia="zh-CN"/>
              </w:rPr>
              <w:t>1.3</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12.238</w:t>
            </w:r>
          </w:p>
        </w:tc>
        <w:tc>
          <w:tcPr>
            <w:tcW w:w="714" w:type="pct"/>
            <w:vAlign w:val="center"/>
          </w:tcPr>
          <w:p>
            <w:pPr>
              <w:jc w:val="center"/>
              <w:rPr>
                <w:rFonts w:hint="eastAsia"/>
                <w:snapToGrid w:val="0"/>
                <w:kern w:val="0"/>
                <w:szCs w:val="21"/>
              </w:rPr>
            </w:pPr>
            <w:r>
              <w:rPr>
                <w:rFonts w:hint="eastAsia"/>
                <w:snapToGrid w:val="0"/>
                <w:kern w:val="0"/>
                <w:szCs w:val="21"/>
                <w:lang w:val="en-US" w:eastAsia="zh-CN"/>
              </w:rPr>
              <w:t>1.36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pct"/>
            <w:vAlign w:val="center"/>
          </w:tcPr>
          <w:p>
            <w:pPr>
              <w:jc w:val="center"/>
              <w:rPr>
                <w:rFonts w:ascii="Times New Roman" w:hAnsi="Times New Roman" w:eastAsia="宋体" w:cs="Times New Roman"/>
                <w:snapToGrid w:val="0"/>
                <w:kern w:val="0"/>
                <w:sz w:val="21"/>
                <w:szCs w:val="21"/>
                <w:lang w:val="en-US" w:eastAsia="zh-CN" w:bidi="ar-SA"/>
              </w:rPr>
            </w:pPr>
            <w:r>
              <w:rPr>
                <w:snapToGrid w:val="0"/>
                <w:kern w:val="0"/>
                <w:szCs w:val="21"/>
              </w:rPr>
              <w:t>2500</w:t>
            </w:r>
          </w:p>
        </w:tc>
        <w:tc>
          <w:tcPr>
            <w:tcW w:w="682" w:type="pct"/>
            <w:vAlign w:val="center"/>
          </w:tcPr>
          <w:p>
            <w:pPr>
              <w:jc w:val="center"/>
              <w:rPr>
                <w:snapToGrid w:val="0"/>
                <w:kern w:val="0"/>
                <w:szCs w:val="21"/>
              </w:rPr>
            </w:pPr>
            <w:r>
              <w:rPr>
                <w:rFonts w:hint="eastAsia"/>
                <w:snapToGrid w:val="0"/>
                <w:kern w:val="0"/>
                <w:szCs w:val="21"/>
                <w:lang w:val="en-US" w:eastAsia="zh-CN"/>
              </w:rPr>
              <w:t>1.1111</w:t>
            </w:r>
          </w:p>
        </w:tc>
        <w:tc>
          <w:tcPr>
            <w:tcW w:w="686" w:type="pct"/>
            <w:vAlign w:val="center"/>
          </w:tcPr>
          <w:p>
            <w:pPr>
              <w:jc w:val="center"/>
              <w:rPr>
                <w:snapToGrid w:val="0"/>
                <w:kern w:val="0"/>
                <w:szCs w:val="21"/>
              </w:rPr>
            </w:pPr>
            <w:r>
              <w:rPr>
                <w:rFonts w:hint="eastAsia"/>
                <w:snapToGrid w:val="0"/>
                <w:kern w:val="0"/>
                <w:szCs w:val="21"/>
                <w:lang w:val="en-US" w:eastAsia="zh-CN"/>
              </w:rPr>
              <w:t>0.56</w:t>
            </w:r>
          </w:p>
        </w:tc>
        <w:tc>
          <w:tcPr>
            <w:tcW w:w="682" w:type="pct"/>
            <w:vAlign w:val="center"/>
          </w:tcPr>
          <w:p>
            <w:pPr>
              <w:jc w:val="center"/>
              <w:rPr>
                <w:snapToGrid w:val="0"/>
                <w:kern w:val="0"/>
                <w:szCs w:val="21"/>
              </w:rPr>
            </w:pPr>
            <w:r>
              <w:rPr>
                <w:rFonts w:hint="eastAsia"/>
                <w:snapToGrid w:val="0"/>
                <w:kern w:val="0"/>
                <w:szCs w:val="21"/>
                <w:lang w:val="en-US" w:eastAsia="zh-CN"/>
              </w:rPr>
              <w:t>0.11111</w:t>
            </w:r>
          </w:p>
        </w:tc>
        <w:tc>
          <w:tcPr>
            <w:tcW w:w="710" w:type="pct"/>
            <w:vAlign w:val="center"/>
          </w:tcPr>
          <w:p>
            <w:pPr>
              <w:jc w:val="center"/>
              <w:rPr>
                <w:snapToGrid w:val="0"/>
                <w:kern w:val="0"/>
                <w:szCs w:val="21"/>
              </w:rPr>
            </w:pPr>
            <w:r>
              <w:rPr>
                <w:rFonts w:hint="eastAsia"/>
                <w:snapToGrid w:val="0"/>
                <w:kern w:val="0"/>
                <w:szCs w:val="21"/>
                <w:lang w:val="en-US" w:eastAsia="zh-CN"/>
              </w:rPr>
              <w:t>1.11</w:t>
            </w:r>
          </w:p>
        </w:tc>
        <w:tc>
          <w:tcPr>
            <w:tcW w:w="707" w:type="pct"/>
            <w:vAlign w:val="center"/>
          </w:tcPr>
          <w:p>
            <w:pPr>
              <w:jc w:val="center"/>
              <w:rPr>
                <w:rFonts w:hint="eastAsia"/>
                <w:snapToGrid w:val="0"/>
                <w:kern w:val="0"/>
                <w:szCs w:val="21"/>
              </w:rPr>
            </w:pPr>
            <w:r>
              <w:rPr>
                <w:rFonts w:hint="eastAsia"/>
                <w:snapToGrid w:val="0"/>
                <w:kern w:val="0"/>
                <w:szCs w:val="21"/>
                <w:lang w:val="en-US" w:eastAsia="zh-CN"/>
              </w:rPr>
              <w:t>10.439</w:t>
            </w:r>
          </w:p>
        </w:tc>
        <w:tc>
          <w:tcPr>
            <w:tcW w:w="714" w:type="pct"/>
            <w:vAlign w:val="center"/>
          </w:tcPr>
          <w:p>
            <w:pPr>
              <w:jc w:val="center"/>
              <w:rPr>
                <w:rFonts w:hint="eastAsia"/>
                <w:snapToGrid w:val="0"/>
                <w:kern w:val="0"/>
                <w:szCs w:val="21"/>
              </w:rPr>
            </w:pPr>
            <w:r>
              <w:rPr>
                <w:rFonts w:hint="eastAsia"/>
                <w:snapToGrid w:val="0"/>
                <w:kern w:val="0"/>
                <w:szCs w:val="21"/>
                <w:lang w:val="en-US" w:eastAsia="zh-CN"/>
              </w:rPr>
              <w:t>1.16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pct"/>
            <w:vMerge w:val="restart"/>
            <w:vAlign w:val="center"/>
          </w:tcPr>
          <w:p>
            <w:pPr>
              <w:jc w:val="center"/>
              <w:rPr>
                <w:snapToGrid w:val="0"/>
                <w:kern w:val="0"/>
                <w:szCs w:val="21"/>
              </w:rPr>
            </w:pPr>
            <w:r>
              <w:rPr>
                <w:snapToGrid w:val="0"/>
                <w:kern w:val="0"/>
                <w:szCs w:val="21"/>
              </w:rPr>
              <w:t>下风向最大浓度</w:t>
            </w:r>
          </w:p>
        </w:tc>
        <w:tc>
          <w:tcPr>
            <w:tcW w:w="682" w:type="pct"/>
            <w:vAlign w:val="center"/>
          </w:tcPr>
          <w:p>
            <w:pPr>
              <w:jc w:val="center"/>
              <w:rPr>
                <w:rFonts w:ascii="Times New Roman" w:hAnsi="Times New Roman" w:eastAsia="宋体" w:cs="Times New Roman"/>
                <w:b/>
                <w:bCs/>
                <w:snapToGrid w:val="0"/>
                <w:kern w:val="0"/>
                <w:sz w:val="21"/>
                <w:szCs w:val="21"/>
                <w:lang w:val="en-US" w:eastAsia="zh-CN" w:bidi="ar-SA"/>
              </w:rPr>
            </w:pPr>
            <w:r>
              <w:rPr>
                <w:rFonts w:hint="eastAsia"/>
                <w:b/>
                <w:bCs/>
                <w:snapToGrid w:val="0"/>
                <w:kern w:val="0"/>
                <w:szCs w:val="21"/>
                <w:lang w:val="en-US" w:eastAsia="zh-CN"/>
              </w:rPr>
              <w:t>4.3467</w:t>
            </w:r>
          </w:p>
        </w:tc>
        <w:tc>
          <w:tcPr>
            <w:tcW w:w="686" w:type="pct"/>
            <w:vAlign w:val="center"/>
          </w:tcPr>
          <w:p>
            <w:pPr>
              <w:jc w:val="center"/>
              <w:rPr>
                <w:rFonts w:ascii="Times New Roman" w:hAnsi="Times New Roman" w:eastAsia="宋体" w:cs="Times New Roman"/>
                <w:b/>
                <w:bCs/>
                <w:snapToGrid w:val="0"/>
                <w:kern w:val="0"/>
                <w:sz w:val="21"/>
                <w:szCs w:val="21"/>
                <w:lang w:val="en-US" w:eastAsia="zh-CN" w:bidi="ar-SA"/>
              </w:rPr>
            </w:pPr>
            <w:r>
              <w:rPr>
                <w:rFonts w:hint="eastAsia"/>
                <w:b/>
                <w:bCs/>
                <w:snapToGrid w:val="0"/>
                <w:kern w:val="0"/>
                <w:szCs w:val="21"/>
                <w:lang w:val="en-US" w:eastAsia="zh-CN"/>
              </w:rPr>
              <w:t>2.17</w:t>
            </w:r>
          </w:p>
        </w:tc>
        <w:tc>
          <w:tcPr>
            <w:tcW w:w="682" w:type="pct"/>
            <w:vAlign w:val="center"/>
          </w:tcPr>
          <w:p>
            <w:pPr>
              <w:jc w:val="center"/>
              <w:rPr>
                <w:rFonts w:ascii="Times New Roman" w:hAnsi="Times New Roman" w:eastAsia="宋体" w:cs="Times New Roman"/>
                <w:b/>
                <w:bCs/>
                <w:snapToGrid w:val="0"/>
                <w:kern w:val="0"/>
                <w:sz w:val="21"/>
                <w:szCs w:val="21"/>
                <w:lang w:val="en-US" w:eastAsia="zh-CN" w:bidi="ar-SA"/>
              </w:rPr>
            </w:pPr>
            <w:r>
              <w:rPr>
                <w:rFonts w:hint="eastAsia"/>
                <w:b/>
                <w:bCs/>
                <w:snapToGrid w:val="0"/>
                <w:kern w:val="0"/>
                <w:szCs w:val="21"/>
                <w:lang w:val="en-US" w:eastAsia="zh-CN"/>
              </w:rPr>
              <w:t>0.43467</w:t>
            </w:r>
          </w:p>
        </w:tc>
        <w:tc>
          <w:tcPr>
            <w:tcW w:w="710" w:type="pct"/>
            <w:vAlign w:val="center"/>
          </w:tcPr>
          <w:p>
            <w:pPr>
              <w:jc w:val="center"/>
              <w:rPr>
                <w:rFonts w:ascii="Times New Roman" w:hAnsi="Times New Roman" w:eastAsia="宋体" w:cs="Times New Roman"/>
                <w:b/>
                <w:bCs/>
                <w:snapToGrid w:val="0"/>
                <w:kern w:val="0"/>
                <w:sz w:val="21"/>
                <w:szCs w:val="21"/>
                <w:lang w:val="en-US" w:eastAsia="zh-CN" w:bidi="ar-SA"/>
              </w:rPr>
            </w:pPr>
            <w:r>
              <w:rPr>
                <w:rFonts w:hint="eastAsia"/>
                <w:b/>
                <w:bCs/>
                <w:snapToGrid w:val="0"/>
                <w:kern w:val="0"/>
                <w:szCs w:val="21"/>
                <w:lang w:val="en-US" w:eastAsia="zh-CN"/>
              </w:rPr>
              <w:t>4.35</w:t>
            </w:r>
          </w:p>
        </w:tc>
        <w:tc>
          <w:tcPr>
            <w:tcW w:w="707" w:type="pct"/>
            <w:vAlign w:val="center"/>
          </w:tcPr>
          <w:p>
            <w:pPr>
              <w:jc w:val="center"/>
              <w:rPr>
                <w:rFonts w:hint="eastAsia" w:ascii="Times New Roman" w:hAnsi="Times New Roman" w:eastAsia="宋体" w:cs="Times New Roman"/>
                <w:b/>
                <w:bCs/>
                <w:snapToGrid w:val="0"/>
                <w:kern w:val="0"/>
                <w:sz w:val="21"/>
                <w:szCs w:val="21"/>
                <w:lang w:val="en-US" w:eastAsia="zh-CN" w:bidi="ar-SA"/>
              </w:rPr>
            </w:pPr>
            <w:r>
              <w:rPr>
                <w:rFonts w:hint="eastAsia"/>
                <w:b/>
                <w:bCs/>
                <w:snapToGrid w:val="0"/>
                <w:kern w:val="0"/>
                <w:szCs w:val="21"/>
                <w:lang w:val="en-US" w:eastAsia="zh-CN"/>
              </w:rPr>
              <w:t>40.83701</w:t>
            </w:r>
          </w:p>
        </w:tc>
        <w:tc>
          <w:tcPr>
            <w:tcW w:w="714" w:type="pct"/>
            <w:vAlign w:val="center"/>
          </w:tcPr>
          <w:p>
            <w:pPr>
              <w:jc w:val="center"/>
              <w:rPr>
                <w:rFonts w:hint="eastAsia" w:ascii="Times New Roman" w:hAnsi="Times New Roman" w:eastAsia="宋体" w:cs="Times New Roman"/>
                <w:b/>
                <w:bCs/>
                <w:snapToGrid w:val="0"/>
                <w:kern w:val="0"/>
                <w:sz w:val="21"/>
                <w:szCs w:val="21"/>
                <w:lang w:val="en-US" w:eastAsia="zh-CN" w:bidi="ar-SA"/>
              </w:rPr>
            </w:pPr>
            <w:r>
              <w:rPr>
                <w:rFonts w:hint="eastAsia"/>
                <w:b/>
                <w:bCs/>
                <w:snapToGrid w:val="0"/>
                <w:kern w:val="0"/>
                <w:szCs w:val="21"/>
                <w:lang w:val="en-US" w:eastAsia="zh-CN"/>
              </w:rPr>
              <w:t>4.54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7" w:type="pct"/>
            <w:vMerge w:val="continue"/>
            <w:vAlign w:val="center"/>
          </w:tcPr>
          <w:p>
            <w:pPr>
              <w:jc w:val="center"/>
              <w:rPr>
                <w:snapToGrid w:val="0"/>
                <w:kern w:val="0"/>
                <w:szCs w:val="21"/>
              </w:rPr>
            </w:pPr>
          </w:p>
        </w:tc>
        <w:tc>
          <w:tcPr>
            <w:tcW w:w="4182" w:type="pct"/>
            <w:gridSpan w:val="6"/>
            <w:vAlign w:val="center"/>
          </w:tcPr>
          <w:p>
            <w:pPr>
              <w:jc w:val="center"/>
              <w:rPr>
                <w:rFonts w:hint="default" w:eastAsia="宋体"/>
                <w:b/>
                <w:szCs w:val="21"/>
                <w:lang w:val="en-US" w:eastAsia="zh-CN"/>
              </w:rPr>
            </w:pPr>
            <w:r>
              <w:rPr>
                <w:rFonts w:hint="eastAsia"/>
                <w:b/>
                <w:szCs w:val="21"/>
                <w:lang w:val="en-US" w:eastAsia="zh-CN"/>
              </w:rPr>
              <w:t>70</w:t>
            </w:r>
          </w:p>
        </w:tc>
      </w:tr>
    </w:tbl>
    <w:p>
      <w:pPr>
        <w:pStyle w:val="215"/>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由上表可知</w:t>
      </w:r>
      <w:r>
        <w:rPr>
          <w:rFonts w:hint="default" w:ascii="Times New Roman" w:hAnsi="Times New Roman" w:eastAsia="宋体" w:cs="Times New Roman"/>
          <w:sz w:val="24"/>
          <w:szCs w:val="24"/>
        </w:rPr>
        <w:t>，项目</w:t>
      </w:r>
      <w:r>
        <w:rPr>
          <w:rFonts w:hint="eastAsia" w:cs="Times New Roman"/>
          <w:sz w:val="24"/>
          <w:szCs w:val="24"/>
          <w:lang w:val="en-US" w:eastAsia="zh-CN"/>
        </w:rPr>
        <w:t>南部养殖区</w:t>
      </w:r>
      <w:r>
        <w:rPr>
          <w:rFonts w:hint="default" w:ascii="Times New Roman" w:hAnsi="Times New Roman" w:eastAsia="宋体" w:cs="Times New Roman"/>
          <w:sz w:val="24"/>
          <w:szCs w:val="24"/>
        </w:rPr>
        <w:t>产生的恶臭气体排放中NH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最大落地浓度为</w:t>
      </w:r>
      <w:r>
        <w:rPr>
          <w:rFonts w:hint="eastAsia" w:ascii="Times New Roman" w:hAnsi="Times New Roman" w:cs="Times New Roman"/>
          <w:sz w:val="24"/>
          <w:szCs w:val="24"/>
          <w:lang w:val="en-US" w:eastAsia="zh-CN"/>
        </w:rPr>
        <w:t>4.5318</w:t>
      </w:r>
      <w:r>
        <w:rPr>
          <w:rFonts w:hint="default" w:ascii="Times New Roman" w:hAnsi="Times New Roman" w:cs="Times New Roman"/>
          <w:sz w:val="24"/>
          <w:szCs w:val="24"/>
          <w:lang w:val="en-US" w:eastAsia="zh-CN"/>
        </w:rPr>
        <w:t>μ</w:t>
      </w:r>
      <w:r>
        <w:rPr>
          <w:rFonts w:hint="default" w:ascii="Times New Roman" w:hAnsi="Times New Roman" w:eastAsia="宋体" w:cs="Times New Roman"/>
          <w:sz w:val="24"/>
          <w:szCs w:val="24"/>
        </w:rPr>
        <w:t>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，最大落地浓度离排放源的距离为</w:t>
      </w:r>
      <w:r>
        <w:rPr>
          <w:rFonts w:hint="eastAsia" w:ascii="Times New Roman" w:hAnsi="Times New Roman" w:cs="Times New Roman"/>
          <w:sz w:val="24"/>
          <w:szCs w:val="24"/>
          <w:lang w:val="en-US" w:eastAsia="zh-CN"/>
        </w:rPr>
        <w:t>68</w:t>
      </w:r>
      <w:r>
        <w:rPr>
          <w:rFonts w:hint="default" w:ascii="Times New Roman" w:hAnsi="Times New Roman" w:eastAsia="宋体" w:cs="Times New Roman"/>
          <w:sz w:val="24"/>
          <w:szCs w:val="24"/>
        </w:rPr>
        <w:t>m，占标率为</w:t>
      </w:r>
      <w:r>
        <w:rPr>
          <w:rFonts w:hint="eastAsia" w:ascii="Times New Roman" w:hAnsi="Times New Roman" w:cs="Times New Roman"/>
          <w:sz w:val="24"/>
          <w:szCs w:val="24"/>
          <w:lang w:val="en-US" w:eastAsia="zh-CN"/>
        </w:rPr>
        <w:t>2.27</w:t>
      </w:r>
      <w:r>
        <w:rPr>
          <w:rFonts w:hint="default" w:ascii="Times New Roman" w:hAnsi="Times New Roman" w:eastAsia="宋体" w:cs="Times New Roman"/>
          <w:sz w:val="24"/>
          <w:szCs w:val="24"/>
        </w:rPr>
        <w:t>%；恶臭气体中H</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S最大落地浓度为</w:t>
      </w:r>
      <w:r>
        <w:rPr>
          <w:rFonts w:hint="eastAsia" w:ascii="Times New Roman" w:hAnsi="Times New Roman" w:cs="Times New Roman"/>
          <w:sz w:val="24"/>
          <w:szCs w:val="24"/>
          <w:lang w:val="en-US" w:eastAsia="zh-CN"/>
        </w:rPr>
        <w:t>0.45318</w:t>
      </w:r>
      <w:r>
        <w:rPr>
          <w:rFonts w:hint="default" w:ascii="Times New Roman" w:hAnsi="Times New Roman" w:cs="Times New Roman"/>
          <w:sz w:val="24"/>
          <w:szCs w:val="24"/>
          <w:lang w:val="en-US" w:eastAsia="zh-CN"/>
        </w:rPr>
        <w:t>μ</w:t>
      </w:r>
      <w:r>
        <w:rPr>
          <w:rFonts w:hint="default" w:ascii="Times New Roman" w:hAnsi="Times New Roman" w:eastAsia="宋体" w:cs="Times New Roman"/>
          <w:sz w:val="24"/>
          <w:szCs w:val="24"/>
        </w:rPr>
        <w:t>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，最大落地浓度离排放源的距离为</w:t>
      </w:r>
      <w:r>
        <w:rPr>
          <w:rFonts w:hint="eastAsia" w:ascii="Times New Roman" w:hAnsi="Times New Roman" w:cs="Times New Roman"/>
          <w:sz w:val="24"/>
          <w:szCs w:val="24"/>
          <w:lang w:val="en-US" w:eastAsia="zh-CN"/>
        </w:rPr>
        <w:t>68</w:t>
      </w:r>
      <w:r>
        <w:rPr>
          <w:rFonts w:hint="default" w:ascii="Times New Roman" w:hAnsi="Times New Roman" w:eastAsia="宋体" w:cs="Times New Roman"/>
          <w:sz w:val="24"/>
          <w:szCs w:val="24"/>
        </w:rPr>
        <w:t>m，占标率为</w:t>
      </w:r>
      <w:r>
        <w:rPr>
          <w:rFonts w:hint="eastAsia" w:ascii="Times New Roman" w:hAnsi="Times New Roman" w:cs="Times New Roman"/>
          <w:sz w:val="24"/>
          <w:szCs w:val="24"/>
          <w:lang w:val="en-US" w:eastAsia="zh-CN"/>
        </w:rPr>
        <w:t>4.53</w:t>
      </w:r>
      <w:r>
        <w:rPr>
          <w:rFonts w:hint="default" w:ascii="Times New Roman" w:hAnsi="Times New Roman" w:eastAsia="宋体" w:cs="Times New Roman"/>
          <w:sz w:val="24"/>
          <w:szCs w:val="24"/>
        </w:rPr>
        <w:t>%；</w:t>
      </w:r>
      <w:r>
        <w:rPr>
          <w:rFonts w:hint="eastAsia" w:ascii="Times New Roman" w:hAnsi="Times New Roman" w:cs="Times New Roman"/>
          <w:sz w:val="24"/>
          <w:szCs w:val="24"/>
          <w:lang w:val="en-US" w:eastAsia="zh-CN"/>
        </w:rPr>
        <w:t>排放的TSP</w:t>
      </w:r>
      <w:r>
        <w:rPr>
          <w:rFonts w:hint="default" w:ascii="Times New Roman" w:hAnsi="Times New Roman" w:eastAsia="宋体" w:cs="Times New Roman"/>
          <w:sz w:val="24"/>
          <w:szCs w:val="24"/>
        </w:rPr>
        <w:t>最大落地浓度为</w:t>
      </w:r>
      <w:r>
        <w:rPr>
          <w:rFonts w:hint="eastAsia" w:cs="Times New Roman"/>
          <w:sz w:val="24"/>
          <w:szCs w:val="24"/>
          <w:lang w:val="en-US" w:eastAsia="zh-CN"/>
        </w:rPr>
        <w:t>42.858</w:t>
      </w:r>
      <w:r>
        <w:rPr>
          <w:rFonts w:hint="default" w:ascii="Times New Roman" w:hAnsi="Times New Roman" w:cs="Times New Roman"/>
          <w:sz w:val="24"/>
          <w:szCs w:val="24"/>
          <w:lang w:val="en-US" w:eastAsia="zh-CN"/>
        </w:rPr>
        <w:t>μ</w:t>
      </w:r>
      <w:r>
        <w:rPr>
          <w:rFonts w:hint="default" w:ascii="Times New Roman" w:hAnsi="Times New Roman" w:eastAsia="宋体" w:cs="Times New Roman"/>
          <w:sz w:val="24"/>
          <w:szCs w:val="24"/>
        </w:rPr>
        <w:t>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，最大落地浓度离排放源的距离为</w:t>
      </w:r>
      <w:r>
        <w:rPr>
          <w:rFonts w:hint="eastAsia" w:ascii="Times New Roman" w:hAnsi="Times New Roman" w:cs="Times New Roman"/>
          <w:sz w:val="24"/>
          <w:szCs w:val="24"/>
          <w:lang w:val="en-US" w:eastAsia="zh-CN"/>
        </w:rPr>
        <w:t>68</w:t>
      </w:r>
      <w:r>
        <w:rPr>
          <w:rFonts w:hint="default" w:ascii="Times New Roman" w:hAnsi="Times New Roman" w:eastAsia="宋体" w:cs="Times New Roman"/>
          <w:sz w:val="24"/>
          <w:szCs w:val="24"/>
        </w:rPr>
        <w:t>m，占标率为</w:t>
      </w:r>
      <w:r>
        <w:rPr>
          <w:rFonts w:hint="eastAsia" w:cs="Times New Roman"/>
          <w:sz w:val="24"/>
          <w:szCs w:val="24"/>
          <w:lang w:val="en-US" w:eastAsia="zh-CN"/>
        </w:rPr>
        <w:t>4.73</w:t>
      </w:r>
      <w:r>
        <w:rPr>
          <w:rFonts w:hint="default" w:ascii="Times New Roman" w:hAnsi="Times New Roman" w:eastAsia="宋体" w:cs="Times New Roman"/>
          <w:sz w:val="24"/>
          <w:szCs w:val="24"/>
        </w:rPr>
        <w:t>%</w:t>
      </w:r>
      <w:r>
        <w:rPr>
          <w:rFonts w:hint="eastAsia" w:cs="Times New Roman"/>
          <w:sz w:val="24"/>
          <w:szCs w:val="24"/>
          <w:lang w:eastAsia="zh-CN"/>
        </w:rPr>
        <w:t>。</w:t>
      </w:r>
      <w:r>
        <w:rPr>
          <w:rFonts w:hint="default" w:ascii="Times New Roman" w:hAnsi="Times New Roman" w:eastAsia="宋体" w:cs="Times New Roman"/>
          <w:sz w:val="24"/>
          <w:szCs w:val="24"/>
        </w:rPr>
        <w:t>项目</w:t>
      </w:r>
      <w:r>
        <w:rPr>
          <w:rFonts w:hint="eastAsia" w:cs="Times New Roman"/>
          <w:sz w:val="24"/>
          <w:szCs w:val="24"/>
          <w:lang w:val="en-US" w:eastAsia="zh-CN"/>
        </w:rPr>
        <w:t>东</w:t>
      </w:r>
      <w:r>
        <w:rPr>
          <w:rFonts w:hint="eastAsia" w:ascii="Times New Roman" w:hAnsi="Times New Roman" w:cs="Times New Roman"/>
          <w:sz w:val="24"/>
          <w:szCs w:val="24"/>
          <w:lang w:val="en-US" w:eastAsia="zh-CN"/>
        </w:rPr>
        <w:t>部养殖区</w:t>
      </w:r>
      <w:r>
        <w:rPr>
          <w:rFonts w:hint="default" w:ascii="Times New Roman" w:hAnsi="Times New Roman" w:eastAsia="宋体" w:cs="Times New Roman"/>
          <w:sz w:val="24"/>
          <w:szCs w:val="24"/>
        </w:rPr>
        <w:t>产生的恶臭气体排放中NH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最大落地浓度为</w:t>
      </w:r>
      <w:r>
        <w:rPr>
          <w:rFonts w:hint="eastAsia" w:ascii="Times New Roman" w:hAnsi="Times New Roman" w:cs="Times New Roman"/>
          <w:sz w:val="24"/>
          <w:szCs w:val="24"/>
          <w:lang w:val="en-US" w:eastAsia="zh-CN"/>
        </w:rPr>
        <w:t>4.</w:t>
      </w:r>
      <w:r>
        <w:rPr>
          <w:rFonts w:hint="eastAsia" w:cs="Times New Roman"/>
          <w:sz w:val="24"/>
          <w:szCs w:val="24"/>
          <w:lang w:val="en-US" w:eastAsia="zh-CN"/>
        </w:rPr>
        <w:t>3467</w:t>
      </w:r>
      <w:r>
        <w:rPr>
          <w:rFonts w:hint="default" w:ascii="Times New Roman" w:hAnsi="Times New Roman" w:cs="Times New Roman"/>
          <w:sz w:val="24"/>
          <w:szCs w:val="24"/>
          <w:lang w:val="en-US" w:eastAsia="zh-CN"/>
        </w:rPr>
        <w:t>μ</w:t>
      </w:r>
      <w:r>
        <w:rPr>
          <w:rFonts w:hint="default" w:ascii="Times New Roman" w:hAnsi="Times New Roman" w:eastAsia="宋体" w:cs="Times New Roman"/>
          <w:sz w:val="24"/>
          <w:szCs w:val="24"/>
        </w:rPr>
        <w:t>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，最大落地浓度离排放源的距离为</w:t>
      </w:r>
      <w:r>
        <w:rPr>
          <w:rFonts w:hint="eastAsia" w:cs="Times New Roman"/>
          <w:sz w:val="24"/>
          <w:szCs w:val="24"/>
          <w:lang w:val="en-US" w:eastAsia="zh-CN"/>
        </w:rPr>
        <w:t>70</w:t>
      </w:r>
      <w:r>
        <w:rPr>
          <w:rFonts w:hint="default" w:ascii="Times New Roman" w:hAnsi="Times New Roman" w:eastAsia="宋体" w:cs="Times New Roman"/>
          <w:sz w:val="24"/>
          <w:szCs w:val="24"/>
        </w:rPr>
        <w:t>m，占标率为</w:t>
      </w:r>
      <w:r>
        <w:rPr>
          <w:rFonts w:hint="eastAsia" w:ascii="Times New Roman" w:hAnsi="Times New Roman" w:cs="Times New Roman"/>
          <w:sz w:val="24"/>
          <w:szCs w:val="24"/>
          <w:lang w:val="en-US" w:eastAsia="zh-CN"/>
        </w:rPr>
        <w:t>2.</w:t>
      </w:r>
      <w:r>
        <w:rPr>
          <w:rFonts w:hint="eastAsia" w:cs="Times New Roman"/>
          <w:sz w:val="24"/>
          <w:szCs w:val="24"/>
          <w:lang w:val="en-US" w:eastAsia="zh-CN"/>
        </w:rPr>
        <w:t>1</w:t>
      </w: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%；恶臭气体中H</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S最大落地浓度为</w:t>
      </w:r>
      <w:r>
        <w:rPr>
          <w:rFonts w:hint="eastAsia" w:ascii="Times New Roman" w:hAnsi="Times New Roman" w:cs="Times New Roman"/>
          <w:sz w:val="24"/>
          <w:szCs w:val="24"/>
          <w:lang w:val="en-US" w:eastAsia="zh-CN"/>
        </w:rPr>
        <w:t>0.4</w:t>
      </w:r>
      <w:r>
        <w:rPr>
          <w:rFonts w:hint="eastAsia" w:cs="Times New Roman"/>
          <w:sz w:val="24"/>
          <w:szCs w:val="24"/>
          <w:lang w:val="en-US" w:eastAsia="zh-CN"/>
        </w:rPr>
        <w:t>3467</w:t>
      </w:r>
      <w:r>
        <w:rPr>
          <w:rFonts w:hint="default" w:ascii="Times New Roman" w:hAnsi="Times New Roman" w:cs="Times New Roman"/>
          <w:sz w:val="24"/>
          <w:szCs w:val="24"/>
          <w:lang w:val="en-US" w:eastAsia="zh-CN"/>
        </w:rPr>
        <w:t>μ</w:t>
      </w:r>
      <w:r>
        <w:rPr>
          <w:rFonts w:hint="default" w:ascii="Times New Roman" w:hAnsi="Times New Roman" w:eastAsia="宋体" w:cs="Times New Roman"/>
          <w:sz w:val="24"/>
          <w:szCs w:val="24"/>
        </w:rPr>
        <w:t>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，最大落地浓度离排放源的距离为</w:t>
      </w:r>
      <w:r>
        <w:rPr>
          <w:rFonts w:hint="eastAsia" w:cs="Times New Roman"/>
          <w:sz w:val="24"/>
          <w:szCs w:val="24"/>
          <w:lang w:val="en-US" w:eastAsia="zh-CN"/>
        </w:rPr>
        <w:t>70</w:t>
      </w:r>
      <w:r>
        <w:rPr>
          <w:rFonts w:hint="default" w:ascii="Times New Roman" w:hAnsi="Times New Roman" w:eastAsia="宋体" w:cs="Times New Roman"/>
          <w:sz w:val="24"/>
          <w:szCs w:val="24"/>
        </w:rPr>
        <w:t>m，占标率为</w:t>
      </w:r>
      <w:r>
        <w:rPr>
          <w:rFonts w:hint="eastAsia" w:ascii="Times New Roman" w:hAnsi="Times New Roman" w:cs="Times New Roman"/>
          <w:sz w:val="24"/>
          <w:szCs w:val="24"/>
          <w:lang w:val="en-US" w:eastAsia="zh-CN"/>
        </w:rPr>
        <w:t>4.</w:t>
      </w:r>
      <w:r>
        <w:rPr>
          <w:rFonts w:hint="eastAsia" w:cs="Times New Roman"/>
          <w:sz w:val="24"/>
          <w:szCs w:val="24"/>
          <w:lang w:val="en-US" w:eastAsia="zh-CN"/>
        </w:rPr>
        <w:t>35</w:t>
      </w:r>
      <w:r>
        <w:rPr>
          <w:rFonts w:hint="default" w:ascii="Times New Roman" w:hAnsi="Times New Roman" w:eastAsia="宋体" w:cs="Times New Roman"/>
          <w:sz w:val="24"/>
          <w:szCs w:val="24"/>
        </w:rPr>
        <w:t>%；</w:t>
      </w:r>
      <w:r>
        <w:rPr>
          <w:rFonts w:hint="eastAsia" w:ascii="Times New Roman" w:hAnsi="Times New Roman" w:cs="Times New Roman"/>
          <w:sz w:val="24"/>
          <w:szCs w:val="24"/>
          <w:lang w:val="en-US" w:eastAsia="zh-CN"/>
        </w:rPr>
        <w:t>排放的TSP</w:t>
      </w:r>
      <w:r>
        <w:rPr>
          <w:rFonts w:hint="default" w:ascii="Times New Roman" w:hAnsi="Times New Roman" w:eastAsia="宋体" w:cs="Times New Roman"/>
          <w:sz w:val="24"/>
          <w:szCs w:val="24"/>
        </w:rPr>
        <w:t>最大落地浓度为</w:t>
      </w:r>
      <w:r>
        <w:rPr>
          <w:rFonts w:hint="eastAsia" w:cs="Times New Roman"/>
          <w:sz w:val="24"/>
          <w:szCs w:val="24"/>
          <w:lang w:val="en-US" w:eastAsia="zh-CN"/>
        </w:rPr>
        <w:t>40.83701</w:t>
      </w:r>
      <w:r>
        <w:rPr>
          <w:rFonts w:hint="default" w:ascii="Times New Roman" w:hAnsi="Times New Roman" w:cs="Times New Roman"/>
          <w:sz w:val="24"/>
          <w:szCs w:val="24"/>
          <w:lang w:val="en-US" w:eastAsia="zh-CN"/>
        </w:rPr>
        <w:t>μ</w:t>
      </w:r>
      <w:r>
        <w:rPr>
          <w:rFonts w:hint="default" w:ascii="Times New Roman" w:hAnsi="Times New Roman" w:eastAsia="宋体" w:cs="Times New Roman"/>
          <w:sz w:val="24"/>
          <w:szCs w:val="24"/>
        </w:rPr>
        <w:t>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，最大落地浓度离排放源的距离为</w:t>
      </w:r>
      <w:r>
        <w:rPr>
          <w:rFonts w:hint="eastAsia" w:cs="Times New Roman"/>
          <w:sz w:val="24"/>
          <w:szCs w:val="24"/>
          <w:lang w:val="en-US" w:eastAsia="zh-CN"/>
        </w:rPr>
        <w:t>70</w:t>
      </w:r>
      <w:r>
        <w:rPr>
          <w:rFonts w:hint="default" w:ascii="Times New Roman" w:hAnsi="Times New Roman" w:eastAsia="宋体" w:cs="Times New Roman"/>
          <w:sz w:val="24"/>
          <w:szCs w:val="24"/>
        </w:rPr>
        <w:t>m，占标率为</w:t>
      </w:r>
      <w:r>
        <w:rPr>
          <w:rFonts w:hint="eastAsia" w:cs="Times New Roman"/>
          <w:sz w:val="24"/>
          <w:szCs w:val="24"/>
          <w:lang w:val="en-US" w:eastAsia="zh-CN"/>
        </w:rPr>
        <w:t>4.54</w:t>
      </w:r>
      <w:r>
        <w:rPr>
          <w:rFonts w:hint="default" w:ascii="Times New Roman" w:hAnsi="Times New Roman" w:eastAsia="宋体" w:cs="Times New Roman"/>
          <w:sz w:val="24"/>
          <w:szCs w:val="24"/>
        </w:rPr>
        <w:t>%</w:t>
      </w:r>
      <w:r>
        <w:rPr>
          <w:rFonts w:hint="eastAsia" w:cs="Times New Roman"/>
          <w:sz w:val="24"/>
          <w:szCs w:val="24"/>
          <w:lang w:eastAsia="zh-CN"/>
        </w:rPr>
        <w:t>。</w:t>
      </w:r>
      <w:r>
        <w:rPr>
          <w:rFonts w:hint="default" w:ascii="Times New Roman" w:hAnsi="Times New Roman" w:eastAsia="宋体" w:cs="Times New Roman"/>
          <w:sz w:val="24"/>
          <w:szCs w:val="24"/>
        </w:rPr>
        <w:t>本项目运行后产生的无组织恶臭气体</w:t>
      </w:r>
      <w:r>
        <w:rPr>
          <w:rFonts w:hint="eastAsia" w:ascii="Times New Roman" w:hAnsi="Times New Roman" w:cs="Times New Roman"/>
          <w:sz w:val="24"/>
          <w:szCs w:val="24"/>
          <w:lang w:val="en-US" w:eastAsia="zh-CN"/>
        </w:rPr>
        <w:t>及TSP</w:t>
      </w:r>
      <w:r>
        <w:rPr>
          <w:rFonts w:hint="default" w:ascii="Times New Roman" w:hAnsi="Times New Roman" w:eastAsia="宋体" w:cs="Times New Roman"/>
          <w:sz w:val="24"/>
          <w:szCs w:val="24"/>
        </w:rPr>
        <w:t>排放对周围环境有一定的浓度贡献值，但其排放量很小，对周围环境的影响较小</w:t>
      </w:r>
    </w:p>
    <w:p>
      <w:pPr>
        <w:spacing w:line="360" w:lineRule="auto"/>
        <w:ind w:firstLine="480" w:firstLineChars="200"/>
        <w:rPr>
          <w:color w:val="FF0000"/>
          <w:kern w:val="0"/>
          <w:sz w:val="24"/>
          <w:u w:val="wave"/>
        </w:rPr>
      </w:pPr>
      <w:r>
        <w:rPr>
          <w:rFonts w:hint="eastAsia"/>
          <w:color w:val="FF0000"/>
          <w:kern w:val="0"/>
          <w:sz w:val="24"/>
          <w:u w:val="wave"/>
          <w:lang w:eastAsia="zh-CN"/>
        </w:rPr>
        <w:t>（</w:t>
      </w:r>
      <w:r>
        <w:rPr>
          <w:rFonts w:hint="eastAsia"/>
          <w:color w:val="FF0000"/>
          <w:kern w:val="0"/>
          <w:sz w:val="24"/>
          <w:u w:val="wave"/>
          <w:lang w:val="en-US" w:eastAsia="zh-CN"/>
        </w:rPr>
        <w:t>7</w:t>
      </w:r>
      <w:r>
        <w:rPr>
          <w:rFonts w:hint="eastAsia"/>
          <w:color w:val="FF0000"/>
          <w:kern w:val="0"/>
          <w:sz w:val="24"/>
          <w:u w:val="wave"/>
          <w:lang w:eastAsia="zh-CN"/>
        </w:rPr>
        <w:t>）</w:t>
      </w:r>
      <w:r>
        <w:rPr>
          <w:color w:val="FF0000"/>
          <w:kern w:val="0"/>
          <w:sz w:val="24"/>
          <w:u w:val="wave"/>
        </w:rPr>
        <w:t>对敏感点的影响分析</w:t>
      </w:r>
    </w:p>
    <w:p>
      <w:pPr>
        <w:spacing w:line="360" w:lineRule="auto"/>
        <w:ind w:firstLine="480" w:firstLineChars="200"/>
        <w:rPr>
          <w:color w:val="FF0000"/>
          <w:kern w:val="0"/>
          <w:sz w:val="24"/>
          <w:u w:val="wave"/>
        </w:rPr>
      </w:pPr>
      <w:r>
        <w:rPr>
          <w:color w:val="FF0000"/>
          <w:kern w:val="0"/>
          <w:sz w:val="24"/>
          <w:u w:val="wave"/>
        </w:rPr>
        <w:t>根据现场勘查，项目产生恶臭的区域</w:t>
      </w:r>
      <w:r>
        <w:rPr>
          <w:rFonts w:hint="eastAsia"/>
          <w:color w:val="FF0000"/>
          <w:kern w:val="0"/>
          <w:sz w:val="24"/>
          <w:u w:val="wave"/>
          <w:lang w:val="en-US" w:eastAsia="zh-CN"/>
        </w:rPr>
        <w:t>与</w:t>
      </w:r>
      <w:r>
        <w:rPr>
          <w:color w:val="FF0000"/>
          <w:kern w:val="0"/>
          <w:sz w:val="24"/>
          <w:u w:val="wave"/>
        </w:rPr>
        <w:t>周边的居民区相对较近，在不利条件下可能对其产生一定的影响，为了进一步减缓鸡舍、废水处理设施等产生的恶臭对胡家坪的影响，本次环评提出如下减缓措施：</w:t>
      </w:r>
    </w:p>
    <w:p>
      <w:pPr>
        <w:spacing w:line="360" w:lineRule="auto"/>
        <w:ind w:firstLine="480" w:firstLineChars="200"/>
        <w:rPr>
          <w:color w:val="FF0000"/>
          <w:kern w:val="0"/>
          <w:sz w:val="24"/>
          <w:u w:val="wave"/>
        </w:rPr>
      </w:pPr>
      <w:r>
        <w:rPr>
          <w:color w:val="FF0000"/>
          <w:kern w:val="0"/>
          <w:sz w:val="24"/>
          <w:u w:val="wave"/>
        </w:rPr>
        <w:t>①应当定期喷洒除臭剂，增加喷洒频次；</w:t>
      </w:r>
    </w:p>
    <w:p>
      <w:pPr>
        <w:spacing w:line="360" w:lineRule="auto"/>
        <w:ind w:firstLine="480" w:firstLineChars="200"/>
        <w:rPr>
          <w:color w:val="FF0000"/>
          <w:kern w:val="0"/>
          <w:sz w:val="24"/>
          <w:u w:val="wave"/>
        </w:rPr>
      </w:pPr>
      <w:r>
        <w:rPr>
          <w:color w:val="FF0000"/>
          <w:kern w:val="0"/>
          <w:sz w:val="24"/>
          <w:u w:val="wave"/>
        </w:rPr>
        <w:t>②场界四周设置高4-5m的绿色隔离带，并加高场区围墙，并种植芳香的木本植物；</w:t>
      </w:r>
    </w:p>
    <w:p>
      <w:pPr>
        <w:spacing w:line="360" w:lineRule="auto"/>
        <w:ind w:firstLine="480" w:firstLineChars="200"/>
        <w:rPr>
          <w:color w:val="FF0000"/>
          <w:kern w:val="0"/>
          <w:sz w:val="24"/>
          <w:u w:val="wave"/>
        </w:rPr>
      </w:pPr>
      <w:r>
        <w:rPr>
          <w:color w:val="FF0000"/>
          <w:kern w:val="0"/>
          <w:sz w:val="24"/>
          <w:u w:val="wave"/>
        </w:rPr>
        <w:t>③建议与周边村民签订劳务协议，将距离较近的村户变为员工宿舍，降低养殖舍对居民的影响；</w:t>
      </w:r>
    </w:p>
    <w:p>
      <w:pPr>
        <w:spacing w:line="360" w:lineRule="auto"/>
        <w:ind w:firstLine="480" w:firstLineChars="200"/>
        <w:rPr>
          <w:color w:val="FF0000"/>
          <w:kern w:val="0"/>
          <w:sz w:val="24"/>
          <w:u w:val="wave"/>
        </w:rPr>
      </w:pPr>
      <w:r>
        <w:rPr>
          <w:color w:val="FF0000"/>
          <w:kern w:val="0"/>
          <w:sz w:val="24"/>
          <w:u w:val="wave"/>
        </w:rPr>
        <w:t>④建议增加靠近居民区鸡舍中的鸡粪清理频次，做好鸡粪及时清运、鸡舍日常清扫；</w:t>
      </w:r>
    </w:p>
    <w:p>
      <w:pPr>
        <w:spacing w:line="360" w:lineRule="auto"/>
        <w:ind w:firstLine="480" w:firstLineChars="200"/>
        <w:rPr>
          <w:color w:val="FF0000"/>
          <w:kern w:val="0"/>
          <w:sz w:val="24"/>
          <w:u w:val="wave"/>
        </w:rPr>
      </w:pPr>
      <w:r>
        <w:rPr>
          <w:color w:val="FF0000"/>
          <w:kern w:val="0"/>
          <w:sz w:val="24"/>
          <w:u w:val="wave"/>
        </w:rPr>
        <w:t>⑤建议靠近居民区附近的鸡舍排风口远离居民区；</w:t>
      </w:r>
    </w:p>
    <w:p>
      <w:pPr>
        <w:spacing w:line="360" w:lineRule="auto"/>
        <w:ind w:firstLine="480" w:firstLineChars="200"/>
        <w:rPr>
          <w:color w:val="FF0000"/>
          <w:kern w:val="0"/>
          <w:sz w:val="24"/>
          <w:u w:val="wave"/>
        </w:rPr>
      </w:pPr>
      <w:r>
        <w:rPr>
          <w:color w:val="FF0000"/>
          <w:kern w:val="0"/>
          <w:sz w:val="24"/>
          <w:u w:val="wave"/>
        </w:rPr>
        <w:t>⑥定期对周边居民进行调查走访，如对其生活环境带来影响较大，建议对鸡舍产生的恶臭进行收集处理，调整为有组织排放来降低其影响。</w:t>
      </w:r>
    </w:p>
    <w:p>
      <w:pPr>
        <w:pStyle w:val="215"/>
        <w:ind w:firstLine="482"/>
        <w:rPr>
          <w:b/>
        </w:rPr>
      </w:pPr>
      <w:r>
        <w:rPr>
          <w:rFonts w:hint="eastAsia"/>
          <w:b/>
        </w:rPr>
        <w:t>2</w:t>
      </w:r>
      <w:r>
        <w:rPr>
          <w:b/>
        </w:rPr>
        <w:t>、大气污染物排放量核算</w:t>
      </w:r>
    </w:p>
    <w:p>
      <w:pPr>
        <w:spacing w:line="360" w:lineRule="auto"/>
        <w:ind w:firstLine="480" w:firstLineChars="200"/>
        <w:rPr>
          <w:rFonts w:hAnsiTheme="minorEastAsia" w:eastAsiaTheme="minorEastAsia"/>
          <w:kern w:val="0"/>
          <w:sz w:val="24"/>
          <w:szCs w:val="20"/>
        </w:rPr>
      </w:pPr>
      <w:r>
        <w:rPr>
          <w:rFonts w:eastAsiaTheme="minorEastAsia"/>
          <w:kern w:val="0"/>
          <w:sz w:val="24"/>
          <w:szCs w:val="20"/>
        </w:rPr>
        <w:t>本项目Pmax最大值出现为</w:t>
      </w:r>
      <w:r>
        <w:rPr>
          <w:rFonts w:hint="eastAsia" w:eastAsiaTheme="minorEastAsia"/>
          <w:kern w:val="0"/>
          <w:sz w:val="24"/>
          <w:szCs w:val="20"/>
          <w:lang w:val="en-US" w:eastAsia="zh-CN"/>
        </w:rPr>
        <w:t>南部养殖区</w:t>
      </w:r>
      <w:r>
        <w:rPr>
          <w:rFonts w:hint="eastAsia" w:eastAsiaTheme="minorEastAsia"/>
          <w:kern w:val="0"/>
          <w:sz w:val="24"/>
          <w:szCs w:val="20"/>
        </w:rPr>
        <w:t>无组织面源</w:t>
      </w:r>
      <w:r>
        <w:rPr>
          <w:rFonts w:eastAsiaTheme="minorEastAsia"/>
          <w:kern w:val="0"/>
          <w:sz w:val="24"/>
          <w:szCs w:val="20"/>
        </w:rPr>
        <w:t>排放的</w:t>
      </w:r>
      <w:r>
        <w:rPr>
          <w:rFonts w:hint="eastAsia" w:eastAsiaTheme="minorEastAsia"/>
          <w:kern w:val="0"/>
          <w:sz w:val="24"/>
          <w:szCs w:val="20"/>
          <w:lang w:val="en-US" w:eastAsia="zh-CN"/>
        </w:rPr>
        <w:t>TSP</w:t>
      </w:r>
      <w:r>
        <w:rPr>
          <w:rFonts w:eastAsiaTheme="minorEastAsia"/>
          <w:kern w:val="0"/>
          <w:sz w:val="24"/>
          <w:szCs w:val="20"/>
        </w:rPr>
        <w:t>，Pmax值为</w:t>
      </w:r>
      <w:r>
        <w:rPr>
          <w:rFonts w:hint="eastAsia" w:eastAsiaTheme="minorEastAsia"/>
          <w:kern w:val="0"/>
          <w:sz w:val="24"/>
          <w:szCs w:val="20"/>
          <w:lang w:val="en-US" w:eastAsia="zh-CN"/>
        </w:rPr>
        <w:t>4.73</w:t>
      </w:r>
      <w:r>
        <w:rPr>
          <w:rFonts w:eastAsiaTheme="minorEastAsia"/>
          <w:kern w:val="0"/>
          <w:sz w:val="24"/>
          <w:szCs w:val="20"/>
        </w:rPr>
        <w:t>%，Cmax为</w:t>
      </w:r>
      <w:r>
        <w:rPr>
          <w:rFonts w:hint="eastAsia" w:eastAsiaTheme="minorEastAsia"/>
          <w:kern w:val="0"/>
          <w:sz w:val="24"/>
          <w:szCs w:val="20"/>
        </w:rPr>
        <w:t>42.585</w:t>
      </w:r>
      <w:r>
        <w:rPr>
          <w:rFonts w:eastAsiaTheme="minorEastAsia"/>
          <w:kern w:val="0"/>
          <w:sz w:val="24"/>
          <w:szCs w:val="20"/>
        </w:rPr>
        <w:t>μg/m</w:t>
      </w:r>
      <w:r>
        <w:rPr>
          <w:rFonts w:eastAsiaTheme="minorEastAsia"/>
          <w:kern w:val="0"/>
          <w:sz w:val="24"/>
          <w:szCs w:val="20"/>
          <w:vertAlign w:val="superscript"/>
        </w:rPr>
        <w:t>3</w:t>
      </w:r>
      <w:r>
        <w:rPr>
          <w:rFonts w:hint="eastAsia" w:hAnsiTheme="minorEastAsia" w:eastAsiaTheme="minorEastAsia"/>
          <w:kern w:val="0"/>
          <w:sz w:val="24"/>
          <w:szCs w:val="20"/>
        </w:rPr>
        <w:t>，根据《环境影响评价技术导则 大气环境》（HJ2.2-2018）分级判据，确定本项目大气环境影响评价工作等级为二级，从而确定本项目大气环境影响评价范围为以排放源为中心，沿主导风向主轴边长5km，垂直于主导风向边长5km的方形范围</w:t>
      </w:r>
      <w:r>
        <w:rPr>
          <w:rFonts w:hAnsiTheme="minorEastAsia" w:eastAsiaTheme="minorEastAsia"/>
          <w:kern w:val="0"/>
          <w:sz w:val="24"/>
          <w:szCs w:val="20"/>
        </w:rPr>
        <w:t>。</w:t>
      </w:r>
    </w:p>
    <w:p>
      <w:pPr>
        <w:pStyle w:val="215"/>
      </w:pPr>
      <w:r>
        <w:t>根据《环境影响评价技术导则</w:t>
      </w:r>
      <w:r>
        <w:rPr>
          <w:rFonts w:hint="eastAsia"/>
        </w:rPr>
        <w:t xml:space="preserve">  </w:t>
      </w:r>
      <w:r>
        <w:t>大气环境》（HJ2.2-2018），二级评价项目不进行进一步预测与评价，只对污染物排放量进行核算。</w:t>
      </w:r>
    </w:p>
    <w:p>
      <w:pPr>
        <w:pStyle w:val="215"/>
      </w:pPr>
      <w:r>
        <w:rPr>
          <w:rFonts w:hint="eastAsia"/>
        </w:rPr>
        <w:t>本项目大气污染物无组织排放量核算见表6.2-</w:t>
      </w:r>
      <w:r>
        <w:rPr>
          <w:rFonts w:hint="eastAsia"/>
          <w:lang w:val="en-US" w:eastAsia="zh-CN"/>
        </w:rPr>
        <w:t>7</w:t>
      </w:r>
      <w:r>
        <w:rPr>
          <w:rFonts w:hint="eastAsia"/>
        </w:rPr>
        <w:t>，项目大气污染物年排放量核算表见表6.2-</w:t>
      </w:r>
      <w:r>
        <w:rPr>
          <w:rFonts w:hint="eastAsia"/>
          <w:lang w:val="en-US" w:eastAsia="zh-CN"/>
        </w:rPr>
        <w:t>8</w:t>
      </w:r>
      <w:r>
        <w:rPr>
          <w:rFonts w:hint="eastAsia"/>
        </w:rPr>
        <w:t>。</w:t>
      </w:r>
    </w:p>
    <w:p>
      <w:pPr>
        <w:pStyle w:val="263"/>
        <w:spacing w:beforeLines="50" w:line="240" w:lineRule="auto"/>
        <w:ind w:firstLine="0"/>
        <w:jc w:val="center"/>
        <w:rPr>
          <w:rFonts w:ascii="Times New Roman" w:hAnsi="Times New Roman"/>
          <w:b/>
          <w:sz w:val="21"/>
          <w:szCs w:val="21"/>
        </w:rPr>
      </w:pPr>
      <w:r>
        <w:rPr>
          <w:rFonts w:ascii="Times New Roman" w:hAnsi="Times New Roman"/>
          <w:b/>
          <w:sz w:val="21"/>
          <w:szCs w:val="21"/>
        </w:rPr>
        <w:t>表6.2-</w:t>
      </w:r>
      <w:r>
        <w:rPr>
          <w:rFonts w:hint="eastAsia" w:ascii="Times New Roman" w:hAnsi="Times New Roman"/>
          <w:b/>
          <w:sz w:val="21"/>
          <w:szCs w:val="21"/>
          <w:lang w:val="en-US" w:eastAsia="zh-CN"/>
        </w:rPr>
        <w:t>7</w:t>
      </w:r>
      <w:r>
        <w:rPr>
          <w:rFonts w:ascii="Times New Roman" w:hAnsi="Times New Roman"/>
          <w:b/>
          <w:sz w:val="21"/>
          <w:szCs w:val="21"/>
        </w:rPr>
        <w:t xml:space="preserve">  大气污染物无组织排放预测结果表</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7"/>
        <w:gridCol w:w="831"/>
        <w:gridCol w:w="849"/>
        <w:gridCol w:w="711"/>
        <w:gridCol w:w="1786"/>
        <w:gridCol w:w="1741"/>
        <w:gridCol w:w="1134"/>
        <w:gridCol w:w="10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250" w:type="pct"/>
            <w:vMerge w:val="restart"/>
            <w:vAlign w:val="center"/>
          </w:tcPr>
          <w:p>
            <w:pPr>
              <w:jc w:val="center"/>
              <w:rPr>
                <w:b/>
                <w:szCs w:val="21"/>
              </w:rPr>
            </w:pPr>
            <w:r>
              <w:rPr>
                <w:b/>
                <w:szCs w:val="21"/>
              </w:rPr>
              <w:t>序号</w:t>
            </w:r>
          </w:p>
        </w:tc>
        <w:tc>
          <w:tcPr>
            <w:tcW w:w="487" w:type="pct"/>
            <w:vMerge w:val="restart"/>
            <w:vAlign w:val="center"/>
          </w:tcPr>
          <w:p>
            <w:pPr>
              <w:jc w:val="center"/>
              <w:rPr>
                <w:b/>
                <w:szCs w:val="21"/>
              </w:rPr>
            </w:pPr>
            <w:r>
              <w:rPr>
                <w:b/>
                <w:szCs w:val="21"/>
              </w:rPr>
              <w:t>排放口编号</w:t>
            </w:r>
          </w:p>
        </w:tc>
        <w:tc>
          <w:tcPr>
            <w:tcW w:w="497" w:type="pct"/>
            <w:vMerge w:val="restart"/>
            <w:vAlign w:val="center"/>
          </w:tcPr>
          <w:p>
            <w:pPr>
              <w:jc w:val="center"/>
              <w:rPr>
                <w:b/>
                <w:szCs w:val="21"/>
              </w:rPr>
            </w:pPr>
            <w:r>
              <w:rPr>
                <w:b/>
                <w:szCs w:val="21"/>
              </w:rPr>
              <w:t>产污环节</w:t>
            </w:r>
          </w:p>
        </w:tc>
        <w:tc>
          <w:tcPr>
            <w:tcW w:w="416" w:type="pct"/>
            <w:vMerge w:val="restart"/>
            <w:vAlign w:val="center"/>
          </w:tcPr>
          <w:p>
            <w:pPr>
              <w:jc w:val="center"/>
              <w:rPr>
                <w:b/>
                <w:szCs w:val="21"/>
              </w:rPr>
            </w:pPr>
            <w:r>
              <w:rPr>
                <w:b/>
                <w:szCs w:val="21"/>
              </w:rPr>
              <w:t>污染物</w:t>
            </w:r>
          </w:p>
        </w:tc>
        <w:tc>
          <w:tcPr>
            <w:tcW w:w="1047" w:type="pct"/>
            <w:vMerge w:val="restart"/>
            <w:vAlign w:val="center"/>
          </w:tcPr>
          <w:p>
            <w:pPr>
              <w:jc w:val="center"/>
              <w:rPr>
                <w:b/>
                <w:szCs w:val="21"/>
              </w:rPr>
            </w:pPr>
            <w:r>
              <w:rPr>
                <w:b/>
                <w:szCs w:val="21"/>
              </w:rPr>
              <w:t>主要污染防治措施</w:t>
            </w:r>
          </w:p>
        </w:tc>
        <w:tc>
          <w:tcPr>
            <w:tcW w:w="1685" w:type="pct"/>
            <w:gridSpan w:val="2"/>
            <w:vAlign w:val="center"/>
          </w:tcPr>
          <w:p>
            <w:pPr>
              <w:jc w:val="center"/>
              <w:rPr>
                <w:b/>
                <w:szCs w:val="21"/>
              </w:rPr>
            </w:pPr>
            <w:r>
              <w:rPr>
                <w:b/>
                <w:szCs w:val="21"/>
              </w:rPr>
              <w:t>国家或地方污染物排放标准</w:t>
            </w:r>
          </w:p>
        </w:tc>
        <w:tc>
          <w:tcPr>
            <w:tcW w:w="615" w:type="pct"/>
            <w:vMerge w:val="restart"/>
            <w:vAlign w:val="center"/>
          </w:tcPr>
          <w:p>
            <w:pPr>
              <w:jc w:val="center"/>
              <w:rPr>
                <w:b/>
                <w:szCs w:val="21"/>
              </w:rPr>
            </w:pPr>
            <w:r>
              <w:rPr>
                <w:b/>
                <w:szCs w:val="21"/>
              </w:rPr>
              <w:t>年排放量（t/a）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0" w:type="pct"/>
            <w:vMerge w:val="continue"/>
            <w:vAlign w:val="center"/>
          </w:tcPr>
          <w:p>
            <w:pPr>
              <w:jc w:val="center"/>
              <w:rPr>
                <w:b/>
                <w:szCs w:val="21"/>
              </w:rPr>
            </w:pPr>
          </w:p>
        </w:tc>
        <w:tc>
          <w:tcPr>
            <w:tcW w:w="487" w:type="pct"/>
            <w:vMerge w:val="continue"/>
            <w:vAlign w:val="center"/>
          </w:tcPr>
          <w:p>
            <w:pPr>
              <w:jc w:val="center"/>
              <w:rPr>
                <w:b/>
                <w:szCs w:val="21"/>
              </w:rPr>
            </w:pPr>
          </w:p>
        </w:tc>
        <w:tc>
          <w:tcPr>
            <w:tcW w:w="497" w:type="pct"/>
            <w:vMerge w:val="continue"/>
            <w:vAlign w:val="center"/>
          </w:tcPr>
          <w:p>
            <w:pPr>
              <w:jc w:val="center"/>
              <w:rPr>
                <w:b/>
                <w:szCs w:val="21"/>
              </w:rPr>
            </w:pPr>
          </w:p>
        </w:tc>
        <w:tc>
          <w:tcPr>
            <w:tcW w:w="416" w:type="pct"/>
            <w:vMerge w:val="continue"/>
            <w:vAlign w:val="center"/>
          </w:tcPr>
          <w:p>
            <w:pPr>
              <w:jc w:val="center"/>
              <w:rPr>
                <w:b/>
                <w:szCs w:val="21"/>
              </w:rPr>
            </w:pPr>
          </w:p>
        </w:tc>
        <w:tc>
          <w:tcPr>
            <w:tcW w:w="1047" w:type="pct"/>
            <w:vMerge w:val="continue"/>
            <w:vAlign w:val="center"/>
          </w:tcPr>
          <w:p>
            <w:pPr>
              <w:jc w:val="center"/>
              <w:rPr>
                <w:b/>
                <w:szCs w:val="21"/>
              </w:rPr>
            </w:pPr>
          </w:p>
        </w:tc>
        <w:tc>
          <w:tcPr>
            <w:tcW w:w="1020" w:type="pct"/>
            <w:vAlign w:val="center"/>
          </w:tcPr>
          <w:p>
            <w:pPr>
              <w:jc w:val="center"/>
              <w:rPr>
                <w:b/>
                <w:szCs w:val="21"/>
              </w:rPr>
            </w:pPr>
            <w:r>
              <w:rPr>
                <w:b/>
                <w:szCs w:val="21"/>
              </w:rPr>
              <w:t>标准名称</w:t>
            </w:r>
          </w:p>
        </w:tc>
        <w:tc>
          <w:tcPr>
            <w:tcW w:w="664" w:type="pct"/>
            <w:vAlign w:val="center"/>
          </w:tcPr>
          <w:p>
            <w:pPr>
              <w:jc w:val="center"/>
              <w:rPr>
                <w:b/>
                <w:szCs w:val="21"/>
              </w:rPr>
            </w:pPr>
            <w:r>
              <w:rPr>
                <w:b/>
                <w:spacing w:val="-11"/>
                <w:szCs w:val="21"/>
              </w:rPr>
              <w:t>浓度限值（</w:t>
            </w:r>
            <w:r>
              <w:rPr>
                <w:b/>
                <w:szCs w:val="21"/>
              </w:rPr>
              <w:t>μ</w:t>
            </w:r>
            <w:r>
              <w:rPr>
                <w:b/>
                <w:spacing w:val="-11"/>
                <w:szCs w:val="21"/>
              </w:rPr>
              <w:t>g/m³）</w:t>
            </w:r>
          </w:p>
        </w:tc>
        <w:tc>
          <w:tcPr>
            <w:tcW w:w="615" w:type="pct"/>
            <w:vMerge w:val="continue"/>
            <w:vAlign w:val="center"/>
          </w:tcPr>
          <w:p>
            <w:pPr>
              <w:jc w:val="center"/>
              <w:rPr>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2" w:hRule="atLeast"/>
          <w:jc w:val="center"/>
        </w:trPr>
        <w:tc>
          <w:tcPr>
            <w:tcW w:w="250" w:type="pct"/>
            <w:vMerge w:val="restart"/>
            <w:vAlign w:val="center"/>
          </w:tcPr>
          <w:p>
            <w:pPr>
              <w:jc w:val="center"/>
              <w:rPr>
                <w:szCs w:val="21"/>
              </w:rPr>
            </w:pPr>
            <w:r>
              <w:rPr>
                <w:szCs w:val="21"/>
              </w:rPr>
              <w:t>1</w:t>
            </w:r>
          </w:p>
        </w:tc>
        <w:tc>
          <w:tcPr>
            <w:tcW w:w="487" w:type="pct"/>
            <w:vMerge w:val="restart"/>
            <w:vAlign w:val="center"/>
          </w:tcPr>
          <w:p>
            <w:pPr>
              <w:jc w:val="center"/>
              <w:rPr>
                <w:szCs w:val="21"/>
              </w:rPr>
            </w:pPr>
            <w:r>
              <w:rPr>
                <w:rFonts w:hint="eastAsia"/>
                <w:szCs w:val="21"/>
              </w:rPr>
              <w:t>A1</w:t>
            </w:r>
          </w:p>
        </w:tc>
        <w:tc>
          <w:tcPr>
            <w:tcW w:w="497" w:type="pct"/>
            <w:vMerge w:val="restart"/>
            <w:vAlign w:val="center"/>
          </w:tcPr>
          <w:p>
            <w:pPr>
              <w:jc w:val="center"/>
              <w:rPr>
                <w:szCs w:val="21"/>
              </w:rPr>
            </w:pPr>
            <w:r>
              <w:rPr>
                <w:rFonts w:hint="eastAsia"/>
                <w:szCs w:val="21"/>
              </w:rPr>
              <w:t>鸡</w:t>
            </w:r>
            <w:r>
              <w:rPr>
                <w:szCs w:val="21"/>
              </w:rPr>
              <w:t>舍</w:t>
            </w:r>
          </w:p>
        </w:tc>
        <w:tc>
          <w:tcPr>
            <w:tcW w:w="416" w:type="pct"/>
            <w:vAlign w:val="center"/>
          </w:tcPr>
          <w:p>
            <w:pPr>
              <w:jc w:val="center"/>
              <w:rPr>
                <w:szCs w:val="21"/>
              </w:rPr>
            </w:pPr>
            <w:r>
              <w:rPr>
                <w:szCs w:val="21"/>
              </w:rPr>
              <w:t>NH</w:t>
            </w:r>
            <w:r>
              <w:rPr>
                <w:szCs w:val="21"/>
                <w:vertAlign w:val="subscript"/>
              </w:rPr>
              <w:t>3</w:t>
            </w:r>
          </w:p>
        </w:tc>
        <w:tc>
          <w:tcPr>
            <w:tcW w:w="1047" w:type="pct"/>
            <w:vMerge w:val="restart"/>
            <w:vAlign w:val="center"/>
          </w:tcPr>
          <w:p>
            <w:pPr>
              <w:jc w:val="center"/>
              <w:rPr>
                <w:rFonts w:hint="default" w:eastAsia="宋体"/>
                <w:szCs w:val="21"/>
                <w:lang w:val="en-US" w:eastAsia="zh-CN"/>
              </w:rPr>
            </w:pPr>
            <w:r>
              <w:rPr>
                <w:rFonts w:hint="eastAsia"/>
                <w:szCs w:val="21"/>
              </w:rPr>
              <w:t>采用干清粪方式、日产日清，在日粮中添加EM菌，在鸡舍定期喷洒微生物制剂、酶制剂和植物提取液等活性物质</w:t>
            </w:r>
            <w:r>
              <w:rPr>
                <w:rFonts w:hint="eastAsia"/>
                <w:szCs w:val="21"/>
                <w:lang w:eastAsia="zh-CN"/>
              </w:rPr>
              <w:t>；</w:t>
            </w:r>
            <w:r>
              <w:rPr>
                <w:rFonts w:hint="eastAsia"/>
                <w:szCs w:val="21"/>
                <w:lang w:val="en-US" w:eastAsia="zh-CN"/>
              </w:rPr>
              <w:t>喷雾抑尘</w:t>
            </w:r>
          </w:p>
        </w:tc>
        <w:tc>
          <w:tcPr>
            <w:tcW w:w="1020" w:type="pct"/>
            <w:vMerge w:val="restart"/>
            <w:vAlign w:val="center"/>
          </w:tcPr>
          <w:p>
            <w:pPr>
              <w:jc w:val="center"/>
              <w:rPr>
                <w:szCs w:val="21"/>
              </w:rPr>
            </w:pPr>
            <w:r>
              <w:rPr>
                <w:szCs w:val="21"/>
              </w:rPr>
              <w:t>《恶臭污染物排放标准》（GB14554-93）中二级标准</w:t>
            </w:r>
          </w:p>
        </w:tc>
        <w:tc>
          <w:tcPr>
            <w:tcW w:w="664" w:type="pct"/>
            <w:vAlign w:val="center"/>
          </w:tcPr>
          <w:p>
            <w:pPr>
              <w:jc w:val="center"/>
              <w:rPr>
                <w:szCs w:val="21"/>
              </w:rPr>
            </w:pPr>
            <w:r>
              <w:rPr>
                <w:szCs w:val="21"/>
              </w:rPr>
              <w:t>1500</w:t>
            </w:r>
          </w:p>
        </w:tc>
        <w:tc>
          <w:tcPr>
            <w:tcW w:w="615" w:type="pct"/>
            <w:vAlign w:val="center"/>
          </w:tcPr>
          <w:p>
            <w:pPr>
              <w:pStyle w:val="146"/>
              <w:jc w:val="center"/>
              <w:rPr>
                <w:rFonts w:hint="default" w:ascii="Times New Roman" w:cs="Times New Roman" w:eastAsiaTheme="minorEastAsia"/>
                <w:color w:val="auto"/>
                <w:sz w:val="21"/>
                <w:szCs w:val="21"/>
                <w:lang w:val="en-US" w:eastAsia="zh-CN"/>
              </w:rPr>
            </w:pPr>
            <w:r>
              <w:rPr>
                <w:rFonts w:hint="eastAsia" w:ascii="Times New Roman" w:cs="Times New Roman" w:eastAsiaTheme="minorEastAsia"/>
                <w:color w:val="auto"/>
                <w:sz w:val="21"/>
                <w:szCs w:val="21"/>
                <w:lang w:val="en-US" w:eastAsia="zh-CN"/>
              </w:rPr>
              <w:t>0.1752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02" w:hRule="atLeast"/>
          <w:jc w:val="center"/>
        </w:trPr>
        <w:tc>
          <w:tcPr>
            <w:tcW w:w="250" w:type="pct"/>
            <w:vMerge w:val="continue"/>
            <w:vAlign w:val="center"/>
          </w:tcPr>
          <w:p>
            <w:pPr>
              <w:jc w:val="center"/>
              <w:rPr>
                <w:szCs w:val="21"/>
              </w:rPr>
            </w:pPr>
          </w:p>
        </w:tc>
        <w:tc>
          <w:tcPr>
            <w:tcW w:w="487" w:type="pct"/>
            <w:vMerge w:val="continue"/>
            <w:vAlign w:val="center"/>
          </w:tcPr>
          <w:p>
            <w:pPr>
              <w:jc w:val="center"/>
              <w:rPr>
                <w:szCs w:val="21"/>
              </w:rPr>
            </w:pPr>
          </w:p>
        </w:tc>
        <w:tc>
          <w:tcPr>
            <w:tcW w:w="497" w:type="pct"/>
            <w:vMerge w:val="continue"/>
            <w:vAlign w:val="center"/>
          </w:tcPr>
          <w:p>
            <w:pPr>
              <w:jc w:val="center"/>
              <w:rPr>
                <w:spacing w:val="-11"/>
                <w:szCs w:val="21"/>
              </w:rPr>
            </w:pPr>
          </w:p>
        </w:tc>
        <w:tc>
          <w:tcPr>
            <w:tcW w:w="416" w:type="pct"/>
            <w:vAlign w:val="center"/>
          </w:tcPr>
          <w:p>
            <w:pPr>
              <w:jc w:val="center"/>
              <w:rPr>
                <w:szCs w:val="21"/>
              </w:rPr>
            </w:pPr>
            <w:r>
              <w:rPr>
                <w:szCs w:val="21"/>
              </w:rPr>
              <w:t>H</w:t>
            </w:r>
            <w:r>
              <w:rPr>
                <w:szCs w:val="21"/>
                <w:vertAlign w:val="subscript"/>
              </w:rPr>
              <w:t>2</w:t>
            </w:r>
            <w:r>
              <w:rPr>
                <w:szCs w:val="21"/>
              </w:rPr>
              <w:t>S</w:t>
            </w:r>
          </w:p>
        </w:tc>
        <w:tc>
          <w:tcPr>
            <w:tcW w:w="1047" w:type="pct"/>
            <w:vMerge w:val="continue"/>
            <w:vAlign w:val="center"/>
          </w:tcPr>
          <w:p>
            <w:pPr>
              <w:jc w:val="center"/>
              <w:rPr>
                <w:szCs w:val="21"/>
              </w:rPr>
            </w:pPr>
          </w:p>
        </w:tc>
        <w:tc>
          <w:tcPr>
            <w:tcW w:w="1020" w:type="pct"/>
            <w:vMerge w:val="continue"/>
            <w:vAlign w:val="center"/>
          </w:tcPr>
          <w:p>
            <w:pPr>
              <w:jc w:val="center"/>
              <w:rPr>
                <w:szCs w:val="21"/>
              </w:rPr>
            </w:pPr>
          </w:p>
        </w:tc>
        <w:tc>
          <w:tcPr>
            <w:tcW w:w="664" w:type="pct"/>
            <w:vAlign w:val="center"/>
          </w:tcPr>
          <w:p>
            <w:pPr>
              <w:jc w:val="center"/>
              <w:rPr>
                <w:szCs w:val="21"/>
              </w:rPr>
            </w:pPr>
            <w:r>
              <w:rPr>
                <w:szCs w:val="21"/>
              </w:rPr>
              <w:t>60</w:t>
            </w:r>
          </w:p>
        </w:tc>
        <w:tc>
          <w:tcPr>
            <w:tcW w:w="615" w:type="pct"/>
            <w:vAlign w:val="center"/>
          </w:tcPr>
          <w:p>
            <w:pPr>
              <w:pStyle w:val="146"/>
              <w:jc w:val="center"/>
              <w:rPr>
                <w:rFonts w:hint="default" w:ascii="Times New Roman" w:cs="Times New Roman" w:eastAsiaTheme="minorEastAsia"/>
                <w:color w:val="auto"/>
                <w:sz w:val="21"/>
                <w:szCs w:val="21"/>
                <w:lang w:val="en-US" w:eastAsia="zh-CN"/>
              </w:rPr>
            </w:pPr>
            <w:r>
              <w:rPr>
                <w:rFonts w:hint="eastAsia" w:ascii="Times New Roman" w:cs="Times New Roman" w:eastAsiaTheme="minorEastAsia"/>
                <w:color w:val="auto"/>
                <w:sz w:val="21"/>
                <w:szCs w:val="21"/>
                <w:lang w:val="en-US" w:eastAsia="zh-CN"/>
              </w:rPr>
              <w:t>0.01752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50" w:type="pct"/>
            <w:vMerge w:val="continue"/>
            <w:vAlign w:val="center"/>
          </w:tcPr>
          <w:p>
            <w:pPr>
              <w:jc w:val="center"/>
              <w:rPr>
                <w:szCs w:val="21"/>
              </w:rPr>
            </w:pPr>
          </w:p>
        </w:tc>
        <w:tc>
          <w:tcPr>
            <w:tcW w:w="487" w:type="pct"/>
            <w:vMerge w:val="continue"/>
            <w:vAlign w:val="center"/>
          </w:tcPr>
          <w:p>
            <w:pPr>
              <w:jc w:val="center"/>
              <w:rPr>
                <w:szCs w:val="21"/>
              </w:rPr>
            </w:pPr>
          </w:p>
        </w:tc>
        <w:tc>
          <w:tcPr>
            <w:tcW w:w="497" w:type="pct"/>
            <w:vMerge w:val="continue"/>
            <w:vAlign w:val="center"/>
          </w:tcPr>
          <w:p>
            <w:pPr>
              <w:jc w:val="center"/>
              <w:rPr>
                <w:spacing w:val="-11"/>
                <w:szCs w:val="21"/>
              </w:rPr>
            </w:pPr>
          </w:p>
        </w:tc>
        <w:tc>
          <w:tcPr>
            <w:tcW w:w="416" w:type="pct"/>
            <w:vAlign w:val="center"/>
          </w:tcPr>
          <w:p>
            <w:pPr>
              <w:jc w:val="center"/>
              <w:rPr>
                <w:rFonts w:hint="default" w:eastAsia="宋体"/>
                <w:szCs w:val="21"/>
                <w:lang w:val="en-US" w:eastAsia="zh-CN"/>
              </w:rPr>
            </w:pPr>
            <w:r>
              <w:rPr>
                <w:rFonts w:hint="eastAsia"/>
                <w:szCs w:val="21"/>
                <w:lang w:val="en-US" w:eastAsia="zh-CN"/>
              </w:rPr>
              <w:t>TSP</w:t>
            </w:r>
          </w:p>
        </w:tc>
        <w:tc>
          <w:tcPr>
            <w:tcW w:w="1047" w:type="pct"/>
            <w:vMerge w:val="continue"/>
            <w:vAlign w:val="center"/>
          </w:tcPr>
          <w:p>
            <w:pPr>
              <w:jc w:val="center"/>
              <w:rPr>
                <w:szCs w:val="21"/>
              </w:rPr>
            </w:pPr>
          </w:p>
        </w:tc>
        <w:tc>
          <w:tcPr>
            <w:tcW w:w="1020" w:type="pct"/>
            <w:vAlign w:val="center"/>
          </w:tcPr>
          <w:p>
            <w:pPr>
              <w:jc w:val="center"/>
              <w:rPr>
                <w:rFonts w:hint="default" w:eastAsia="宋体"/>
                <w:szCs w:val="21"/>
                <w:lang w:val="en-US" w:eastAsia="zh-CN"/>
              </w:rPr>
            </w:pPr>
            <w:r>
              <w:rPr>
                <w:kern w:val="0"/>
                <w:szCs w:val="21"/>
              </w:rPr>
              <w:t>《环境空气质量标准》（GB3095-2012）</w:t>
            </w:r>
            <w:r>
              <w:rPr>
                <w:rFonts w:hint="eastAsia"/>
                <w:kern w:val="0"/>
                <w:szCs w:val="21"/>
                <w:lang w:val="en-US" w:eastAsia="zh-CN"/>
              </w:rPr>
              <w:t>日均值3倍</w:t>
            </w:r>
          </w:p>
        </w:tc>
        <w:tc>
          <w:tcPr>
            <w:tcW w:w="664" w:type="pct"/>
            <w:vAlign w:val="center"/>
          </w:tcPr>
          <w:p>
            <w:pPr>
              <w:jc w:val="center"/>
              <w:rPr>
                <w:rFonts w:hint="default" w:eastAsia="宋体"/>
                <w:szCs w:val="21"/>
                <w:lang w:val="en-US" w:eastAsia="zh-CN"/>
              </w:rPr>
            </w:pPr>
            <w:r>
              <w:rPr>
                <w:rFonts w:hint="eastAsia"/>
                <w:szCs w:val="21"/>
                <w:lang w:val="en-US" w:eastAsia="zh-CN"/>
              </w:rPr>
              <w:t>900</w:t>
            </w:r>
          </w:p>
        </w:tc>
        <w:tc>
          <w:tcPr>
            <w:tcW w:w="615" w:type="pct"/>
            <w:vAlign w:val="center"/>
          </w:tcPr>
          <w:p>
            <w:pPr>
              <w:pStyle w:val="146"/>
              <w:jc w:val="center"/>
              <w:rPr>
                <w:rFonts w:hint="default" w:ascii="Times New Roman" w:cs="Times New Roman" w:eastAsiaTheme="minorEastAsia"/>
                <w:color w:val="auto"/>
                <w:sz w:val="21"/>
                <w:szCs w:val="21"/>
                <w:lang w:val="en-US" w:eastAsia="zh-CN"/>
              </w:rPr>
            </w:pPr>
            <w:r>
              <w:rPr>
                <w:rFonts w:hint="eastAsia" w:ascii="Times New Roman" w:cs="Times New Roman" w:eastAsiaTheme="minorEastAsia"/>
                <w:color w:val="auto"/>
                <w:sz w:val="21"/>
                <w:szCs w:val="21"/>
                <w:lang w:val="en-US" w:eastAsia="zh-CN"/>
              </w:rPr>
              <w:t>1.77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7" w:hRule="atLeast"/>
          <w:jc w:val="center"/>
        </w:trPr>
        <w:tc>
          <w:tcPr>
            <w:tcW w:w="250" w:type="pct"/>
            <w:vMerge w:val="restart"/>
            <w:vAlign w:val="center"/>
          </w:tcPr>
          <w:p>
            <w:pPr>
              <w:jc w:val="center"/>
              <w:rPr>
                <w:szCs w:val="21"/>
              </w:rPr>
            </w:pPr>
            <w:r>
              <w:rPr>
                <w:rFonts w:hint="eastAsia"/>
                <w:szCs w:val="21"/>
              </w:rPr>
              <w:t>2</w:t>
            </w:r>
          </w:p>
        </w:tc>
        <w:tc>
          <w:tcPr>
            <w:tcW w:w="487" w:type="pct"/>
            <w:vMerge w:val="restart"/>
            <w:vAlign w:val="center"/>
          </w:tcPr>
          <w:p>
            <w:pPr>
              <w:jc w:val="center"/>
              <w:rPr>
                <w:szCs w:val="21"/>
              </w:rPr>
            </w:pPr>
            <w:r>
              <w:rPr>
                <w:rFonts w:hint="eastAsia"/>
                <w:szCs w:val="21"/>
              </w:rPr>
              <w:t>A2</w:t>
            </w:r>
          </w:p>
        </w:tc>
        <w:tc>
          <w:tcPr>
            <w:tcW w:w="497" w:type="pct"/>
            <w:vMerge w:val="restart"/>
            <w:vAlign w:val="center"/>
          </w:tcPr>
          <w:p>
            <w:pPr>
              <w:jc w:val="center"/>
              <w:rPr>
                <w:spacing w:val="-11"/>
                <w:szCs w:val="21"/>
              </w:rPr>
            </w:pPr>
            <w:r>
              <w:rPr>
                <w:szCs w:val="21"/>
              </w:rPr>
              <w:t>鸡粪室外输送</w:t>
            </w:r>
          </w:p>
        </w:tc>
        <w:tc>
          <w:tcPr>
            <w:tcW w:w="416" w:type="pct"/>
            <w:vAlign w:val="center"/>
          </w:tcPr>
          <w:p>
            <w:pPr>
              <w:jc w:val="center"/>
              <w:rPr>
                <w:szCs w:val="21"/>
              </w:rPr>
            </w:pPr>
            <w:r>
              <w:rPr>
                <w:szCs w:val="21"/>
              </w:rPr>
              <w:t>NH</w:t>
            </w:r>
            <w:r>
              <w:rPr>
                <w:szCs w:val="21"/>
                <w:vertAlign w:val="subscript"/>
              </w:rPr>
              <w:t>3</w:t>
            </w:r>
          </w:p>
        </w:tc>
        <w:tc>
          <w:tcPr>
            <w:tcW w:w="1047" w:type="pct"/>
            <w:vMerge w:val="restart"/>
            <w:vAlign w:val="center"/>
          </w:tcPr>
          <w:p>
            <w:pPr>
              <w:jc w:val="center"/>
              <w:rPr>
                <w:szCs w:val="21"/>
              </w:rPr>
            </w:pPr>
            <w:r>
              <w:rPr>
                <w:rFonts w:hint="eastAsia"/>
                <w:spacing w:val="-11"/>
                <w:szCs w:val="21"/>
              </w:rPr>
              <w:t>设置密封输送廊道、</w:t>
            </w:r>
            <w:r>
              <w:rPr>
                <w:rFonts w:hint="eastAsia"/>
                <w:spacing w:val="-11"/>
                <w:szCs w:val="21"/>
                <w:lang w:val="en-US" w:eastAsia="zh-CN"/>
              </w:rPr>
              <w:t>喷雾除臭</w:t>
            </w:r>
            <w:r>
              <w:rPr>
                <w:rFonts w:hint="eastAsia"/>
                <w:spacing w:val="-11"/>
                <w:szCs w:val="21"/>
              </w:rPr>
              <w:t>、加强</w:t>
            </w:r>
            <w:r>
              <w:rPr>
                <w:rFonts w:hint="eastAsia"/>
                <w:spacing w:val="-11"/>
                <w:szCs w:val="21"/>
                <w:lang w:val="en-US" w:eastAsia="zh-CN"/>
              </w:rPr>
              <w:t>周边</w:t>
            </w:r>
            <w:r>
              <w:rPr>
                <w:rFonts w:hint="eastAsia"/>
                <w:spacing w:val="-11"/>
                <w:szCs w:val="21"/>
              </w:rPr>
              <w:t>绿化</w:t>
            </w:r>
          </w:p>
        </w:tc>
        <w:tc>
          <w:tcPr>
            <w:tcW w:w="1020" w:type="pct"/>
            <w:vMerge w:val="restart"/>
            <w:vAlign w:val="center"/>
          </w:tcPr>
          <w:p>
            <w:pPr>
              <w:jc w:val="center"/>
              <w:rPr>
                <w:szCs w:val="21"/>
              </w:rPr>
            </w:pPr>
            <w:r>
              <w:rPr>
                <w:szCs w:val="21"/>
              </w:rPr>
              <w:t>《恶臭污染物排放标准》（GB14554-93）中二级标准</w:t>
            </w:r>
          </w:p>
        </w:tc>
        <w:tc>
          <w:tcPr>
            <w:tcW w:w="664" w:type="pct"/>
            <w:vAlign w:val="center"/>
          </w:tcPr>
          <w:p>
            <w:pPr>
              <w:jc w:val="center"/>
              <w:rPr>
                <w:szCs w:val="21"/>
              </w:rPr>
            </w:pPr>
            <w:r>
              <w:rPr>
                <w:szCs w:val="21"/>
              </w:rPr>
              <w:t>1500</w:t>
            </w:r>
          </w:p>
        </w:tc>
        <w:tc>
          <w:tcPr>
            <w:tcW w:w="615" w:type="pct"/>
            <w:vAlign w:val="center"/>
          </w:tcPr>
          <w:p>
            <w:pPr>
              <w:autoSpaceDE w:val="0"/>
              <w:autoSpaceDN w:val="0"/>
              <w:adjustRightInd w:val="0"/>
              <w:jc w:val="center"/>
              <w:rPr>
                <w:rFonts w:hint="default" w:eastAsia="宋体"/>
                <w:szCs w:val="21"/>
                <w:lang w:val="en-US" w:eastAsia="zh-CN"/>
              </w:rPr>
            </w:pPr>
            <w:r>
              <w:rPr>
                <w:rFonts w:hint="eastAsia" w:eastAsia="宋体"/>
                <w:szCs w:val="21"/>
                <w:lang w:val="en-US" w:eastAsia="zh-CN"/>
              </w:rPr>
              <w:t>0.0132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250" w:type="pct"/>
            <w:vMerge w:val="continue"/>
            <w:vAlign w:val="center"/>
          </w:tcPr>
          <w:p>
            <w:pPr>
              <w:jc w:val="center"/>
              <w:rPr>
                <w:szCs w:val="21"/>
              </w:rPr>
            </w:pPr>
          </w:p>
        </w:tc>
        <w:tc>
          <w:tcPr>
            <w:tcW w:w="487" w:type="pct"/>
            <w:vMerge w:val="continue"/>
            <w:vAlign w:val="center"/>
          </w:tcPr>
          <w:p>
            <w:pPr>
              <w:jc w:val="center"/>
              <w:rPr>
                <w:szCs w:val="21"/>
              </w:rPr>
            </w:pPr>
          </w:p>
        </w:tc>
        <w:tc>
          <w:tcPr>
            <w:tcW w:w="497" w:type="pct"/>
            <w:vMerge w:val="continue"/>
            <w:vAlign w:val="center"/>
          </w:tcPr>
          <w:p>
            <w:pPr>
              <w:jc w:val="center"/>
              <w:rPr>
                <w:spacing w:val="-11"/>
                <w:szCs w:val="21"/>
              </w:rPr>
            </w:pPr>
          </w:p>
        </w:tc>
        <w:tc>
          <w:tcPr>
            <w:tcW w:w="416" w:type="pct"/>
            <w:vAlign w:val="center"/>
          </w:tcPr>
          <w:p>
            <w:pPr>
              <w:jc w:val="center"/>
              <w:rPr>
                <w:szCs w:val="21"/>
              </w:rPr>
            </w:pPr>
            <w:r>
              <w:rPr>
                <w:szCs w:val="21"/>
              </w:rPr>
              <w:t>H</w:t>
            </w:r>
            <w:r>
              <w:rPr>
                <w:szCs w:val="21"/>
                <w:vertAlign w:val="subscript"/>
              </w:rPr>
              <w:t>2</w:t>
            </w:r>
            <w:r>
              <w:rPr>
                <w:szCs w:val="21"/>
              </w:rPr>
              <w:t>S</w:t>
            </w:r>
          </w:p>
        </w:tc>
        <w:tc>
          <w:tcPr>
            <w:tcW w:w="1047" w:type="pct"/>
            <w:vMerge w:val="continue"/>
            <w:vAlign w:val="center"/>
          </w:tcPr>
          <w:p>
            <w:pPr>
              <w:jc w:val="center"/>
              <w:rPr>
                <w:szCs w:val="21"/>
              </w:rPr>
            </w:pPr>
          </w:p>
        </w:tc>
        <w:tc>
          <w:tcPr>
            <w:tcW w:w="1020" w:type="pct"/>
            <w:vMerge w:val="continue"/>
            <w:vAlign w:val="center"/>
          </w:tcPr>
          <w:p>
            <w:pPr>
              <w:jc w:val="center"/>
              <w:rPr>
                <w:szCs w:val="21"/>
              </w:rPr>
            </w:pPr>
          </w:p>
        </w:tc>
        <w:tc>
          <w:tcPr>
            <w:tcW w:w="664" w:type="pct"/>
            <w:vAlign w:val="center"/>
          </w:tcPr>
          <w:p>
            <w:pPr>
              <w:jc w:val="center"/>
              <w:rPr>
                <w:szCs w:val="21"/>
              </w:rPr>
            </w:pPr>
            <w:r>
              <w:rPr>
                <w:szCs w:val="21"/>
              </w:rPr>
              <w:t>60</w:t>
            </w:r>
          </w:p>
        </w:tc>
        <w:tc>
          <w:tcPr>
            <w:tcW w:w="615" w:type="pct"/>
            <w:vAlign w:val="center"/>
          </w:tcPr>
          <w:p>
            <w:pPr>
              <w:autoSpaceDE w:val="0"/>
              <w:autoSpaceDN w:val="0"/>
              <w:adjustRightInd w:val="0"/>
              <w:jc w:val="center"/>
              <w:rPr>
                <w:rFonts w:hint="default" w:eastAsia="宋体"/>
                <w:szCs w:val="21"/>
                <w:lang w:val="en-US" w:eastAsia="zh-CN"/>
              </w:rPr>
            </w:pPr>
            <w:r>
              <w:rPr>
                <w:rFonts w:hint="eastAsia" w:eastAsia="宋体"/>
                <w:szCs w:val="21"/>
                <w:lang w:val="en-US" w:eastAsia="zh-CN"/>
              </w:rPr>
              <w:t>0.00132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jc w:val="center"/>
        </w:trPr>
        <w:tc>
          <w:tcPr>
            <w:tcW w:w="1652" w:type="pct"/>
            <w:gridSpan w:val="4"/>
            <w:vMerge w:val="restart"/>
            <w:vAlign w:val="center"/>
          </w:tcPr>
          <w:p>
            <w:pPr>
              <w:jc w:val="center"/>
              <w:rPr>
                <w:szCs w:val="21"/>
              </w:rPr>
            </w:pPr>
            <w:r>
              <w:rPr>
                <w:szCs w:val="21"/>
              </w:rPr>
              <w:t>无组织排放总计</w:t>
            </w:r>
          </w:p>
        </w:tc>
        <w:tc>
          <w:tcPr>
            <w:tcW w:w="2067" w:type="pct"/>
            <w:gridSpan w:val="2"/>
            <w:vAlign w:val="center"/>
          </w:tcPr>
          <w:p>
            <w:pPr>
              <w:jc w:val="center"/>
              <w:rPr>
                <w:szCs w:val="21"/>
              </w:rPr>
            </w:pPr>
            <w:r>
              <w:rPr>
                <w:szCs w:val="21"/>
              </w:rPr>
              <w:t>NH</w:t>
            </w:r>
            <w:r>
              <w:rPr>
                <w:szCs w:val="21"/>
                <w:vertAlign w:val="subscript"/>
              </w:rPr>
              <w:t>3</w:t>
            </w:r>
          </w:p>
        </w:tc>
        <w:tc>
          <w:tcPr>
            <w:tcW w:w="1279" w:type="pct"/>
            <w:gridSpan w:val="2"/>
            <w:vAlign w:val="center"/>
          </w:tcPr>
          <w:p>
            <w:pPr>
              <w:jc w:val="center"/>
              <w:rPr>
                <w:rFonts w:hint="default" w:eastAsia="宋体"/>
                <w:szCs w:val="21"/>
                <w:lang w:val="en-US" w:eastAsia="zh-CN"/>
              </w:rPr>
            </w:pPr>
            <w:r>
              <w:rPr>
                <w:rFonts w:hint="eastAsia"/>
                <w:szCs w:val="21"/>
                <w:lang w:val="en-US" w:eastAsia="zh-CN"/>
              </w:rPr>
              <w:t>0.1884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52" w:type="pct"/>
            <w:gridSpan w:val="4"/>
            <w:vMerge w:val="continue"/>
            <w:vAlign w:val="center"/>
          </w:tcPr>
          <w:p>
            <w:pPr>
              <w:jc w:val="center"/>
              <w:rPr>
                <w:szCs w:val="21"/>
              </w:rPr>
            </w:pPr>
          </w:p>
        </w:tc>
        <w:tc>
          <w:tcPr>
            <w:tcW w:w="2067" w:type="pct"/>
            <w:gridSpan w:val="2"/>
            <w:vAlign w:val="center"/>
          </w:tcPr>
          <w:p>
            <w:pPr>
              <w:jc w:val="center"/>
              <w:rPr>
                <w:szCs w:val="21"/>
              </w:rPr>
            </w:pPr>
            <w:r>
              <w:rPr>
                <w:szCs w:val="21"/>
              </w:rPr>
              <w:t>H</w:t>
            </w:r>
            <w:r>
              <w:rPr>
                <w:szCs w:val="21"/>
                <w:vertAlign w:val="subscript"/>
              </w:rPr>
              <w:t>2</w:t>
            </w:r>
            <w:r>
              <w:rPr>
                <w:szCs w:val="21"/>
              </w:rPr>
              <w:t>S</w:t>
            </w:r>
          </w:p>
        </w:tc>
        <w:tc>
          <w:tcPr>
            <w:tcW w:w="1279" w:type="pct"/>
            <w:gridSpan w:val="2"/>
            <w:vAlign w:val="center"/>
          </w:tcPr>
          <w:p>
            <w:pPr>
              <w:jc w:val="center"/>
              <w:rPr>
                <w:rFonts w:hint="default" w:eastAsia="宋体"/>
                <w:szCs w:val="21"/>
                <w:lang w:val="en-US" w:eastAsia="zh-CN"/>
              </w:rPr>
            </w:pPr>
            <w:r>
              <w:rPr>
                <w:rFonts w:hint="eastAsia"/>
                <w:szCs w:val="21"/>
                <w:lang w:val="en-US" w:eastAsia="zh-CN"/>
              </w:rPr>
              <w:t>0.01884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52" w:type="pct"/>
            <w:gridSpan w:val="4"/>
            <w:vMerge w:val="continue"/>
            <w:vAlign w:val="center"/>
          </w:tcPr>
          <w:p>
            <w:pPr>
              <w:jc w:val="center"/>
              <w:rPr>
                <w:szCs w:val="21"/>
              </w:rPr>
            </w:pPr>
          </w:p>
        </w:tc>
        <w:tc>
          <w:tcPr>
            <w:tcW w:w="2067" w:type="pct"/>
            <w:gridSpan w:val="2"/>
            <w:vAlign w:val="center"/>
          </w:tcPr>
          <w:p>
            <w:pPr>
              <w:jc w:val="center"/>
              <w:rPr>
                <w:rFonts w:hint="default" w:eastAsia="宋体"/>
                <w:szCs w:val="21"/>
                <w:lang w:val="en-US" w:eastAsia="zh-CN"/>
              </w:rPr>
            </w:pPr>
            <w:r>
              <w:rPr>
                <w:rFonts w:hint="eastAsia"/>
                <w:szCs w:val="21"/>
                <w:lang w:val="en-US" w:eastAsia="zh-CN"/>
              </w:rPr>
              <w:t>TSP</w:t>
            </w:r>
          </w:p>
        </w:tc>
        <w:tc>
          <w:tcPr>
            <w:tcW w:w="1279" w:type="pct"/>
            <w:gridSpan w:val="2"/>
            <w:vAlign w:val="center"/>
          </w:tcPr>
          <w:p>
            <w:pPr>
              <w:jc w:val="center"/>
              <w:rPr>
                <w:rFonts w:hint="default" w:eastAsia="宋体"/>
                <w:szCs w:val="21"/>
                <w:lang w:val="en-US" w:eastAsia="zh-CN"/>
              </w:rPr>
            </w:pPr>
            <w:r>
              <w:rPr>
                <w:rFonts w:hint="eastAsia"/>
                <w:szCs w:val="21"/>
                <w:lang w:val="en-US" w:eastAsia="zh-CN"/>
              </w:rPr>
              <w:t>1.77</w:t>
            </w:r>
          </w:p>
        </w:tc>
      </w:tr>
    </w:tbl>
    <w:p>
      <w:pPr>
        <w:pStyle w:val="263"/>
        <w:spacing w:beforeLines="50" w:line="240" w:lineRule="auto"/>
        <w:ind w:firstLine="0"/>
        <w:jc w:val="center"/>
        <w:rPr>
          <w:rFonts w:ascii="Times New Roman" w:hAnsi="Times New Roman" w:cs="Times New Roman"/>
          <w:b/>
          <w:sz w:val="21"/>
          <w:szCs w:val="21"/>
        </w:rPr>
      </w:pPr>
      <w:r>
        <w:rPr>
          <w:rFonts w:ascii="Times New Roman" w:hAnsi="Times New Roman" w:cs="Times New Roman"/>
          <w:b/>
          <w:sz w:val="21"/>
          <w:szCs w:val="21"/>
        </w:rPr>
        <w:t>表6.2-</w:t>
      </w:r>
      <w:r>
        <w:rPr>
          <w:rFonts w:hint="eastAsia" w:ascii="Times New Roman" w:hAnsi="Times New Roman" w:cs="Times New Roman"/>
          <w:b/>
          <w:sz w:val="21"/>
          <w:szCs w:val="21"/>
          <w:lang w:val="en-US" w:eastAsia="zh-CN"/>
        </w:rPr>
        <w:t>8</w:t>
      </w:r>
      <w:r>
        <w:rPr>
          <w:rFonts w:ascii="Times New Roman" w:hAnsi="Times New Roman" w:cs="Times New Roman"/>
          <w:b/>
          <w:sz w:val="21"/>
          <w:szCs w:val="21"/>
        </w:rPr>
        <w:t xml:space="preserve">  大气污染物年排放量核算表（总量）</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2"/>
        <w:gridCol w:w="2843"/>
        <w:gridCol w:w="28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6" w:type="pct"/>
            <w:vAlign w:val="center"/>
          </w:tcPr>
          <w:p>
            <w:pPr>
              <w:jc w:val="center"/>
              <w:rPr>
                <w:b/>
              </w:rPr>
            </w:pPr>
            <w:r>
              <w:rPr>
                <w:b/>
              </w:rPr>
              <w:t>序号</w:t>
            </w:r>
          </w:p>
        </w:tc>
        <w:tc>
          <w:tcPr>
            <w:tcW w:w="1666" w:type="pct"/>
            <w:vAlign w:val="center"/>
          </w:tcPr>
          <w:p>
            <w:pPr>
              <w:jc w:val="center"/>
              <w:rPr>
                <w:b/>
              </w:rPr>
            </w:pPr>
            <w:r>
              <w:rPr>
                <w:b/>
              </w:rPr>
              <w:t>污染物</w:t>
            </w:r>
          </w:p>
        </w:tc>
        <w:tc>
          <w:tcPr>
            <w:tcW w:w="1666" w:type="pct"/>
            <w:vAlign w:val="center"/>
          </w:tcPr>
          <w:p>
            <w:pPr>
              <w:jc w:val="center"/>
              <w:rPr>
                <w:b/>
              </w:rPr>
            </w:pPr>
            <w:r>
              <w:rPr>
                <w:b/>
              </w:rPr>
              <w:t>年排放量（t/a）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6" w:type="pct"/>
            <w:vAlign w:val="center"/>
          </w:tcPr>
          <w:p>
            <w:pPr>
              <w:jc w:val="center"/>
            </w:pPr>
            <w:r>
              <w:t>1</w:t>
            </w:r>
          </w:p>
        </w:tc>
        <w:tc>
          <w:tcPr>
            <w:tcW w:w="1666" w:type="pct"/>
            <w:vAlign w:val="center"/>
          </w:tcPr>
          <w:p>
            <w:pPr>
              <w:jc w:val="center"/>
              <w:rPr>
                <w:szCs w:val="21"/>
              </w:rPr>
            </w:pPr>
            <w:r>
              <w:rPr>
                <w:szCs w:val="21"/>
              </w:rPr>
              <w:t>NH</w:t>
            </w:r>
            <w:r>
              <w:rPr>
                <w:szCs w:val="21"/>
                <w:vertAlign w:val="subscript"/>
              </w:rPr>
              <w:t>3</w:t>
            </w:r>
          </w:p>
        </w:tc>
        <w:tc>
          <w:tcPr>
            <w:tcW w:w="1666" w:type="pct"/>
            <w:vAlign w:val="center"/>
          </w:tcPr>
          <w:p>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0.1884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6" w:type="pct"/>
            <w:vAlign w:val="center"/>
          </w:tcPr>
          <w:p>
            <w:pPr>
              <w:jc w:val="center"/>
            </w:pPr>
            <w:r>
              <w:t>2</w:t>
            </w:r>
          </w:p>
        </w:tc>
        <w:tc>
          <w:tcPr>
            <w:tcW w:w="1666" w:type="pct"/>
            <w:vAlign w:val="center"/>
          </w:tcPr>
          <w:p>
            <w:pPr>
              <w:jc w:val="center"/>
              <w:rPr>
                <w:szCs w:val="21"/>
              </w:rPr>
            </w:pPr>
            <w:r>
              <w:rPr>
                <w:szCs w:val="21"/>
              </w:rPr>
              <w:t>H</w:t>
            </w:r>
            <w:r>
              <w:rPr>
                <w:szCs w:val="21"/>
                <w:vertAlign w:val="subscript"/>
              </w:rPr>
              <w:t>2</w:t>
            </w:r>
            <w:r>
              <w:rPr>
                <w:szCs w:val="21"/>
              </w:rPr>
              <w:t>S</w:t>
            </w:r>
          </w:p>
        </w:tc>
        <w:tc>
          <w:tcPr>
            <w:tcW w:w="1666" w:type="pct"/>
            <w:vAlign w:val="center"/>
          </w:tcPr>
          <w:p>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0.01884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6" w:type="pct"/>
            <w:vAlign w:val="center"/>
          </w:tcPr>
          <w:p>
            <w:pPr>
              <w:jc w:val="center"/>
              <w:rPr>
                <w:rFonts w:hint="eastAsia" w:eastAsia="宋体"/>
                <w:lang w:val="en-US" w:eastAsia="zh-CN"/>
              </w:rPr>
            </w:pPr>
            <w:r>
              <w:rPr>
                <w:rFonts w:hint="eastAsia"/>
                <w:lang w:val="en-US" w:eastAsia="zh-CN"/>
              </w:rPr>
              <w:t>3</w:t>
            </w:r>
          </w:p>
        </w:tc>
        <w:tc>
          <w:tcPr>
            <w:tcW w:w="1666" w:type="pct"/>
            <w:vAlign w:val="center"/>
          </w:tcPr>
          <w:p>
            <w:pPr>
              <w:jc w:val="center"/>
              <w:rPr>
                <w:rFonts w:hint="default" w:eastAsia="宋体"/>
                <w:szCs w:val="21"/>
                <w:lang w:val="en-US" w:eastAsia="zh-CN"/>
              </w:rPr>
            </w:pPr>
            <w:r>
              <w:rPr>
                <w:rFonts w:hint="eastAsia"/>
                <w:szCs w:val="21"/>
                <w:lang w:val="en-US" w:eastAsia="zh-CN"/>
              </w:rPr>
              <w:t>TSP</w:t>
            </w:r>
          </w:p>
        </w:tc>
        <w:tc>
          <w:tcPr>
            <w:tcW w:w="1666" w:type="pct"/>
            <w:vAlign w:val="center"/>
          </w:tcPr>
          <w:p>
            <w:pPr>
              <w:jc w:val="center"/>
              <w:rPr>
                <w:rFonts w:hint="default" w:ascii="Times New Roman" w:hAnsi="Times New Roman" w:eastAsia="宋体" w:cs="Times New Roman"/>
                <w:kern w:val="2"/>
                <w:sz w:val="21"/>
                <w:szCs w:val="21"/>
                <w:lang w:val="en-US" w:eastAsia="zh-CN" w:bidi="ar-SA"/>
              </w:rPr>
            </w:pPr>
            <w:r>
              <w:rPr>
                <w:rFonts w:hint="eastAsia"/>
                <w:szCs w:val="21"/>
                <w:lang w:val="en-US" w:eastAsia="zh-CN"/>
              </w:rPr>
              <w:t>1.77</w:t>
            </w:r>
          </w:p>
        </w:tc>
      </w:tr>
    </w:tbl>
    <w:p>
      <w:pPr>
        <w:pStyle w:val="215"/>
        <w:ind w:firstLine="482"/>
        <w:rPr>
          <w:rFonts w:eastAsiaTheme="minorEastAsia"/>
          <w:b/>
        </w:rPr>
      </w:pPr>
      <w:r>
        <w:rPr>
          <w:rFonts w:hint="eastAsia" w:eastAsiaTheme="minorEastAsia"/>
          <w:b/>
        </w:rPr>
        <w:t>3</w:t>
      </w:r>
      <w:r>
        <w:rPr>
          <w:rFonts w:hAnsiTheme="minorEastAsia" w:eastAsiaTheme="minorEastAsia"/>
          <w:b/>
        </w:rPr>
        <w:t>、大气</w:t>
      </w:r>
      <w:r>
        <w:rPr>
          <w:rFonts w:hint="eastAsia" w:hAnsiTheme="minorEastAsia" w:eastAsiaTheme="minorEastAsia"/>
          <w:b/>
        </w:rPr>
        <w:t>环境</w:t>
      </w:r>
      <w:r>
        <w:rPr>
          <w:rFonts w:hAnsiTheme="minorEastAsia" w:eastAsiaTheme="minorEastAsia"/>
          <w:b/>
        </w:rPr>
        <w:t>防护距离</w:t>
      </w:r>
    </w:p>
    <w:p>
      <w:pPr>
        <w:pStyle w:val="215"/>
      </w:pPr>
      <w:r>
        <w:t>按照《环境影响评价技术导则</w:t>
      </w:r>
      <w:r>
        <w:rPr>
          <w:rFonts w:hint="eastAsia"/>
        </w:rPr>
        <w:t xml:space="preserve">  </w:t>
      </w:r>
      <w:r>
        <w:t>大气环境》（HJ2.2-2018）中的要求，应采用推荐模式中的大气环境防护距离模式，计算各排放源的大气环境防护距离。计算出的距离是以厂界向外设置一定范围的大气环境防护区域，以确保大气环境防护区域外的污染物贡献浓度满足环境质量标准。在大气环境防护距离内不应有长期居住的人群。</w:t>
      </w:r>
    </w:p>
    <w:p>
      <w:pPr>
        <w:pStyle w:val="215"/>
      </w:pPr>
      <w:r>
        <w:t>对于项目厂界浓度超过大气污染物厂界浓度限值的，应要求削减排放源强或调整工程布局，待满足厂界浓度限值后，再核算大气环境防护距离。</w:t>
      </w:r>
    </w:p>
    <w:p>
      <w:pPr>
        <w:pStyle w:val="215"/>
        <w:rPr>
          <w:rFonts w:hAnsiTheme="minorEastAsia" w:eastAsiaTheme="minorEastAsia"/>
        </w:rPr>
      </w:pPr>
      <w:r>
        <w:t>根据设计方案，依据废气源强，结合厂区总平面布置，本评价采用《环境影响评价技术导则</w:t>
      </w:r>
      <w:r>
        <w:rPr>
          <w:rFonts w:hint="eastAsia"/>
        </w:rPr>
        <w:t xml:space="preserve">  </w:t>
      </w:r>
      <w:r>
        <w:t>大气环境》（HJ2.2-2018）中的推荐模式，计算各废气源的大气环境防护距离。结果显示，项目生产过程中产生的废气污染物在厂界外没有出现浓度超标点。因此，本项目不需要设置大气环境防护距离</w:t>
      </w:r>
      <w:r>
        <w:rPr>
          <w:rFonts w:hAnsiTheme="minorEastAsia" w:eastAsiaTheme="minorEastAsia"/>
        </w:rPr>
        <w:t>。</w:t>
      </w:r>
    </w:p>
    <w:p>
      <w:pPr>
        <w:pStyle w:val="215"/>
        <w:ind w:firstLine="482"/>
        <w:rPr>
          <w:rFonts w:hAnsiTheme="minorEastAsia" w:eastAsiaTheme="minorEastAsia"/>
          <w:b/>
        </w:rPr>
      </w:pPr>
      <w:r>
        <w:rPr>
          <w:rFonts w:hint="eastAsia" w:hAnsiTheme="minorEastAsia" w:eastAsiaTheme="minorEastAsia"/>
          <w:b/>
        </w:rPr>
        <w:t>4、卫生环境防护距离</w:t>
      </w:r>
    </w:p>
    <w:p>
      <w:pPr>
        <w:autoSpaceDE w:val="0"/>
        <w:autoSpaceDN w:val="0"/>
        <w:adjustRightInd w:val="0"/>
        <w:spacing w:line="360" w:lineRule="auto"/>
        <w:ind w:firstLine="480" w:firstLineChars="200"/>
        <w:rPr>
          <w:kern w:val="0"/>
          <w:sz w:val="24"/>
          <w:szCs w:val="20"/>
        </w:rPr>
      </w:pPr>
      <w:r>
        <w:rPr>
          <w:rFonts w:hint="eastAsia"/>
          <w:kern w:val="0"/>
          <w:sz w:val="24"/>
          <w:szCs w:val="20"/>
        </w:rPr>
        <w:t>（1）卫生防护距离计算</w:t>
      </w:r>
    </w:p>
    <w:p>
      <w:pPr>
        <w:autoSpaceDE w:val="0"/>
        <w:autoSpaceDN w:val="0"/>
        <w:adjustRightInd w:val="0"/>
        <w:spacing w:line="360" w:lineRule="auto"/>
        <w:ind w:firstLine="480" w:firstLineChars="200"/>
        <w:rPr>
          <w:kern w:val="0"/>
          <w:sz w:val="24"/>
          <w:szCs w:val="20"/>
        </w:rPr>
      </w:pPr>
      <w:r>
        <w:rPr>
          <w:kern w:val="0"/>
          <w:sz w:val="24"/>
          <w:szCs w:val="20"/>
        </w:rPr>
        <w:t>依据《制定地方大气污染物排放标准的技术方法》（GB/T 3840-91）中相关要求，无组织排放的有害气体进入呼吸带大气层时，其浓度如超过GB3095与TJ36规定的居住区容许浓度限值，则无组织排放源所在的生产单元(生产区、车间或工段)与居住区之间应设置卫生环境防护距离。</w:t>
      </w:r>
    </w:p>
    <w:p>
      <w:pPr>
        <w:pStyle w:val="215"/>
        <w:rPr>
          <w:rFonts w:hAnsiTheme="minorEastAsia" w:eastAsiaTheme="minorEastAsia"/>
        </w:rPr>
      </w:pPr>
      <w:r>
        <w:t>根据有害气体无组织排放控制与工业企业卫生环境防护距离标准的制定方法，工业企业应设置的卫生环境防护距离按下式计算：</w:t>
      </w:r>
    </w:p>
    <w:p>
      <w:pPr>
        <w:pStyle w:val="215"/>
        <w:rPr>
          <w:rFonts w:hAnsiTheme="minorEastAsia" w:eastAsiaTheme="minorEastAsia"/>
        </w:rPr>
      </w:pPr>
      <w:r>
        <w:rPr>
          <w:rFonts w:hAnsiTheme="minorEastAsia" w:eastAsiaTheme="minorEastAsia"/>
        </w:rPr>
        <w:pict>
          <v:group id="_x0000_s1082" o:spid="_x0000_s1082" o:spt="203" style="height:36.85pt;width:178.5pt;" coordsize="3570,737" editas="canvas">
            <o:lock v:ext="edit"/>
            <v:shape id="_x0000_s1083" o:spid="_x0000_s1083" o:spt="75" type="#_x0000_t75" style="position:absolute;left:0;top:0;height:737;width:3570;" fillcolor="#FFFFFF" filled="t" stroked="f" coordsize="21600,21600">
              <v:path/>
              <v:fill on="t" color2="#FFFFFF" focussize="0,0"/>
              <v:stroke on="f"/>
              <v:imagedata o:title=""/>
              <o:lock v:ext="edit" text="t" aspectratio="t"/>
            </v:shape>
            <v:line id="_x0000_s1084" o:spid="_x0000_s1084" o:spt="20" style="position:absolute;left:46;top:336;height:1;width:377;" filled="f" stroked="t" coordsize="21600,21600">
              <v:path arrowok="t"/>
              <v:fill on="f" focussize="0,0"/>
              <v:stroke weight="0.6pt" color="#000000"/>
              <v:imagedata o:title=""/>
              <o:lock v:ext="edit" aspectratio="f"/>
            </v:line>
            <v:line id="_x0000_s1085" o:spid="_x0000_s1085" o:spt="20" style="position:absolute;left:691;top:336;height:1;width:214;" filled="f" stroked="t" coordsize="21600,21600">
              <v:path arrowok="t"/>
              <v:fill on="f" focussize="0,0"/>
              <v:stroke weight="0.6pt" color="#000000"/>
              <v:imagedata o:title=""/>
              <o:lock v:ext="edit" aspectratio="f"/>
            </v:line>
            <v:rect id="_x0000_s1086" o:spid="_x0000_s1086" o:spt="1" style="position:absolute;left:3395;top:153;height:161;width:102;mso-wrap-style:none;" filled="f" stroked="f" coordsize="21600,21600">
              <v:path/>
              <v:fill on="f" focussize="0,0"/>
              <v:stroke on="f"/>
              <v:imagedata o:title=""/>
              <o:lock v:ext="edit" aspectratio="f"/>
              <v:textbox inset="0mm,0mm,0mm,0mm" style="mso-fit-shape-to-text:t;">
                <w:txbxContent>
                  <w:p>
                    <w:r>
                      <w:rPr>
                        <w:i/>
                        <w:iCs/>
                        <w:color w:val="000000"/>
                        <w:kern w:val="0"/>
                        <w:sz w:val="14"/>
                        <w:szCs w:val="14"/>
                      </w:rPr>
                      <w:t>D</w:t>
                    </w:r>
                  </w:p>
                </w:txbxContent>
              </v:textbox>
            </v:rect>
            <v:rect id="_x0000_s1087" o:spid="_x0000_s1087" o:spt="1" style="position:absolute;left:1557;top:153;height:161;width:63;mso-wrap-style:none;" filled="f" stroked="f" coordsize="21600,21600">
              <v:path/>
              <v:fill on="f" focussize="0,0"/>
              <v:stroke on="f"/>
              <v:imagedata o:title=""/>
              <o:lock v:ext="edit" aspectratio="f"/>
              <v:textbox inset="0mm,0mm,0mm,0mm" style="mso-fit-shape-to-text:t;">
                <w:txbxContent>
                  <w:p>
                    <w:r>
                      <w:rPr>
                        <w:i/>
                        <w:iCs/>
                        <w:color w:val="000000"/>
                        <w:kern w:val="0"/>
                        <w:sz w:val="14"/>
                        <w:szCs w:val="14"/>
                      </w:rPr>
                      <w:t>c</w:t>
                    </w:r>
                  </w:p>
                </w:txbxContent>
              </v:textbox>
            </v:rect>
            <v:rect id="_x0000_s1088" o:spid="_x0000_s1088" o:spt="1" style="position:absolute;left:255;top:524;height:161;width:102;mso-wrap-style:none;" filled="f" stroked="f" coordsize="21600,21600">
              <v:path/>
              <v:fill on="f" focussize="0,0"/>
              <v:stroke on="f"/>
              <v:imagedata o:title=""/>
              <o:lock v:ext="edit" aspectratio="f"/>
              <v:textbox inset="0mm,0mm,0mm,0mm" style="mso-fit-shape-to-text:t;">
                <w:txbxContent>
                  <w:p>
                    <w:r>
                      <w:rPr>
                        <w:i/>
                        <w:iCs/>
                        <w:color w:val="000000"/>
                        <w:kern w:val="0"/>
                        <w:sz w:val="14"/>
                        <w:szCs w:val="14"/>
                      </w:rPr>
                      <w:t>m</w:t>
                    </w:r>
                  </w:p>
                </w:txbxContent>
              </v:textbox>
            </v:rect>
            <v:rect id="_x0000_s1089" o:spid="_x0000_s1089" o:spt="1" style="position:absolute;left:277;top:165;height:161;width:63;mso-wrap-style:none;" filled="f" stroked="f" coordsize="21600,21600">
              <v:path/>
              <v:fill on="f" focussize="0,0"/>
              <v:stroke on="f"/>
              <v:imagedata o:title=""/>
              <o:lock v:ext="edit" aspectratio="f"/>
              <v:textbox inset="0mm,0mm,0mm,0mm" style="mso-fit-shape-to-text:t;">
                <w:txbxContent>
                  <w:p>
                    <w:r>
                      <w:rPr>
                        <w:i/>
                        <w:iCs/>
                        <w:color w:val="000000"/>
                        <w:kern w:val="0"/>
                        <w:sz w:val="14"/>
                        <w:szCs w:val="14"/>
                      </w:rPr>
                      <w:t>c</w:t>
                    </w:r>
                  </w:p>
                </w:txbxContent>
              </v:textbox>
            </v:rect>
            <v:rect id="_x0000_s1090" o:spid="_x0000_s1090" o:spt="1" style="position:absolute;left:3246;top:172;height:276;width:134;mso-wrap-style:none;" filled="f" stroked="f" coordsize="21600,21600">
              <v:path/>
              <v:fill on="f" focussize="0,0"/>
              <v:stroke on="f"/>
              <v:imagedata o:title=""/>
              <o:lock v:ext="edit" aspectratio="f"/>
              <v:textbox inset="0mm,0mm,0mm,0mm" style="mso-fit-shape-to-text:t;">
                <w:txbxContent>
                  <w:p>
                    <w:r>
                      <w:rPr>
                        <w:i/>
                        <w:iCs/>
                        <w:color w:val="000000"/>
                        <w:kern w:val="0"/>
                        <w:sz w:val="24"/>
                      </w:rPr>
                      <w:t>L</w:t>
                    </w:r>
                  </w:p>
                </w:txbxContent>
              </v:textbox>
            </v:rect>
            <v:rect id="_x0000_s1091" o:spid="_x0000_s1091" o:spt="1" style="position:absolute;left:2367;top:172;height:276;width:98;mso-wrap-style:none;" filled="f" stroked="f" coordsize="21600,21600">
              <v:path/>
              <v:fill on="f" focussize="0,0"/>
              <v:stroke on="f"/>
              <v:imagedata o:title=""/>
              <o:lock v:ext="edit" aspectratio="f"/>
              <v:textbox inset="0mm,0mm,0mm,0mm" style="mso-fit-shape-to-text:t;">
                <w:txbxContent>
                  <w:p>
                    <w:r>
                      <w:rPr>
                        <w:i/>
                        <w:iCs/>
                        <w:color w:val="000000"/>
                        <w:kern w:val="0"/>
                        <w:sz w:val="24"/>
                      </w:rPr>
                      <w:t>r</w:t>
                    </w:r>
                  </w:p>
                </w:txbxContent>
              </v:textbox>
            </v:rect>
            <v:rect id="_x0000_s1092" o:spid="_x0000_s1092" o:spt="1" style="position:absolute;left:1415;top:172;height:276;width:134;mso-wrap-style:none;" filled="f" stroked="f" coordsize="21600,21600">
              <v:path/>
              <v:fill on="f" focussize="0,0"/>
              <v:stroke on="f"/>
              <v:imagedata o:title=""/>
              <o:lock v:ext="edit" aspectratio="f"/>
              <v:textbox inset="0mm,0mm,0mm,0mm" style="mso-fit-shape-to-text:t;">
                <w:txbxContent>
                  <w:p>
                    <w:r>
                      <w:rPr>
                        <w:i/>
                        <w:iCs/>
                        <w:color w:val="000000"/>
                        <w:kern w:val="0"/>
                        <w:sz w:val="24"/>
                      </w:rPr>
                      <w:t>L</w:t>
                    </w:r>
                  </w:p>
                </w:txbxContent>
              </v:textbox>
            </v:rect>
            <v:rect id="_x0000_s1093" o:spid="_x0000_s1093" o:spt="1" style="position:absolute;left:1057;top:172;height:276;width:147;mso-wrap-style:none;" filled="f" stroked="f" coordsize="21600,21600">
              <v:path/>
              <v:fill on="f" focussize="0,0"/>
              <v:stroke on="f"/>
              <v:imagedata o:title=""/>
              <o:lock v:ext="edit" aspectratio="f"/>
              <v:textbox inset="0mm,0mm,0mm,0mm" style="mso-fit-shape-to-text:t;">
                <w:txbxContent>
                  <w:p>
                    <w:r>
                      <w:rPr>
                        <w:i/>
                        <w:iCs/>
                        <w:color w:val="000000"/>
                        <w:kern w:val="0"/>
                        <w:sz w:val="24"/>
                      </w:rPr>
                      <w:t>B</w:t>
                    </w:r>
                  </w:p>
                </w:txbxContent>
              </v:textbox>
            </v:rect>
            <v:rect id="_x0000_s1094" o:spid="_x0000_s1094" o:spt="1" style="position:absolute;left:731;top:370;height:276;width:147;mso-wrap-style:none;" filled="f" stroked="f" coordsize="21600,21600">
              <v:path/>
              <v:fill on="f" focussize="0,0"/>
              <v:stroke on="f"/>
              <v:imagedata o:title=""/>
              <o:lock v:ext="edit" aspectratio="f"/>
              <v:textbox inset="0mm,0mm,0mm,0mm" style="mso-fit-shape-to-text:t;">
                <w:txbxContent>
                  <w:p>
                    <w:r>
                      <w:rPr>
                        <w:i/>
                        <w:iCs/>
                        <w:color w:val="000000"/>
                        <w:kern w:val="0"/>
                        <w:sz w:val="24"/>
                      </w:rPr>
                      <w:t>A</w:t>
                    </w:r>
                  </w:p>
                </w:txbxContent>
              </v:textbox>
            </v:rect>
            <v:rect id="_x0000_s1095" o:spid="_x0000_s1095" o:spt="1" style="position:absolute;left:56;top:370;height:276;width:160;mso-wrap-style:none;" filled="f" stroked="f" coordsize="21600,21600">
              <v:path/>
              <v:fill on="f" focussize="0,0"/>
              <v:stroke on="f"/>
              <v:imagedata o:title=""/>
              <o:lock v:ext="edit" aspectratio="f"/>
              <v:textbox inset="0mm,0mm,0mm,0mm" style="mso-fit-shape-to-text:t;">
                <w:txbxContent>
                  <w:p>
                    <w:r>
                      <w:rPr>
                        <w:i/>
                        <w:iCs/>
                        <w:color w:val="000000"/>
                        <w:kern w:val="0"/>
                        <w:sz w:val="24"/>
                      </w:rPr>
                      <w:t>C</w:t>
                    </w:r>
                  </w:p>
                </w:txbxContent>
              </v:textbox>
            </v:rect>
            <v:rect id="_x0000_s1096" o:spid="_x0000_s1096" o:spt="1" style="position:absolute;left:77;top:11;height:276;width:174;mso-wrap-style:none;" filled="f" stroked="f" coordsize="21600,21600">
              <v:path/>
              <v:fill on="f" focussize="0,0"/>
              <v:stroke on="f"/>
              <v:imagedata o:title=""/>
              <o:lock v:ext="edit" aspectratio="f"/>
              <v:textbox inset="0mm,0mm,0mm,0mm" style="mso-fit-shape-to-text:t;">
                <w:txbxContent>
                  <w:p>
                    <w:r>
                      <w:rPr>
                        <w:i/>
                        <w:iCs/>
                        <w:color w:val="000000"/>
                        <w:kern w:val="0"/>
                        <w:sz w:val="24"/>
                      </w:rPr>
                      <w:t>Q</w:t>
                    </w:r>
                  </w:p>
                </w:txbxContent>
              </v:textbox>
            </v:rect>
            <v:rect id="_x0000_s1097" o:spid="_x0000_s1097" o:spt="1" style="position:absolute;left:3112;top:212;height:276;width:84;mso-wrap-style:none;" filled="f" stroked="f" coordsize="21600,21600">
              <v:path/>
              <v:fill on="f" focussize="0,0"/>
              <v:stroke on="f"/>
              <v:imagedata o:title=""/>
              <o:lock v:ext="edit" aspectratio="f"/>
              <v:textbox inset="0mm,0mm,0mm,0mm" style="mso-fit-shape-to-text:t;">
                <w:txbxContent>
                  <w:p>
                    <w:r>
                      <w:rPr>
                        <w:rFonts w:ascii="AmdtSymbols" w:hAnsi="AmdtSymbols" w:cs="AmdtSymbols"/>
                        <w:color w:val="000000"/>
                        <w:kern w:val="0"/>
                        <w:sz w:val="24"/>
                      </w:rPr>
                      <w:t>•</w:t>
                    </w:r>
                  </w:p>
                </w:txbxContent>
              </v:textbox>
            </v:rect>
            <v:rect id="_x0000_s1098" o:spid="_x0000_s1098" o:spt="1" style="position:absolute;left:1715;top:212;height:276;width:140;mso-wrap-style:none;" filled="f" stroked="f" coordsize="21600,21600">
              <v:path/>
              <v:fill on="f" focussize="0,0"/>
              <v:stroke on="f"/>
              <v:imagedata o:title=""/>
              <o:lock v:ext="edit" aspectratio="f"/>
              <v:textbox inset="0mm,0mm,0mm,0mm" style="mso-fit-shape-to-text:t;">
                <w:txbxContent>
                  <w:p>
                    <w:r>
                      <w:rPr>
                        <w:rFonts w:ascii="AmdtSymbols" w:hAnsi="AmdtSymbols" w:cs="AmdtSymbols"/>
                        <w:color w:val="000000"/>
                        <w:kern w:val="0"/>
                        <w:sz w:val="24"/>
                      </w:rPr>
                      <w:t>+</w:t>
                    </w:r>
                  </w:p>
                </w:txbxContent>
              </v:textbox>
            </v:rect>
            <v:rect id="_x0000_s1099" o:spid="_x0000_s1099" o:spt="1" style="position:absolute;left:1281;top:212;height:276;width:84;mso-wrap-style:none;" filled="f" stroked="f" coordsize="21600,21600">
              <v:path/>
              <v:fill on="f" focussize="0,0"/>
              <v:stroke on="f"/>
              <v:imagedata o:title=""/>
              <o:lock v:ext="edit" aspectratio="f"/>
              <v:textbox inset="0mm,0mm,0mm,0mm" style="mso-fit-shape-to-text:t;">
                <w:txbxContent>
                  <w:p>
                    <w:r>
                      <w:rPr>
                        <w:rFonts w:ascii="AmdtSymbols" w:hAnsi="AmdtSymbols" w:cs="AmdtSymbols"/>
                        <w:color w:val="000000"/>
                        <w:kern w:val="0"/>
                        <w:sz w:val="24"/>
                      </w:rPr>
                      <w:t>•</w:t>
                    </w:r>
                  </w:p>
                </w:txbxContent>
              </v:textbox>
            </v:rect>
            <v:rect id="_x0000_s1100" o:spid="_x0000_s1100" o:spt="1" style="position:absolute;left:497;top:212;height:276;width:140;mso-wrap-style:none;" filled="f" stroked="f" coordsize="21600,21600">
              <v:path/>
              <v:fill on="f" focussize="0,0"/>
              <v:stroke on="f"/>
              <v:imagedata o:title=""/>
              <o:lock v:ext="edit" aspectratio="f"/>
              <v:textbox inset="0mm,0mm,0mm,0mm" style="mso-fit-shape-to-text:t;">
                <w:txbxContent>
                  <w:p>
                    <w:r>
                      <w:rPr>
                        <w:rFonts w:ascii="AmdtSymbols" w:hAnsi="AmdtSymbols" w:cs="AmdtSymbols"/>
                        <w:color w:val="000000"/>
                        <w:kern w:val="0"/>
                        <w:sz w:val="24"/>
                      </w:rPr>
                      <w:t>=</w:t>
                    </w:r>
                  </w:p>
                </w:txbxContent>
              </v:textbox>
            </v:rect>
            <v:rect id="_x0000_s1101" o:spid="_x0000_s1101" o:spt="1" style="position:absolute;left:2864;top:153;height:161;width:141;mso-wrap-style:none;" filled="f" stroked="f" coordsize="21600,21600">
              <v:path/>
              <v:fill on="f" focussize="0,0"/>
              <v:stroke on="f"/>
              <v:imagedata o:title=""/>
              <o:lock v:ext="edit" aspectratio="f"/>
              <v:textbox inset="0mm,0mm,0mm,0mm" style="mso-fit-shape-to-text:t;">
                <w:txbxContent>
                  <w:p>
                    <w:r>
                      <w:rPr>
                        <w:color w:val="000000"/>
                        <w:kern w:val="0"/>
                        <w:sz w:val="14"/>
                        <w:szCs w:val="14"/>
                      </w:rPr>
                      <w:t>50</w:t>
                    </w:r>
                  </w:p>
                </w:txbxContent>
              </v:textbox>
            </v:rect>
            <v:rect id="_x0000_s1102" o:spid="_x0000_s1102" o:spt="1" style="position:absolute;left:2824;top:153;height:161;width:36;mso-wrap-style:none;" filled="f" stroked="f" coordsize="21600,21600">
              <v:path/>
              <v:fill on="f" focussize="0,0"/>
              <v:stroke on="f"/>
              <v:imagedata o:title=""/>
              <o:lock v:ext="edit" aspectratio="f"/>
              <v:textbox inset="0mm,0mm,0mm,0mm" style="mso-fit-shape-to-text:t;">
                <w:txbxContent>
                  <w:p>
                    <w:r>
                      <w:rPr>
                        <w:color w:val="000000"/>
                        <w:kern w:val="0"/>
                        <w:sz w:val="14"/>
                        <w:szCs w:val="14"/>
                      </w:rPr>
                      <w:t>.</w:t>
                    </w:r>
                  </w:p>
                </w:txbxContent>
              </v:textbox>
            </v:rect>
            <v:rect id="_x0000_s1103" o:spid="_x0000_s1103" o:spt="1" style="position:absolute;left:2743;top:153;height:161;width:71;mso-wrap-style:none;" filled="f" stroked="f" coordsize="21600,21600">
              <v:path/>
              <v:fill on="f" focussize="0,0"/>
              <v:stroke on="f"/>
              <v:imagedata o:title=""/>
              <o:lock v:ext="edit" aspectratio="f"/>
              <v:textbox inset="0mm,0mm,0mm,0mm" style="mso-fit-shape-to-text:t;">
                <w:txbxContent>
                  <w:p>
                    <w:r>
                      <w:rPr>
                        <w:color w:val="000000"/>
                        <w:kern w:val="0"/>
                        <w:sz w:val="14"/>
                        <w:szCs w:val="14"/>
                      </w:rPr>
                      <w:t>0</w:t>
                    </w:r>
                  </w:p>
                </w:txbxContent>
              </v:textbox>
            </v:rect>
            <v:rect id="_x0000_s1104" o:spid="_x0000_s1104" o:spt="1" style="position:absolute;left:2511;top:153;height:161;width:71;mso-wrap-style:none;" filled="f" stroked="f" coordsize="21600,21600">
              <v:path/>
              <v:fill on="f" focussize="0,0"/>
              <v:stroke on="f"/>
              <v:imagedata o:title=""/>
              <o:lock v:ext="edit" aspectratio="f"/>
              <v:textbox inset="0mm,0mm,0mm,0mm" style="mso-fit-shape-to-text:t;">
                <w:txbxContent>
                  <w:p>
                    <w:r>
                      <w:rPr>
                        <w:color w:val="000000"/>
                        <w:kern w:val="0"/>
                        <w:sz w:val="14"/>
                        <w:szCs w:val="14"/>
                      </w:rPr>
                      <w:t>2</w:t>
                    </w:r>
                  </w:p>
                </w:txbxContent>
              </v:textbox>
            </v:rect>
            <v:rect id="_x0000_s1105" o:spid="_x0000_s1105" o:spt="1" style="position:absolute;left:2631;top:172;height:276;width:80;mso-wrap-style:none;" filled="f" stroked="f" coordsize="21600,21600">
              <v:path/>
              <v:fill on="f" focussize="0,0"/>
              <v:stroke on="f"/>
              <v:imagedata o:title=""/>
              <o:lock v:ext="edit" aspectratio="f"/>
              <v:textbox inset="0mm,0mm,0mm,0mm" style="mso-fit-shape-to-text:t;">
                <w:txbxContent>
                  <w:p>
                    <w:r>
                      <w:rPr>
                        <w:color w:val="000000"/>
                        <w:kern w:val="0"/>
                        <w:sz w:val="24"/>
                      </w:rPr>
                      <w:t>)</w:t>
                    </w:r>
                  </w:p>
                </w:txbxContent>
              </v:textbox>
            </v:rect>
            <v:rect id="_x0000_s1106" o:spid="_x0000_s1106" o:spt="1" style="position:absolute;left:2091;top:172;height:276;width:241;mso-wrap-style:none;" filled="f" stroked="f" coordsize="21600,21600">
              <v:path/>
              <v:fill on="f" focussize="0,0"/>
              <v:stroke on="f"/>
              <v:imagedata o:title=""/>
              <o:lock v:ext="edit" aspectratio="f"/>
              <v:textbox inset="0mm,0mm,0mm,0mm" style="mso-fit-shape-to-text:t;">
                <w:txbxContent>
                  <w:p>
                    <w:r>
                      <w:rPr>
                        <w:color w:val="000000"/>
                        <w:kern w:val="0"/>
                        <w:sz w:val="24"/>
                      </w:rPr>
                      <w:t>25</w:t>
                    </w:r>
                  </w:p>
                </w:txbxContent>
              </v:textbox>
            </v:rect>
            <v:rect id="_x0000_s1107" o:spid="_x0000_s1107" o:spt="1" style="position:absolute;left:2022;top:172;height:276;width:61;mso-wrap-style:none;" filled="f" stroked="f" coordsize="21600,21600">
              <v:path/>
              <v:fill on="f" focussize="0,0"/>
              <v:stroke on="f"/>
              <v:imagedata o:title=""/>
              <o:lock v:ext="edit" aspectratio="f"/>
              <v:textbox inset="0mm,0mm,0mm,0mm" style="mso-fit-shape-to-text:t;">
                <w:txbxContent>
                  <w:p>
                    <w:r>
                      <w:rPr>
                        <w:color w:val="000000"/>
                        <w:kern w:val="0"/>
                        <w:sz w:val="24"/>
                      </w:rPr>
                      <w:t>.</w:t>
                    </w:r>
                  </w:p>
                </w:txbxContent>
              </v:textbox>
            </v:rect>
            <v:rect id="_x0000_s1108" o:spid="_x0000_s1108" o:spt="1" style="position:absolute;left:1884;top:172;height:276;width:121;mso-wrap-style:none;" filled="f" stroked="f" coordsize="21600,21600">
              <v:path/>
              <v:fill on="f" focussize="0,0"/>
              <v:stroke on="f"/>
              <v:imagedata o:title=""/>
              <o:lock v:ext="edit" aspectratio="f"/>
              <v:textbox inset="0mm,0mm,0mm,0mm" style="mso-fit-shape-to-text:t;">
                <w:txbxContent>
                  <w:p>
                    <w:r>
                      <w:rPr>
                        <w:color w:val="000000"/>
                        <w:kern w:val="0"/>
                        <w:sz w:val="24"/>
                      </w:rPr>
                      <w:t>0</w:t>
                    </w:r>
                  </w:p>
                </w:txbxContent>
              </v:textbox>
            </v:rect>
            <v:rect id="_x0000_s1109" o:spid="_x0000_s1109" o:spt="1" style="position:absolute;left:949;top:172;height:276;width:80;mso-wrap-style:none;" filled="f" stroked="f" coordsize="21600,21600">
              <v:path/>
              <v:fill on="f" focussize="0,0"/>
              <v:stroke on="f"/>
              <v:imagedata o:title=""/>
              <o:lock v:ext="edit" aspectratio="f"/>
              <v:textbox inset="0mm,0mm,0mm,0mm" style="mso-fit-shape-to-text:t;">
                <w:txbxContent>
                  <w:p>
                    <w:r>
                      <w:rPr>
                        <w:color w:val="000000"/>
                        <w:kern w:val="0"/>
                        <w:sz w:val="24"/>
                      </w:rPr>
                      <w:t>(</w:t>
                    </w:r>
                  </w:p>
                </w:txbxContent>
              </v:textbox>
            </v:rect>
            <v:rect id="_x0000_s1110" o:spid="_x0000_s1110" o:spt="1" style="position:absolute;left:729;top:19;height:276;width:121;mso-wrap-style:none;" filled="f" stroked="f" coordsize="21600,21600">
              <v:path/>
              <v:fill on="f" focussize="0,0"/>
              <v:stroke on="f"/>
              <v:imagedata o:title=""/>
              <o:lock v:ext="edit" aspectratio="f"/>
              <v:textbox inset="0mm,0mm,0mm,0mm" style="mso-fit-shape-to-text:t;">
                <w:txbxContent>
                  <w:p>
                    <w:r>
                      <w:rPr>
                        <w:color w:val="000000"/>
                        <w:kern w:val="0"/>
                        <w:sz w:val="24"/>
                      </w:rPr>
                      <w:t>1</w:t>
                    </w:r>
                  </w:p>
                </w:txbxContent>
              </v:textbox>
            </v:rect>
            <w10:wrap type="none"/>
            <w10:anchorlock/>
          </v:group>
        </w:pict>
      </w:r>
    </w:p>
    <w:p>
      <w:pPr>
        <w:pStyle w:val="215"/>
        <w:rPr>
          <w:rFonts w:hAnsiTheme="minorEastAsia" w:eastAsiaTheme="minorEastAsia"/>
        </w:rPr>
      </w:pPr>
      <w:r>
        <w:rPr>
          <w:rFonts w:hAnsiTheme="minorEastAsia" w:eastAsiaTheme="minorEastAsia"/>
        </w:rPr>
        <w:t>式中：C</w:t>
      </w:r>
      <w:r>
        <w:rPr>
          <w:rFonts w:hAnsiTheme="minorEastAsia" w:eastAsiaTheme="minorEastAsia"/>
          <w:vertAlign w:val="subscript"/>
        </w:rPr>
        <w:t>m</w:t>
      </w:r>
      <w:r>
        <w:rPr>
          <w:rFonts w:hAnsiTheme="minorEastAsia" w:eastAsiaTheme="minorEastAsia"/>
        </w:rPr>
        <w:t>—标准浓度限值；</w:t>
      </w:r>
    </w:p>
    <w:p>
      <w:pPr>
        <w:pStyle w:val="215"/>
        <w:rPr>
          <w:rFonts w:hAnsiTheme="minorEastAsia" w:eastAsiaTheme="minorEastAsia"/>
        </w:rPr>
      </w:pPr>
      <w:r>
        <w:rPr>
          <w:rFonts w:hAnsiTheme="minorEastAsia" w:eastAsiaTheme="minorEastAsia"/>
        </w:rPr>
        <w:t>L—工业企业所需卫生环境防护距离，m；</w:t>
      </w:r>
    </w:p>
    <w:p>
      <w:pPr>
        <w:pStyle w:val="215"/>
        <w:rPr>
          <w:rFonts w:hAnsiTheme="minorEastAsia" w:eastAsiaTheme="minorEastAsia"/>
        </w:rPr>
      </w:pPr>
      <w:r>
        <w:rPr>
          <w:rFonts w:hAnsiTheme="minorEastAsia" w:eastAsiaTheme="minorEastAsia"/>
        </w:rPr>
        <w:t>R—有害气体无组织排放源所在生产单元的等效半径，m，根据该生产单元面积S（m</w:t>
      </w:r>
      <w:r>
        <w:rPr>
          <w:rFonts w:hAnsiTheme="minorEastAsia" w:eastAsiaTheme="minorEastAsia"/>
          <w:vertAlign w:val="superscript"/>
        </w:rPr>
        <w:t>2</w:t>
      </w:r>
      <w:r>
        <w:rPr>
          <w:rFonts w:hAnsiTheme="minorEastAsia" w:eastAsiaTheme="minorEastAsia"/>
        </w:rPr>
        <w:t>）计算，r=（S/π）</w:t>
      </w:r>
      <w:r>
        <w:rPr>
          <w:rFonts w:hAnsiTheme="minorEastAsia" w:eastAsiaTheme="minorEastAsia"/>
          <w:vertAlign w:val="superscript"/>
        </w:rPr>
        <w:t>1/2</w:t>
      </w:r>
      <w:r>
        <w:rPr>
          <w:rFonts w:hAnsiTheme="minorEastAsia" w:eastAsiaTheme="minorEastAsia"/>
        </w:rPr>
        <w:t>；</w:t>
      </w:r>
    </w:p>
    <w:p>
      <w:pPr>
        <w:pStyle w:val="215"/>
        <w:rPr>
          <w:rFonts w:hAnsiTheme="minorEastAsia" w:eastAsiaTheme="minorEastAsia"/>
        </w:rPr>
      </w:pPr>
      <w:r>
        <w:rPr>
          <w:rFonts w:hAnsiTheme="minorEastAsia" w:eastAsiaTheme="minorEastAsia"/>
        </w:rPr>
        <w:t>Q</w:t>
      </w:r>
      <w:r>
        <w:rPr>
          <w:rFonts w:hAnsiTheme="minorEastAsia" w:eastAsiaTheme="minorEastAsia"/>
          <w:vertAlign w:val="subscript"/>
        </w:rPr>
        <w:t>c</w:t>
      </w:r>
      <w:r>
        <w:rPr>
          <w:rFonts w:hAnsiTheme="minorEastAsia" w:eastAsiaTheme="minorEastAsia"/>
        </w:rPr>
        <w:t>—工业企业有害气体无组织排放量可达到的控制水平（公斤/小时)；</w:t>
      </w:r>
    </w:p>
    <w:p>
      <w:pPr>
        <w:pStyle w:val="215"/>
        <w:rPr>
          <w:rFonts w:hAnsiTheme="minorEastAsia" w:eastAsiaTheme="minorEastAsia"/>
          <w:bCs/>
        </w:rPr>
      </w:pPr>
      <w:r>
        <w:rPr>
          <w:rFonts w:hAnsiTheme="minorEastAsia" w:eastAsiaTheme="minorEastAsia"/>
        </w:rPr>
        <w:t>A、B、C、D为计算系数，根据所在地区近五年来平均风速及工业企业大气污染源构成类别查取。各参数取值见表</w:t>
      </w:r>
      <w:r>
        <w:rPr>
          <w:rFonts w:hint="eastAsia" w:hAnsiTheme="minorEastAsia" w:eastAsiaTheme="minorEastAsia"/>
          <w:bCs/>
        </w:rPr>
        <w:t>6.2-</w:t>
      </w:r>
      <w:r>
        <w:rPr>
          <w:rFonts w:hint="eastAsia" w:hAnsiTheme="minorEastAsia" w:eastAsiaTheme="minorEastAsia"/>
          <w:bCs/>
          <w:lang w:val="en-US" w:eastAsia="zh-CN"/>
        </w:rPr>
        <w:t>9</w:t>
      </w:r>
      <w:r>
        <w:rPr>
          <w:rFonts w:hAnsiTheme="minorEastAsia" w:eastAsiaTheme="minorEastAsia"/>
          <w:bCs/>
        </w:rPr>
        <w:t>。</w:t>
      </w:r>
    </w:p>
    <w:p>
      <w:pPr>
        <w:pStyle w:val="17"/>
        <w:spacing w:beforeLines="50"/>
        <w:rPr>
          <w:rFonts w:ascii="Times New Roman" w:hAnsi="Times New Roman" w:cs="Times New Roman"/>
          <w:color w:val="auto"/>
          <w:sz w:val="21"/>
        </w:rPr>
      </w:pPr>
      <w:r>
        <w:rPr>
          <w:rFonts w:ascii="Times New Roman" w:hAnsi="Times New Roman" w:cs="Times New Roman"/>
          <w:color w:val="auto"/>
          <w:sz w:val="21"/>
        </w:rPr>
        <w:t>表</w:t>
      </w:r>
      <w:r>
        <w:rPr>
          <w:rFonts w:hint="eastAsia" w:ascii="Times New Roman" w:hAnsi="Times New Roman" w:cs="Times New Roman"/>
          <w:color w:val="auto"/>
          <w:sz w:val="21"/>
        </w:rPr>
        <w:t>6.2-</w:t>
      </w:r>
      <w:r>
        <w:rPr>
          <w:rFonts w:hint="eastAsia" w:ascii="Times New Roman" w:hAnsi="Times New Roman" w:cs="Times New Roman"/>
          <w:color w:val="auto"/>
          <w:sz w:val="21"/>
          <w:lang w:val="en-US" w:eastAsia="zh-CN"/>
        </w:rPr>
        <w:t>9</w:t>
      </w:r>
      <w:r>
        <w:rPr>
          <w:rFonts w:hint="eastAsia" w:ascii="Times New Roman" w:hAnsi="Times New Roman" w:cs="Times New Roman"/>
          <w:color w:val="auto"/>
          <w:sz w:val="21"/>
        </w:rPr>
        <w:t xml:space="preserve">  卫生环境防护距离计算系数</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92"/>
        <w:gridCol w:w="1668"/>
        <w:gridCol w:w="761"/>
        <w:gridCol w:w="762"/>
        <w:gridCol w:w="769"/>
        <w:gridCol w:w="580"/>
        <w:gridCol w:w="580"/>
        <w:gridCol w:w="580"/>
        <w:gridCol w:w="580"/>
        <w:gridCol w:w="580"/>
        <w:gridCol w:w="5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640" w:type="pct"/>
            <w:vMerge w:val="restart"/>
            <w:vAlign w:val="center"/>
          </w:tcPr>
          <w:p>
            <w:pPr>
              <w:jc w:val="center"/>
              <w:rPr>
                <w:rFonts w:eastAsiaTheme="minorEastAsia"/>
                <w:b/>
                <w:szCs w:val="21"/>
              </w:rPr>
            </w:pPr>
            <w:r>
              <w:rPr>
                <w:rFonts w:hAnsiTheme="minorEastAsia" w:eastAsiaTheme="minorEastAsia"/>
                <w:b/>
                <w:szCs w:val="21"/>
              </w:rPr>
              <w:t>计算系数</w:t>
            </w:r>
          </w:p>
        </w:tc>
        <w:tc>
          <w:tcPr>
            <w:tcW w:w="978" w:type="pct"/>
            <w:vMerge w:val="restart"/>
            <w:vAlign w:val="center"/>
          </w:tcPr>
          <w:p>
            <w:pPr>
              <w:jc w:val="center"/>
              <w:rPr>
                <w:rFonts w:eastAsiaTheme="minorEastAsia"/>
                <w:b/>
                <w:szCs w:val="21"/>
              </w:rPr>
            </w:pPr>
            <w:r>
              <w:rPr>
                <w:rFonts w:eastAsiaTheme="minorEastAsia"/>
                <w:b/>
                <w:szCs w:val="21"/>
              </w:rPr>
              <w:t>5</w:t>
            </w:r>
            <w:r>
              <w:rPr>
                <w:rFonts w:hAnsiTheme="minorEastAsia" w:eastAsiaTheme="minorEastAsia"/>
                <w:b/>
                <w:szCs w:val="21"/>
              </w:rPr>
              <w:t>年平均风速，</w:t>
            </w:r>
            <w:r>
              <w:rPr>
                <w:rFonts w:eastAsiaTheme="minorEastAsia"/>
                <w:b/>
                <w:szCs w:val="21"/>
              </w:rPr>
              <w:t>m/s</w:t>
            </w:r>
          </w:p>
        </w:tc>
        <w:tc>
          <w:tcPr>
            <w:tcW w:w="3382" w:type="pct"/>
            <w:gridSpan w:val="9"/>
            <w:vAlign w:val="center"/>
          </w:tcPr>
          <w:p>
            <w:pPr>
              <w:jc w:val="center"/>
              <w:rPr>
                <w:rFonts w:eastAsiaTheme="minorEastAsia"/>
                <w:b/>
                <w:szCs w:val="21"/>
              </w:rPr>
            </w:pPr>
            <w:r>
              <w:rPr>
                <w:rFonts w:hAnsiTheme="minorEastAsia" w:eastAsiaTheme="minorEastAsia"/>
                <w:b/>
                <w:szCs w:val="21"/>
              </w:rPr>
              <w:t>卫生环境防护距离</w:t>
            </w:r>
            <w:r>
              <w:rPr>
                <w:rFonts w:eastAsiaTheme="minorEastAsia"/>
                <w:b/>
                <w:szCs w:val="21"/>
              </w:rPr>
              <w:t>L</w:t>
            </w:r>
            <w:r>
              <w:rPr>
                <w:rFonts w:hAnsiTheme="minorEastAsia" w:eastAsiaTheme="minorEastAsia"/>
                <w:b/>
                <w:szCs w:val="21"/>
              </w:rPr>
              <w:t>（</w:t>
            </w:r>
            <w:r>
              <w:rPr>
                <w:rFonts w:eastAsiaTheme="minorEastAsia"/>
                <w:b/>
                <w:szCs w:val="21"/>
              </w:rPr>
              <w:t>m</w:t>
            </w:r>
            <w:r>
              <w:rPr>
                <w:rFonts w:hAnsiTheme="minorEastAsia" w:eastAsiaTheme="minorEastAsia"/>
                <w:b/>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640" w:type="pct"/>
            <w:vMerge w:val="continue"/>
            <w:vAlign w:val="center"/>
          </w:tcPr>
          <w:p>
            <w:pPr>
              <w:jc w:val="center"/>
              <w:rPr>
                <w:rFonts w:eastAsiaTheme="minorEastAsia"/>
                <w:b/>
                <w:szCs w:val="21"/>
              </w:rPr>
            </w:pPr>
          </w:p>
        </w:tc>
        <w:tc>
          <w:tcPr>
            <w:tcW w:w="978" w:type="pct"/>
            <w:vMerge w:val="continue"/>
            <w:vAlign w:val="center"/>
          </w:tcPr>
          <w:p>
            <w:pPr>
              <w:jc w:val="center"/>
              <w:rPr>
                <w:rFonts w:eastAsiaTheme="minorEastAsia"/>
                <w:b/>
                <w:szCs w:val="21"/>
              </w:rPr>
            </w:pPr>
          </w:p>
        </w:tc>
        <w:tc>
          <w:tcPr>
            <w:tcW w:w="1344" w:type="pct"/>
            <w:gridSpan w:val="3"/>
            <w:vAlign w:val="center"/>
          </w:tcPr>
          <w:p>
            <w:pPr>
              <w:jc w:val="center"/>
              <w:rPr>
                <w:rFonts w:eastAsiaTheme="minorEastAsia"/>
                <w:b/>
                <w:szCs w:val="21"/>
              </w:rPr>
            </w:pPr>
            <w:r>
              <w:rPr>
                <w:rFonts w:eastAsiaTheme="minorEastAsia"/>
                <w:b/>
                <w:szCs w:val="21"/>
              </w:rPr>
              <w:t>L≤1000</w:t>
            </w:r>
          </w:p>
        </w:tc>
        <w:tc>
          <w:tcPr>
            <w:tcW w:w="1020" w:type="pct"/>
            <w:gridSpan w:val="3"/>
            <w:vAlign w:val="center"/>
          </w:tcPr>
          <w:p>
            <w:pPr>
              <w:jc w:val="center"/>
              <w:rPr>
                <w:rFonts w:eastAsiaTheme="minorEastAsia"/>
                <w:b/>
                <w:szCs w:val="21"/>
              </w:rPr>
            </w:pPr>
            <w:r>
              <w:rPr>
                <w:rFonts w:eastAsiaTheme="minorEastAsia"/>
                <w:b/>
                <w:szCs w:val="21"/>
              </w:rPr>
              <w:t>1000</w:t>
            </w:r>
            <w:r>
              <w:rPr>
                <w:rFonts w:hAnsiTheme="minorEastAsia" w:eastAsiaTheme="minorEastAsia"/>
                <w:b/>
                <w:szCs w:val="21"/>
              </w:rPr>
              <w:t>＜</w:t>
            </w:r>
            <w:r>
              <w:rPr>
                <w:rFonts w:eastAsiaTheme="minorEastAsia"/>
                <w:b/>
                <w:szCs w:val="21"/>
              </w:rPr>
              <w:t>L≤2000</w:t>
            </w:r>
          </w:p>
        </w:tc>
        <w:tc>
          <w:tcPr>
            <w:tcW w:w="1018" w:type="pct"/>
            <w:gridSpan w:val="3"/>
            <w:vAlign w:val="center"/>
          </w:tcPr>
          <w:p>
            <w:pPr>
              <w:jc w:val="center"/>
              <w:rPr>
                <w:rFonts w:eastAsiaTheme="minorEastAsia"/>
                <w:b/>
                <w:szCs w:val="21"/>
              </w:rPr>
            </w:pPr>
            <w:r>
              <w:rPr>
                <w:rFonts w:eastAsiaTheme="minorEastAsia"/>
                <w:b/>
                <w:szCs w:val="21"/>
              </w:rPr>
              <w:t>L</w:t>
            </w:r>
            <w:r>
              <w:rPr>
                <w:rFonts w:hAnsiTheme="minorEastAsia" w:eastAsiaTheme="minorEastAsia"/>
                <w:b/>
                <w:szCs w:val="21"/>
              </w:rPr>
              <w:t>＞</w:t>
            </w:r>
            <w:r>
              <w:rPr>
                <w:rFonts w:eastAsiaTheme="minorEastAsia"/>
                <w:b/>
                <w:szCs w:val="21"/>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640" w:type="pct"/>
            <w:vMerge w:val="continue"/>
            <w:vAlign w:val="center"/>
          </w:tcPr>
          <w:p>
            <w:pPr>
              <w:jc w:val="center"/>
              <w:rPr>
                <w:rFonts w:eastAsiaTheme="minorEastAsia"/>
                <w:b/>
                <w:szCs w:val="21"/>
              </w:rPr>
            </w:pPr>
          </w:p>
        </w:tc>
        <w:tc>
          <w:tcPr>
            <w:tcW w:w="978" w:type="pct"/>
            <w:vMerge w:val="continue"/>
            <w:vAlign w:val="center"/>
          </w:tcPr>
          <w:p>
            <w:pPr>
              <w:jc w:val="center"/>
              <w:rPr>
                <w:rFonts w:eastAsiaTheme="minorEastAsia"/>
                <w:b/>
                <w:szCs w:val="21"/>
              </w:rPr>
            </w:pPr>
          </w:p>
        </w:tc>
        <w:tc>
          <w:tcPr>
            <w:tcW w:w="3382" w:type="pct"/>
            <w:gridSpan w:val="9"/>
            <w:vAlign w:val="center"/>
          </w:tcPr>
          <w:p>
            <w:pPr>
              <w:jc w:val="center"/>
              <w:rPr>
                <w:rFonts w:eastAsiaTheme="minorEastAsia"/>
                <w:b/>
                <w:szCs w:val="21"/>
              </w:rPr>
            </w:pPr>
            <w:r>
              <w:rPr>
                <w:rFonts w:hAnsiTheme="minorEastAsia" w:eastAsiaTheme="minorEastAsia"/>
                <w:b/>
                <w:szCs w:val="21"/>
              </w:rPr>
              <w:t>工业大气污染源构成类别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640" w:type="pct"/>
            <w:vMerge w:val="continue"/>
            <w:vAlign w:val="center"/>
          </w:tcPr>
          <w:p>
            <w:pPr>
              <w:jc w:val="center"/>
              <w:rPr>
                <w:rFonts w:eastAsiaTheme="minorEastAsia"/>
                <w:b/>
                <w:szCs w:val="21"/>
              </w:rPr>
            </w:pPr>
          </w:p>
        </w:tc>
        <w:tc>
          <w:tcPr>
            <w:tcW w:w="978" w:type="pct"/>
            <w:vMerge w:val="continue"/>
            <w:vAlign w:val="center"/>
          </w:tcPr>
          <w:p>
            <w:pPr>
              <w:jc w:val="center"/>
              <w:rPr>
                <w:rFonts w:eastAsiaTheme="minorEastAsia"/>
                <w:b/>
                <w:szCs w:val="21"/>
              </w:rPr>
            </w:pPr>
          </w:p>
        </w:tc>
        <w:tc>
          <w:tcPr>
            <w:tcW w:w="446" w:type="pct"/>
            <w:vAlign w:val="center"/>
          </w:tcPr>
          <w:p>
            <w:pPr>
              <w:jc w:val="center"/>
              <w:rPr>
                <w:rFonts w:eastAsiaTheme="minorEastAsia"/>
                <w:b/>
                <w:szCs w:val="21"/>
              </w:rPr>
            </w:pPr>
            <w:r>
              <w:rPr>
                <w:rFonts w:eastAsiaTheme="minorEastAsia"/>
                <w:b/>
                <w:szCs w:val="21"/>
              </w:rPr>
              <w:t>Ⅰ</w:t>
            </w:r>
          </w:p>
        </w:tc>
        <w:tc>
          <w:tcPr>
            <w:tcW w:w="447" w:type="pct"/>
            <w:vAlign w:val="center"/>
          </w:tcPr>
          <w:p>
            <w:pPr>
              <w:jc w:val="center"/>
              <w:rPr>
                <w:rFonts w:eastAsiaTheme="minorEastAsia"/>
                <w:b/>
                <w:szCs w:val="21"/>
              </w:rPr>
            </w:pPr>
            <w:r>
              <w:rPr>
                <w:rFonts w:eastAsiaTheme="minorEastAsia"/>
                <w:b/>
                <w:szCs w:val="21"/>
              </w:rPr>
              <w:t>Ⅱ</w:t>
            </w:r>
          </w:p>
        </w:tc>
        <w:tc>
          <w:tcPr>
            <w:tcW w:w="451" w:type="pct"/>
            <w:vAlign w:val="center"/>
          </w:tcPr>
          <w:p>
            <w:pPr>
              <w:jc w:val="center"/>
              <w:rPr>
                <w:rFonts w:eastAsiaTheme="minorEastAsia"/>
                <w:b/>
                <w:szCs w:val="21"/>
              </w:rPr>
            </w:pPr>
            <w:r>
              <w:rPr>
                <w:rFonts w:eastAsiaTheme="minorEastAsia"/>
                <w:b/>
                <w:szCs w:val="21"/>
              </w:rPr>
              <w:t>Ⅲ</w:t>
            </w:r>
            <w:r>
              <w:rPr>
                <w:rFonts w:eastAsiaTheme="minorEastAsia"/>
                <w:szCs w:val="21"/>
              </w:rPr>
              <w:t>*</w:t>
            </w:r>
          </w:p>
        </w:tc>
        <w:tc>
          <w:tcPr>
            <w:tcW w:w="340" w:type="pct"/>
            <w:vAlign w:val="center"/>
          </w:tcPr>
          <w:p>
            <w:pPr>
              <w:jc w:val="center"/>
              <w:rPr>
                <w:rFonts w:eastAsiaTheme="minorEastAsia"/>
                <w:b/>
                <w:szCs w:val="21"/>
              </w:rPr>
            </w:pPr>
            <w:r>
              <w:rPr>
                <w:rFonts w:eastAsiaTheme="minorEastAsia"/>
                <w:b/>
                <w:szCs w:val="21"/>
              </w:rPr>
              <w:t>Ⅰ</w:t>
            </w:r>
          </w:p>
        </w:tc>
        <w:tc>
          <w:tcPr>
            <w:tcW w:w="340" w:type="pct"/>
            <w:vAlign w:val="center"/>
          </w:tcPr>
          <w:p>
            <w:pPr>
              <w:jc w:val="center"/>
              <w:rPr>
                <w:rFonts w:eastAsiaTheme="minorEastAsia"/>
                <w:b/>
                <w:szCs w:val="21"/>
              </w:rPr>
            </w:pPr>
            <w:r>
              <w:rPr>
                <w:rFonts w:eastAsiaTheme="minorEastAsia"/>
                <w:b/>
                <w:szCs w:val="21"/>
              </w:rPr>
              <w:t>Ⅱ</w:t>
            </w:r>
          </w:p>
        </w:tc>
        <w:tc>
          <w:tcPr>
            <w:tcW w:w="340" w:type="pct"/>
            <w:vAlign w:val="center"/>
          </w:tcPr>
          <w:p>
            <w:pPr>
              <w:jc w:val="center"/>
              <w:rPr>
                <w:rFonts w:eastAsiaTheme="minorEastAsia"/>
                <w:b/>
                <w:szCs w:val="21"/>
              </w:rPr>
            </w:pPr>
            <w:r>
              <w:rPr>
                <w:rFonts w:eastAsiaTheme="minorEastAsia"/>
                <w:b/>
                <w:szCs w:val="21"/>
              </w:rPr>
              <w:t>Ⅲ</w:t>
            </w:r>
          </w:p>
        </w:tc>
        <w:tc>
          <w:tcPr>
            <w:tcW w:w="340" w:type="pct"/>
            <w:vAlign w:val="center"/>
          </w:tcPr>
          <w:p>
            <w:pPr>
              <w:jc w:val="center"/>
              <w:rPr>
                <w:rFonts w:eastAsiaTheme="minorEastAsia"/>
                <w:b/>
                <w:szCs w:val="21"/>
              </w:rPr>
            </w:pPr>
            <w:r>
              <w:rPr>
                <w:rFonts w:eastAsiaTheme="minorEastAsia"/>
                <w:b/>
                <w:szCs w:val="21"/>
              </w:rPr>
              <w:t>Ⅰ</w:t>
            </w:r>
          </w:p>
        </w:tc>
        <w:tc>
          <w:tcPr>
            <w:tcW w:w="340" w:type="pct"/>
            <w:vAlign w:val="center"/>
          </w:tcPr>
          <w:p>
            <w:pPr>
              <w:jc w:val="center"/>
              <w:rPr>
                <w:rFonts w:eastAsiaTheme="minorEastAsia"/>
                <w:b/>
                <w:szCs w:val="21"/>
              </w:rPr>
            </w:pPr>
            <w:r>
              <w:rPr>
                <w:rFonts w:eastAsiaTheme="minorEastAsia"/>
                <w:b/>
                <w:szCs w:val="21"/>
              </w:rPr>
              <w:t>Ⅱ</w:t>
            </w:r>
          </w:p>
        </w:tc>
        <w:tc>
          <w:tcPr>
            <w:tcW w:w="338" w:type="pct"/>
            <w:vAlign w:val="center"/>
          </w:tcPr>
          <w:p>
            <w:pPr>
              <w:jc w:val="center"/>
              <w:rPr>
                <w:rFonts w:eastAsiaTheme="minorEastAsia"/>
                <w:b/>
                <w:szCs w:val="21"/>
              </w:rPr>
            </w:pPr>
            <w:r>
              <w:rPr>
                <w:rFonts w:eastAsiaTheme="minorEastAsia"/>
                <w:b/>
                <w:szCs w:val="21"/>
              </w:rPr>
              <w:t>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640" w:type="pct"/>
            <w:vMerge w:val="restart"/>
            <w:vAlign w:val="center"/>
          </w:tcPr>
          <w:p>
            <w:pPr>
              <w:jc w:val="center"/>
              <w:rPr>
                <w:rFonts w:eastAsiaTheme="minorEastAsia"/>
                <w:szCs w:val="21"/>
              </w:rPr>
            </w:pPr>
            <w:r>
              <w:rPr>
                <w:rFonts w:eastAsiaTheme="minorEastAsia"/>
                <w:szCs w:val="21"/>
              </w:rPr>
              <w:t>A</w:t>
            </w:r>
          </w:p>
        </w:tc>
        <w:tc>
          <w:tcPr>
            <w:tcW w:w="978" w:type="pct"/>
            <w:vAlign w:val="center"/>
          </w:tcPr>
          <w:p>
            <w:pPr>
              <w:jc w:val="center"/>
              <w:rPr>
                <w:rFonts w:eastAsiaTheme="minorEastAsia"/>
                <w:szCs w:val="21"/>
              </w:rPr>
            </w:pPr>
            <w:r>
              <w:rPr>
                <w:rFonts w:eastAsiaTheme="minorEastAsia"/>
                <w:szCs w:val="21"/>
              </w:rPr>
              <w:t>&lt;2</w:t>
            </w:r>
          </w:p>
        </w:tc>
        <w:tc>
          <w:tcPr>
            <w:tcW w:w="446" w:type="pct"/>
            <w:vAlign w:val="center"/>
          </w:tcPr>
          <w:p>
            <w:pPr>
              <w:jc w:val="center"/>
              <w:rPr>
                <w:rFonts w:eastAsiaTheme="minorEastAsia"/>
                <w:szCs w:val="21"/>
              </w:rPr>
            </w:pPr>
            <w:r>
              <w:rPr>
                <w:rFonts w:eastAsiaTheme="minorEastAsia"/>
                <w:szCs w:val="21"/>
              </w:rPr>
              <w:t>400</w:t>
            </w:r>
          </w:p>
        </w:tc>
        <w:tc>
          <w:tcPr>
            <w:tcW w:w="447" w:type="pct"/>
            <w:vAlign w:val="center"/>
          </w:tcPr>
          <w:p>
            <w:pPr>
              <w:jc w:val="center"/>
              <w:rPr>
                <w:rFonts w:eastAsiaTheme="minorEastAsia"/>
                <w:szCs w:val="21"/>
              </w:rPr>
            </w:pPr>
            <w:r>
              <w:rPr>
                <w:rFonts w:eastAsiaTheme="minorEastAsia"/>
                <w:szCs w:val="21"/>
              </w:rPr>
              <w:t>400</w:t>
            </w:r>
          </w:p>
        </w:tc>
        <w:tc>
          <w:tcPr>
            <w:tcW w:w="451" w:type="pct"/>
            <w:vAlign w:val="center"/>
          </w:tcPr>
          <w:p>
            <w:pPr>
              <w:jc w:val="center"/>
              <w:rPr>
                <w:rFonts w:eastAsiaTheme="minorEastAsia"/>
                <w:szCs w:val="21"/>
              </w:rPr>
            </w:pPr>
            <w:r>
              <w:rPr>
                <w:rFonts w:eastAsiaTheme="minorEastAsia"/>
                <w:szCs w:val="21"/>
              </w:rPr>
              <w:t>400</w:t>
            </w:r>
          </w:p>
        </w:tc>
        <w:tc>
          <w:tcPr>
            <w:tcW w:w="340" w:type="pct"/>
            <w:vAlign w:val="center"/>
          </w:tcPr>
          <w:p>
            <w:pPr>
              <w:jc w:val="center"/>
              <w:rPr>
                <w:rFonts w:eastAsiaTheme="minorEastAsia"/>
                <w:szCs w:val="21"/>
              </w:rPr>
            </w:pPr>
            <w:r>
              <w:rPr>
                <w:rFonts w:eastAsiaTheme="minorEastAsia"/>
                <w:szCs w:val="21"/>
              </w:rPr>
              <w:t>400</w:t>
            </w:r>
          </w:p>
        </w:tc>
        <w:tc>
          <w:tcPr>
            <w:tcW w:w="340" w:type="pct"/>
            <w:vAlign w:val="center"/>
          </w:tcPr>
          <w:p>
            <w:pPr>
              <w:jc w:val="center"/>
              <w:rPr>
                <w:rFonts w:eastAsiaTheme="minorEastAsia"/>
                <w:szCs w:val="21"/>
              </w:rPr>
            </w:pPr>
            <w:r>
              <w:rPr>
                <w:rFonts w:eastAsiaTheme="minorEastAsia"/>
                <w:szCs w:val="21"/>
              </w:rPr>
              <w:t>400</w:t>
            </w:r>
          </w:p>
        </w:tc>
        <w:tc>
          <w:tcPr>
            <w:tcW w:w="340" w:type="pct"/>
            <w:vAlign w:val="center"/>
          </w:tcPr>
          <w:p>
            <w:pPr>
              <w:jc w:val="center"/>
              <w:rPr>
                <w:rFonts w:eastAsiaTheme="minorEastAsia"/>
                <w:szCs w:val="21"/>
              </w:rPr>
            </w:pPr>
            <w:r>
              <w:rPr>
                <w:rFonts w:eastAsiaTheme="minorEastAsia"/>
                <w:szCs w:val="21"/>
              </w:rPr>
              <w:t>400</w:t>
            </w:r>
          </w:p>
        </w:tc>
        <w:tc>
          <w:tcPr>
            <w:tcW w:w="340" w:type="pct"/>
            <w:vAlign w:val="center"/>
          </w:tcPr>
          <w:p>
            <w:pPr>
              <w:jc w:val="center"/>
              <w:rPr>
                <w:rFonts w:eastAsiaTheme="minorEastAsia"/>
                <w:szCs w:val="21"/>
              </w:rPr>
            </w:pPr>
            <w:r>
              <w:rPr>
                <w:rFonts w:eastAsiaTheme="minorEastAsia"/>
                <w:szCs w:val="21"/>
              </w:rPr>
              <w:t>80</w:t>
            </w:r>
          </w:p>
        </w:tc>
        <w:tc>
          <w:tcPr>
            <w:tcW w:w="340" w:type="pct"/>
            <w:vAlign w:val="center"/>
          </w:tcPr>
          <w:p>
            <w:pPr>
              <w:jc w:val="center"/>
              <w:rPr>
                <w:rFonts w:eastAsiaTheme="minorEastAsia"/>
                <w:szCs w:val="21"/>
              </w:rPr>
            </w:pPr>
            <w:r>
              <w:rPr>
                <w:rFonts w:eastAsiaTheme="minorEastAsia"/>
                <w:szCs w:val="21"/>
              </w:rPr>
              <w:t>80</w:t>
            </w:r>
          </w:p>
        </w:tc>
        <w:tc>
          <w:tcPr>
            <w:tcW w:w="338" w:type="pct"/>
            <w:vAlign w:val="center"/>
          </w:tcPr>
          <w:p>
            <w:pPr>
              <w:jc w:val="center"/>
              <w:rPr>
                <w:rFonts w:eastAsiaTheme="minorEastAsia"/>
                <w:szCs w:val="21"/>
              </w:rPr>
            </w:pPr>
            <w:r>
              <w:rPr>
                <w:rFonts w:eastAsiaTheme="minorEastAsia"/>
                <w:szCs w:val="21"/>
              </w:rPr>
              <w:t>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640" w:type="pct"/>
            <w:vMerge w:val="continue"/>
            <w:vAlign w:val="center"/>
          </w:tcPr>
          <w:p>
            <w:pPr>
              <w:jc w:val="center"/>
              <w:rPr>
                <w:rFonts w:eastAsiaTheme="minorEastAsia"/>
                <w:szCs w:val="21"/>
              </w:rPr>
            </w:pPr>
          </w:p>
        </w:tc>
        <w:tc>
          <w:tcPr>
            <w:tcW w:w="978" w:type="pct"/>
            <w:vAlign w:val="center"/>
          </w:tcPr>
          <w:p>
            <w:pPr>
              <w:jc w:val="center"/>
              <w:rPr>
                <w:rFonts w:eastAsiaTheme="minorEastAsia"/>
                <w:szCs w:val="21"/>
              </w:rPr>
            </w:pPr>
            <w:r>
              <w:rPr>
                <w:rFonts w:eastAsiaTheme="minorEastAsia"/>
                <w:szCs w:val="21"/>
              </w:rPr>
              <w:t>2-4</w:t>
            </w:r>
          </w:p>
        </w:tc>
        <w:tc>
          <w:tcPr>
            <w:tcW w:w="446" w:type="pct"/>
            <w:vAlign w:val="center"/>
          </w:tcPr>
          <w:p>
            <w:pPr>
              <w:jc w:val="center"/>
              <w:rPr>
                <w:rFonts w:eastAsiaTheme="minorEastAsia"/>
                <w:szCs w:val="21"/>
              </w:rPr>
            </w:pPr>
            <w:r>
              <w:rPr>
                <w:rFonts w:eastAsiaTheme="minorEastAsia"/>
                <w:szCs w:val="21"/>
              </w:rPr>
              <w:t>700</w:t>
            </w:r>
          </w:p>
        </w:tc>
        <w:tc>
          <w:tcPr>
            <w:tcW w:w="447" w:type="pct"/>
            <w:vAlign w:val="center"/>
          </w:tcPr>
          <w:p>
            <w:pPr>
              <w:jc w:val="center"/>
              <w:rPr>
                <w:rFonts w:eastAsiaTheme="minorEastAsia"/>
                <w:szCs w:val="21"/>
              </w:rPr>
            </w:pPr>
            <w:r>
              <w:rPr>
                <w:rFonts w:eastAsiaTheme="minorEastAsia"/>
                <w:szCs w:val="21"/>
              </w:rPr>
              <w:t>470</w:t>
            </w:r>
          </w:p>
        </w:tc>
        <w:tc>
          <w:tcPr>
            <w:tcW w:w="451" w:type="pct"/>
            <w:vAlign w:val="center"/>
          </w:tcPr>
          <w:p>
            <w:pPr>
              <w:jc w:val="center"/>
              <w:rPr>
                <w:rFonts w:eastAsiaTheme="minorEastAsia"/>
                <w:szCs w:val="21"/>
              </w:rPr>
            </w:pPr>
            <w:r>
              <w:rPr>
                <w:rFonts w:eastAsiaTheme="minorEastAsia"/>
                <w:szCs w:val="21"/>
              </w:rPr>
              <w:t>350</w:t>
            </w:r>
          </w:p>
        </w:tc>
        <w:tc>
          <w:tcPr>
            <w:tcW w:w="340" w:type="pct"/>
            <w:vAlign w:val="center"/>
          </w:tcPr>
          <w:p>
            <w:pPr>
              <w:jc w:val="center"/>
              <w:rPr>
                <w:rFonts w:eastAsiaTheme="minorEastAsia"/>
                <w:szCs w:val="21"/>
              </w:rPr>
            </w:pPr>
            <w:r>
              <w:rPr>
                <w:rFonts w:eastAsiaTheme="minorEastAsia"/>
                <w:szCs w:val="21"/>
              </w:rPr>
              <w:t>700</w:t>
            </w:r>
          </w:p>
        </w:tc>
        <w:tc>
          <w:tcPr>
            <w:tcW w:w="340" w:type="pct"/>
            <w:vAlign w:val="center"/>
          </w:tcPr>
          <w:p>
            <w:pPr>
              <w:jc w:val="center"/>
              <w:rPr>
                <w:rFonts w:eastAsiaTheme="minorEastAsia"/>
                <w:szCs w:val="21"/>
              </w:rPr>
            </w:pPr>
            <w:r>
              <w:rPr>
                <w:rFonts w:eastAsiaTheme="minorEastAsia"/>
                <w:szCs w:val="21"/>
              </w:rPr>
              <w:t>470</w:t>
            </w:r>
          </w:p>
        </w:tc>
        <w:tc>
          <w:tcPr>
            <w:tcW w:w="340" w:type="pct"/>
            <w:vAlign w:val="center"/>
          </w:tcPr>
          <w:p>
            <w:pPr>
              <w:jc w:val="center"/>
              <w:rPr>
                <w:rFonts w:eastAsiaTheme="minorEastAsia"/>
                <w:szCs w:val="21"/>
              </w:rPr>
            </w:pPr>
            <w:r>
              <w:rPr>
                <w:rFonts w:eastAsiaTheme="minorEastAsia"/>
                <w:szCs w:val="21"/>
              </w:rPr>
              <w:t>350</w:t>
            </w:r>
          </w:p>
        </w:tc>
        <w:tc>
          <w:tcPr>
            <w:tcW w:w="340" w:type="pct"/>
            <w:vAlign w:val="center"/>
          </w:tcPr>
          <w:p>
            <w:pPr>
              <w:jc w:val="center"/>
              <w:rPr>
                <w:rFonts w:eastAsiaTheme="minorEastAsia"/>
                <w:szCs w:val="21"/>
              </w:rPr>
            </w:pPr>
            <w:r>
              <w:rPr>
                <w:rFonts w:eastAsiaTheme="minorEastAsia"/>
                <w:szCs w:val="21"/>
              </w:rPr>
              <w:t>380</w:t>
            </w:r>
          </w:p>
        </w:tc>
        <w:tc>
          <w:tcPr>
            <w:tcW w:w="340" w:type="pct"/>
            <w:vAlign w:val="center"/>
          </w:tcPr>
          <w:p>
            <w:pPr>
              <w:jc w:val="center"/>
              <w:rPr>
                <w:rFonts w:eastAsiaTheme="minorEastAsia"/>
                <w:szCs w:val="21"/>
              </w:rPr>
            </w:pPr>
            <w:r>
              <w:rPr>
                <w:rFonts w:eastAsiaTheme="minorEastAsia"/>
                <w:szCs w:val="21"/>
              </w:rPr>
              <w:t>250</w:t>
            </w:r>
          </w:p>
        </w:tc>
        <w:tc>
          <w:tcPr>
            <w:tcW w:w="338" w:type="pct"/>
            <w:vAlign w:val="center"/>
          </w:tcPr>
          <w:p>
            <w:pPr>
              <w:jc w:val="center"/>
              <w:rPr>
                <w:rFonts w:eastAsiaTheme="minorEastAsia"/>
                <w:szCs w:val="21"/>
              </w:rPr>
            </w:pPr>
            <w:r>
              <w:rPr>
                <w:rFonts w:eastAsiaTheme="minorEastAsia"/>
                <w:szCs w:val="21"/>
              </w:rPr>
              <w:t>190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640" w:type="pct"/>
            <w:vMerge w:val="continue"/>
            <w:vAlign w:val="center"/>
          </w:tcPr>
          <w:p>
            <w:pPr>
              <w:jc w:val="center"/>
              <w:rPr>
                <w:rFonts w:eastAsiaTheme="minorEastAsia"/>
                <w:szCs w:val="21"/>
              </w:rPr>
            </w:pPr>
          </w:p>
        </w:tc>
        <w:tc>
          <w:tcPr>
            <w:tcW w:w="978" w:type="pct"/>
            <w:vAlign w:val="center"/>
          </w:tcPr>
          <w:p>
            <w:pPr>
              <w:jc w:val="center"/>
              <w:rPr>
                <w:rFonts w:eastAsiaTheme="minorEastAsia"/>
                <w:szCs w:val="21"/>
              </w:rPr>
            </w:pPr>
            <w:r>
              <w:rPr>
                <w:rFonts w:eastAsiaTheme="minorEastAsia"/>
                <w:szCs w:val="21"/>
              </w:rPr>
              <w:t>&gt;4</w:t>
            </w:r>
          </w:p>
        </w:tc>
        <w:tc>
          <w:tcPr>
            <w:tcW w:w="446" w:type="pct"/>
            <w:vAlign w:val="center"/>
          </w:tcPr>
          <w:p>
            <w:pPr>
              <w:jc w:val="center"/>
              <w:rPr>
                <w:rFonts w:eastAsiaTheme="minorEastAsia"/>
                <w:szCs w:val="21"/>
              </w:rPr>
            </w:pPr>
            <w:r>
              <w:rPr>
                <w:rFonts w:eastAsiaTheme="minorEastAsia"/>
                <w:szCs w:val="21"/>
              </w:rPr>
              <w:t>530</w:t>
            </w:r>
          </w:p>
        </w:tc>
        <w:tc>
          <w:tcPr>
            <w:tcW w:w="447" w:type="pct"/>
            <w:vAlign w:val="center"/>
          </w:tcPr>
          <w:p>
            <w:pPr>
              <w:jc w:val="center"/>
              <w:rPr>
                <w:rFonts w:eastAsiaTheme="minorEastAsia"/>
                <w:szCs w:val="21"/>
              </w:rPr>
            </w:pPr>
            <w:r>
              <w:rPr>
                <w:rFonts w:eastAsiaTheme="minorEastAsia"/>
                <w:szCs w:val="21"/>
              </w:rPr>
              <w:t>350</w:t>
            </w:r>
          </w:p>
        </w:tc>
        <w:tc>
          <w:tcPr>
            <w:tcW w:w="451" w:type="pct"/>
            <w:vAlign w:val="center"/>
          </w:tcPr>
          <w:p>
            <w:pPr>
              <w:jc w:val="center"/>
              <w:rPr>
                <w:rFonts w:eastAsiaTheme="minorEastAsia"/>
                <w:szCs w:val="21"/>
              </w:rPr>
            </w:pPr>
            <w:r>
              <w:rPr>
                <w:rFonts w:eastAsiaTheme="minorEastAsia"/>
                <w:szCs w:val="21"/>
              </w:rPr>
              <w:t>260</w:t>
            </w:r>
          </w:p>
        </w:tc>
        <w:tc>
          <w:tcPr>
            <w:tcW w:w="340" w:type="pct"/>
            <w:vAlign w:val="center"/>
          </w:tcPr>
          <w:p>
            <w:pPr>
              <w:jc w:val="center"/>
              <w:rPr>
                <w:rFonts w:eastAsiaTheme="minorEastAsia"/>
                <w:szCs w:val="21"/>
              </w:rPr>
            </w:pPr>
            <w:r>
              <w:rPr>
                <w:rFonts w:eastAsiaTheme="minorEastAsia"/>
                <w:szCs w:val="21"/>
              </w:rPr>
              <w:t>530</w:t>
            </w:r>
          </w:p>
        </w:tc>
        <w:tc>
          <w:tcPr>
            <w:tcW w:w="340" w:type="pct"/>
            <w:vAlign w:val="center"/>
          </w:tcPr>
          <w:p>
            <w:pPr>
              <w:jc w:val="center"/>
              <w:rPr>
                <w:rFonts w:eastAsiaTheme="minorEastAsia"/>
                <w:szCs w:val="21"/>
              </w:rPr>
            </w:pPr>
            <w:r>
              <w:rPr>
                <w:rFonts w:eastAsiaTheme="minorEastAsia"/>
                <w:szCs w:val="21"/>
              </w:rPr>
              <w:t>350</w:t>
            </w:r>
          </w:p>
        </w:tc>
        <w:tc>
          <w:tcPr>
            <w:tcW w:w="340" w:type="pct"/>
            <w:vAlign w:val="center"/>
          </w:tcPr>
          <w:p>
            <w:pPr>
              <w:jc w:val="center"/>
              <w:rPr>
                <w:rFonts w:eastAsiaTheme="minorEastAsia"/>
                <w:szCs w:val="21"/>
              </w:rPr>
            </w:pPr>
            <w:r>
              <w:rPr>
                <w:rFonts w:eastAsiaTheme="minorEastAsia"/>
                <w:szCs w:val="21"/>
              </w:rPr>
              <w:t>260</w:t>
            </w:r>
          </w:p>
        </w:tc>
        <w:tc>
          <w:tcPr>
            <w:tcW w:w="340" w:type="pct"/>
            <w:vAlign w:val="center"/>
          </w:tcPr>
          <w:p>
            <w:pPr>
              <w:jc w:val="center"/>
              <w:rPr>
                <w:rFonts w:eastAsiaTheme="minorEastAsia"/>
                <w:szCs w:val="21"/>
              </w:rPr>
            </w:pPr>
            <w:r>
              <w:rPr>
                <w:rFonts w:eastAsiaTheme="minorEastAsia"/>
                <w:szCs w:val="21"/>
              </w:rPr>
              <w:t>290</w:t>
            </w:r>
          </w:p>
        </w:tc>
        <w:tc>
          <w:tcPr>
            <w:tcW w:w="340" w:type="pct"/>
            <w:vAlign w:val="center"/>
          </w:tcPr>
          <w:p>
            <w:pPr>
              <w:jc w:val="center"/>
              <w:rPr>
                <w:rFonts w:eastAsiaTheme="minorEastAsia"/>
                <w:szCs w:val="21"/>
              </w:rPr>
            </w:pPr>
            <w:r>
              <w:rPr>
                <w:rFonts w:eastAsiaTheme="minorEastAsia"/>
                <w:szCs w:val="21"/>
              </w:rPr>
              <w:t>190</w:t>
            </w:r>
          </w:p>
        </w:tc>
        <w:tc>
          <w:tcPr>
            <w:tcW w:w="338" w:type="pct"/>
            <w:vAlign w:val="center"/>
          </w:tcPr>
          <w:p>
            <w:pPr>
              <w:jc w:val="center"/>
              <w:rPr>
                <w:rFonts w:eastAsiaTheme="minorEastAsia"/>
                <w:szCs w:val="21"/>
              </w:rPr>
            </w:pPr>
            <w:r>
              <w:rPr>
                <w:rFonts w:eastAsiaTheme="minorEastAsia"/>
                <w:szCs w:val="21"/>
              </w:rPr>
              <w:t>140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640" w:type="pct"/>
            <w:vMerge w:val="restart"/>
            <w:vAlign w:val="center"/>
          </w:tcPr>
          <w:p>
            <w:pPr>
              <w:jc w:val="center"/>
              <w:rPr>
                <w:rFonts w:eastAsiaTheme="minorEastAsia"/>
                <w:szCs w:val="21"/>
              </w:rPr>
            </w:pPr>
            <w:r>
              <w:rPr>
                <w:rFonts w:eastAsiaTheme="minorEastAsia"/>
                <w:szCs w:val="21"/>
              </w:rPr>
              <w:t>B</w:t>
            </w:r>
          </w:p>
        </w:tc>
        <w:tc>
          <w:tcPr>
            <w:tcW w:w="978" w:type="pct"/>
            <w:vAlign w:val="center"/>
          </w:tcPr>
          <w:p>
            <w:pPr>
              <w:jc w:val="center"/>
              <w:rPr>
                <w:rFonts w:eastAsiaTheme="minorEastAsia"/>
                <w:szCs w:val="21"/>
              </w:rPr>
            </w:pPr>
            <w:r>
              <w:rPr>
                <w:rFonts w:eastAsiaTheme="minorEastAsia"/>
                <w:szCs w:val="21"/>
              </w:rPr>
              <w:t>&lt;2</w:t>
            </w:r>
          </w:p>
        </w:tc>
        <w:tc>
          <w:tcPr>
            <w:tcW w:w="1344" w:type="pct"/>
            <w:gridSpan w:val="3"/>
            <w:vAlign w:val="center"/>
          </w:tcPr>
          <w:p>
            <w:pPr>
              <w:jc w:val="center"/>
              <w:rPr>
                <w:rFonts w:eastAsiaTheme="minorEastAsia"/>
                <w:szCs w:val="21"/>
              </w:rPr>
            </w:pPr>
            <w:r>
              <w:rPr>
                <w:rFonts w:eastAsiaTheme="minorEastAsia"/>
                <w:szCs w:val="21"/>
              </w:rPr>
              <w:t>0.01*</w:t>
            </w:r>
          </w:p>
        </w:tc>
        <w:tc>
          <w:tcPr>
            <w:tcW w:w="1020" w:type="pct"/>
            <w:gridSpan w:val="3"/>
            <w:vAlign w:val="center"/>
          </w:tcPr>
          <w:p>
            <w:pPr>
              <w:jc w:val="center"/>
              <w:rPr>
                <w:rFonts w:eastAsiaTheme="minorEastAsia"/>
                <w:szCs w:val="21"/>
              </w:rPr>
            </w:pPr>
            <w:r>
              <w:rPr>
                <w:rFonts w:eastAsiaTheme="minorEastAsia"/>
                <w:szCs w:val="21"/>
              </w:rPr>
              <w:t>0.015</w:t>
            </w:r>
          </w:p>
        </w:tc>
        <w:tc>
          <w:tcPr>
            <w:tcW w:w="1018" w:type="pct"/>
            <w:gridSpan w:val="3"/>
            <w:vAlign w:val="center"/>
          </w:tcPr>
          <w:p>
            <w:pPr>
              <w:jc w:val="center"/>
              <w:rPr>
                <w:rFonts w:eastAsiaTheme="minorEastAsia"/>
                <w:szCs w:val="21"/>
              </w:rPr>
            </w:pPr>
            <w:r>
              <w:rPr>
                <w:rFonts w:eastAsiaTheme="minorEastAsia"/>
                <w:szCs w:val="21"/>
              </w:rPr>
              <w:t>0.015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640" w:type="pct"/>
            <w:vMerge w:val="continue"/>
            <w:vAlign w:val="center"/>
          </w:tcPr>
          <w:p>
            <w:pPr>
              <w:jc w:val="center"/>
              <w:rPr>
                <w:rFonts w:eastAsiaTheme="minorEastAsia"/>
                <w:szCs w:val="21"/>
              </w:rPr>
            </w:pPr>
          </w:p>
        </w:tc>
        <w:tc>
          <w:tcPr>
            <w:tcW w:w="978" w:type="pct"/>
            <w:vAlign w:val="center"/>
          </w:tcPr>
          <w:p>
            <w:pPr>
              <w:jc w:val="center"/>
              <w:rPr>
                <w:rFonts w:eastAsiaTheme="minorEastAsia"/>
                <w:szCs w:val="21"/>
              </w:rPr>
            </w:pPr>
            <w:r>
              <w:rPr>
                <w:rFonts w:eastAsiaTheme="minorEastAsia"/>
                <w:szCs w:val="21"/>
              </w:rPr>
              <w:t>&gt;2</w:t>
            </w:r>
          </w:p>
        </w:tc>
        <w:tc>
          <w:tcPr>
            <w:tcW w:w="1344" w:type="pct"/>
            <w:gridSpan w:val="3"/>
            <w:vAlign w:val="center"/>
          </w:tcPr>
          <w:p>
            <w:pPr>
              <w:jc w:val="center"/>
              <w:rPr>
                <w:rFonts w:eastAsiaTheme="minorEastAsia"/>
                <w:szCs w:val="21"/>
              </w:rPr>
            </w:pPr>
            <w:r>
              <w:rPr>
                <w:rFonts w:eastAsiaTheme="minorEastAsia"/>
                <w:szCs w:val="21"/>
              </w:rPr>
              <w:t>0.021</w:t>
            </w:r>
          </w:p>
        </w:tc>
        <w:tc>
          <w:tcPr>
            <w:tcW w:w="1020" w:type="pct"/>
            <w:gridSpan w:val="3"/>
            <w:vAlign w:val="center"/>
          </w:tcPr>
          <w:p>
            <w:pPr>
              <w:jc w:val="center"/>
              <w:rPr>
                <w:rFonts w:eastAsiaTheme="minorEastAsia"/>
                <w:szCs w:val="21"/>
              </w:rPr>
            </w:pPr>
            <w:r>
              <w:rPr>
                <w:rFonts w:eastAsiaTheme="minorEastAsia"/>
                <w:szCs w:val="21"/>
              </w:rPr>
              <w:t>0.036</w:t>
            </w:r>
          </w:p>
        </w:tc>
        <w:tc>
          <w:tcPr>
            <w:tcW w:w="1018" w:type="pct"/>
            <w:gridSpan w:val="3"/>
            <w:vAlign w:val="center"/>
          </w:tcPr>
          <w:p>
            <w:pPr>
              <w:jc w:val="center"/>
              <w:rPr>
                <w:rFonts w:eastAsiaTheme="minorEastAsia"/>
                <w:szCs w:val="21"/>
              </w:rPr>
            </w:pPr>
            <w:r>
              <w:rPr>
                <w:rFonts w:eastAsiaTheme="minorEastAsia"/>
                <w:szCs w:val="21"/>
              </w:rPr>
              <w:t>0.036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640" w:type="pct"/>
            <w:vMerge w:val="restart"/>
            <w:vAlign w:val="center"/>
          </w:tcPr>
          <w:p>
            <w:pPr>
              <w:jc w:val="center"/>
              <w:rPr>
                <w:rFonts w:eastAsiaTheme="minorEastAsia"/>
                <w:szCs w:val="21"/>
              </w:rPr>
            </w:pPr>
            <w:r>
              <w:rPr>
                <w:rFonts w:eastAsiaTheme="minorEastAsia"/>
                <w:szCs w:val="21"/>
              </w:rPr>
              <w:t>C</w:t>
            </w:r>
          </w:p>
        </w:tc>
        <w:tc>
          <w:tcPr>
            <w:tcW w:w="978" w:type="pct"/>
            <w:vAlign w:val="center"/>
          </w:tcPr>
          <w:p>
            <w:pPr>
              <w:jc w:val="center"/>
              <w:rPr>
                <w:rFonts w:eastAsiaTheme="minorEastAsia"/>
                <w:szCs w:val="21"/>
              </w:rPr>
            </w:pPr>
            <w:r>
              <w:rPr>
                <w:rFonts w:eastAsiaTheme="minorEastAsia"/>
                <w:szCs w:val="21"/>
              </w:rPr>
              <w:t>&lt;2</w:t>
            </w:r>
          </w:p>
        </w:tc>
        <w:tc>
          <w:tcPr>
            <w:tcW w:w="1344" w:type="pct"/>
            <w:gridSpan w:val="3"/>
            <w:vAlign w:val="center"/>
          </w:tcPr>
          <w:p>
            <w:pPr>
              <w:jc w:val="center"/>
              <w:rPr>
                <w:rFonts w:eastAsiaTheme="minorEastAsia"/>
                <w:szCs w:val="21"/>
              </w:rPr>
            </w:pPr>
            <w:r>
              <w:rPr>
                <w:rFonts w:eastAsiaTheme="minorEastAsia"/>
                <w:szCs w:val="21"/>
              </w:rPr>
              <w:t>1.85*</w:t>
            </w:r>
          </w:p>
        </w:tc>
        <w:tc>
          <w:tcPr>
            <w:tcW w:w="1020" w:type="pct"/>
            <w:gridSpan w:val="3"/>
            <w:vAlign w:val="center"/>
          </w:tcPr>
          <w:p>
            <w:pPr>
              <w:jc w:val="center"/>
              <w:rPr>
                <w:rFonts w:eastAsiaTheme="minorEastAsia"/>
                <w:szCs w:val="21"/>
              </w:rPr>
            </w:pPr>
            <w:r>
              <w:rPr>
                <w:rFonts w:eastAsiaTheme="minorEastAsia"/>
                <w:szCs w:val="21"/>
              </w:rPr>
              <w:t>1.79</w:t>
            </w:r>
          </w:p>
        </w:tc>
        <w:tc>
          <w:tcPr>
            <w:tcW w:w="1018" w:type="pct"/>
            <w:gridSpan w:val="3"/>
            <w:vAlign w:val="center"/>
          </w:tcPr>
          <w:p>
            <w:pPr>
              <w:jc w:val="center"/>
              <w:rPr>
                <w:rFonts w:eastAsiaTheme="minorEastAsia"/>
                <w:szCs w:val="21"/>
              </w:rPr>
            </w:pPr>
            <w:r>
              <w:rPr>
                <w:rFonts w:eastAsiaTheme="minorEastAsia"/>
                <w:szCs w:val="21"/>
              </w:rPr>
              <w:t>1.79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640" w:type="pct"/>
            <w:vMerge w:val="continue"/>
            <w:vAlign w:val="center"/>
          </w:tcPr>
          <w:p>
            <w:pPr>
              <w:jc w:val="center"/>
              <w:rPr>
                <w:rFonts w:eastAsiaTheme="minorEastAsia"/>
                <w:szCs w:val="21"/>
              </w:rPr>
            </w:pPr>
          </w:p>
        </w:tc>
        <w:tc>
          <w:tcPr>
            <w:tcW w:w="978" w:type="pct"/>
            <w:vAlign w:val="center"/>
          </w:tcPr>
          <w:p>
            <w:pPr>
              <w:jc w:val="center"/>
              <w:rPr>
                <w:rFonts w:eastAsiaTheme="minorEastAsia"/>
                <w:szCs w:val="21"/>
              </w:rPr>
            </w:pPr>
            <w:r>
              <w:rPr>
                <w:rFonts w:eastAsiaTheme="minorEastAsia"/>
                <w:szCs w:val="21"/>
              </w:rPr>
              <w:t>&gt;2</w:t>
            </w:r>
          </w:p>
        </w:tc>
        <w:tc>
          <w:tcPr>
            <w:tcW w:w="1344" w:type="pct"/>
            <w:gridSpan w:val="3"/>
            <w:vAlign w:val="center"/>
          </w:tcPr>
          <w:p>
            <w:pPr>
              <w:jc w:val="center"/>
              <w:rPr>
                <w:rFonts w:eastAsiaTheme="minorEastAsia"/>
                <w:szCs w:val="21"/>
              </w:rPr>
            </w:pPr>
            <w:r>
              <w:rPr>
                <w:rFonts w:eastAsiaTheme="minorEastAsia"/>
                <w:szCs w:val="21"/>
              </w:rPr>
              <w:t>1.85</w:t>
            </w:r>
          </w:p>
        </w:tc>
        <w:tc>
          <w:tcPr>
            <w:tcW w:w="1020" w:type="pct"/>
            <w:gridSpan w:val="3"/>
            <w:vAlign w:val="center"/>
          </w:tcPr>
          <w:p>
            <w:pPr>
              <w:jc w:val="center"/>
              <w:rPr>
                <w:rFonts w:eastAsiaTheme="minorEastAsia"/>
                <w:szCs w:val="21"/>
              </w:rPr>
            </w:pPr>
            <w:r>
              <w:rPr>
                <w:rFonts w:eastAsiaTheme="minorEastAsia"/>
                <w:szCs w:val="21"/>
              </w:rPr>
              <w:t>1.77</w:t>
            </w:r>
          </w:p>
        </w:tc>
        <w:tc>
          <w:tcPr>
            <w:tcW w:w="1018" w:type="pct"/>
            <w:gridSpan w:val="3"/>
            <w:vAlign w:val="center"/>
          </w:tcPr>
          <w:p>
            <w:pPr>
              <w:jc w:val="center"/>
              <w:rPr>
                <w:rFonts w:eastAsiaTheme="minorEastAsia"/>
                <w:szCs w:val="21"/>
              </w:rPr>
            </w:pPr>
            <w:r>
              <w:rPr>
                <w:rFonts w:eastAsiaTheme="minorEastAsia"/>
                <w:szCs w:val="21"/>
              </w:rPr>
              <w:t>1.77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640" w:type="pct"/>
            <w:vMerge w:val="restart"/>
            <w:vAlign w:val="center"/>
          </w:tcPr>
          <w:p>
            <w:pPr>
              <w:jc w:val="center"/>
              <w:rPr>
                <w:rFonts w:eastAsiaTheme="minorEastAsia"/>
                <w:szCs w:val="21"/>
              </w:rPr>
            </w:pPr>
            <w:r>
              <w:rPr>
                <w:rFonts w:eastAsiaTheme="minorEastAsia"/>
                <w:szCs w:val="21"/>
              </w:rPr>
              <w:t>D</w:t>
            </w:r>
          </w:p>
        </w:tc>
        <w:tc>
          <w:tcPr>
            <w:tcW w:w="978" w:type="pct"/>
            <w:vAlign w:val="center"/>
          </w:tcPr>
          <w:p>
            <w:pPr>
              <w:jc w:val="center"/>
              <w:rPr>
                <w:rFonts w:eastAsiaTheme="minorEastAsia"/>
                <w:szCs w:val="21"/>
              </w:rPr>
            </w:pPr>
            <w:r>
              <w:rPr>
                <w:rFonts w:eastAsiaTheme="minorEastAsia"/>
                <w:szCs w:val="21"/>
              </w:rPr>
              <w:t>&lt;2</w:t>
            </w:r>
          </w:p>
        </w:tc>
        <w:tc>
          <w:tcPr>
            <w:tcW w:w="1344" w:type="pct"/>
            <w:gridSpan w:val="3"/>
            <w:vAlign w:val="center"/>
          </w:tcPr>
          <w:p>
            <w:pPr>
              <w:jc w:val="center"/>
              <w:rPr>
                <w:rFonts w:eastAsiaTheme="minorEastAsia"/>
                <w:szCs w:val="21"/>
              </w:rPr>
            </w:pPr>
            <w:r>
              <w:rPr>
                <w:rFonts w:eastAsiaTheme="minorEastAsia"/>
                <w:szCs w:val="21"/>
              </w:rPr>
              <w:t>0.78*</w:t>
            </w:r>
          </w:p>
        </w:tc>
        <w:tc>
          <w:tcPr>
            <w:tcW w:w="1020" w:type="pct"/>
            <w:gridSpan w:val="3"/>
            <w:vAlign w:val="center"/>
          </w:tcPr>
          <w:p>
            <w:pPr>
              <w:jc w:val="center"/>
              <w:rPr>
                <w:rFonts w:eastAsiaTheme="minorEastAsia"/>
                <w:szCs w:val="21"/>
              </w:rPr>
            </w:pPr>
            <w:r>
              <w:rPr>
                <w:rFonts w:eastAsiaTheme="minorEastAsia"/>
                <w:szCs w:val="21"/>
              </w:rPr>
              <w:t>0.78</w:t>
            </w:r>
          </w:p>
        </w:tc>
        <w:tc>
          <w:tcPr>
            <w:tcW w:w="1018" w:type="pct"/>
            <w:gridSpan w:val="3"/>
            <w:vAlign w:val="center"/>
          </w:tcPr>
          <w:p>
            <w:pPr>
              <w:jc w:val="center"/>
              <w:rPr>
                <w:rFonts w:eastAsiaTheme="minorEastAsia"/>
                <w:szCs w:val="21"/>
              </w:rPr>
            </w:pPr>
            <w:r>
              <w:rPr>
                <w:rFonts w:eastAsiaTheme="minorEastAsia"/>
                <w:szCs w:val="21"/>
              </w:rPr>
              <w:t>0.57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trPr>
        <w:tc>
          <w:tcPr>
            <w:tcW w:w="640" w:type="pct"/>
            <w:vMerge w:val="continue"/>
            <w:vAlign w:val="center"/>
          </w:tcPr>
          <w:p>
            <w:pPr>
              <w:jc w:val="center"/>
              <w:rPr>
                <w:rFonts w:eastAsiaTheme="minorEastAsia"/>
                <w:szCs w:val="21"/>
              </w:rPr>
            </w:pPr>
          </w:p>
        </w:tc>
        <w:tc>
          <w:tcPr>
            <w:tcW w:w="978" w:type="pct"/>
            <w:vAlign w:val="center"/>
          </w:tcPr>
          <w:p>
            <w:pPr>
              <w:jc w:val="center"/>
              <w:rPr>
                <w:rFonts w:eastAsiaTheme="minorEastAsia"/>
                <w:szCs w:val="21"/>
              </w:rPr>
            </w:pPr>
            <w:r>
              <w:rPr>
                <w:rFonts w:eastAsiaTheme="minorEastAsia"/>
                <w:szCs w:val="21"/>
              </w:rPr>
              <w:t>&gt;2</w:t>
            </w:r>
          </w:p>
        </w:tc>
        <w:tc>
          <w:tcPr>
            <w:tcW w:w="1344" w:type="pct"/>
            <w:gridSpan w:val="3"/>
            <w:vAlign w:val="center"/>
          </w:tcPr>
          <w:p>
            <w:pPr>
              <w:jc w:val="center"/>
              <w:rPr>
                <w:rFonts w:eastAsiaTheme="minorEastAsia"/>
                <w:szCs w:val="21"/>
              </w:rPr>
            </w:pPr>
            <w:r>
              <w:rPr>
                <w:rFonts w:eastAsiaTheme="minorEastAsia"/>
                <w:szCs w:val="21"/>
              </w:rPr>
              <w:t>0.84</w:t>
            </w:r>
          </w:p>
        </w:tc>
        <w:tc>
          <w:tcPr>
            <w:tcW w:w="1020" w:type="pct"/>
            <w:gridSpan w:val="3"/>
            <w:vAlign w:val="center"/>
          </w:tcPr>
          <w:p>
            <w:pPr>
              <w:jc w:val="center"/>
              <w:rPr>
                <w:rFonts w:eastAsiaTheme="minorEastAsia"/>
                <w:szCs w:val="21"/>
              </w:rPr>
            </w:pPr>
            <w:r>
              <w:rPr>
                <w:rFonts w:eastAsiaTheme="minorEastAsia"/>
                <w:szCs w:val="21"/>
              </w:rPr>
              <w:t>0.84</w:t>
            </w:r>
          </w:p>
        </w:tc>
        <w:tc>
          <w:tcPr>
            <w:tcW w:w="1018" w:type="pct"/>
            <w:gridSpan w:val="3"/>
            <w:vAlign w:val="center"/>
          </w:tcPr>
          <w:p>
            <w:pPr>
              <w:jc w:val="center"/>
              <w:rPr>
                <w:rFonts w:eastAsiaTheme="minorEastAsia"/>
                <w:szCs w:val="21"/>
              </w:rPr>
            </w:pPr>
            <w:r>
              <w:rPr>
                <w:rFonts w:eastAsiaTheme="minorEastAsia"/>
                <w:szCs w:val="21"/>
              </w:rPr>
              <w:t>0.76</w:t>
            </w:r>
          </w:p>
        </w:tc>
      </w:tr>
    </w:tbl>
    <w:p>
      <w:pPr>
        <w:spacing w:line="360" w:lineRule="auto"/>
      </w:pPr>
      <w:r>
        <w:t>注：*为</w:t>
      </w:r>
      <w:r>
        <w:rPr>
          <w:rFonts w:hint="eastAsia"/>
        </w:rPr>
        <w:t>本</w:t>
      </w:r>
      <w:r>
        <w:t>项目计算取值。</w:t>
      </w:r>
    </w:p>
    <w:p>
      <w:pPr>
        <w:pStyle w:val="215"/>
        <w:rPr>
          <w:rFonts w:hint="eastAsia"/>
          <w:color w:val="FF0000"/>
          <w:u w:val="wave"/>
          <w:lang w:val="en-US" w:eastAsia="zh-CN"/>
        </w:rPr>
      </w:pPr>
      <w:r>
        <w:rPr>
          <w:color w:val="FF0000"/>
          <w:u w:val="wave"/>
        </w:rPr>
        <w:t>各无组织面源等标排放量计算结果详见表</w:t>
      </w:r>
      <w:r>
        <w:rPr>
          <w:rFonts w:hint="eastAsia"/>
          <w:color w:val="FF0000"/>
          <w:u w:val="wave"/>
          <w:lang w:val="en-US" w:eastAsia="zh-CN"/>
        </w:rPr>
        <w:t>6.2-10</w:t>
      </w:r>
      <w:r>
        <w:rPr>
          <w:rFonts w:hint="eastAsia"/>
          <w:color w:val="FF0000"/>
          <w:u w:val="wave"/>
          <w:lang w:eastAsia="zh-CN"/>
        </w:rPr>
        <w:t>。</w:t>
      </w:r>
    </w:p>
    <w:p>
      <w:pPr>
        <w:pStyle w:val="263"/>
        <w:spacing w:before="120" w:beforeLines="50" w:line="240" w:lineRule="auto"/>
        <w:ind w:firstLine="0"/>
        <w:jc w:val="center"/>
        <w:rPr>
          <w:rFonts w:ascii="Times New Roman" w:hAnsi="Times New Roman"/>
          <w:b/>
          <w:color w:val="FF0000"/>
          <w:sz w:val="21"/>
          <w:szCs w:val="21"/>
          <w:u w:val="wave"/>
        </w:rPr>
      </w:pPr>
      <w:r>
        <w:rPr>
          <w:rFonts w:ascii="Times New Roman" w:hAnsi="Times New Roman"/>
          <w:b/>
          <w:color w:val="FF0000"/>
          <w:sz w:val="21"/>
          <w:szCs w:val="21"/>
          <w:u w:val="wave"/>
        </w:rPr>
        <w:t>表</w:t>
      </w:r>
      <w:r>
        <w:rPr>
          <w:rFonts w:hint="eastAsia" w:ascii="Times New Roman" w:hAnsi="Times New Roman"/>
          <w:b/>
          <w:color w:val="FF0000"/>
          <w:sz w:val="21"/>
          <w:szCs w:val="21"/>
          <w:u w:val="wave"/>
          <w:lang w:val="en-US" w:eastAsia="zh-CN"/>
        </w:rPr>
        <w:t>6.2-10</w:t>
      </w:r>
      <w:r>
        <w:rPr>
          <w:rFonts w:ascii="Times New Roman" w:hAnsi="Times New Roman"/>
          <w:b/>
          <w:color w:val="FF0000"/>
          <w:sz w:val="21"/>
          <w:szCs w:val="21"/>
          <w:u w:val="wave"/>
        </w:rPr>
        <w:t xml:space="preserve">  </w:t>
      </w:r>
      <w:r>
        <w:rPr>
          <w:rFonts w:hint="eastAsia" w:ascii="Times New Roman" w:hAnsi="Times New Roman"/>
          <w:b/>
          <w:color w:val="FF0000"/>
          <w:sz w:val="21"/>
          <w:szCs w:val="21"/>
          <w:u w:val="wave"/>
        </w:rPr>
        <w:t>等标排放量计算结果</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4"/>
        <w:gridCol w:w="1704"/>
        <w:gridCol w:w="1706"/>
        <w:gridCol w:w="1707"/>
        <w:gridCol w:w="17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99" w:type="pct"/>
            <w:noWrap w:val="0"/>
            <w:vAlign w:val="center"/>
          </w:tcPr>
          <w:p>
            <w:pPr>
              <w:jc w:val="center"/>
              <w:rPr>
                <w:b/>
                <w:color w:val="FF0000"/>
                <w:u w:val="wave"/>
              </w:rPr>
            </w:pPr>
            <w:r>
              <w:rPr>
                <w:b/>
                <w:color w:val="FF0000"/>
                <w:u w:val="wave"/>
              </w:rPr>
              <w:t>污染源位置</w:t>
            </w:r>
          </w:p>
        </w:tc>
        <w:tc>
          <w:tcPr>
            <w:tcW w:w="999" w:type="pct"/>
            <w:noWrap w:val="0"/>
            <w:vAlign w:val="center"/>
          </w:tcPr>
          <w:p>
            <w:pPr>
              <w:jc w:val="center"/>
              <w:rPr>
                <w:b/>
                <w:color w:val="FF0000"/>
                <w:u w:val="wave"/>
              </w:rPr>
            </w:pPr>
            <w:r>
              <w:rPr>
                <w:b/>
                <w:color w:val="FF0000"/>
                <w:u w:val="wave"/>
              </w:rPr>
              <w:t>污染物</w:t>
            </w:r>
          </w:p>
        </w:tc>
        <w:tc>
          <w:tcPr>
            <w:tcW w:w="1000" w:type="pct"/>
            <w:noWrap w:val="0"/>
            <w:vAlign w:val="center"/>
          </w:tcPr>
          <w:p>
            <w:pPr>
              <w:jc w:val="center"/>
              <w:rPr>
                <w:b/>
                <w:color w:val="FF0000"/>
                <w:u w:val="wave"/>
              </w:rPr>
            </w:pPr>
            <w:r>
              <w:rPr>
                <w:b/>
                <w:color w:val="FF0000"/>
                <w:u w:val="wave"/>
              </w:rPr>
              <w:t>排放量（</w:t>
            </w:r>
            <w:r>
              <w:rPr>
                <w:rFonts w:hint="eastAsia"/>
                <w:b/>
                <w:color w:val="FF0000"/>
                <w:u w:val="wave"/>
              </w:rPr>
              <w:t>kg/h</w:t>
            </w:r>
            <w:r>
              <w:rPr>
                <w:b/>
                <w:color w:val="FF0000"/>
                <w:u w:val="wave"/>
              </w:rPr>
              <w:t>）</w:t>
            </w:r>
          </w:p>
        </w:tc>
        <w:tc>
          <w:tcPr>
            <w:tcW w:w="1000" w:type="pct"/>
            <w:noWrap w:val="0"/>
            <w:vAlign w:val="center"/>
          </w:tcPr>
          <w:p>
            <w:pPr>
              <w:jc w:val="center"/>
              <w:rPr>
                <w:rFonts w:hint="eastAsia"/>
                <w:b/>
                <w:color w:val="FF0000"/>
                <w:u w:val="wave"/>
              </w:rPr>
            </w:pPr>
            <w:r>
              <w:rPr>
                <w:rFonts w:hint="eastAsia"/>
                <w:b/>
                <w:color w:val="FF0000"/>
                <w:u w:val="wave"/>
              </w:rPr>
              <w:t>环境空气质量标</w:t>
            </w:r>
          </w:p>
          <w:p>
            <w:pPr>
              <w:jc w:val="center"/>
              <w:rPr>
                <w:b/>
                <w:color w:val="FF0000"/>
                <w:u w:val="wave"/>
              </w:rPr>
            </w:pPr>
            <w:r>
              <w:rPr>
                <w:rFonts w:hint="eastAsia"/>
                <w:b/>
                <w:color w:val="FF0000"/>
                <w:u w:val="wave"/>
              </w:rPr>
              <w:t>准（mg/m</w:t>
            </w:r>
            <w:r>
              <w:rPr>
                <w:rFonts w:hint="eastAsia"/>
                <w:b/>
                <w:color w:val="FF0000"/>
                <w:u w:val="wave"/>
                <w:vertAlign w:val="superscript"/>
              </w:rPr>
              <w:t>3</w:t>
            </w:r>
            <w:r>
              <w:rPr>
                <w:rFonts w:hint="eastAsia"/>
                <w:b/>
                <w:color w:val="FF0000"/>
                <w:u w:val="wave"/>
              </w:rPr>
              <w:t>）</w:t>
            </w:r>
          </w:p>
        </w:tc>
        <w:tc>
          <w:tcPr>
            <w:tcW w:w="1000" w:type="pct"/>
            <w:noWrap w:val="0"/>
            <w:vAlign w:val="center"/>
          </w:tcPr>
          <w:p>
            <w:pPr>
              <w:jc w:val="center"/>
              <w:rPr>
                <w:b/>
                <w:color w:val="FF0000"/>
                <w:u w:val="wave"/>
              </w:rPr>
            </w:pPr>
            <w:r>
              <w:rPr>
                <w:b/>
                <w:color w:val="FF0000"/>
                <w:u w:val="wave"/>
              </w:rPr>
              <w:t>等标排放计算结果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99" w:type="pct"/>
            <w:vMerge w:val="restart"/>
            <w:noWrap w:val="0"/>
            <w:vAlign w:val="center"/>
          </w:tcPr>
          <w:p>
            <w:pPr>
              <w:jc w:val="center"/>
              <w:rPr>
                <w:rFonts w:hint="eastAsia" w:eastAsia="宋体"/>
                <w:color w:val="FF0000"/>
                <w:u w:val="wave"/>
                <w:lang w:eastAsia="zh-CN"/>
              </w:rPr>
            </w:pPr>
            <w:r>
              <w:rPr>
                <w:rFonts w:hint="eastAsia" w:cs="Times New Roman" w:eastAsiaTheme="majorEastAsia"/>
                <w:color w:val="FF0000"/>
                <w:sz w:val="21"/>
                <w:szCs w:val="21"/>
                <w:u w:val="wave"/>
                <w:lang w:eastAsia="zh-CN"/>
              </w:rPr>
              <w:t>南部养殖区</w:t>
            </w:r>
          </w:p>
        </w:tc>
        <w:tc>
          <w:tcPr>
            <w:tcW w:w="999" w:type="pct"/>
            <w:noWrap w:val="0"/>
            <w:vAlign w:val="center"/>
          </w:tcPr>
          <w:p>
            <w:pPr>
              <w:pStyle w:val="90"/>
              <w:rPr>
                <w:rFonts w:ascii="Times New Roman" w:hAnsi="Times New Roman" w:cs="Times New Roman" w:eastAsiaTheme="majorEastAsia"/>
                <w:color w:val="FF0000"/>
                <w:kern w:val="44"/>
                <w:sz w:val="21"/>
                <w:szCs w:val="21"/>
                <w:u w:val="wave"/>
                <w:lang w:val="en-US" w:eastAsia="zh-CN" w:bidi="ar-SA"/>
              </w:rPr>
            </w:pPr>
            <w:r>
              <w:rPr>
                <w:rFonts w:ascii="Times New Roman" w:hAnsi="Times New Roman" w:cs="Times New Roman" w:eastAsiaTheme="majorEastAsia"/>
                <w:color w:val="FF0000"/>
                <w:sz w:val="21"/>
                <w:szCs w:val="21"/>
                <w:u w:val="wave"/>
              </w:rPr>
              <w:t>NH</w:t>
            </w:r>
            <w:r>
              <w:rPr>
                <w:rFonts w:ascii="Times New Roman" w:hAnsi="Times New Roman" w:cs="Times New Roman" w:eastAsiaTheme="majorEastAsia"/>
                <w:color w:val="FF0000"/>
                <w:sz w:val="21"/>
                <w:szCs w:val="21"/>
                <w:u w:val="wave"/>
                <w:vertAlign w:val="subscript"/>
              </w:rPr>
              <w:t>3</w:t>
            </w:r>
          </w:p>
        </w:tc>
        <w:tc>
          <w:tcPr>
            <w:tcW w:w="1000" w:type="pct"/>
            <w:noWrap w:val="0"/>
            <w:vAlign w:val="center"/>
          </w:tcPr>
          <w:p>
            <w:pPr>
              <w:jc w:val="center"/>
              <w:rPr>
                <w:rFonts w:hint="default" w:eastAsia="宋体"/>
                <w:color w:val="FF0000"/>
                <w:szCs w:val="21"/>
                <w:u w:val="wave"/>
                <w:lang w:val="en-US" w:eastAsia="zh-CN"/>
              </w:rPr>
            </w:pPr>
            <w:r>
              <w:rPr>
                <w:rFonts w:hint="eastAsia"/>
                <w:color w:val="FF0000"/>
                <w:szCs w:val="21"/>
                <w:u w:val="wave"/>
                <w:lang w:val="en-US" w:eastAsia="zh-CN"/>
              </w:rPr>
              <w:t>0.0108</w:t>
            </w:r>
          </w:p>
        </w:tc>
        <w:tc>
          <w:tcPr>
            <w:tcW w:w="1000" w:type="pct"/>
            <w:noWrap w:val="0"/>
            <w:vAlign w:val="center"/>
          </w:tcPr>
          <w:p>
            <w:pPr>
              <w:jc w:val="center"/>
              <w:rPr>
                <w:rFonts w:hint="default" w:eastAsia="宋体"/>
                <w:color w:val="FF0000"/>
                <w:szCs w:val="21"/>
                <w:u w:val="wave"/>
                <w:lang w:val="en-US" w:eastAsia="zh-CN"/>
              </w:rPr>
            </w:pPr>
            <w:r>
              <w:rPr>
                <w:rFonts w:hint="eastAsia"/>
                <w:color w:val="FF0000"/>
                <w:szCs w:val="21"/>
                <w:u w:val="wave"/>
                <w:lang w:val="en-US" w:eastAsia="zh-CN"/>
              </w:rPr>
              <w:t>0.01</w:t>
            </w:r>
          </w:p>
        </w:tc>
        <w:tc>
          <w:tcPr>
            <w:tcW w:w="1000" w:type="pct"/>
            <w:noWrap w:val="0"/>
            <w:vAlign w:val="center"/>
          </w:tcPr>
          <w:p>
            <w:pPr>
              <w:jc w:val="center"/>
              <w:rPr>
                <w:rFonts w:hint="eastAsia" w:eastAsia="宋体"/>
                <w:color w:val="FF0000"/>
                <w:szCs w:val="21"/>
                <w:u w:val="wave"/>
                <w:lang w:val="en-US" w:eastAsia="zh-CN"/>
              </w:rPr>
            </w:pPr>
            <w:r>
              <w:rPr>
                <w:rFonts w:hint="eastAsia"/>
                <w:color w:val="FF0000"/>
                <w:u w:val="wave"/>
                <w:lang w:val="en-US" w:eastAsia="zh-CN"/>
              </w:rPr>
              <w:t>1.0</w:t>
            </w:r>
            <w:r>
              <w:rPr>
                <w:rFonts w:hint="eastAsia"/>
                <w:color w:val="FF0000"/>
                <w:u w:val="wave"/>
              </w:rPr>
              <w:t>8</w:t>
            </w:r>
            <w:r>
              <w:rPr>
                <w:color w:val="FF0000"/>
                <w:u w:val="wave"/>
              </w:rPr>
              <w:t>×10</w:t>
            </w:r>
            <w:r>
              <w:rPr>
                <w:rFonts w:hint="eastAsia"/>
                <w:color w:val="FF0000"/>
                <w:u w:val="wave"/>
                <w:vertAlign w:val="superscript"/>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99" w:type="pct"/>
            <w:vMerge w:val="continue"/>
            <w:noWrap w:val="0"/>
            <w:vAlign w:val="center"/>
          </w:tcPr>
          <w:p>
            <w:pPr>
              <w:jc w:val="center"/>
              <w:rPr>
                <w:color w:val="FF0000"/>
                <w:u w:val="wave"/>
              </w:rPr>
            </w:pPr>
          </w:p>
        </w:tc>
        <w:tc>
          <w:tcPr>
            <w:tcW w:w="999" w:type="pct"/>
            <w:noWrap w:val="0"/>
            <w:vAlign w:val="center"/>
          </w:tcPr>
          <w:p>
            <w:pPr>
              <w:pStyle w:val="90"/>
              <w:rPr>
                <w:rFonts w:hint="eastAsia" w:ascii="Times New Roman" w:hAnsi="Times New Roman" w:cs="Times New Roman" w:eastAsiaTheme="majorEastAsia"/>
                <w:color w:val="FF0000"/>
                <w:kern w:val="44"/>
                <w:sz w:val="21"/>
                <w:szCs w:val="21"/>
                <w:u w:val="wave"/>
                <w:lang w:val="en-US" w:eastAsia="zh-CN" w:bidi="ar-SA"/>
              </w:rPr>
            </w:pPr>
            <w:r>
              <w:rPr>
                <w:rFonts w:ascii="Times New Roman" w:hAnsi="Times New Roman" w:cs="Times New Roman" w:eastAsiaTheme="majorEastAsia"/>
                <w:color w:val="FF0000"/>
                <w:sz w:val="21"/>
                <w:szCs w:val="21"/>
                <w:u w:val="wave"/>
              </w:rPr>
              <w:t>H</w:t>
            </w:r>
            <w:r>
              <w:rPr>
                <w:rFonts w:ascii="Times New Roman" w:hAnsi="Times New Roman" w:cs="Times New Roman" w:eastAsiaTheme="majorEastAsia"/>
                <w:color w:val="FF0000"/>
                <w:sz w:val="21"/>
                <w:szCs w:val="21"/>
                <w:u w:val="wave"/>
                <w:vertAlign w:val="subscript"/>
              </w:rPr>
              <w:t>2</w:t>
            </w:r>
            <w:r>
              <w:rPr>
                <w:rFonts w:ascii="Times New Roman" w:hAnsi="Times New Roman" w:cs="Times New Roman" w:eastAsiaTheme="majorEastAsia"/>
                <w:color w:val="FF0000"/>
                <w:sz w:val="21"/>
                <w:szCs w:val="21"/>
                <w:u w:val="wave"/>
              </w:rPr>
              <w:t>S</w:t>
            </w:r>
          </w:p>
        </w:tc>
        <w:tc>
          <w:tcPr>
            <w:tcW w:w="1000" w:type="pct"/>
            <w:noWrap w:val="0"/>
            <w:vAlign w:val="center"/>
          </w:tcPr>
          <w:p>
            <w:pPr>
              <w:jc w:val="center"/>
              <w:rPr>
                <w:rFonts w:hint="default" w:eastAsia="宋体"/>
                <w:color w:val="FF0000"/>
                <w:szCs w:val="21"/>
                <w:u w:val="wave"/>
                <w:lang w:val="en-US" w:eastAsia="zh-CN"/>
              </w:rPr>
            </w:pPr>
            <w:r>
              <w:rPr>
                <w:rFonts w:hint="eastAsia"/>
                <w:color w:val="FF0000"/>
                <w:szCs w:val="21"/>
                <w:u w:val="wave"/>
                <w:lang w:val="en-US" w:eastAsia="zh-CN"/>
              </w:rPr>
              <w:t>0.00108</w:t>
            </w:r>
          </w:p>
        </w:tc>
        <w:tc>
          <w:tcPr>
            <w:tcW w:w="1000" w:type="pct"/>
            <w:noWrap w:val="0"/>
            <w:vAlign w:val="center"/>
          </w:tcPr>
          <w:p>
            <w:pPr>
              <w:jc w:val="center"/>
              <w:rPr>
                <w:rFonts w:hint="default" w:eastAsia="宋体"/>
                <w:color w:val="FF0000"/>
                <w:szCs w:val="21"/>
                <w:u w:val="wave"/>
                <w:lang w:val="en-US" w:eastAsia="zh-CN"/>
              </w:rPr>
            </w:pPr>
            <w:r>
              <w:rPr>
                <w:rFonts w:hint="eastAsia"/>
                <w:color w:val="FF0000"/>
                <w:szCs w:val="21"/>
                <w:u w:val="wave"/>
                <w:lang w:val="en-US" w:eastAsia="zh-CN"/>
              </w:rPr>
              <w:t>0.2</w:t>
            </w:r>
          </w:p>
        </w:tc>
        <w:tc>
          <w:tcPr>
            <w:tcW w:w="1000" w:type="pct"/>
            <w:noWrap w:val="0"/>
            <w:vAlign w:val="center"/>
          </w:tcPr>
          <w:p>
            <w:pPr>
              <w:jc w:val="center"/>
              <w:rPr>
                <w:color w:val="FF0000"/>
                <w:u w:val="wave"/>
              </w:rPr>
            </w:pPr>
            <w:r>
              <w:rPr>
                <w:rFonts w:hint="eastAsia"/>
                <w:color w:val="FF0000"/>
                <w:u w:val="wave"/>
                <w:lang w:val="en-US" w:eastAsia="zh-CN"/>
              </w:rPr>
              <w:t>0.0054</w:t>
            </w:r>
            <w:r>
              <w:rPr>
                <w:color w:val="FF0000"/>
                <w:u w:val="wave"/>
              </w:rPr>
              <w:t>×10</w:t>
            </w:r>
            <w:r>
              <w:rPr>
                <w:rFonts w:hint="eastAsia"/>
                <w:color w:val="FF0000"/>
                <w:u w:val="wave"/>
                <w:vertAlign w:val="superscript"/>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99" w:type="pct"/>
            <w:vMerge w:val="continue"/>
            <w:noWrap w:val="0"/>
            <w:vAlign w:val="center"/>
          </w:tcPr>
          <w:p>
            <w:pPr>
              <w:jc w:val="center"/>
              <w:rPr>
                <w:color w:val="FF0000"/>
                <w:u w:val="wave"/>
              </w:rPr>
            </w:pPr>
          </w:p>
        </w:tc>
        <w:tc>
          <w:tcPr>
            <w:tcW w:w="999" w:type="pct"/>
            <w:noWrap w:val="0"/>
            <w:vAlign w:val="center"/>
          </w:tcPr>
          <w:p>
            <w:pPr>
              <w:jc w:val="center"/>
              <w:rPr>
                <w:rFonts w:hint="eastAsia"/>
                <w:color w:val="FF0000"/>
                <w:szCs w:val="21"/>
                <w:u w:val="wave"/>
              </w:rPr>
            </w:pPr>
            <w:r>
              <w:rPr>
                <w:rFonts w:hint="eastAsia"/>
                <w:color w:val="FF0000"/>
                <w:szCs w:val="21"/>
                <w:u w:val="wave"/>
              </w:rPr>
              <w:t>TSP</w:t>
            </w:r>
          </w:p>
        </w:tc>
        <w:tc>
          <w:tcPr>
            <w:tcW w:w="1000" w:type="pct"/>
            <w:noWrap w:val="0"/>
            <w:vAlign w:val="center"/>
          </w:tcPr>
          <w:p>
            <w:pPr>
              <w:jc w:val="center"/>
              <w:rPr>
                <w:rFonts w:hint="default" w:eastAsia="宋体"/>
                <w:color w:val="FF0000"/>
                <w:szCs w:val="21"/>
                <w:u w:val="wave"/>
                <w:lang w:val="en-US" w:eastAsia="zh-CN"/>
              </w:rPr>
            </w:pPr>
            <w:r>
              <w:rPr>
                <w:rFonts w:hint="eastAsia"/>
                <w:color w:val="FF0000"/>
                <w:szCs w:val="21"/>
                <w:u w:val="wave"/>
                <w:lang w:val="en-US" w:eastAsia="zh-CN"/>
              </w:rPr>
              <w:t>0.101</w:t>
            </w:r>
          </w:p>
        </w:tc>
        <w:tc>
          <w:tcPr>
            <w:tcW w:w="1000" w:type="pct"/>
            <w:noWrap w:val="0"/>
            <w:vAlign w:val="center"/>
          </w:tcPr>
          <w:p>
            <w:pPr>
              <w:jc w:val="center"/>
              <w:rPr>
                <w:rFonts w:hint="eastAsia"/>
                <w:color w:val="FF0000"/>
                <w:szCs w:val="21"/>
                <w:u w:val="wave"/>
              </w:rPr>
            </w:pPr>
            <w:r>
              <w:rPr>
                <w:rFonts w:hint="eastAsia"/>
                <w:color w:val="FF0000"/>
                <w:szCs w:val="21"/>
                <w:u w:val="wave"/>
              </w:rPr>
              <w:t>0.9</w:t>
            </w:r>
          </w:p>
        </w:tc>
        <w:tc>
          <w:tcPr>
            <w:tcW w:w="1000" w:type="pct"/>
            <w:noWrap w:val="0"/>
            <w:vAlign w:val="center"/>
          </w:tcPr>
          <w:p>
            <w:pPr>
              <w:jc w:val="center"/>
              <w:rPr>
                <w:color w:val="FF0000"/>
                <w:u w:val="wave"/>
              </w:rPr>
            </w:pPr>
            <w:r>
              <w:rPr>
                <w:rFonts w:hint="eastAsia"/>
                <w:color w:val="FF0000"/>
                <w:u w:val="wave"/>
                <w:lang w:val="en-US" w:eastAsia="zh-CN"/>
              </w:rPr>
              <w:t>0.1122</w:t>
            </w:r>
            <w:r>
              <w:rPr>
                <w:color w:val="FF0000"/>
                <w:u w:val="wave"/>
              </w:rPr>
              <w:t>×10</w:t>
            </w:r>
            <w:r>
              <w:rPr>
                <w:rFonts w:hint="eastAsia"/>
                <w:color w:val="FF0000"/>
                <w:u w:val="wave"/>
                <w:vertAlign w:val="superscript"/>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99" w:type="pct"/>
            <w:vMerge w:val="restart"/>
            <w:noWrap w:val="0"/>
            <w:vAlign w:val="center"/>
          </w:tcPr>
          <w:p>
            <w:pPr>
              <w:jc w:val="center"/>
              <w:rPr>
                <w:color w:val="FF0000"/>
                <w:u w:val="wave"/>
              </w:rPr>
            </w:pPr>
            <w:r>
              <w:rPr>
                <w:rFonts w:hint="eastAsia" w:cs="Times New Roman" w:eastAsiaTheme="majorEastAsia"/>
                <w:color w:val="FF0000"/>
                <w:sz w:val="21"/>
                <w:szCs w:val="21"/>
                <w:u w:val="wave"/>
                <w:lang w:val="en-US" w:eastAsia="zh-CN"/>
              </w:rPr>
              <w:t>东</w:t>
            </w:r>
            <w:r>
              <w:rPr>
                <w:rFonts w:ascii="Times New Roman" w:hAnsi="Times New Roman" w:cs="Times New Roman" w:eastAsiaTheme="majorEastAsia"/>
                <w:color w:val="FF0000"/>
                <w:sz w:val="21"/>
                <w:szCs w:val="21"/>
                <w:u w:val="wave"/>
              </w:rPr>
              <w:t>部养殖区</w:t>
            </w:r>
          </w:p>
        </w:tc>
        <w:tc>
          <w:tcPr>
            <w:tcW w:w="999" w:type="pct"/>
            <w:noWrap w:val="0"/>
            <w:vAlign w:val="center"/>
          </w:tcPr>
          <w:p>
            <w:pPr>
              <w:pStyle w:val="90"/>
              <w:rPr>
                <w:rFonts w:hint="eastAsia" w:ascii="Times New Roman" w:hAnsi="Times New Roman" w:cs="Times New Roman" w:eastAsiaTheme="majorEastAsia"/>
                <w:color w:val="FF0000"/>
                <w:kern w:val="44"/>
                <w:sz w:val="21"/>
                <w:szCs w:val="21"/>
                <w:u w:val="wave"/>
                <w:lang w:val="en-US" w:eastAsia="zh-CN" w:bidi="ar-SA"/>
              </w:rPr>
            </w:pPr>
            <w:r>
              <w:rPr>
                <w:rFonts w:ascii="Times New Roman" w:hAnsi="Times New Roman" w:cs="Times New Roman" w:eastAsiaTheme="majorEastAsia"/>
                <w:color w:val="FF0000"/>
                <w:sz w:val="21"/>
                <w:szCs w:val="21"/>
                <w:u w:val="wave"/>
              </w:rPr>
              <w:t>NH</w:t>
            </w:r>
            <w:r>
              <w:rPr>
                <w:rFonts w:ascii="Times New Roman" w:hAnsi="Times New Roman" w:cs="Times New Roman" w:eastAsiaTheme="majorEastAsia"/>
                <w:color w:val="FF0000"/>
                <w:sz w:val="21"/>
                <w:szCs w:val="21"/>
                <w:u w:val="wave"/>
                <w:vertAlign w:val="subscript"/>
              </w:rPr>
              <w:t>3</w:t>
            </w:r>
          </w:p>
        </w:tc>
        <w:tc>
          <w:tcPr>
            <w:tcW w:w="1000" w:type="pct"/>
            <w:noWrap w:val="0"/>
            <w:vAlign w:val="center"/>
          </w:tcPr>
          <w:p>
            <w:pPr>
              <w:jc w:val="center"/>
              <w:rPr>
                <w:rFonts w:hint="eastAsia" w:ascii="Times New Roman" w:hAnsi="Times New Roman" w:eastAsia="宋体" w:cs="Times New Roman"/>
                <w:color w:val="FF0000"/>
                <w:kern w:val="2"/>
                <w:sz w:val="21"/>
                <w:szCs w:val="21"/>
                <w:u w:val="wave"/>
                <w:lang w:val="en-US" w:eastAsia="zh-CN" w:bidi="ar-SA"/>
              </w:rPr>
            </w:pPr>
            <w:r>
              <w:rPr>
                <w:rFonts w:hint="eastAsia"/>
                <w:color w:val="FF0000"/>
                <w:szCs w:val="21"/>
                <w:u w:val="wave"/>
                <w:lang w:val="en-US" w:eastAsia="zh-CN"/>
              </w:rPr>
              <w:t>0.0108</w:t>
            </w:r>
          </w:p>
        </w:tc>
        <w:tc>
          <w:tcPr>
            <w:tcW w:w="1000" w:type="pct"/>
            <w:noWrap w:val="0"/>
            <w:vAlign w:val="center"/>
          </w:tcPr>
          <w:p>
            <w:pPr>
              <w:jc w:val="center"/>
              <w:rPr>
                <w:rFonts w:hint="eastAsia" w:ascii="Times New Roman" w:hAnsi="Times New Roman" w:eastAsia="宋体" w:cs="Times New Roman"/>
                <w:color w:val="FF0000"/>
                <w:kern w:val="2"/>
                <w:sz w:val="21"/>
                <w:szCs w:val="21"/>
                <w:u w:val="wave"/>
                <w:lang w:val="en-US" w:eastAsia="zh-CN" w:bidi="ar-SA"/>
              </w:rPr>
            </w:pPr>
            <w:r>
              <w:rPr>
                <w:rFonts w:hint="eastAsia"/>
                <w:color w:val="FF0000"/>
                <w:szCs w:val="21"/>
                <w:u w:val="wave"/>
                <w:lang w:val="en-US" w:eastAsia="zh-CN"/>
              </w:rPr>
              <w:t>0.01</w:t>
            </w:r>
          </w:p>
        </w:tc>
        <w:tc>
          <w:tcPr>
            <w:tcW w:w="1000" w:type="pct"/>
            <w:noWrap w:val="0"/>
            <w:vAlign w:val="center"/>
          </w:tcPr>
          <w:p>
            <w:pPr>
              <w:jc w:val="center"/>
              <w:rPr>
                <w:rFonts w:hint="eastAsia" w:ascii="Times New Roman" w:hAnsi="Times New Roman" w:eastAsia="宋体" w:cs="Times New Roman"/>
                <w:color w:val="FF0000"/>
                <w:kern w:val="2"/>
                <w:sz w:val="21"/>
                <w:szCs w:val="21"/>
                <w:u w:val="wave"/>
                <w:lang w:val="en-US" w:eastAsia="zh-CN" w:bidi="ar-SA"/>
              </w:rPr>
            </w:pPr>
            <w:r>
              <w:rPr>
                <w:rFonts w:hint="eastAsia"/>
                <w:color w:val="FF0000"/>
                <w:u w:val="wave"/>
                <w:lang w:val="en-US" w:eastAsia="zh-CN"/>
              </w:rPr>
              <w:t>1.0</w:t>
            </w:r>
            <w:r>
              <w:rPr>
                <w:rFonts w:hint="eastAsia"/>
                <w:color w:val="FF0000"/>
                <w:u w:val="wave"/>
              </w:rPr>
              <w:t>8</w:t>
            </w:r>
            <w:r>
              <w:rPr>
                <w:color w:val="FF0000"/>
                <w:u w:val="wave"/>
              </w:rPr>
              <w:t>×10</w:t>
            </w:r>
            <w:r>
              <w:rPr>
                <w:rFonts w:hint="eastAsia"/>
                <w:color w:val="FF0000"/>
                <w:u w:val="wave"/>
                <w:vertAlign w:val="superscript"/>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99" w:type="pct"/>
            <w:vMerge w:val="continue"/>
            <w:noWrap w:val="0"/>
            <w:vAlign w:val="center"/>
          </w:tcPr>
          <w:p>
            <w:pPr>
              <w:jc w:val="center"/>
              <w:rPr>
                <w:color w:val="FF0000"/>
                <w:u w:val="wave"/>
              </w:rPr>
            </w:pPr>
          </w:p>
        </w:tc>
        <w:tc>
          <w:tcPr>
            <w:tcW w:w="999" w:type="pct"/>
            <w:noWrap w:val="0"/>
            <w:vAlign w:val="center"/>
          </w:tcPr>
          <w:p>
            <w:pPr>
              <w:pStyle w:val="90"/>
              <w:rPr>
                <w:rFonts w:hint="eastAsia" w:ascii="Times New Roman" w:hAnsi="Times New Roman" w:cs="Times New Roman" w:eastAsiaTheme="majorEastAsia"/>
                <w:color w:val="FF0000"/>
                <w:kern w:val="44"/>
                <w:sz w:val="21"/>
                <w:szCs w:val="21"/>
                <w:u w:val="wave"/>
                <w:lang w:val="en-US" w:eastAsia="zh-CN" w:bidi="ar-SA"/>
              </w:rPr>
            </w:pPr>
            <w:r>
              <w:rPr>
                <w:rFonts w:ascii="Times New Roman" w:hAnsi="Times New Roman" w:cs="Times New Roman" w:eastAsiaTheme="majorEastAsia"/>
                <w:color w:val="FF0000"/>
                <w:sz w:val="21"/>
                <w:szCs w:val="21"/>
                <w:u w:val="wave"/>
              </w:rPr>
              <w:t>H</w:t>
            </w:r>
            <w:r>
              <w:rPr>
                <w:rFonts w:ascii="Times New Roman" w:hAnsi="Times New Roman" w:cs="Times New Roman" w:eastAsiaTheme="majorEastAsia"/>
                <w:color w:val="FF0000"/>
                <w:sz w:val="21"/>
                <w:szCs w:val="21"/>
                <w:u w:val="wave"/>
                <w:vertAlign w:val="subscript"/>
              </w:rPr>
              <w:t>2</w:t>
            </w:r>
            <w:r>
              <w:rPr>
                <w:rFonts w:ascii="Times New Roman" w:hAnsi="Times New Roman" w:cs="Times New Roman" w:eastAsiaTheme="majorEastAsia"/>
                <w:color w:val="FF0000"/>
                <w:sz w:val="21"/>
                <w:szCs w:val="21"/>
                <w:u w:val="wave"/>
              </w:rPr>
              <w:t>S</w:t>
            </w:r>
          </w:p>
        </w:tc>
        <w:tc>
          <w:tcPr>
            <w:tcW w:w="1000" w:type="pct"/>
            <w:noWrap w:val="0"/>
            <w:vAlign w:val="center"/>
          </w:tcPr>
          <w:p>
            <w:pPr>
              <w:jc w:val="center"/>
              <w:rPr>
                <w:rFonts w:hint="eastAsia" w:ascii="Times New Roman" w:hAnsi="Times New Roman" w:eastAsia="宋体" w:cs="Times New Roman"/>
                <w:color w:val="FF0000"/>
                <w:kern w:val="2"/>
                <w:sz w:val="21"/>
                <w:szCs w:val="21"/>
                <w:u w:val="wave"/>
                <w:lang w:val="en-US" w:eastAsia="zh-CN" w:bidi="ar-SA"/>
              </w:rPr>
            </w:pPr>
            <w:r>
              <w:rPr>
                <w:rFonts w:hint="eastAsia"/>
                <w:color w:val="FF0000"/>
                <w:szCs w:val="21"/>
                <w:u w:val="wave"/>
                <w:lang w:val="en-US" w:eastAsia="zh-CN"/>
              </w:rPr>
              <w:t>0.00108</w:t>
            </w:r>
          </w:p>
        </w:tc>
        <w:tc>
          <w:tcPr>
            <w:tcW w:w="1000" w:type="pct"/>
            <w:noWrap w:val="0"/>
            <w:vAlign w:val="center"/>
          </w:tcPr>
          <w:p>
            <w:pPr>
              <w:jc w:val="center"/>
              <w:rPr>
                <w:rFonts w:hint="eastAsia" w:ascii="Times New Roman" w:hAnsi="Times New Roman" w:eastAsia="宋体" w:cs="Times New Roman"/>
                <w:color w:val="FF0000"/>
                <w:kern w:val="2"/>
                <w:sz w:val="21"/>
                <w:szCs w:val="21"/>
                <w:u w:val="wave"/>
                <w:lang w:val="en-US" w:eastAsia="zh-CN" w:bidi="ar-SA"/>
              </w:rPr>
            </w:pPr>
            <w:r>
              <w:rPr>
                <w:rFonts w:hint="eastAsia"/>
                <w:color w:val="FF0000"/>
                <w:szCs w:val="21"/>
                <w:u w:val="wave"/>
                <w:lang w:val="en-US" w:eastAsia="zh-CN"/>
              </w:rPr>
              <w:t>0.2</w:t>
            </w:r>
          </w:p>
        </w:tc>
        <w:tc>
          <w:tcPr>
            <w:tcW w:w="1000" w:type="pct"/>
            <w:noWrap w:val="0"/>
            <w:vAlign w:val="center"/>
          </w:tcPr>
          <w:p>
            <w:pPr>
              <w:jc w:val="center"/>
              <w:rPr>
                <w:rFonts w:ascii="Times New Roman" w:hAnsi="Times New Roman" w:eastAsia="宋体" w:cs="Times New Roman"/>
                <w:color w:val="FF0000"/>
                <w:kern w:val="2"/>
                <w:sz w:val="21"/>
                <w:szCs w:val="24"/>
                <w:u w:val="wave"/>
                <w:lang w:val="en-US" w:eastAsia="zh-CN" w:bidi="ar-SA"/>
              </w:rPr>
            </w:pPr>
            <w:r>
              <w:rPr>
                <w:rFonts w:hint="eastAsia"/>
                <w:color w:val="FF0000"/>
                <w:u w:val="wave"/>
                <w:lang w:val="en-US" w:eastAsia="zh-CN"/>
              </w:rPr>
              <w:t>0.0054</w:t>
            </w:r>
            <w:r>
              <w:rPr>
                <w:color w:val="FF0000"/>
                <w:u w:val="wave"/>
              </w:rPr>
              <w:t>×10</w:t>
            </w:r>
            <w:r>
              <w:rPr>
                <w:rFonts w:hint="eastAsia"/>
                <w:color w:val="FF0000"/>
                <w:u w:val="wave"/>
                <w:vertAlign w:val="superscript"/>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99" w:type="pct"/>
            <w:vMerge w:val="continue"/>
            <w:noWrap w:val="0"/>
            <w:vAlign w:val="center"/>
          </w:tcPr>
          <w:p>
            <w:pPr>
              <w:jc w:val="center"/>
              <w:rPr>
                <w:color w:val="FF0000"/>
                <w:u w:val="wave"/>
              </w:rPr>
            </w:pPr>
          </w:p>
        </w:tc>
        <w:tc>
          <w:tcPr>
            <w:tcW w:w="999" w:type="pct"/>
            <w:noWrap w:val="0"/>
            <w:vAlign w:val="center"/>
          </w:tcPr>
          <w:p>
            <w:pPr>
              <w:jc w:val="center"/>
              <w:rPr>
                <w:rFonts w:hint="eastAsia" w:ascii="Times New Roman" w:hAnsi="Times New Roman" w:eastAsia="宋体" w:cs="Times New Roman"/>
                <w:color w:val="FF0000"/>
                <w:kern w:val="2"/>
                <w:sz w:val="21"/>
                <w:szCs w:val="21"/>
                <w:u w:val="wave"/>
                <w:lang w:val="en-US" w:eastAsia="zh-CN" w:bidi="ar-SA"/>
              </w:rPr>
            </w:pPr>
            <w:r>
              <w:rPr>
                <w:rFonts w:hint="eastAsia"/>
                <w:color w:val="FF0000"/>
                <w:szCs w:val="21"/>
                <w:u w:val="wave"/>
              </w:rPr>
              <w:t>TSP</w:t>
            </w:r>
          </w:p>
        </w:tc>
        <w:tc>
          <w:tcPr>
            <w:tcW w:w="1000" w:type="pct"/>
            <w:noWrap w:val="0"/>
            <w:vAlign w:val="center"/>
          </w:tcPr>
          <w:p>
            <w:pPr>
              <w:jc w:val="center"/>
              <w:rPr>
                <w:rFonts w:hint="eastAsia" w:ascii="Times New Roman" w:hAnsi="Times New Roman" w:eastAsia="宋体" w:cs="Times New Roman"/>
                <w:color w:val="FF0000"/>
                <w:kern w:val="2"/>
                <w:sz w:val="21"/>
                <w:szCs w:val="21"/>
                <w:u w:val="wave"/>
                <w:lang w:val="en-US" w:eastAsia="zh-CN" w:bidi="ar-SA"/>
              </w:rPr>
            </w:pPr>
            <w:r>
              <w:rPr>
                <w:rFonts w:hint="eastAsia"/>
                <w:color w:val="FF0000"/>
                <w:szCs w:val="21"/>
                <w:u w:val="wave"/>
                <w:lang w:val="en-US" w:eastAsia="zh-CN"/>
              </w:rPr>
              <w:t>0.101</w:t>
            </w:r>
          </w:p>
        </w:tc>
        <w:tc>
          <w:tcPr>
            <w:tcW w:w="1000" w:type="pct"/>
            <w:noWrap w:val="0"/>
            <w:vAlign w:val="center"/>
          </w:tcPr>
          <w:p>
            <w:pPr>
              <w:jc w:val="center"/>
              <w:rPr>
                <w:rFonts w:hint="eastAsia" w:ascii="Times New Roman" w:hAnsi="Times New Roman" w:eastAsia="宋体" w:cs="Times New Roman"/>
                <w:color w:val="FF0000"/>
                <w:kern w:val="2"/>
                <w:sz w:val="21"/>
                <w:szCs w:val="21"/>
                <w:u w:val="wave"/>
                <w:lang w:val="en-US" w:eastAsia="zh-CN" w:bidi="ar-SA"/>
              </w:rPr>
            </w:pPr>
            <w:r>
              <w:rPr>
                <w:rFonts w:hint="eastAsia"/>
                <w:color w:val="FF0000"/>
                <w:szCs w:val="21"/>
                <w:u w:val="wave"/>
              </w:rPr>
              <w:t>0.9</w:t>
            </w:r>
          </w:p>
        </w:tc>
        <w:tc>
          <w:tcPr>
            <w:tcW w:w="1000" w:type="pct"/>
            <w:noWrap w:val="0"/>
            <w:vAlign w:val="center"/>
          </w:tcPr>
          <w:p>
            <w:pPr>
              <w:jc w:val="center"/>
              <w:rPr>
                <w:rFonts w:ascii="Times New Roman" w:hAnsi="Times New Roman" w:eastAsia="宋体" w:cs="Times New Roman"/>
                <w:color w:val="FF0000"/>
                <w:kern w:val="2"/>
                <w:sz w:val="21"/>
                <w:szCs w:val="24"/>
                <w:u w:val="wave"/>
                <w:lang w:val="en-US" w:eastAsia="zh-CN" w:bidi="ar-SA"/>
              </w:rPr>
            </w:pPr>
            <w:r>
              <w:rPr>
                <w:rFonts w:hint="eastAsia"/>
                <w:color w:val="FF0000"/>
                <w:u w:val="wave"/>
                <w:lang w:val="en-US" w:eastAsia="zh-CN"/>
              </w:rPr>
              <w:t>0.1122</w:t>
            </w:r>
            <w:r>
              <w:rPr>
                <w:color w:val="FF0000"/>
                <w:u w:val="wave"/>
              </w:rPr>
              <w:t>×10</w:t>
            </w:r>
            <w:r>
              <w:rPr>
                <w:rFonts w:hint="eastAsia"/>
                <w:color w:val="FF0000"/>
                <w:u w:val="wave"/>
                <w:vertAlign w:val="superscript"/>
                <w:lang w:val="en-US" w:eastAsia="zh-CN"/>
              </w:rPr>
              <w:t>6</w:t>
            </w:r>
          </w:p>
        </w:tc>
      </w:tr>
    </w:tbl>
    <w:p>
      <w:pPr>
        <w:pStyle w:val="215"/>
        <w:rPr>
          <w:rFonts w:hint="eastAsia"/>
          <w:color w:val="FF0000"/>
          <w:u w:val="wave"/>
          <w:lang w:eastAsia="zh-CN"/>
        </w:rPr>
      </w:pPr>
      <w:r>
        <w:rPr>
          <w:color w:val="FF0000"/>
          <w:u w:val="wave"/>
        </w:rPr>
        <w:t>项目所在地平均风速为</w:t>
      </w:r>
      <w:r>
        <w:rPr>
          <w:rFonts w:hint="eastAsia"/>
          <w:color w:val="FF0000"/>
          <w:u w:val="wave"/>
          <w:lang w:eastAsia="zh-CN"/>
        </w:rPr>
        <w:t>1.9</w:t>
      </w:r>
      <w:r>
        <w:rPr>
          <w:color w:val="FF0000"/>
          <w:u w:val="wave"/>
        </w:rPr>
        <w:t>m/s，小于</w:t>
      </w:r>
      <w:r>
        <w:rPr>
          <w:rFonts w:hint="eastAsia"/>
          <w:color w:val="FF0000"/>
          <w:u w:val="wave"/>
          <w:lang w:eastAsia="zh-CN"/>
        </w:rPr>
        <w:t>2</w:t>
      </w:r>
      <w:r>
        <w:rPr>
          <w:color w:val="FF0000"/>
          <w:u w:val="wave"/>
        </w:rPr>
        <w:t>m/s，由此得卫生防护距离计算系数取值：A取400、B取0.01、C取1.85、D取0.78。计算结果见表</w:t>
      </w:r>
      <w:r>
        <w:rPr>
          <w:rFonts w:hint="eastAsia"/>
          <w:color w:val="FF0000"/>
          <w:u w:val="wave"/>
          <w:lang w:val="en-US" w:eastAsia="zh-CN"/>
        </w:rPr>
        <w:t>6.2-11</w:t>
      </w:r>
      <w:r>
        <w:rPr>
          <w:color w:val="FF0000"/>
          <w:u w:val="wave"/>
        </w:rPr>
        <w:t>。</w:t>
      </w:r>
    </w:p>
    <w:p>
      <w:pPr>
        <w:pStyle w:val="263"/>
        <w:spacing w:before="120" w:beforeLines="50" w:line="240" w:lineRule="auto"/>
        <w:ind w:firstLine="0"/>
        <w:jc w:val="center"/>
        <w:rPr>
          <w:rFonts w:ascii="Times New Roman" w:hAnsi="Times New Roman"/>
          <w:b/>
          <w:color w:val="FF0000"/>
          <w:sz w:val="21"/>
          <w:szCs w:val="21"/>
          <w:u w:val="wave"/>
        </w:rPr>
      </w:pPr>
      <w:r>
        <w:rPr>
          <w:rFonts w:ascii="Times New Roman" w:hAnsi="Times New Roman"/>
          <w:b/>
          <w:color w:val="FF0000"/>
          <w:sz w:val="21"/>
          <w:szCs w:val="21"/>
          <w:u w:val="wave"/>
        </w:rPr>
        <w:t>表</w:t>
      </w:r>
      <w:r>
        <w:rPr>
          <w:rFonts w:hint="eastAsia" w:ascii="Times New Roman" w:hAnsi="Times New Roman"/>
          <w:b/>
          <w:color w:val="FF0000"/>
          <w:sz w:val="21"/>
          <w:szCs w:val="21"/>
          <w:u w:val="wave"/>
          <w:lang w:val="en-US" w:eastAsia="zh-CN"/>
        </w:rPr>
        <w:t>6.2-11</w:t>
      </w:r>
      <w:r>
        <w:rPr>
          <w:rFonts w:ascii="Times New Roman" w:hAnsi="Times New Roman"/>
          <w:b/>
          <w:color w:val="FF0000"/>
          <w:sz w:val="21"/>
          <w:szCs w:val="21"/>
          <w:u w:val="wave"/>
        </w:rPr>
        <w:t xml:space="preserve">  </w:t>
      </w:r>
      <w:r>
        <w:rPr>
          <w:rFonts w:hint="eastAsia" w:ascii="Times New Roman" w:hAnsi="Times New Roman"/>
          <w:b/>
          <w:color w:val="FF0000"/>
          <w:sz w:val="21"/>
          <w:szCs w:val="21"/>
          <w:u w:val="wave"/>
        </w:rPr>
        <w:t>等标排放量计算结果</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21"/>
        <w:gridCol w:w="1421"/>
        <w:gridCol w:w="1421"/>
        <w:gridCol w:w="1421"/>
        <w:gridCol w:w="1422"/>
        <w:gridCol w:w="14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3" w:type="pct"/>
            <w:noWrap w:val="0"/>
            <w:vAlign w:val="center"/>
          </w:tcPr>
          <w:p>
            <w:pPr>
              <w:jc w:val="center"/>
              <w:rPr>
                <w:b/>
                <w:color w:val="FF0000"/>
                <w:u w:val="wave"/>
              </w:rPr>
            </w:pPr>
            <w:r>
              <w:rPr>
                <w:b/>
                <w:color w:val="FF0000"/>
                <w:u w:val="wave"/>
              </w:rPr>
              <w:t>污染源位置</w:t>
            </w:r>
          </w:p>
        </w:tc>
        <w:tc>
          <w:tcPr>
            <w:tcW w:w="833" w:type="pct"/>
            <w:noWrap w:val="0"/>
            <w:vAlign w:val="center"/>
          </w:tcPr>
          <w:p>
            <w:pPr>
              <w:jc w:val="center"/>
              <w:rPr>
                <w:b/>
                <w:color w:val="FF0000"/>
                <w:u w:val="wave"/>
              </w:rPr>
            </w:pPr>
            <w:r>
              <w:rPr>
                <w:b/>
                <w:color w:val="FF0000"/>
                <w:u w:val="wave"/>
              </w:rPr>
              <w:t>污染物</w:t>
            </w:r>
          </w:p>
        </w:tc>
        <w:tc>
          <w:tcPr>
            <w:tcW w:w="833" w:type="pct"/>
            <w:noWrap w:val="0"/>
            <w:vAlign w:val="center"/>
          </w:tcPr>
          <w:p>
            <w:pPr>
              <w:jc w:val="center"/>
              <w:rPr>
                <w:b/>
                <w:color w:val="FF0000"/>
                <w:u w:val="wave"/>
              </w:rPr>
            </w:pPr>
            <w:r>
              <w:rPr>
                <w:b/>
                <w:color w:val="FF0000"/>
                <w:u w:val="wave"/>
              </w:rPr>
              <w:t>排放量（</w:t>
            </w:r>
            <w:r>
              <w:rPr>
                <w:rFonts w:hint="eastAsia"/>
                <w:b/>
                <w:color w:val="FF0000"/>
                <w:u w:val="wave"/>
              </w:rPr>
              <w:t>kg/h</w:t>
            </w:r>
            <w:r>
              <w:rPr>
                <w:b/>
                <w:color w:val="FF0000"/>
                <w:u w:val="wave"/>
              </w:rPr>
              <w:t>）</w:t>
            </w:r>
          </w:p>
        </w:tc>
        <w:tc>
          <w:tcPr>
            <w:tcW w:w="833" w:type="pct"/>
            <w:noWrap w:val="0"/>
            <w:vAlign w:val="center"/>
          </w:tcPr>
          <w:p>
            <w:pPr>
              <w:jc w:val="center"/>
              <w:rPr>
                <w:b/>
                <w:color w:val="FF0000"/>
                <w:u w:val="wave"/>
              </w:rPr>
            </w:pPr>
            <w:r>
              <w:rPr>
                <w:b/>
                <w:color w:val="FF0000"/>
                <w:u w:val="wave"/>
              </w:rPr>
              <w:t>面源参数（</w:t>
            </w:r>
            <w:r>
              <w:rPr>
                <w:rFonts w:hint="eastAsia"/>
                <w:b/>
                <w:color w:val="FF0000"/>
                <w:u w:val="wave"/>
              </w:rPr>
              <w:t>m</w:t>
            </w:r>
            <w:r>
              <w:rPr>
                <w:rFonts w:hint="eastAsia"/>
                <w:b/>
                <w:color w:val="FF0000"/>
                <w:u w:val="wave"/>
                <w:vertAlign w:val="superscript"/>
              </w:rPr>
              <w:t>2</w:t>
            </w:r>
            <w:r>
              <w:rPr>
                <w:b/>
                <w:color w:val="FF0000"/>
                <w:u w:val="wave"/>
              </w:rPr>
              <w:t>）</w:t>
            </w:r>
          </w:p>
        </w:tc>
        <w:tc>
          <w:tcPr>
            <w:tcW w:w="833" w:type="pct"/>
            <w:noWrap w:val="0"/>
            <w:vAlign w:val="center"/>
          </w:tcPr>
          <w:p>
            <w:pPr>
              <w:jc w:val="center"/>
              <w:rPr>
                <w:b/>
                <w:color w:val="FF0000"/>
                <w:u w:val="wave"/>
              </w:rPr>
            </w:pPr>
            <w:r>
              <w:rPr>
                <w:b/>
                <w:color w:val="FF0000"/>
                <w:u w:val="wave"/>
              </w:rPr>
              <w:t>计算结果</w:t>
            </w:r>
          </w:p>
        </w:tc>
        <w:tc>
          <w:tcPr>
            <w:tcW w:w="833" w:type="pct"/>
            <w:noWrap w:val="0"/>
            <w:vAlign w:val="center"/>
          </w:tcPr>
          <w:p>
            <w:pPr>
              <w:jc w:val="center"/>
              <w:rPr>
                <w:b/>
                <w:color w:val="FF0000"/>
                <w:u w:val="wave"/>
              </w:rPr>
            </w:pPr>
            <w:r>
              <w:rPr>
                <w:b/>
                <w:color w:val="FF0000"/>
                <w:u w:val="wave"/>
              </w:rPr>
              <w:t>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3" w:type="pct"/>
            <w:vMerge w:val="restart"/>
            <w:noWrap w:val="0"/>
            <w:vAlign w:val="center"/>
          </w:tcPr>
          <w:p>
            <w:pPr>
              <w:jc w:val="center"/>
              <w:rPr>
                <w:rFonts w:hint="eastAsia" w:eastAsia="宋体"/>
                <w:color w:val="FF0000"/>
                <w:u w:val="wave"/>
                <w:lang w:eastAsia="zh-CN"/>
              </w:rPr>
            </w:pPr>
            <w:r>
              <w:rPr>
                <w:rFonts w:hint="eastAsia" w:cs="Times New Roman" w:eastAsiaTheme="majorEastAsia"/>
                <w:color w:val="FF0000"/>
                <w:sz w:val="21"/>
                <w:szCs w:val="21"/>
                <w:u w:val="wave"/>
                <w:lang w:eastAsia="zh-CN"/>
              </w:rPr>
              <w:t>南部养殖区</w:t>
            </w:r>
          </w:p>
        </w:tc>
        <w:tc>
          <w:tcPr>
            <w:tcW w:w="833" w:type="pct"/>
            <w:noWrap w:val="0"/>
            <w:vAlign w:val="center"/>
          </w:tcPr>
          <w:p>
            <w:pPr>
              <w:pStyle w:val="90"/>
              <w:rPr>
                <w:rFonts w:ascii="Times New Roman" w:hAnsi="Times New Roman" w:cs="Times New Roman" w:eastAsiaTheme="majorEastAsia"/>
                <w:color w:val="FF0000"/>
                <w:kern w:val="44"/>
                <w:sz w:val="21"/>
                <w:szCs w:val="21"/>
                <w:u w:val="wave"/>
                <w:lang w:val="en-US" w:eastAsia="zh-CN" w:bidi="ar-SA"/>
              </w:rPr>
            </w:pPr>
            <w:r>
              <w:rPr>
                <w:rFonts w:ascii="Times New Roman" w:hAnsi="Times New Roman" w:cs="Times New Roman" w:eastAsiaTheme="majorEastAsia"/>
                <w:color w:val="FF0000"/>
                <w:sz w:val="21"/>
                <w:szCs w:val="21"/>
                <w:u w:val="wave"/>
              </w:rPr>
              <w:t>NH</w:t>
            </w:r>
            <w:r>
              <w:rPr>
                <w:rFonts w:ascii="Times New Roman" w:hAnsi="Times New Roman" w:cs="Times New Roman" w:eastAsiaTheme="majorEastAsia"/>
                <w:color w:val="FF0000"/>
                <w:sz w:val="21"/>
                <w:szCs w:val="21"/>
                <w:u w:val="wave"/>
                <w:vertAlign w:val="subscript"/>
              </w:rPr>
              <w:t>3</w:t>
            </w:r>
          </w:p>
        </w:tc>
        <w:tc>
          <w:tcPr>
            <w:tcW w:w="833" w:type="pct"/>
            <w:noWrap w:val="0"/>
            <w:vAlign w:val="center"/>
          </w:tcPr>
          <w:p>
            <w:pPr>
              <w:jc w:val="center"/>
              <w:rPr>
                <w:rFonts w:hint="eastAsia"/>
                <w:color w:val="FF0000"/>
                <w:szCs w:val="21"/>
                <w:u w:val="wave"/>
              </w:rPr>
            </w:pPr>
            <w:r>
              <w:rPr>
                <w:rFonts w:hint="eastAsia"/>
                <w:color w:val="FF0000"/>
                <w:szCs w:val="21"/>
                <w:u w:val="wave"/>
                <w:lang w:val="en-US" w:eastAsia="zh-CN"/>
              </w:rPr>
              <w:t>0.0108</w:t>
            </w:r>
          </w:p>
        </w:tc>
        <w:tc>
          <w:tcPr>
            <w:tcW w:w="833" w:type="pct"/>
            <w:vMerge w:val="restart"/>
            <w:noWrap w:val="0"/>
            <w:vAlign w:val="center"/>
          </w:tcPr>
          <w:p>
            <w:pPr>
              <w:jc w:val="center"/>
              <w:rPr>
                <w:rFonts w:hint="default" w:eastAsia="宋体"/>
                <w:color w:val="FF0000"/>
                <w:szCs w:val="21"/>
                <w:u w:val="wave"/>
                <w:lang w:val="en-US" w:eastAsia="zh-CN"/>
              </w:rPr>
            </w:pPr>
            <w:r>
              <w:rPr>
                <w:rFonts w:hint="eastAsia"/>
                <w:color w:val="FF0000"/>
                <w:szCs w:val="21"/>
                <w:u w:val="wave"/>
              </w:rPr>
              <w:t>S：1</w:t>
            </w:r>
            <w:r>
              <w:rPr>
                <w:rFonts w:hint="eastAsia"/>
                <w:color w:val="FF0000"/>
                <w:szCs w:val="21"/>
                <w:u w:val="wave"/>
                <w:lang w:val="en-US" w:eastAsia="zh-CN"/>
              </w:rPr>
              <w:t>15</w:t>
            </w:r>
            <w:r>
              <w:rPr>
                <w:rFonts w:hint="eastAsia"/>
                <w:color w:val="FF0000"/>
                <w:szCs w:val="21"/>
                <w:u w:val="wave"/>
              </w:rPr>
              <w:t>×</w:t>
            </w:r>
            <w:r>
              <w:rPr>
                <w:rFonts w:hint="eastAsia"/>
                <w:color w:val="FF0000"/>
                <w:szCs w:val="21"/>
                <w:u w:val="wave"/>
                <w:lang w:val="en-US" w:eastAsia="zh-CN"/>
              </w:rPr>
              <w:t>73</w:t>
            </w:r>
          </w:p>
          <w:p>
            <w:pPr>
              <w:jc w:val="center"/>
              <w:rPr>
                <w:rFonts w:hint="eastAsia" w:eastAsia="宋体"/>
                <w:color w:val="FF0000"/>
                <w:szCs w:val="21"/>
                <w:u w:val="wave"/>
                <w:lang w:eastAsia="zh-CN"/>
              </w:rPr>
            </w:pPr>
            <w:r>
              <w:rPr>
                <w:color w:val="FF0000"/>
                <w:szCs w:val="21"/>
                <w:u w:val="wave"/>
              </w:rPr>
              <w:t>H</w:t>
            </w:r>
            <w:r>
              <w:rPr>
                <w:rFonts w:hint="eastAsia"/>
                <w:color w:val="FF0000"/>
                <w:szCs w:val="21"/>
                <w:u w:val="wave"/>
              </w:rPr>
              <w:t>：</w:t>
            </w:r>
            <w:r>
              <w:rPr>
                <w:rFonts w:hint="eastAsia"/>
                <w:color w:val="FF0000"/>
                <w:szCs w:val="21"/>
                <w:u w:val="wave"/>
                <w:lang w:val="en-US" w:eastAsia="zh-CN"/>
              </w:rPr>
              <w:t>8</w:t>
            </w:r>
          </w:p>
        </w:tc>
        <w:tc>
          <w:tcPr>
            <w:tcW w:w="833" w:type="pct"/>
            <w:noWrap w:val="0"/>
            <w:vAlign w:val="center"/>
          </w:tcPr>
          <w:p>
            <w:pPr>
              <w:jc w:val="center"/>
              <w:rPr>
                <w:rFonts w:hint="default" w:eastAsia="宋体"/>
                <w:color w:val="FF0000"/>
                <w:szCs w:val="21"/>
                <w:u w:val="wave"/>
                <w:lang w:val="en-US" w:eastAsia="zh-CN"/>
              </w:rPr>
            </w:pPr>
            <w:r>
              <w:rPr>
                <w:rFonts w:hint="eastAsia"/>
                <w:color w:val="FF0000"/>
                <w:szCs w:val="21"/>
                <w:u w:val="wave"/>
                <w:lang w:val="en-US" w:eastAsia="zh-CN"/>
              </w:rPr>
              <w:t>0.794</w:t>
            </w:r>
          </w:p>
        </w:tc>
        <w:tc>
          <w:tcPr>
            <w:tcW w:w="833" w:type="pct"/>
            <w:noWrap w:val="0"/>
            <w:vAlign w:val="center"/>
          </w:tcPr>
          <w:p>
            <w:pPr>
              <w:jc w:val="center"/>
              <w:rPr>
                <w:color w:val="FF0000"/>
                <w:szCs w:val="21"/>
                <w:u w:val="wave"/>
              </w:rPr>
            </w:pPr>
            <w:r>
              <w:rPr>
                <w:rFonts w:hint="eastAsia"/>
                <w:color w:val="FF0000"/>
                <w:szCs w:val="21"/>
                <w:u w:val="wave"/>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3" w:type="pct"/>
            <w:vMerge w:val="continue"/>
            <w:noWrap w:val="0"/>
            <w:vAlign w:val="center"/>
          </w:tcPr>
          <w:p>
            <w:pPr>
              <w:jc w:val="center"/>
              <w:rPr>
                <w:color w:val="FF0000"/>
                <w:u w:val="wave"/>
              </w:rPr>
            </w:pPr>
          </w:p>
        </w:tc>
        <w:tc>
          <w:tcPr>
            <w:tcW w:w="833" w:type="pct"/>
            <w:noWrap w:val="0"/>
            <w:vAlign w:val="center"/>
          </w:tcPr>
          <w:p>
            <w:pPr>
              <w:pStyle w:val="90"/>
              <w:rPr>
                <w:rFonts w:hint="eastAsia" w:ascii="Times New Roman" w:hAnsi="Times New Roman" w:cs="Times New Roman" w:eastAsiaTheme="majorEastAsia"/>
                <w:color w:val="FF0000"/>
                <w:kern w:val="44"/>
                <w:sz w:val="21"/>
                <w:szCs w:val="21"/>
                <w:u w:val="wave"/>
                <w:lang w:val="en-US" w:eastAsia="zh-CN" w:bidi="ar-SA"/>
              </w:rPr>
            </w:pPr>
            <w:r>
              <w:rPr>
                <w:rFonts w:ascii="Times New Roman" w:hAnsi="Times New Roman" w:cs="Times New Roman" w:eastAsiaTheme="majorEastAsia"/>
                <w:color w:val="FF0000"/>
                <w:sz w:val="21"/>
                <w:szCs w:val="21"/>
                <w:u w:val="wave"/>
              </w:rPr>
              <w:t>H</w:t>
            </w:r>
            <w:r>
              <w:rPr>
                <w:rFonts w:ascii="Times New Roman" w:hAnsi="Times New Roman" w:cs="Times New Roman" w:eastAsiaTheme="majorEastAsia"/>
                <w:color w:val="FF0000"/>
                <w:sz w:val="21"/>
                <w:szCs w:val="21"/>
                <w:u w:val="wave"/>
                <w:vertAlign w:val="subscript"/>
              </w:rPr>
              <w:t>2</w:t>
            </w:r>
            <w:r>
              <w:rPr>
                <w:rFonts w:ascii="Times New Roman" w:hAnsi="Times New Roman" w:cs="Times New Roman" w:eastAsiaTheme="majorEastAsia"/>
                <w:color w:val="FF0000"/>
                <w:sz w:val="21"/>
                <w:szCs w:val="21"/>
                <w:u w:val="wave"/>
              </w:rPr>
              <w:t>S</w:t>
            </w:r>
          </w:p>
        </w:tc>
        <w:tc>
          <w:tcPr>
            <w:tcW w:w="833" w:type="pct"/>
            <w:noWrap w:val="0"/>
            <w:vAlign w:val="center"/>
          </w:tcPr>
          <w:p>
            <w:pPr>
              <w:jc w:val="center"/>
              <w:rPr>
                <w:rFonts w:hint="eastAsia"/>
                <w:color w:val="FF0000"/>
                <w:szCs w:val="21"/>
                <w:u w:val="wave"/>
              </w:rPr>
            </w:pPr>
            <w:r>
              <w:rPr>
                <w:rFonts w:hint="eastAsia"/>
                <w:color w:val="FF0000"/>
                <w:szCs w:val="21"/>
                <w:u w:val="wave"/>
                <w:lang w:val="en-US" w:eastAsia="zh-CN"/>
              </w:rPr>
              <w:t>0.00108</w:t>
            </w:r>
          </w:p>
        </w:tc>
        <w:tc>
          <w:tcPr>
            <w:tcW w:w="833" w:type="pct"/>
            <w:vMerge w:val="continue"/>
            <w:noWrap w:val="0"/>
            <w:vAlign w:val="center"/>
          </w:tcPr>
          <w:p>
            <w:pPr>
              <w:jc w:val="center"/>
              <w:rPr>
                <w:color w:val="FF0000"/>
                <w:szCs w:val="21"/>
                <w:u w:val="wave"/>
              </w:rPr>
            </w:pPr>
          </w:p>
        </w:tc>
        <w:tc>
          <w:tcPr>
            <w:tcW w:w="833" w:type="pct"/>
            <w:noWrap w:val="0"/>
            <w:vAlign w:val="center"/>
          </w:tcPr>
          <w:p>
            <w:pPr>
              <w:jc w:val="center"/>
              <w:rPr>
                <w:rFonts w:hint="default" w:eastAsia="宋体"/>
                <w:color w:val="FF0000"/>
                <w:szCs w:val="21"/>
                <w:u w:val="wave"/>
                <w:lang w:val="en-US" w:eastAsia="zh-CN"/>
              </w:rPr>
            </w:pPr>
            <w:r>
              <w:rPr>
                <w:rFonts w:hint="eastAsia"/>
                <w:color w:val="FF0000"/>
                <w:szCs w:val="21"/>
                <w:u w:val="wave"/>
                <w:lang w:val="en-US" w:eastAsia="zh-CN"/>
              </w:rPr>
              <w:t>1.932</w:t>
            </w:r>
          </w:p>
        </w:tc>
        <w:tc>
          <w:tcPr>
            <w:tcW w:w="833" w:type="pct"/>
            <w:noWrap w:val="0"/>
            <w:vAlign w:val="center"/>
          </w:tcPr>
          <w:p>
            <w:pPr>
              <w:jc w:val="center"/>
              <w:rPr>
                <w:rFonts w:hint="default" w:eastAsia="宋体"/>
                <w:color w:val="FF0000"/>
                <w:szCs w:val="21"/>
                <w:u w:val="wave"/>
                <w:lang w:val="en-US" w:eastAsia="zh-CN"/>
              </w:rPr>
            </w:pPr>
            <w:r>
              <w:rPr>
                <w:rFonts w:hint="eastAsia"/>
                <w:color w:val="FF0000"/>
                <w:szCs w:val="21"/>
                <w:u w:val="wav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3" w:type="pct"/>
            <w:vMerge w:val="continue"/>
            <w:noWrap w:val="0"/>
            <w:vAlign w:val="center"/>
          </w:tcPr>
          <w:p>
            <w:pPr>
              <w:jc w:val="center"/>
              <w:rPr>
                <w:color w:val="FF0000"/>
                <w:u w:val="wave"/>
              </w:rPr>
            </w:pPr>
          </w:p>
        </w:tc>
        <w:tc>
          <w:tcPr>
            <w:tcW w:w="833" w:type="pct"/>
            <w:noWrap w:val="0"/>
            <w:vAlign w:val="center"/>
          </w:tcPr>
          <w:p>
            <w:pPr>
              <w:jc w:val="center"/>
              <w:rPr>
                <w:rFonts w:hint="eastAsia"/>
                <w:color w:val="FF0000"/>
                <w:szCs w:val="21"/>
                <w:u w:val="wave"/>
              </w:rPr>
            </w:pPr>
            <w:r>
              <w:rPr>
                <w:rFonts w:hint="eastAsia"/>
                <w:color w:val="FF0000"/>
                <w:szCs w:val="21"/>
                <w:u w:val="wave"/>
              </w:rPr>
              <w:t>TSP</w:t>
            </w:r>
          </w:p>
        </w:tc>
        <w:tc>
          <w:tcPr>
            <w:tcW w:w="833" w:type="pct"/>
            <w:noWrap w:val="0"/>
            <w:vAlign w:val="center"/>
          </w:tcPr>
          <w:p>
            <w:pPr>
              <w:jc w:val="center"/>
              <w:rPr>
                <w:rFonts w:hint="eastAsia"/>
                <w:color w:val="FF0000"/>
                <w:szCs w:val="21"/>
                <w:u w:val="wave"/>
              </w:rPr>
            </w:pPr>
            <w:r>
              <w:rPr>
                <w:rFonts w:hint="eastAsia"/>
                <w:color w:val="FF0000"/>
                <w:szCs w:val="21"/>
                <w:u w:val="wave"/>
                <w:lang w:val="en-US" w:eastAsia="zh-CN"/>
              </w:rPr>
              <w:t>0.101</w:t>
            </w:r>
          </w:p>
        </w:tc>
        <w:tc>
          <w:tcPr>
            <w:tcW w:w="833" w:type="pct"/>
            <w:vMerge w:val="continue"/>
            <w:noWrap w:val="0"/>
            <w:vAlign w:val="center"/>
          </w:tcPr>
          <w:p>
            <w:pPr>
              <w:jc w:val="center"/>
              <w:rPr>
                <w:color w:val="FF0000"/>
                <w:szCs w:val="21"/>
                <w:u w:val="wave"/>
              </w:rPr>
            </w:pPr>
          </w:p>
        </w:tc>
        <w:tc>
          <w:tcPr>
            <w:tcW w:w="833" w:type="pct"/>
            <w:noWrap w:val="0"/>
            <w:vAlign w:val="center"/>
          </w:tcPr>
          <w:p>
            <w:pPr>
              <w:jc w:val="center"/>
              <w:rPr>
                <w:rFonts w:hint="default" w:eastAsia="宋体"/>
                <w:color w:val="FF0000"/>
                <w:szCs w:val="21"/>
                <w:u w:val="wave"/>
                <w:lang w:val="en-US" w:eastAsia="zh-CN"/>
              </w:rPr>
            </w:pPr>
            <w:r>
              <w:rPr>
                <w:rFonts w:hint="eastAsia"/>
                <w:color w:val="FF0000"/>
                <w:szCs w:val="21"/>
                <w:u w:val="wave"/>
                <w:lang w:val="en-US" w:eastAsia="zh-CN"/>
              </w:rPr>
              <w:t>2.029</w:t>
            </w:r>
          </w:p>
        </w:tc>
        <w:tc>
          <w:tcPr>
            <w:tcW w:w="833" w:type="pct"/>
            <w:noWrap w:val="0"/>
            <w:vAlign w:val="center"/>
          </w:tcPr>
          <w:p>
            <w:pPr>
              <w:jc w:val="center"/>
              <w:rPr>
                <w:rFonts w:hint="default" w:eastAsia="宋体"/>
                <w:color w:val="FF0000"/>
                <w:szCs w:val="21"/>
                <w:u w:val="wave"/>
                <w:lang w:val="en-US" w:eastAsia="zh-CN"/>
              </w:rPr>
            </w:pPr>
            <w:r>
              <w:rPr>
                <w:rFonts w:hint="eastAsia"/>
                <w:color w:val="FF0000"/>
                <w:szCs w:val="21"/>
                <w:u w:val="wav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3" w:type="pct"/>
            <w:vMerge w:val="restart"/>
            <w:noWrap w:val="0"/>
            <w:vAlign w:val="center"/>
          </w:tcPr>
          <w:p>
            <w:pPr>
              <w:jc w:val="center"/>
              <w:rPr>
                <w:color w:val="FF0000"/>
                <w:u w:val="wave"/>
              </w:rPr>
            </w:pPr>
            <w:r>
              <w:rPr>
                <w:rFonts w:ascii="Times New Roman" w:hAnsi="Times New Roman" w:cs="Times New Roman" w:eastAsiaTheme="majorEastAsia"/>
                <w:color w:val="FF0000"/>
                <w:sz w:val="21"/>
                <w:szCs w:val="21"/>
                <w:u w:val="wave"/>
              </w:rPr>
              <w:t>东部养殖区</w:t>
            </w:r>
          </w:p>
        </w:tc>
        <w:tc>
          <w:tcPr>
            <w:tcW w:w="833" w:type="pct"/>
            <w:noWrap w:val="0"/>
            <w:vAlign w:val="center"/>
          </w:tcPr>
          <w:p>
            <w:pPr>
              <w:pStyle w:val="90"/>
              <w:rPr>
                <w:rFonts w:hint="eastAsia" w:ascii="Times New Roman" w:hAnsi="Times New Roman" w:cs="Times New Roman" w:eastAsiaTheme="majorEastAsia"/>
                <w:color w:val="FF0000"/>
                <w:kern w:val="44"/>
                <w:sz w:val="21"/>
                <w:szCs w:val="21"/>
                <w:u w:val="wave"/>
                <w:lang w:val="en-US" w:eastAsia="zh-CN" w:bidi="ar-SA"/>
              </w:rPr>
            </w:pPr>
            <w:r>
              <w:rPr>
                <w:rFonts w:ascii="Times New Roman" w:hAnsi="Times New Roman" w:cs="Times New Roman" w:eastAsiaTheme="majorEastAsia"/>
                <w:color w:val="FF0000"/>
                <w:sz w:val="21"/>
                <w:szCs w:val="21"/>
                <w:u w:val="wave"/>
              </w:rPr>
              <w:t>NH</w:t>
            </w:r>
            <w:r>
              <w:rPr>
                <w:rFonts w:ascii="Times New Roman" w:hAnsi="Times New Roman" w:cs="Times New Roman" w:eastAsiaTheme="majorEastAsia"/>
                <w:color w:val="FF0000"/>
                <w:sz w:val="21"/>
                <w:szCs w:val="21"/>
                <w:u w:val="wave"/>
                <w:vertAlign w:val="subscript"/>
              </w:rPr>
              <w:t>3</w:t>
            </w:r>
          </w:p>
        </w:tc>
        <w:tc>
          <w:tcPr>
            <w:tcW w:w="833" w:type="pct"/>
            <w:noWrap w:val="0"/>
            <w:vAlign w:val="center"/>
          </w:tcPr>
          <w:p>
            <w:pPr>
              <w:jc w:val="center"/>
              <w:rPr>
                <w:rFonts w:hint="eastAsia" w:ascii="Times New Roman" w:hAnsi="Times New Roman" w:eastAsia="宋体" w:cs="Times New Roman"/>
                <w:color w:val="FF0000"/>
                <w:kern w:val="2"/>
                <w:sz w:val="21"/>
                <w:szCs w:val="21"/>
                <w:u w:val="wave"/>
                <w:lang w:val="en-US" w:eastAsia="zh-CN" w:bidi="ar-SA"/>
              </w:rPr>
            </w:pPr>
            <w:r>
              <w:rPr>
                <w:rFonts w:hint="eastAsia"/>
                <w:color w:val="FF0000"/>
                <w:szCs w:val="21"/>
                <w:u w:val="wave"/>
                <w:lang w:val="en-US" w:eastAsia="zh-CN"/>
              </w:rPr>
              <w:t>0.0108</w:t>
            </w:r>
          </w:p>
        </w:tc>
        <w:tc>
          <w:tcPr>
            <w:tcW w:w="833" w:type="pct"/>
            <w:vMerge w:val="restart"/>
            <w:noWrap w:val="0"/>
            <w:vAlign w:val="center"/>
          </w:tcPr>
          <w:p>
            <w:pPr>
              <w:jc w:val="center"/>
              <w:rPr>
                <w:rFonts w:hint="default" w:eastAsia="宋体"/>
                <w:color w:val="FF0000"/>
                <w:szCs w:val="21"/>
                <w:u w:val="wave"/>
                <w:lang w:val="en-US" w:eastAsia="zh-CN"/>
              </w:rPr>
            </w:pPr>
            <w:r>
              <w:rPr>
                <w:rFonts w:hint="eastAsia"/>
                <w:color w:val="FF0000"/>
                <w:szCs w:val="21"/>
                <w:u w:val="wave"/>
              </w:rPr>
              <w:t>S：1</w:t>
            </w:r>
            <w:r>
              <w:rPr>
                <w:rFonts w:hint="eastAsia"/>
                <w:color w:val="FF0000"/>
                <w:szCs w:val="21"/>
                <w:u w:val="wave"/>
                <w:lang w:val="en-US" w:eastAsia="zh-CN"/>
              </w:rPr>
              <w:t>15</w:t>
            </w:r>
            <w:r>
              <w:rPr>
                <w:rFonts w:hint="eastAsia"/>
                <w:color w:val="FF0000"/>
                <w:szCs w:val="21"/>
                <w:u w:val="wave"/>
              </w:rPr>
              <w:t>×</w:t>
            </w:r>
            <w:r>
              <w:rPr>
                <w:rFonts w:hint="eastAsia"/>
                <w:color w:val="FF0000"/>
                <w:szCs w:val="21"/>
                <w:u w:val="wave"/>
                <w:lang w:val="en-US" w:eastAsia="zh-CN"/>
              </w:rPr>
              <w:t>73</w:t>
            </w:r>
          </w:p>
          <w:p>
            <w:pPr>
              <w:jc w:val="center"/>
              <w:rPr>
                <w:color w:val="FF0000"/>
                <w:szCs w:val="21"/>
                <w:u w:val="wave"/>
              </w:rPr>
            </w:pPr>
            <w:r>
              <w:rPr>
                <w:color w:val="FF0000"/>
                <w:szCs w:val="21"/>
                <w:u w:val="wave"/>
              </w:rPr>
              <w:t>H</w:t>
            </w:r>
            <w:r>
              <w:rPr>
                <w:rFonts w:hint="eastAsia"/>
                <w:color w:val="FF0000"/>
                <w:szCs w:val="21"/>
                <w:u w:val="wave"/>
              </w:rPr>
              <w:t>：</w:t>
            </w:r>
            <w:r>
              <w:rPr>
                <w:rFonts w:hint="eastAsia"/>
                <w:color w:val="FF0000"/>
                <w:szCs w:val="21"/>
                <w:u w:val="wave"/>
                <w:lang w:val="en-US" w:eastAsia="zh-CN"/>
              </w:rPr>
              <w:t>8</w:t>
            </w:r>
          </w:p>
        </w:tc>
        <w:tc>
          <w:tcPr>
            <w:tcW w:w="833" w:type="pct"/>
            <w:noWrap w:val="0"/>
            <w:vAlign w:val="center"/>
          </w:tcPr>
          <w:p>
            <w:pPr>
              <w:jc w:val="center"/>
              <w:rPr>
                <w:rFonts w:hint="eastAsia" w:ascii="Times New Roman" w:hAnsi="Times New Roman" w:eastAsia="宋体" w:cs="Times New Roman"/>
                <w:color w:val="FF0000"/>
                <w:kern w:val="2"/>
                <w:sz w:val="21"/>
                <w:szCs w:val="21"/>
                <w:u w:val="wave"/>
                <w:lang w:val="en-US" w:eastAsia="zh-CN" w:bidi="ar-SA"/>
              </w:rPr>
            </w:pPr>
            <w:r>
              <w:rPr>
                <w:rFonts w:hint="eastAsia"/>
                <w:color w:val="FF0000"/>
                <w:szCs w:val="21"/>
                <w:u w:val="wave"/>
                <w:lang w:val="en-US" w:eastAsia="zh-CN"/>
              </w:rPr>
              <w:t>0.794</w:t>
            </w:r>
          </w:p>
        </w:tc>
        <w:tc>
          <w:tcPr>
            <w:tcW w:w="833" w:type="pct"/>
            <w:noWrap w:val="0"/>
            <w:vAlign w:val="center"/>
          </w:tcPr>
          <w:p>
            <w:pPr>
              <w:jc w:val="center"/>
              <w:rPr>
                <w:rFonts w:hint="eastAsia" w:ascii="Times New Roman" w:hAnsi="Times New Roman" w:eastAsia="宋体" w:cs="Times New Roman"/>
                <w:color w:val="FF0000"/>
                <w:kern w:val="2"/>
                <w:sz w:val="21"/>
                <w:szCs w:val="21"/>
                <w:u w:val="wave"/>
                <w:lang w:val="en-US" w:eastAsia="zh-CN" w:bidi="ar-SA"/>
              </w:rPr>
            </w:pPr>
            <w:r>
              <w:rPr>
                <w:rFonts w:hint="eastAsia"/>
                <w:color w:val="FF0000"/>
                <w:szCs w:val="21"/>
                <w:u w:val="wav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3" w:type="pct"/>
            <w:vMerge w:val="continue"/>
          </w:tcPr>
          <w:p>
            <w:pPr>
              <w:jc w:val="center"/>
              <w:rPr>
                <w:color w:val="FF0000"/>
                <w:u w:val="wave"/>
              </w:rPr>
            </w:pPr>
          </w:p>
        </w:tc>
        <w:tc>
          <w:tcPr>
            <w:tcW w:w="0" w:type="auto"/>
            <w:vAlign w:val="center"/>
          </w:tcPr>
          <w:p>
            <w:pPr>
              <w:pStyle w:val="90"/>
              <w:rPr>
                <w:rFonts w:hint="eastAsia" w:ascii="Times New Roman" w:hAnsi="Times New Roman" w:cs="Times New Roman" w:eastAsiaTheme="majorEastAsia"/>
                <w:color w:val="FF0000"/>
                <w:kern w:val="44"/>
                <w:sz w:val="21"/>
                <w:szCs w:val="21"/>
                <w:u w:val="wave"/>
                <w:lang w:val="en-US" w:eastAsia="zh-CN" w:bidi="ar-SA"/>
              </w:rPr>
            </w:pPr>
            <w:r>
              <w:rPr>
                <w:rFonts w:ascii="Times New Roman" w:hAnsi="Times New Roman" w:cs="Times New Roman" w:eastAsiaTheme="majorEastAsia"/>
                <w:color w:val="FF0000"/>
                <w:sz w:val="21"/>
                <w:szCs w:val="21"/>
                <w:u w:val="wave"/>
              </w:rPr>
              <w:t>H</w:t>
            </w:r>
            <w:r>
              <w:rPr>
                <w:rFonts w:ascii="Times New Roman" w:hAnsi="Times New Roman" w:cs="Times New Roman" w:eastAsiaTheme="majorEastAsia"/>
                <w:color w:val="FF0000"/>
                <w:sz w:val="21"/>
                <w:szCs w:val="21"/>
                <w:u w:val="wave"/>
                <w:vertAlign w:val="subscript"/>
              </w:rPr>
              <w:t>2</w:t>
            </w:r>
            <w:r>
              <w:rPr>
                <w:rFonts w:ascii="Times New Roman" w:hAnsi="Times New Roman" w:cs="Times New Roman" w:eastAsiaTheme="majorEastAsia"/>
                <w:color w:val="FF0000"/>
                <w:sz w:val="21"/>
                <w:szCs w:val="21"/>
                <w:u w:val="wave"/>
              </w:rPr>
              <w:t>S</w:t>
            </w:r>
          </w:p>
        </w:tc>
        <w:tc>
          <w:tcPr>
            <w:tcW w:w="0" w:type="auto"/>
            <w:vAlign w:val="center"/>
          </w:tcPr>
          <w:p>
            <w:pPr>
              <w:jc w:val="center"/>
              <w:rPr>
                <w:rFonts w:hint="eastAsia" w:ascii="Times New Roman" w:hAnsi="Times New Roman" w:eastAsia="宋体" w:cs="Times New Roman"/>
                <w:color w:val="FF0000"/>
                <w:kern w:val="2"/>
                <w:sz w:val="21"/>
                <w:szCs w:val="21"/>
                <w:u w:val="wave"/>
                <w:lang w:val="en-US" w:eastAsia="zh-CN" w:bidi="ar-SA"/>
              </w:rPr>
            </w:pPr>
            <w:r>
              <w:rPr>
                <w:rFonts w:hint="eastAsia"/>
                <w:color w:val="FF0000"/>
                <w:szCs w:val="21"/>
                <w:u w:val="wave"/>
                <w:lang w:val="en-US" w:eastAsia="zh-CN"/>
              </w:rPr>
              <w:t>0.00108</w:t>
            </w:r>
          </w:p>
        </w:tc>
        <w:tc>
          <w:tcPr>
            <w:tcW w:w="833" w:type="pct"/>
            <w:vMerge w:val="continue"/>
          </w:tcPr>
          <w:p>
            <w:pPr>
              <w:jc w:val="center"/>
              <w:rPr>
                <w:color w:val="FF0000"/>
                <w:szCs w:val="21"/>
                <w:u w:val="wave"/>
              </w:rPr>
            </w:pPr>
          </w:p>
        </w:tc>
        <w:tc>
          <w:tcPr>
            <w:tcW w:w="0" w:type="auto"/>
            <w:vAlign w:val="center"/>
          </w:tcPr>
          <w:p>
            <w:pPr>
              <w:jc w:val="center"/>
              <w:rPr>
                <w:rFonts w:hint="eastAsia" w:ascii="Times New Roman" w:hAnsi="Times New Roman" w:eastAsia="宋体" w:cs="Times New Roman"/>
                <w:color w:val="FF0000"/>
                <w:kern w:val="2"/>
                <w:sz w:val="21"/>
                <w:szCs w:val="21"/>
                <w:u w:val="wave"/>
                <w:lang w:val="en-US" w:eastAsia="zh-CN" w:bidi="ar-SA"/>
              </w:rPr>
            </w:pPr>
            <w:r>
              <w:rPr>
                <w:rFonts w:hint="eastAsia"/>
                <w:color w:val="FF0000"/>
                <w:szCs w:val="21"/>
                <w:u w:val="wave"/>
                <w:lang w:val="en-US" w:eastAsia="zh-CN"/>
              </w:rPr>
              <w:t>1.932</w:t>
            </w:r>
          </w:p>
        </w:tc>
        <w:tc>
          <w:tcPr>
            <w:tcW w:w="0" w:type="auto"/>
            <w:vAlign w:val="center"/>
          </w:tcPr>
          <w:p>
            <w:pPr>
              <w:jc w:val="center"/>
              <w:rPr>
                <w:rFonts w:hint="eastAsia" w:ascii="Times New Roman" w:hAnsi="Times New Roman" w:eastAsia="宋体" w:cs="Times New Roman"/>
                <w:color w:val="FF0000"/>
                <w:kern w:val="2"/>
                <w:sz w:val="21"/>
                <w:szCs w:val="21"/>
                <w:u w:val="wave"/>
                <w:lang w:val="en-US" w:eastAsia="zh-CN" w:bidi="ar-SA"/>
              </w:rPr>
            </w:pPr>
            <w:r>
              <w:rPr>
                <w:rFonts w:hint="eastAsia"/>
                <w:color w:val="FF0000"/>
                <w:szCs w:val="21"/>
                <w:u w:val="wave"/>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3" w:type="pct"/>
            <w:vMerge w:val="continue"/>
          </w:tcPr>
          <w:p>
            <w:pPr>
              <w:jc w:val="center"/>
              <w:rPr>
                <w:color w:val="FF0000"/>
                <w:u w:val="wave"/>
              </w:rPr>
            </w:pPr>
          </w:p>
        </w:tc>
        <w:tc>
          <w:tcPr>
            <w:tcW w:w="0" w:type="auto"/>
            <w:vAlign w:val="center"/>
          </w:tcPr>
          <w:p>
            <w:pPr>
              <w:jc w:val="center"/>
              <w:rPr>
                <w:rFonts w:hint="eastAsia" w:ascii="Times New Roman" w:hAnsi="Times New Roman" w:eastAsia="宋体" w:cs="Times New Roman"/>
                <w:color w:val="FF0000"/>
                <w:kern w:val="2"/>
                <w:sz w:val="21"/>
                <w:szCs w:val="21"/>
                <w:u w:val="wave"/>
                <w:lang w:val="en-US" w:eastAsia="zh-CN" w:bidi="ar-SA"/>
              </w:rPr>
            </w:pPr>
            <w:r>
              <w:rPr>
                <w:rFonts w:hint="eastAsia"/>
                <w:color w:val="FF0000"/>
                <w:szCs w:val="21"/>
                <w:u w:val="wave"/>
              </w:rPr>
              <w:t>TSP</w:t>
            </w:r>
          </w:p>
        </w:tc>
        <w:tc>
          <w:tcPr>
            <w:tcW w:w="0" w:type="auto"/>
            <w:vAlign w:val="center"/>
          </w:tcPr>
          <w:p>
            <w:pPr>
              <w:jc w:val="center"/>
              <w:rPr>
                <w:rFonts w:hint="eastAsia" w:ascii="Times New Roman" w:hAnsi="Times New Roman" w:eastAsia="宋体" w:cs="Times New Roman"/>
                <w:color w:val="FF0000"/>
                <w:kern w:val="2"/>
                <w:sz w:val="21"/>
                <w:szCs w:val="21"/>
                <w:u w:val="wave"/>
                <w:lang w:val="en-US" w:eastAsia="zh-CN" w:bidi="ar-SA"/>
              </w:rPr>
            </w:pPr>
            <w:r>
              <w:rPr>
                <w:rFonts w:hint="eastAsia"/>
                <w:color w:val="FF0000"/>
                <w:szCs w:val="21"/>
                <w:u w:val="wave"/>
                <w:lang w:val="en-US" w:eastAsia="zh-CN"/>
              </w:rPr>
              <w:t>0.101</w:t>
            </w:r>
          </w:p>
        </w:tc>
        <w:tc>
          <w:tcPr>
            <w:tcW w:w="833" w:type="pct"/>
            <w:vMerge w:val="continue"/>
          </w:tcPr>
          <w:p>
            <w:pPr>
              <w:jc w:val="center"/>
              <w:rPr>
                <w:color w:val="FF0000"/>
                <w:szCs w:val="21"/>
                <w:u w:val="wave"/>
              </w:rPr>
            </w:pPr>
          </w:p>
        </w:tc>
        <w:tc>
          <w:tcPr>
            <w:tcW w:w="0" w:type="auto"/>
            <w:vAlign w:val="center"/>
          </w:tcPr>
          <w:p>
            <w:pPr>
              <w:jc w:val="center"/>
              <w:rPr>
                <w:rFonts w:hint="eastAsia" w:ascii="Times New Roman" w:hAnsi="Times New Roman" w:eastAsia="宋体" w:cs="Times New Roman"/>
                <w:color w:val="FF0000"/>
                <w:kern w:val="2"/>
                <w:sz w:val="21"/>
                <w:szCs w:val="21"/>
                <w:u w:val="wave"/>
                <w:lang w:val="en-US" w:eastAsia="zh-CN" w:bidi="ar-SA"/>
              </w:rPr>
            </w:pPr>
            <w:r>
              <w:rPr>
                <w:rFonts w:hint="eastAsia"/>
                <w:color w:val="FF0000"/>
                <w:szCs w:val="21"/>
                <w:u w:val="wave"/>
                <w:lang w:val="en-US" w:eastAsia="zh-CN"/>
              </w:rPr>
              <w:t>2.029</w:t>
            </w:r>
          </w:p>
        </w:tc>
        <w:tc>
          <w:tcPr>
            <w:tcW w:w="0" w:type="auto"/>
          </w:tcPr>
          <w:p>
            <w:pPr>
              <w:jc w:val="center"/>
              <w:rPr>
                <w:rFonts w:hint="default" w:eastAsia="宋体"/>
                <w:color w:val="FF0000"/>
                <w:szCs w:val="21"/>
                <w:u w:val="wave"/>
                <w:lang w:val="en-US" w:eastAsia="zh-CN"/>
              </w:rPr>
            </w:pPr>
            <w:r>
              <w:rPr>
                <w:rFonts w:hint="eastAsia"/>
                <w:color w:val="FF0000"/>
                <w:szCs w:val="21"/>
                <w:u w:val="wave"/>
                <w:lang w:val="en-US" w:eastAsia="zh-CN"/>
              </w:rPr>
              <w:t>50</w:t>
            </w:r>
          </w:p>
        </w:tc>
      </w:tr>
    </w:tbl>
    <w:p>
      <w:pPr>
        <w:pStyle w:val="215"/>
        <w:rPr>
          <w:rFonts w:hAnsiTheme="minorEastAsia" w:eastAsiaTheme="minorEastAsia"/>
          <w:color w:val="FF0000"/>
          <w:u w:val="wave"/>
        </w:rPr>
      </w:pPr>
      <w:r>
        <w:rPr>
          <w:color w:val="FF0000"/>
          <w:u w:val="wave"/>
        </w:rPr>
        <w:t>由上式可计算出无组织排放的NH</w:t>
      </w:r>
      <w:r>
        <w:rPr>
          <w:color w:val="FF0000"/>
          <w:u w:val="wave"/>
          <w:vertAlign w:val="subscript"/>
        </w:rPr>
        <w:t>3</w:t>
      </w:r>
      <w:r>
        <w:rPr>
          <w:color w:val="FF0000"/>
          <w:u w:val="wave"/>
        </w:rPr>
        <w:t>、H</w:t>
      </w:r>
      <w:r>
        <w:rPr>
          <w:color w:val="FF0000"/>
          <w:u w:val="wave"/>
          <w:vertAlign w:val="subscript"/>
        </w:rPr>
        <w:t>2</w:t>
      </w:r>
      <w:r>
        <w:rPr>
          <w:color w:val="FF0000"/>
          <w:u w:val="wave"/>
        </w:rPr>
        <w:t>S和</w:t>
      </w:r>
      <w:r>
        <w:rPr>
          <w:rFonts w:hint="eastAsia"/>
          <w:color w:val="FF0000"/>
          <w:u w:val="wave"/>
          <w:lang w:val="en-US" w:eastAsia="zh-CN"/>
        </w:rPr>
        <w:t>TSP</w:t>
      </w:r>
      <w:r>
        <w:rPr>
          <w:color w:val="FF0000"/>
          <w:u w:val="wave"/>
        </w:rPr>
        <w:t>的卫生防护距离均为50m</w:t>
      </w:r>
      <w:r>
        <w:rPr>
          <w:rFonts w:hint="eastAsia"/>
          <w:color w:val="FF0000"/>
          <w:u w:val="wave"/>
          <w:lang w:eastAsia="zh-CN"/>
        </w:rPr>
        <w:t>，</w:t>
      </w:r>
      <w:r>
        <w:rPr>
          <w:color w:val="FF0000"/>
          <w:u w:val="wave"/>
        </w:rPr>
        <w:t>根据《制定地方大气污染物排放标准的技术方法》（GB/T3840-91）中第7.3条（卫生防护距离在100m以内时，级差为50m；超过100m，但小于或等于1000m时，级差为100m；超过1000m以上，级差为200m。）和7.5条（无组织排放多种有害气体的工业企业，按Qc/Cm的最大值计算其所需卫生防护距离；但当按两种或两种以上的有害气体的Qc/Cm值计算的卫生防护距离在同一级别时，该类工业企业的卫生防护距离级别应提高一级。）的规定，则项目的卫生防护距离为100m</w:t>
      </w:r>
      <w:r>
        <w:rPr>
          <w:rFonts w:hAnsiTheme="minorEastAsia" w:eastAsiaTheme="minorEastAsia"/>
          <w:color w:val="FF0000"/>
          <w:u w:val="wave"/>
        </w:rPr>
        <w:t>。</w:t>
      </w:r>
    </w:p>
    <w:p>
      <w:pPr>
        <w:pStyle w:val="215"/>
        <w:rPr>
          <w:color w:val="FF0000"/>
          <w:u w:val="wave"/>
        </w:rPr>
      </w:pPr>
      <w:r>
        <w:rPr>
          <w:rFonts w:hint="eastAsia"/>
          <w:color w:val="FF0000"/>
          <w:u w:val="wave"/>
        </w:rPr>
        <w:t>根据现场勘查可知，</w:t>
      </w:r>
      <w:r>
        <w:rPr>
          <w:color w:val="FF0000"/>
          <w:u w:val="wave"/>
        </w:rPr>
        <w:t>本项目卫生防护距离范围</w:t>
      </w:r>
      <w:r>
        <w:rPr>
          <w:rFonts w:hint="eastAsia"/>
          <w:color w:val="FF0000"/>
          <w:u w:val="wave"/>
        </w:rPr>
        <w:t>有</w:t>
      </w:r>
      <w:r>
        <w:rPr>
          <w:rFonts w:hint="eastAsia"/>
          <w:color w:val="FF0000"/>
          <w:u w:val="wave"/>
          <w:lang w:val="en-US" w:eastAsia="zh-CN"/>
        </w:rPr>
        <w:t>2</w:t>
      </w:r>
      <w:r>
        <w:rPr>
          <w:rFonts w:hint="eastAsia"/>
          <w:color w:val="FF0000"/>
          <w:u w:val="wave"/>
        </w:rPr>
        <w:t>户</w:t>
      </w:r>
      <w:r>
        <w:rPr>
          <w:color w:val="FF0000"/>
          <w:u w:val="wave"/>
        </w:rPr>
        <w:t>居民点</w:t>
      </w:r>
      <w:r>
        <w:rPr>
          <w:rFonts w:hint="eastAsia"/>
          <w:color w:val="FF0000"/>
          <w:u w:val="wave"/>
        </w:rPr>
        <w:t>，已与建设方签订租赁合同，作为宿舍，无环境保护敏感点。所以，项目建成后对周边影响不大。</w:t>
      </w:r>
      <w:r>
        <w:rPr>
          <w:color w:val="FF0000"/>
          <w:u w:val="wave"/>
        </w:rPr>
        <w:t>因此，项目对周边居民点影响较小。</w:t>
      </w:r>
    </w:p>
    <w:p>
      <w:pPr>
        <w:pStyle w:val="215"/>
        <w:rPr>
          <w:rFonts w:hAnsiTheme="minorEastAsia" w:eastAsiaTheme="minorEastAsia"/>
          <w:color w:val="FF0000"/>
          <w:u w:val="wave"/>
        </w:rPr>
      </w:pPr>
      <w:r>
        <w:rPr>
          <w:rFonts w:hint="eastAsia" w:hAnsiTheme="minorEastAsia" w:eastAsiaTheme="minorEastAsia"/>
          <w:color w:val="FF0000"/>
          <w:u w:val="wave"/>
        </w:rPr>
        <w:t>同时，本环评要求：在项目卫生防护距离内，今后不宜开发为“城市和城镇居民区，包括文教科研区、医疗区、商业区、工业区、游览区等人口集中”等禁建设施，但如果政府在该区域有新的规划与开发，则本项目应服从整体规划要求。除此外，建设单位应加强对臭气的治理，减少臭气的产生。</w:t>
      </w:r>
    </w:p>
    <w:p>
      <w:pPr>
        <w:pStyle w:val="215"/>
        <w:rPr>
          <w:rFonts w:hAnsiTheme="minorEastAsia" w:eastAsiaTheme="minorEastAsia"/>
          <w:color w:val="FF0000"/>
          <w:u w:val="wave"/>
        </w:rPr>
      </w:pPr>
      <w:r>
        <w:rPr>
          <w:rFonts w:hint="eastAsia" w:hAnsiTheme="minorEastAsia" w:eastAsiaTheme="minorEastAsia"/>
          <w:color w:val="FF0000"/>
          <w:u w:val="wave"/>
        </w:rPr>
        <w:t>（2）其他规范要求的防护距离</w:t>
      </w:r>
    </w:p>
    <w:p>
      <w:pPr>
        <w:pStyle w:val="215"/>
        <w:rPr>
          <w:rFonts w:hAnsiTheme="minorEastAsia" w:eastAsiaTheme="minorEastAsia"/>
          <w:color w:val="FF0000"/>
          <w:u w:val="wave"/>
        </w:rPr>
      </w:pPr>
      <w:r>
        <w:rPr>
          <w:rFonts w:hAnsiTheme="minorEastAsia" w:eastAsiaTheme="minorEastAsia"/>
          <w:color w:val="FF0000"/>
          <w:u w:val="wave"/>
        </w:rPr>
        <w:t>A.《畜禽养殖业污染防治技术规范》（HJ/T81-2001）中关于防护距离的要求根据《畜禽养殖业污染防治技术规范》（HJ/T81-2001）畜禽养殖场选址规定及环保部门要求，并且根据2018年2月26日“部长信箱”回复可知，“农村村屯不属于城市和城镇居民区，对于养殖场与农村居民区之间的距离，养殖场在建设时应开展环境影响评价，根据当地的地理、环境及气象等因素确定与居民区之间的距离。在确定距离时，该技术规范的要求可作为一项参考依据”。</w:t>
      </w:r>
    </w:p>
    <w:p>
      <w:pPr>
        <w:pStyle w:val="5"/>
        <w:ind w:firstLine="0" w:firstLineChars="0"/>
        <w:jc w:val="center"/>
        <w:rPr>
          <w:rFonts w:ascii="Times New Roman" w:hAnsi="Times New Roman" w:cs="Times New Roman"/>
          <w:color w:val="FF0000"/>
          <w:u w:val="wave"/>
        </w:rPr>
      </w:pPr>
      <w:r>
        <w:rPr>
          <w:rFonts w:ascii="Times New Roman" w:hAnsi="Times New Roman" w:cs="Times New Roman"/>
          <w:color w:val="FF0000"/>
          <w:u w:val="wave"/>
        </w:rPr>
        <w:drawing>
          <wp:inline distT="0" distB="0" distL="0" distR="0">
            <wp:extent cx="4279900" cy="30797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279900" cy="3079750"/>
                    </a:xfrm>
                    <a:prstGeom prst="rect">
                      <a:avLst/>
                    </a:prstGeom>
                    <a:noFill/>
                    <a:ln>
                      <a:noFill/>
                    </a:ln>
                  </pic:spPr>
                </pic:pic>
              </a:graphicData>
            </a:graphic>
          </wp:inline>
        </w:drawing>
      </w:r>
    </w:p>
    <w:p>
      <w:pPr>
        <w:pStyle w:val="17"/>
        <w:spacing w:afterLines="50"/>
        <w:rPr>
          <w:rFonts w:ascii="Times New Roman" w:hAnsi="Times New Roman" w:cs="Times New Roman"/>
          <w:color w:val="FF0000"/>
          <w:sz w:val="21"/>
          <w:u w:val="wave"/>
        </w:rPr>
      </w:pPr>
      <w:r>
        <w:rPr>
          <w:rFonts w:ascii="Times New Roman" w:hAnsi="Times New Roman" w:cs="Times New Roman"/>
          <w:color w:val="FF0000"/>
          <w:sz w:val="21"/>
          <w:u w:val="wave"/>
        </w:rPr>
        <w:t>图</w:t>
      </w:r>
      <w:r>
        <w:rPr>
          <w:rFonts w:hint="eastAsia" w:ascii="Times New Roman" w:hAnsi="Times New Roman" w:cs="Times New Roman"/>
          <w:color w:val="FF0000"/>
          <w:sz w:val="21"/>
          <w:u w:val="wave"/>
        </w:rPr>
        <w:t>6</w:t>
      </w:r>
      <w:r>
        <w:rPr>
          <w:rFonts w:ascii="Times New Roman" w:hAnsi="Times New Roman" w:cs="Times New Roman"/>
          <w:color w:val="FF0000"/>
          <w:sz w:val="21"/>
          <w:u w:val="wave"/>
        </w:rPr>
        <w:t>.2-2  部长信箱关于禽畜养殖选址问题的回复</w:t>
      </w:r>
    </w:p>
    <w:p>
      <w:pPr>
        <w:pStyle w:val="5"/>
        <w:spacing w:after="0" w:line="360" w:lineRule="auto"/>
        <w:ind w:firstLine="480" w:firstLineChars="200"/>
        <w:rPr>
          <w:rFonts w:ascii="Times New Roman" w:cs="Times New Roman" w:hAnsiTheme="minorEastAsia"/>
          <w:color w:val="FF0000"/>
          <w:kern w:val="0"/>
          <w:sz w:val="24"/>
          <w:szCs w:val="20"/>
          <w:u w:val="wave"/>
        </w:rPr>
      </w:pPr>
      <w:r>
        <w:rPr>
          <w:rFonts w:ascii="Times New Roman" w:cs="Times New Roman" w:hAnsiTheme="minorEastAsia"/>
          <w:color w:val="FF0000"/>
          <w:kern w:val="0"/>
          <w:sz w:val="24"/>
          <w:szCs w:val="20"/>
          <w:u w:val="wave"/>
        </w:rPr>
        <w:t>根据《畜禽养殖业污染防治技术规范》（HJ/T81-2001）的相关选址要求“新建、改建、扩建的畜禽养殖场选址应避开3.1规定的禁建区域，在禁建区域附近建设的，应设在3.1规定的禁建区域常年主导风向的下风向或侧风向处，场界与禁建区域边界的最小距离不得小于500m”。本项目已获得了相关的选址意见，项目所在区域为适养区。根据部长信箱的回复可知，农村村屯不属于城市和城镇居民区，并且根据</w:t>
      </w:r>
      <w:r>
        <w:rPr>
          <w:rFonts w:hint="eastAsia" w:ascii="Times New Roman" w:cs="Times New Roman" w:hAnsiTheme="minorEastAsia"/>
          <w:color w:val="FF0000"/>
          <w:kern w:val="0"/>
          <w:sz w:val="24"/>
          <w:szCs w:val="20"/>
          <w:u w:val="wave"/>
        </w:rPr>
        <w:t>《衡阳县畜禽养殖禁养区划定技术方案》（正式稿）内容</w:t>
      </w:r>
      <w:r>
        <w:rPr>
          <w:rFonts w:ascii="Times New Roman" w:cs="Times New Roman" w:hAnsiTheme="minorEastAsia"/>
          <w:color w:val="FF0000"/>
          <w:kern w:val="0"/>
          <w:sz w:val="24"/>
          <w:szCs w:val="20"/>
          <w:u w:val="wave"/>
        </w:rPr>
        <w:t>可知本项目厂界外500m范围并未涉及到台源镇建成区。</w:t>
      </w:r>
    </w:p>
    <w:p>
      <w:pPr>
        <w:pStyle w:val="5"/>
        <w:spacing w:after="0" w:line="360" w:lineRule="auto"/>
        <w:ind w:firstLine="480" w:firstLineChars="200"/>
        <w:rPr>
          <w:rFonts w:ascii="Times New Roman" w:cs="Times New Roman" w:hAnsiTheme="minorEastAsia"/>
          <w:color w:val="FF0000"/>
          <w:kern w:val="0"/>
          <w:sz w:val="24"/>
          <w:szCs w:val="20"/>
          <w:u w:val="wave"/>
        </w:rPr>
      </w:pPr>
      <w:r>
        <w:rPr>
          <w:rFonts w:ascii="Times New Roman" w:cs="Times New Roman" w:hAnsiTheme="minorEastAsia"/>
          <w:color w:val="FF0000"/>
          <w:kern w:val="0"/>
          <w:sz w:val="24"/>
          <w:szCs w:val="20"/>
          <w:u w:val="wave"/>
        </w:rPr>
        <w:t>B.《关于加强畜禽养殖业环境监管、严防高致病性禽流感疫情扩散的紧急通知》（环发[2004]18号）中关于防护距离的要求</w:t>
      </w:r>
    </w:p>
    <w:p>
      <w:pPr>
        <w:pStyle w:val="5"/>
        <w:spacing w:after="0" w:line="360" w:lineRule="auto"/>
        <w:ind w:firstLine="480" w:firstLineChars="200"/>
        <w:rPr>
          <w:rFonts w:ascii="Times New Roman" w:cs="Times New Roman" w:hAnsiTheme="minorEastAsia"/>
          <w:color w:val="FF0000"/>
          <w:kern w:val="0"/>
          <w:sz w:val="24"/>
          <w:szCs w:val="20"/>
          <w:u w:val="wave"/>
        </w:rPr>
      </w:pPr>
      <w:r>
        <w:rPr>
          <w:rFonts w:ascii="Times New Roman" w:cs="Times New Roman" w:hAnsiTheme="minorEastAsia"/>
          <w:color w:val="FF0000"/>
          <w:kern w:val="0"/>
          <w:sz w:val="24"/>
          <w:szCs w:val="20"/>
          <w:u w:val="wave"/>
        </w:rPr>
        <w:t>根据《关于加强畜禽养殖业环境监管、严防高致病性禽流感疫情扩散的紧急通知》（环发[2004]18号）中的相关要求可知，“新建畜禽舍应在居民区下风向，并远离居民区至少500m”，同时根据2018年2月26日部长信箱的回复可知，“2004年2月3日原国家环境保护总局印发了《关于加强畜禽养殖业环境监管、严防高致病性离流感疫情扩散的紧急通知》(环发[2004]18号)，该通知属于紧急通知，是专门针对“严防高致病性禽流感疫情扩散”作出的，不宜作为养殖场与农村居民区500米距离选址的依据”。</w:t>
      </w:r>
    </w:p>
    <w:p>
      <w:pPr>
        <w:pStyle w:val="5"/>
        <w:spacing w:after="0" w:line="360" w:lineRule="auto"/>
        <w:ind w:firstLine="480" w:firstLineChars="200"/>
        <w:rPr>
          <w:rFonts w:ascii="Times New Roman" w:cs="Times New Roman" w:hAnsiTheme="minorEastAsia"/>
          <w:color w:val="FF0000"/>
          <w:kern w:val="0"/>
          <w:sz w:val="24"/>
          <w:szCs w:val="20"/>
          <w:u w:val="wave"/>
        </w:rPr>
      </w:pPr>
      <w:r>
        <w:rPr>
          <w:rFonts w:ascii="Times New Roman" w:cs="Times New Roman" w:hAnsiTheme="minorEastAsia"/>
          <w:color w:val="FF0000"/>
          <w:kern w:val="0"/>
          <w:sz w:val="24"/>
          <w:szCs w:val="20"/>
          <w:u w:val="wave"/>
        </w:rPr>
        <w:t>C.《动物防疫条件审查办法》（农业部令2010年第7号）中防护距离的要求</w:t>
      </w:r>
    </w:p>
    <w:p>
      <w:pPr>
        <w:pStyle w:val="5"/>
        <w:spacing w:after="0" w:line="360" w:lineRule="auto"/>
        <w:ind w:firstLine="480" w:firstLineChars="200"/>
        <w:rPr>
          <w:rFonts w:ascii="Times New Roman" w:cs="Times New Roman" w:hAnsiTheme="minorEastAsia"/>
          <w:color w:val="FF0000"/>
          <w:kern w:val="0"/>
          <w:sz w:val="24"/>
          <w:szCs w:val="20"/>
          <w:u w:val="wave"/>
        </w:rPr>
      </w:pPr>
      <w:r>
        <w:rPr>
          <w:rFonts w:ascii="Times New Roman" w:cs="Times New Roman" w:hAnsiTheme="minorEastAsia"/>
          <w:color w:val="FF0000"/>
          <w:kern w:val="0"/>
          <w:sz w:val="24"/>
          <w:szCs w:val="20"/>
          <w:u w:val="wave"/>
        </w:rPr>
        <w:t>根据《动物防疫条件审查办法》（农业部令2010年第7号）第五条第（三）项规定：动物饲养场、养殖小区选址应当距离城镇居民区、文化教育科研等人口集中区域及公路、铁路等主要交通干线500米以上。根据前文可知，农村村屯不属于城镇居民区。根据本项目附图可知，本项目防护距离满足该要求。</w:t>
      </w:r>
    </w:p>
    <w:p>
      <w:pPr>
        <w:pStyle w:val="215"/>
        <w:rPr>
          <w:rFonts w:hAnsiTheme="minorEastAsia" w:eastAsiaTheme="minorEastAsia"/>
        </w:rPr>
      </w:pPr>
      <w:r>
        <w:rPr>
          <w:rFonts w:hAnsiTheme="minorEastAsia" w:eastAsiaTheme="minorEastAsia"/>
          <w:color w:val="FF0000"/>
          <w:u w:val="wave"/>
        </w:rPr>
        <w:t>综上所述，本项目防护距离满足《畜禽养殖业污染防治技术规范》（HJ/T81-2001）、《关于加强畜禽养殖业环境监管、严防高致病性禽流感疫情</w:t>
      </w:r>
      <w:r>
        <w:rPr>
          <w:color w:val="FF0000"/>
          <w:u w:val="wave"/>
        </w:rPr>
        <w:t>扩散的紧急通知》（环发[2004]18号）、《动物防疫条件审查办法》（农业部令2010年第7号）、《村镇规划卫生规范》（GB18055-2012）中的防护距离要求</w:t>
      </w:r>
      <w:r>
        <w:rPr>
          <w:rFonts w:hint="eastAsia" w:hAnsiTheme="minorEastAsia" w:eastAsiaTheme="minorEastAsia"/>
          <w:color w:val="FF0000"/>
          <w:u w:val="wave"/>
        </w:rPr>
        <w:t>。</w:t>
      </w:r>
    </w:p>
    <w:p>
      <w:pPr>
        <w:pStyle w:val="215"/>
        <w:ind w:firstLine="482"/>
        <w:rPr>
          <w:b/>
        </w:rPr>
      </w:pPr>
      <w:r>
        <w:rPr>
          <w:rFonts w:hint="eastAsia"/>
          <w:b/>
        </w:rPr>
        <w:t>5</w:t>
      </w:r>
      <w:r>
        <w:rPr>
          <w:b/>
        </w:rPr>
        <w:t>、其它废气环境影响分析</w:t>
      </w:r>
    </w:p>
    <w:p>
      <w:pPr>
        <w:autoSpaceDE w:val="0"/>
        <w:autoSpaceDN w:val="0"/>
        <w:adjustRightInd w:val="0"/>
        <w:spacing w:line="360" w:lineRule="auto"/>
        <w:ind w:firstLine="482" w:firstLineChars="200"/>
        <w:rPr>
          <w:kern w:val="0"/>
          <w:sz w:val="24"/>
        </w:rPr>
      </w:pPr>
      <w:r>
        <w:rPr>
          <w:rFonts w:hint="eastAsia"/>
          <w:b/>
          <w:kern w:val="0"/>
          <w:sz w:val="24"/>
        </w:rPr>
        <w:t>备用柴油发电机燃烧废气：</w:t>
      </w:r>
      <w:r>
        <w:rPr>
          <w:rFonts w:hint="eastAsia" w:ascii="Times New Roman" w:hAnsi="Times New Roman" w:eastAsia="宋体" w:cs="Times New Roman"/>
          <w:sz w:val="24"/>
        </w:rPr>
        <w:t>燃油产生的废气污染物量较少，且发电机使用频率较低，废气经发电机自带的净化装置净化后，经排气筒高于屋顶排放，不会对周边环境造成较大影响</w:t>
      </w:r>
      <w:r>
        <w:rPr>
          <w:rFonts w:hint="eastAsia"/>
          <w:kern w:val="0"/>
          <w:sz w:val="24"/>
        </w:rPr>
        <w:t>。</w:t>
      </w:r>
    </w:p>
    <w:p>
      <w:pPr>
        <w:autoSpaceDE w:val="0"/>
        <w:autoSpaceDN w:val="0"/>
        <w:adjustRightInd w:val="0"/>
        <w:spacing w:line="360" w:lineRule="auto"/>
        <w:ind w:firstLine="482" w:firstLineChars="200"/>
        <w:rPr>
          <w:kern w:val="0"/>
          <w:sz w:val="24"/>
        </w:rPr>
      </w:pPr>
      <w:r>
        <w:rPr>
          <w:rFonts w:hint="eastAsia" w:ascii="宋体" w:cs="宋体" w:hAnsiTheme="minorHAnsi"/>
          <w:b/>
          <w:kern w:val="0"/>
          <w:sz w:val="24"/>
        </w:rPr>
        <w:t>食堂油烟废气：</w:t>
      </w:r>
      <w:r>
        <w:rPr>
          <w:rFonts w:hint="eastAsia" w:ascii="宋体" w:cs="宋体" w:hAnsiTheme="minorHAnsi"/>
          <w:kern w:val="0"/>
          <w:sz w:val="24"/>
        </w:rPr>
        <w:t>食堂在烹饪过程中会产生油烟。</w:t>
      </w:r>
      <w:r>
        <w:rPr>
          <w:kern w:val="0"/>
          <w:sz w:val="24"/>
        </w:rPr>
        <w:t>项目食堂油烟废气应经油烟净化器（最低油烟去除效率不得低于60%）处理后，排放浓度满足《饮食业油烟排放标准》（GB18483-2001）标准，油烟经大气稀释扩散后不会对周围大气环境产生明显的不良影响。</w:t>
      </w:r>
    </w:p>
    <w:p>
      <w:pPr>
        <w:autoSpaceDE w:val="0"/>
        <w:autoSpaceDN w:val="0"/>
        <w:adjustRightInd w:val="0"/>
        <w:spacing w:line="360" w:lineRule="auto"/>
        <w:ind w:firstLine="482" w:firstLineChars="200"/>
        <w:rPr>
          <w:kern w:val="0"/>
          <w:sz w:val="24"/>
        </w:rPr>
      </w:pPr>
      <w:r>
        <w:rPr>
          <w:rFonts w:hint="eastAsia"/>
          <w:b/>
          <w:kern w:val="0"/>
          <w:sz w:val="24"/>
        </w:rPr>
        <w:t>运输车辆尾气：</w:t>
      </w:r>
      <w:r>
        <w:rPr>
          <w:rFonts w:hint="eastAsia"/>
          <w:kern w:val="0"/>
          <w:sz w:val="24"/>
        </w:rPr>
        <w:t>本项目运输车辆使用清洁燃油（柴油/汽油），通过加强定期维修保养，增加燃油的燃烧使用率，减少污染物的排放量。运输车辆尾气经场区通风后自然稀释扩散，通过加强绿化减小运输车辆尾气对周边环境的影响，且运输车辆具有排放量小、间断排放的特征，本项目运输车辆尾气在采取上述措施后对周边环境的影响较小。</w:t>
      </w:r>
    </w:p>
    <w:bookmarkEnd w:id="326"/>
    <w:bookmarkEnd w:id="327"/>
    <w:bookmarkEnd w:id="328"/>
    <w:bookmarkEnd w:id="329"/>
    <w:bookmarkEnd w:id="330"/>
    <w:bookmarkEnd w:id="331"/>
    <w:p>
      <w:pPr>
        <w:autoSpaceDE w:val="0"/>
        <w:autoSpaceDN w:val="0"/>
        <w:adjustRightInd w:val="0"/>
        <w:spacing w:line="360" w:lineRule="auto"/>
        <w:ind w:firstLine="482" w:firstLineChars="200"/>
        <w:rPr>
          <w:rFonts w:hAnsiTheme="majorEastAsia" w:eastAsiaTheme="majorEastAsia"/>
          <w:b/>
          <w:kern w:val="0"/>
          <w:sz w:val="24"/>
        </w:rPr>
      </w:pPr>
      <w:r>
        <w:rPr>
          <w:rFonts w:hint="eastAsia" w:hAnsiTheme="majorEastAsia" w:eastAsiaTheme="majorEastAsia"/>
          <w:b/>
          <w:kern w:val="0"/>
          <w:sz w:val="24"/>
          <w:lang w:val="en-US" w:eastAsia="zh-CN"/>
        </w:rPr>
        <w:t>6</w:t>
      </w:r>
      <w:r>
        <w:rPr>
          <w:rFonts w:hint="eastAsia" w:hAnsiTheme="majorEastAsia" w:eastAsiaTheme="majorEastAsia"/>
          <w:b/>
          <w:kern w:val="0"/>
          <w:sz w:val="24"/>
        </w:rPr>
        <w:t>、小结</w:t>
      </w:r>
    </w:p>
    <w:p>
      <w:pPr>
        <w:autoSpaceDE w:val="0"/>
        <w:autoSpaceDN w:val="0"/>
        <w:adjustRightInd w:val="0"/>
        <w:spacing w:line="360" w:lineRule="auto"/>
        <w:ind w:firstLine="480" w:firstLineChars="200"/>
        <w:rPr>
          <w:kern w:val="0"/>
          <w:sz w:val="24"/>
        </w:rPr>
      </w:pPr>
      <w:r>
        <w:rPr>
          <w:kern w:val="0"/>
          <w:sz w:val="24"/>
        </w:rPr>
        <w:t>（</w:t>
      </w:r>
      <w:r>
        <w:rPr>
          <w:rFonts w:hint="eastAsia"/>
          <w:kern w:val="0"/>
          <w:sz w:val="24"/>
        </w:rPr>
        <w:t>1</w:t>
      </w:r>
      <w:r>
        <w:rPr>
          <w:kern w:val="0"/>
          <w:sz w:val="24"/>
        </w:rPr>
        <w:t>）项目位于环境质量达标区，评价范围内无一类区，经预测，本项目Pmax值为</w:t>
      </w:r>
      <w:r>
        <w:rPr>
          <w:rFonts w:hint="eastAsia"/>
          <w:kern w:val="0"/>
          <w:sz w:val="24"/>
          <w:lang w:val="en-US" w:eastAsia="zh-CN"/>
        </w:rPr>
        <w:t>4.73</w:t>
      </w:r>
      <w:r>
        <w:rPr>
          <w:kern w:val="0"/>
          <w:sz w:val="24"/>
        </w:rPr>
        <w:t>%＜10%，因此，环境空气评价工作等级确定为二级。</w:t>
      </w:r>
    </w:p>
    <w:p>
      <w:pPr>
        <w:autoSpaceDE w:val="0"/>
        <w:autoSpaceDN w:val="0"/>
        <w:adjustRightInd w:val="0"/>
        <w:spacing w:line="360" w:lineRule="auto"/>
        <w:ind w:firstLine="480" w:firstLineChars="200"/>
        <w:rPr>
          <w:kern w:val="0"/>
          <w:sz w:val="24"/>
        </w:rPr>
      </w:pPr>
      <w:r>
        <w:rPr>
          <w:kern w:val="0"/>
          <w:sz w:val="24"/>
        </w:rPr>
        <w:t>（</w:t>
      </w:r>
      <w:r>
        <w:rPr>
          <w:rFonts w:hint="eastAsia"/>
          <w:kern w:val="0"/>
          <w:sz w:val="24"/>
        </w:rPr>
        <w:t>2</w:t>
      </w:r>
      <w:r>
        <w:rPr>
          <w:kern w:val="0"/>
          <w:sz w:val="24"/>
        </w:rPr>
        <w:t>）预测结果表明，本项目建成运行后，新增污染源正常排放下污染物短期浓度贡献值的最大浓度占标率均小于10%，排放的各类废气对区域空气环境影响较小。</w:t>
      </w:r>
    </w:p>
    <w:p>
      <w:pPr>
        <w:autoSpaceDE w:val="0"/>
        <w:autoSpaceDN w:val="0"/>
        <w:adjustRightInd w:val="0"/>
        <w:spacing w:line="360" w:lineRule="auto"/>
        <w:ind w:firstLine="480" w:firstLineChars="200"/>
        <w:rPr>
          <w:kern w:val="0"/>
          <w:sz w:val="24"/>
        </w:rPr>
      </w:pPr>
      <w:r>
        <w:rPr>
          <w:rFonts w:hint="eastAsia"/>
          <w:kern w:val="0"/>
          <w:sz w:val="24"/>
        </w:rPr>
        <w:t>（3）</w:t>
      </w:r>
      <w:r>
        <w:rPr>
          <w:kern w:val="0"/>
          <w:sz w:val="24"/>
        </w:rPr>
        <w:t>计算各废气源的大气环境防护距离的结果显示，项目生产过程中产生的废气污染物在厂界外没有出现浓度超标点，不需要设置大气环境防护距离。</w:t>
      </w:r>
    </w:p>
    <w:p>
      <w:pPr>
        <w:autoSpaceDE w:val="0"/>
        <w:autoSpaceDN w:val="0"/>
        <w:adjustRightInd w:val="0"/>
        <w:spacing w:line="360" w:lineRule="auto"/>
        <w:ind w:firstLine="480" w:firstLineChars="200"/>
        <w:rPr>
          <w:kern w:val="0"/>
          <w:sz w:val="24"/>
        </w:rPr>
      </w:pPr>
      <w:r>
        <w:rPr>
          <w:kern w:val="0"/>
          <w:sz w:val="24"/>
        </w:rPr>
        <w:t>（</w:t>
      </w:r>
      <w:r>
        <w:rPr>
          <w:rFonts w:hint="eastAsia"/>
          <w:kern w:val="0"/>
          <w:sz w:val="24"/>
        </w:rPr>
        <w:t>4</w:t>
      </w:r>
      <w:r>
        <w:rPr>
          <w:kern w:val="0"/>
          <w:sz w:val="24"/>
        </w:rPr>
        <w:t>）项目环境防护距离为：鸡舍</w:t>
      </w:r>
      <w:r>
        <w:rPr>
          <w:rFonts w:hint="eastAsia" w:eastAsiaTheme="majorEastAsia"/>
        </w:rPr>
        <w:t>场界</w:t>
      </w:r>
      <w:r>
        <w:rPr>
          <w:rFonts w:hint="eastAsia"/>
          <w:kern w:val="0"/>
          <w:sz w:val="24"/>
        </w:rPr>
        <w:t>100m</w:t>
      </w:r>
      <w:r>
        <w:rPr>
          <w:kern w:val="0"/>
          <w:sz w:val="24"/>
        </w:rPr>
        <w:t>范围，经过现场勘查，</w:t>
      </w:r>
      <w:r>
        <w:rPr>
          <w:rFonts w:hint="eastAsia"/>
          <w:kern w:val="0"/>
          <w:sz w:val="24"/>
        </w:rPr>
        <w:t>本项目卫生防护距离范围有2户居民点，已与建设方签订租赁合同，作为宿舍，无环境保护敏感点。所以，项目建成后对周边影响不大。</w:t>
      </w:r>
      <w:r>
        <w:rPr>
          <w:kern w:val="0"/>
          <w:sz w:val="24"/>
        </w:rPr>
        <w:t>项目的环境防护距离符合要求。</w:t>
      </w:r>
    </w:p>
    <w:p>
      <w:pPr>
        <w:autoSpaceDE w:val="0"/>
        <w:autoSpaceDN w:val="0"/>
        <w:adjustRightInd w:val="0"/>
        <w:spacing w:line="360" w:lineRule="auto"/>
        <w:ind w:firstLine="480" w:firstLineChars="200"/>
        <w:rPr>
          <w:kern w:val="0"/>
          <w:sz w:val="24"/>
        </w:rPr>
      </w:pPr>
      <w:r>
        <w:rPr>
          <w:kern w:val="0"/>
          <w:sz w:val="24"/>
        </w:rPr>
        <w:t>计算各废气源的大气环境防护距离的结果显示，项目生产过程中产生的废气污染物在厂界外没有出现浓度超标点，不需要设置大气环境防护距离。</w:t>
      </w:r>
    </w:p>
    <w:p>
      <w:pPr>
        <w:pStyle w:val="5"/>
        <w:snapToGrid w:val="0"/>
        <w:spacing w:after="0" w:line="360" w:lineRule="auto"/>
        <w:ind w:firstLine="480" w:firstLineChars="200"/>
        <w:rPr>
          <w:rFonts w:ascii="Times New Roman" w:hAnsi="Times New Roman" w:eastAsia="宋体" w:cs="Times New Roman"/>
          <w:kern w:val="0"/>
          <w:sz w:val="24"/>
        </w:rPr>
      </w:pPr>
      <w:r>
        <w:rPr>
          <w:rFonts w:ascii="Times New Roman" w:hAnsi="Times New Roman" w:eastAsia="宋体" w:cs="Times New Roman"/>
          <w:kern w:val="0"/>
          <w:sz w:val="24"/>
        </w:rPr>
        <w:t>（5）项目食堂油烟废气应经油烟净化器（最低油烟去除效率不得低于60%）处理后，排放浓度满足《饮食业油烟排放标准》（GB18483-2001）标准，油烟经大气稀释扩散后不会对周围大气环境产生明显的不良影响。</w:t>
      </w:r>
    </w:p>
    <w:p>
      <w:pPr>
        <w:pStyle w:val="7"/>
        <w:adjustRightInd w:val="0"/>
        <w:snapToGrid w:val="0"/>
        <w:spacing w:before="0" w:after="0" w:line="360" w:lineRule="auto"/>
        <w:jc w:val="left"/>
        <w:rPr>
          <w:sz w:val="24"/>
          <w:szCs w:val="24"/>
        </w:rPr>
      </w:pPr>
      <w:r>
        <w:rPr>
          <w:rFonts w:hint="eastAsia"/>
          <w:sz w:val="24"/>
          <w:szCs w:val="24"/>
        </w:rPr>
        <w:t>6.2.2 地表水</w:t>
      </w:r>
      <w:r>
        <w:rPr>
          <w:sz w:val="24"/>
          <w:szCs w:val="24"/>
        </w:rPr>
        <w:t>环境影响分析</w:t>
      </w:r>
    </w:p>
    <w:p>
      <w:pPr>
        <w:spacing w:line="360" w:lineRule="auto"/>
        <w:ind w:firstLine="482" w:firstLineChars="200"/>
        <w:rPr>
          <w:rFonts w:eastAsiaTheme="minorEastAsia"/>
          <w:b/>
          <w:sz w:val="24"/>
        </w:rPr>
      </w:pPr>
      <w:r>
        <w:rPr>
          <w:rFonts w:hint="eastAsia" w:hAnsiTheme="majorEastAsia" w:eastAsiaTheme="majorEastAsia"/>
          <w:b/>
          <w:kern w:val="0"/>
          <w:sz w:val="24"/>
        </w:rPr>
        <w:t>1、废水排放量及排放去向</w:t>
      </w:r>
    </w:p>
    <w:p>
      <w:pPr>
        <w:spacing w:line="360" w:lineRule="auto"/>
        <w:ind w:firstLine="480" w:firstLineChars="200"/>
        <w:rPr>
          <w:sz w:val="24"/>
        </w:rPr>
      </w:pPr>
      <w:r>
        <w:rPr>
          <w:rFonts w:hint="eastAsia" w:eastAsiaTheme="minorEastAsia"/>
          <w:sz w:val="24"/>
        </w:rPr>
        <w:t>项目实行雨污、清污分流。</w:t>
      </w:r>
      <w:r>
        <w:rPr>
          <w:rFonts w:hint="eastAsia"/>
          <w:kern w:val="0"/>
          <w:sz w:val="24"/>
        </w:rPr>
        <w:t>本项目</w:t>
      </w:r>
      <w:r>
        <w:rPr>
          <w:rFonts w:hint="default" w:ascii="Times New Roman" w:hAnsi="Times New Roman" w:cs="Times New Roman"/>
          <w:kern w:val="0"/>
          <w:sz w:val="24"/>
        </w:rPr>
        <w:t>项目废水主要包括清舍时鸡舍冲洗废水、防尘间喷淋废水</w:t>
      </w:r>
      <w:r>
        <w:rPr>
          <w:rFonts w:hint="eastAsia" w:ascii="Times New Roman" w:hAnsi="Times New Roman" w:cs="Times New Roman"/>
          <w:kern w:val="0"/>
          <w:sz w:val="24"/>
          <w:lang w:val="en-US" w:eastAsia="zh-CN"/>
        </w:rPr>
        <w:t>和</w:t>
      </w:r>
      <w:r>
        <w:rPr>
          <w:rFonts w:hint="default" w:ascii="Times New Roman" w:hAnsi="Times New Roman" w:cs="Times New Roman"/>
          <w:kern w:val="0"/>
          <w:sz w:val="24"/>
        </w:rPr>
        <w:t>生活</w:t>
      </w:r>
      <w:r>
        <w:rPr>
          <w:rFonts w:hint="eastAsia" w:ascii="Times New Roman" w:hAnsi="Times New Roman" w:cs="Times New Roman"/>
          <w:kern w:val="0"/>
          <w:sz w:val="24"/>
          <w:lang w:val="en-US" w:eastAsia="zh-CN"/>
        </w:rPr>
        <w:t>污水</w:t>
      </w:r>
      <w:r>
        <w:rPr>
          <w:rFonts w:hint="default" w:ascii="Times New Roman" w:hAnsi="Times New Roman" w:cs="Times New Roman"/>
          <w:kern w:val="0"/>
          <w:sz w:val="24"/>
        </w:rPr>
        <w:t>，项目运营期年排水量为</w:t>
      </w:r>
      <w:r>
        <w:rPr>
          <w:rFonts w:hint="eastAsia" w:ascii="Times New Roman" w:hAnsi="Times New Roman" w:cs="Times New Roman"/>
          <w:sz w:val="24"/>
          <w:lang w:val="en-US" w:eastAsia="zh-CN"/>
        </w:rPr>
        <w:t>2286.59</w:t>
      </w:r>
      <w:r>
        <w:rPr>
          <w:rFonts w:ascii="Times New Roman" w:hAnsi="Times New Roman" w:cs="Times New Roman"/>
          <w:sz w:val="24"/>
        </w:rPr>
        <w:t>m</w:t>
      </w:r>
      <w:r>
        <w:rPr>
          <w:rFonts w:ascii="Times New Roman" w:hAnsi="Times New Roman" w:cs="Times New Roman"/>
          <w:sz w:val="24"/>
          <w:vertAlign w:val="superscript"/>
        </w:rPr>
        <w:t>3</w:t>
      </w:r>
      <w:r>
        <w:rPr>
          <w:rFonts w:hint="default" w:ascii="Times New Roman" w:hAnsi="Times New Roman" w:cs="Times New Roman"/>
          <w:kern w:val="0"/>
          <w:sz w:val="24"/>
        </w:rPr>
        <w:t>（其中生活废水：</w:t>
      </w:r>
      <w:r>
        <w:rPr>
          <w:rFonts w:hint="eastAsia" w:ascii="Times New Roman" w:hAnsi="Times New Roman" w:cs="Times New Roman"/>
          <w:kern w:val="0"/>
          <w:sz w:val="24"/>
          <w:lang w:val="en-US" w:eastAsia="zh-CN"/>
        </w:rPr>
        <w:t>1460</w:t>
      </w:r>
      <w:r>
        <w:rPr>
          <w:rFonts w:hint="default" w:ascii="Times New Roman" w:hAnsi="Times New Roman" w:cs="Times New Roman"/>
          <w:kern w:val="0"/>
          <w:sz w:val="24"/>
        </w:rPr>
        <w:t>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/a，生产废水：</w:t>
      </w:r>
      <w:r>
        <w:rPr>
          <w:rFonts w:hint="eastAsia" w:ascii="Times New Roman" w:hAnsi="Times New Roman" w:cs="Times New Roman"/>
          <w:kern w:val="0"/>
          <w:sz w:val="24"/>
          <w:lang w:val="en-US" w:eastAsia="zh-CN"/>
        </w:rPr>
        <w:t>826.59</w:t>
      </w:r>
      <w:r>
        <w:rPr>
          <w:rFonts w:hint="default" w:ascii="Times New Roman" w:hAnsi="Times New Roman" w:cs="Times New Roman"/>
          <w:kern w:val="0"/>
          <w:sz w:val="24"/>
        </w:rPr>
        <w:t>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/a）</w:t>
      </w:r>
      <w:r>
        <w:rPr>
          <w:sz w:val="24"/>
        </w:rPr>
        <w:t>。</w:t>
      </w:r>
    </w:p>
    <w:p>
      <w:pPr>
        <w:spacing w:line="360" w:lineRule="auto"/>
        <w:ind w:firstLine="480" w:firstLineChars="200"/>
        <w:rPr>
          <w:rFonts w:hint="eastAsia"/>
          <w:color w:val="FF0000"/>
          <w:kern w:val="0"/>
          <w:sz w:val="24"/>
          <w:u w:val="wave"/>
        </w:rPr>
      </w:pPr>
      <w:r>
        <w:rPr>
          <w:rFonts w:hint="eastAsia" w:hAnsiTheme="minorEastAsia" w:eastAsiaTheme="minorEastAsia"/>
          <w:color w:val="FF0000"/>
          <w:kern w:val="0"/>
          <w:sz w:val="24"/>
          <w:u w:val="wave"/>
          <w:lang w:val="en-US" w:eastAsia="zh-CN"/>
        </w:rPr>
        <w:t>本项目共设2座污水处理站，</w:t>
      </w:r>
      <w:r>
        <w:rPr>
          <w:rFonts w:hint="eastAsia" w:hAnsiTheme="minorEastAsia" w:eastAsiaTheme="minorEastAsia"/>
          <w:color w:val="FF0000"/>
          <w:kern w:val="0"/>
          <w:sz w:val="24"/>
          <w:u w:val="wave"/>
          <w:lang w:eastAsia="zh-CN"/>
        </w:rPr>
        <w:t>南场</w:t>
      </w:r>
      <w:r>
        <w:rPr>
          <w:rFonts w:hint="eastAsia" w:hAnsiTheme="minorEastAsia" w:eastAsiaTheme="minorEastAsia"/>
          <w:color w:val="FF0000"/>
          <w:kern w:val="0"/>
          <w:sz w:val="24"/>
          <w:u w:val="wave"/>
          <w:lang w:val="en-US" w:eastAsia="zh-CN"/>
        </w:rPr>
        <w:t>污水处理站</w:t>
      </w:r>
      <w:r>
        <w:rPr>
          <w:rFonts w:hint="default" w:hAnsiTheme="minorEastAsia" w:eastAsiaTheme="minorEastAsia"/>
          <w:color w:val="FF0000"/>
          <w:kern w:val="0"/>
          <w:sz w:val="24"/>
          <w:u w:val="wave"/>
        </w:rPr>
        <w:t>收集</w:t>
      </w:r>
      <w:r>
        <w:rPr>
          <w:rFonts w:hint="eastAsia" w:hAnsiTheme="minorEastAsia" w:eastAsiaTheme="minorEastAsia"/>
          <w:color w:val="FF0000"/>
          <w:kern w:val="0"/>
          <w:sz w:val="24"/>
          <w:u w:val="wave"/>
          <w:lang w:eastAsia="zh-CN"/>
        </w:rPr>
        <w:t>南部养殖区</w:t>
      </w:r>
      <w:r>
        <w:rPr>
          <w:rFonts w:hint="default" w:hAnsiTheme="minorEastAsia" w:eastAsiaTheme="minorEastAsia"/>
          <w:color w:val="FF0000"/>
          <w:kern w:val="0"/>
          <w:sz w:val="24"/>
          <w:u w:val="wave"/>
        </w:rPr>
        <w:t>鸡舍冲洗废水、防尘间喷淋废水和中部生活污水（隔油预处理）</w:t>
      </w:r>
      <w:r>
        <w:rPr>
          <w:rFonts w:hint="eastAsia" w:hAnsiTheme="minorEastAsia" w:eastAsiaTheme="minorEastAsia"/>
          <w:color w:val="FF0000"/>
          <w:kern w:val="0"/>
          <w:sz w:val="24"/>
          <w:u w:val="wave"/>
          <w:lang w:eastAsia="zh-CN"/>
        </w:rPr>
        <w:t>，东场</w:t>
      </w:r>
      <w:r>
        <w:rPr>
          <w:rFonts w:hint="eastAsia" w:hAnsiTheme="minorEastAsia" w:eastAsiaTheme="minorEastAsia"/>
          <w:color w:val="FF0000"/>
          <w:kern w:val="0"/>
          <w:sz w:val="24"/>
          <w:u w:val="wave"/>
          <w:lang w:val="en-US" w:eastAsia="zh-CN"/>
        </w:rPr>
        <w:t>污水处理站</w:t>
      </w:r>
      <w:r>
        <w:rPr>
          <w:rFonts w:hint="default" w:hAnsiTheme="minorEastAsia" w:eastAsiaTheme="minorEastAsia"/>
          <w:color w:val="FF0000"/>
          <w:kern w:val="0"/>
          <w:sz w:val="24"/>
          <w:u w:val="wave"/>
        </w:rPr>
        <w:t>收集东部养殖区鸡舍冲洗废水、防尘间喷淋废水和东部生活污水，废水经污水处理站</w:t>
      </w:r>
      <w:r>
        <w:rPr>
          <w:rFonts w:hint="eastAsia" w:hAnsiTheme="minorEastAsia" w:eastAsiaTheme="minorEastAsia"/>
          <w:color w:val="FF0000"/>
          <w:kern w:val="0"/>
          <w:sz w:val="24"/>
          <w:u w:val="wave"/>
          <w:lang w:eastAsia="zh-CN"/>
        </w:rPr>
        <w:t>（</w:t>
      </w:r>
      <w:r>
        <w:rPr>
          <w:rFonts w:hint="eastAsia" w:hAnsiTheme="minorEastAsia" w:eastAsiaTheme="minorEastAsia"/>
          <w:color w:val="FF0000"/>
          <w:kern w:val="0"/>
          <w:sz w:val="24"/>
          <w:u w:val="wave"/>
          <w:lang w:val="en-US" w:eastAsia="zh-CN"/>
        </w:rPr>
        <w:t>采用“厌氧发酵”工艺</w:t>
      </w:r>
      <w:r>
        <w:rPr>
          <w:rFonts w:hint="eastAsia" w:hAnsiTheme="minorEastAsia" w:eastAsiaTheme="minorEastAsia"/>
          <w:color w:val="FF0000"/>
          <w:kern w:val="0"/>
          <w:sz w:val="24"/>
          <w:u w:val="wave"/>
          <w:lang w:eastAsia="zh-CN"/>
        </w:rPr>
        <w:t>）</w:t>
      </w:r>
      <w:r>
        <w:rPr>
          <w:rFonts w:hint="default" w:hAnsiTheme="minorEastAsia" w:eastAsiaTheme="minorEastAsia"/>
          <w:color w:val="FF0000"/>
          <w:kern w:val="0"/>
          <w:sz w:val="24"/>
          <w:u w:val="wave"/>
        </w:rPr>
        <w:t>处理后</w:t>
      </w:r>
      <w:r>
        <w:rPr>
          <w:rFonts w:hint="eastAsia" w:hAnsiTheme="minorEastAsia" w:eastAsiaTheme="minorEastAsia"/>
          <w:color w:val="FF0000"/>
          <w:kern w:val="0"/>
          <w:sz w:val="24"/>
          <w:u w:val="wave"/>
          <w:lang w:val="en-US" w:eastAsia="zh-CN"/>
        </w:rPr>
        <w:t>用于</w:t>
      </w:r>
      <w:r>
        <w:rPr>
          <w:rFonts w:hint="default" w:hAnsiTheme="minorEastAsia" w:eastAsiaTheme="minorEastAsia"/>
          <w:color w:val="FF0000"/>
          <w:kern w:val="0"/>
          <w:sz w:val="24"/>
          <w:u w:val="wave"/>
        </w:rPr>
        <w:t>周边种植基地灌溉，不外排</w:t>
      </w:r>
      <w:r>
        <w:rPr>
          <w:rFonts w:hint="eastAsia"/>
          <w:color w:val="FF0000"/>
          <w:kern w:val="0"/>
          <w:sz w:val="24"/>
          <w:u w:val="wave"/>
        </w:rPr>
        <w:t>。</w:t>
      </w:r>
    </w:p>
    <w:p>
      <w:pPr>
        <w:pStyle w:val="43"/>
        <w:widowControl w:val="0"/>
        <w:spacing w:before="0" w:beforeAutospacing="0" w:after="0" w:afterAutospacing="0"/>
        <w:ind w:firstLine="480"/>
        <w:jc w:val="both"/>
        <w:rPr>
          <w:rFonts w:hint="eastAsia" w:ascii="Times New Roman" w:cs="Times New Roman" w:hAnsiTheme="minorEastAsia" w:eastAsiaTheme="minorEastAsia"/>
          <w:color w:val="FF0000"/>
          <w:kern w:val="0"/>
          <w:sz w:val="24"/>
          <w:szCs w:val="24"/>
          <w:u w:val="wave"/>
          <w:lang w:val="en-US" w:eastAsia="zh-CN" w:bidi="ar-SA"/>
        </w:rPr>
      </w:pPr>
      <w:r>
        <w:rPr>
          <w:rFonts w:hint="default" w:ascii="Times New Roman" w:cs="Times New Roman" w:hAnsiTheme="minorEastAsia" w:eastAsiaTheme="minorEastAsia"/>
          <w:color w:val="FF0000"/>
          <w:kern w:val="0"/>
          <w:sz w:val="24"/>
          <w:szCs w:val="24"/>
          <w:u w:val="wave"/>
          <w:lang w:val="en-US" w:eastAsia="zh-CN" w:bidi="ar-SA"/>
        </w:rPr>
        <w:t>项目污水处理流程见下图：</w:t>
      </w:r>
    </w:p>
    <w:p>
      <w:pPr>
        <w:pStyle w:val="286"/>
        <w:tabs>
          <w:tab w:val="center" w:pos="4879"/>
          <w:tab w:val="right" w:pos="9638"/>
        </w:tabs>
        <w:spacing w:after="156" w:afterLines="50" w:line="240" w:lineRule="auto"/>
        <w:ind w:firstLine="0" w:firstLineChars="0"/>
        <w:jc w:val="center"/>
        <w:rPr>
          <w:rFonts w:hint="eastAsia" w:eastAsia="宋体"/>
          <w:color w:val="FF0000"/>
          <w:u w:val="wave"/>
          <w:lang w:eastAsia="zh-CN"/>
        </w:rPr>
      </w:pPr>
      <w:r>
        <w:rPr>
          <w:color w:val="FF0000"/>
          <w:u w:val="wave"/>
        </w:rPr>
        <w:object>
          <v:shape id="_x0000_i1030" o:spt="75" type="#_x0000_t75" style="height:269pt;width:260.4pt;" o:ole="t" filled="f" o:preferrelative="t" stroked="f" coordsize="21600,21600">
            <v:path/>
            <v:fill on="f" focussize="0,0"/>
            <v:stroke on="f"/>
            <v:imagedata r:id="rId38" o:title=""/>
            <o:lock v:ext="edit" aspectratio="f"/>
            <w10:wrap type="none"/>
            <w10:anchorlock/>
          </v:shape>
          <o:OLEObject Type="Embed" ProgID="Visio.Drawing.11" ShapeID="_x0000_i1030" DrawAspect="Content" ObjectID="_1468075730" r:id="rId37">
            <o:LockedField>false</o:LockedField>
          </o:OLEObject>
        </w:object>
      </w:r>
    </w:p>
    <w:p>
      <w:pPr>
        <w:pStyle w:val="286"/>
        <w:spacing w:after="0"/>
        <w:ind w:firstLine="0" w:firstLineChars="0"/>
        <w:jc w:val="center"/>
        <w:rPr>
          <w:color w:val="FF0000"/>
          <w:szCs w:val="24"/>
          <w:u w:val="wave"/>
        </w:rPr>
      </w:pPr>
      <w:r>
        <w:rPr>
          <w:b/>
          <w:bCs/>
          <w:color w:val="FF0000"/>
          <w:szCs w:val="24"/>
          <w:u w:val="wave"/>
        </w:rPr>
        <w:t>图6.2-</w:t>
      </w:r>
      <w:r>
        <w:rPr>
          <w:rFonts w:hint="eastAsia"/>
          <w:b/>
          <w:bCs/>
          <w:color w:val="FF0000"/>
          <w:szCs w:val="24"/>
          <w:u w:val="wave"/>
          <w:lang w:val="en-US" w:eastAsia="zh-CN"/>
        </w:rPr>
        <w:t>3</w:t>
      </w:r>
      <w:r>
        <w:rPr>
          <w:b/>
          <w:bCs/>
          <w:color w:val="FF0000"/>
          <w:szCs w:val="24"/>
          <w:u w:val="wave"/>
        </w:rPr>
        <w:t xml:space="preserve">  污水处理工艺流程图</w:t>
      </w:r>
    </w:p>
    <w:p>
      <w:pPr>
        <w:pStyle w:val="4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cs="Times New Roman" w:hAnsiTheme="minorEastAsia" w:eastAsiaTheme="minorEastAsia"/>
          <w:color w:val="FF0000"/>
          <w:kern w:val="0"/>
          <w:sz w:val="24"/>
          <w:szCs w:val="24"/>
          <w:u w:val="wave"/>
          <w:lang w:val="en-US" w:eastAsia="zh-CN" w:bidi="ar-SA"/>
        </w:rPr>
      </w:pPr>
      <w:r>
        <w:rPr>
          <w:rFonts w:hint="default" w:ascii="Times New Roman" w:cs="Times New Roman" w:hAnsiTheme="minorEastAsia" w:eastAsiaTheme="minorEastAsia"/>
          <w:color w:val="FF0000"/>
          <w:kern w:val="0"/>
          <w:sz w:val="24"/>
          <w:szCs w:val="24"/>
          <w:u w:val="wave"/>
          <w:lang w:val="en-US" w:eastAsia="zh-CN" w:bidi="ar-SA"/>
        </w:rPr>
        <w:t>污水处理流程简介：</w:t>
      </w:r>
    </w:p>
    <w:p>
      <w:pPr>
        <w:pStyle w:val="4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cs="Times New Roman" w:hAnsiTheme="minorEastAsia" w:eastAsiaTheme="minorEastAsia"/>
          <w:color w:val="FF0000"/>
          <w:kern w:val="0"/>
          <w:sz w:val="24"/>
          <w:szCs w:val="24"/>
          <w:u w:val="wave"/>
          <w:lang w:val="en-US" w:eastAsia="zh-CN" w:bidi="ar-SA"/>
        </w:rPr>
      </w:pPr>
      <w:r>
        <w:rPr>
          <w:rFonts w:hint="default" w:ascii="Times New Roman" w:cs="Times New Roman" w:hAnsiTheme="minorEastAsia" w:eastAsiaTheme="minorEastAsia"/>
          <w:color w:val="FF0000"/>
          <w:kern w:val="0"/>
          <w:sz w:val="24"/>
          <w:szCs w:val="24"/>
          <w:u w:val="wave"/>
          <w:lang w:val="en-US" w:eastAsia="zh-CN" w:bidi="ar-SA"/>
        </w:rPr>
        <w:t>废水经污水管道集中收集，进入沉砂池沉淀后，进入调节池调节水量水质，再进入水解酸化池，在胞外酶的作用下，将不溶性有机物水解成可溶性有机物，将可溶性大分子有机物转化为脂肪酸、醇类等，后进入厌氧发酵池处理，利用</w:t>
      </w:r>
      <w:r>
        <w:rPr>
          <w:rFonts w:hint="default" w:ascii="Times New Roman" w:cs="Times New Roman" w:hAnsiTheme="minorEastAsia" w:eastAsiaTheme="minorEastAsia"/>
          <w:color w:val="FF0000"/>
          <w:kern w:val="0"/>
          <w:sz w:val="24"/>
          <w:szCs w:val="24"/>
          <w:u w:val="wave"/>
          <w:lang w:val="en-US" w:eastAsia="zh-CN" w:bidi="ar-SA"/>
        </w:rPr>
        <w:fldChar w:fldCharType="begin"/>
      </w:r>
      <w:r>
        <w:rPr>
          <w:rFonts w:hint="default" w:ascii="Times New Roman" w:cs="Times New Roman" w:hAnsiTheme="minorEastAsia" w:eastAsiaTheme="minorEastAsia"/>
          <w:color w:val="FF0000"/>
          <w:kern w:val="0"/>
          <w:sz w:val="24"/>
          <w:szCs w:val="24"/>
          <w:u w:val="wave"/>
          <w:lang w:val="en-US" w:eastAsia="zh-CN" w:bidi="ar-SA"/>
        </w:rPr>
        <w:instrText xml:space="preserve"> HYPERLINK "https://baike.baidu.com/item/%E7%94%B2%E7%83%B7%E7%BB%86%E8%8F%8C/3640289" \t "https://baike.baidu.com/item/%E5%8E%8C%E6%B0%A7%E6%B1%A1%E6%B0%B4%E5%A4%84%E7%90%86/_blank" </w:instrText>
      </w:r>
      <w:r>
        <w:rPr>
          <w:rFonts w:hint="default" w:ascii="Times New Roman" w:cs="Times New Roman" w:hAnsiTheme="minorEastAsia" w:eastAsiaTheme="minorEastAsia"/>
          <w:color w:val="FF0000"/>
          <w:kern w:val="0"/>
          <w:sz w:val="24"/>
          <w:szCs w:val="24"/>
          <w:u w:val="wave"/>
          <w:lang w:val="en-US" w:eastAsia="zh-CN" w:bidi="ar-SA"/>
        </w:rPr>
        <w:fldChar w:fldCharType="separate"/>
      </w:r>
      <w:r>
        <w:rPr>
          <w:rFonts w:hint="default" w:ascii="Times New Roman" w:cs="Times New Roman" w:hAnsiTheme="minorEastAsia" w:eastAsiaTheme="minorEastAsia"/>
          <w:color w:val="FF0000"/>
          <w:kern w:val="0"/>
          <w:sz w:val="24"/>
          <w:szCs w:val="24"/>
          <w:u w:val="wave"/>
          <w:lang w:val="en-US" w:eastAsia="zh-CN" w:bidi="ar-SA"/>
        </w:rPr>
        <w:t>甲烷细菌</w:t>
      </w:r>
      <w:r>
        <w:rPr>
          <w:rFonts w:hint="default" w:ascii="Times New Roman" w:cs="Times New Roman" w:hAnsiTheme="minorEastAsia" w:eastAsiaTheme="minorEastAsia"/>
          <w:color w:val="FF0000"/>
          <w:kern w:val="0"/>
          <w:sz w:val="24"/>
          <w:szCs w:val="24"/>
          <w:u w:val="wave"/>
          <w:lang w:val="en-US" w:eastAsia="zh-CN" w:bidi="ar-SA"/>
        </w:rPr>
        <w:fldChar w:fldCharType="end"/>
      </w:r>
      <w:r>
        <w:rPr>
          <w:rFonts w:hint="default" w:ascii="Times New Roman" w:cs="Times New Roman" w:hAnsiTheme="minorEastAsia" w:eastAsiaTheme="minorEastAsia"/>
          <w:color w:val="FF0000"/>
          <w:kern w:val="0"/>
          <w:sz w:val="24"/>
          <w:szCs w:val="24"/>
          <w:u w:val="wave"/>
          <w:lang w:val="en-US" w:eastAsia="zh-CN" w:bidi="ar-SA"/>
        </w:rPr>
        <w:t>将</w:t>
      </w:r>
      <w:r>
        <w:rPr>
          <w:rFonts w:hint="default" w:ascii="Times New Roman" w:cs="Times New Roman" w:hAnsiTheme="minorEastAsia" w:eastAsiaTheme="minorEastAsia"/>
          <w:color w:val="FF0000"/>
          <w:kern w:val="0"/>
          <w:sz w:val="24"/>
          <w:szCs w:val="24"/>
          <w:u w:val="wave"/>
          <w:lang w:val="en-US" w:eastAsia="zh-CN" w:bidi="ar-SA"/>
        </w:rPr>
        <w:fldChar w:fldCharType="begin"/>
      </w:r>
      <w:r>
        <w:rPr>
          <w:rFonts w:hint="default" w:ascii="Times New Roman" w:cs="Times New Roman" w:hAnsiTheme="minorEastAsia" w:eastAsiaTheme="minorEastAsia"/>
          <w:color w:val="FF0000"/>
          <w:kern w:val="0"/>
          <w:sz w:val="24"/>
          <w:szCs w:val="24"/>
          <w:u w:val="wave"/>
          <w:lang w:val="en-US" w:eastAsia="zh-CN" w:bidi="ar-SA"/>
        </w:rPr>
        <w:instrText xml:space="preserve"> HYPERLINK "https://baike.baidu.com/item/%E4%B9%99%E9%85%B8/272388" \t "https://baike.baidu.com/item/%E5%8E%8C%E6%B0%A7%E6%B1%A1%E6%B0%B4%E5%A4%84%E7%90%86/_blank" </w:instrText>
      </w:r>
      <w:r>
        <w:rPr>
          <w:rFonts w:hint="default" w:ascii="Times New Roman" w:cs="Times New Roman" w:hAnsiTheme="minorEastAsia" w:eastAsiaTheme="minorEastAsia"/>
          <w:color w:val="FF0000"/>
          <w:kern w:val="0"/>
          <w:sz w:val="24"/>
          <w:szCs w:val="24"/>
          <w:u w:val="wave"/>
          <w:lang w:val="en-US" w:eastAsia="zh-CN" w:bidi="ar-SA"/>
        </w:rPr>
        <w:fldChar w:fldCharType="separate"/>
      </w:r>
      <w:r>
        <w:rPr>
          <w:rFonts w:hint="default" w:ascii="Times New Roman" w:cs="Times New Roman" w:hAnsiTheme="minorEastAsia" w:eastAsiaTheme="minorEastAsia"/>
          <w:color w:val="FF0000"/>
          <w:kern w:val="0"/>
          <w:sz w:val="24"/>
          <w:szCs w:val="24"/>
          <w:u w:val="wave"/>
          <w:lang w:val="en-US" w:eastAsia="zh-CN" w:bidi="ar-SA"/>
        </w:rPr>
        <w:t>乙酸</w:t>
      </w:r>
      <w:r>
        <w:rPr>
          <w:rFonts w:hint="default" w:ascii="Times New Roman" w:cs="Times New Roman" w:hAnsiTheme="minorEastAsia" w:eastAsiaTheme="minorEastAsia"/>
          <w:color w:val="FF0000"/>
          <w:kern w:val="0"/>
          <w:sz w:val="24"/>
          <w:szCs w:val="24"/>
          <w:u w:val="wave"/>
          <w:lang w:val="en-US" w:eastAsia="zh-CN" w:bidi="ar-SA"/>
        </w:rPr>
        <w:fldChar w:fldCharType="end"/>
      </w:r>
      <w:r>
        <w:rPr>
          <w:rFonts w:hint="default" w:ascii="Times New Roman" w:cs="Times New Roman" w:hAnsiTheme="minorEastAsia" w:eastAsiaTheme="minorEastAsia"/>
          <w:color w:val="FF0000"/>
          <w:kern w:val="0"/>
          <w:sz w:val="24"/>
          <w:szCs w:val="24"/>
          <w:u w:val="wave"/>
          <w:lang w:val="en-US" w:eastAsia="zh-CN" w:bidi="ar-SA"/>
        </w:rPr>
        <w:t>、</w:t>
      </w:r>
      <w:r>
        <w:rPr>
          <w:rFonts w:hint="default" w:ascii="Times New Roman" w:cs="Times New Roman" w:hAnsiTheme="minorEastAsia" w:eastAsiaTheme="minorEastAsia"/>
          <w:color w:val="FF0000"/>
          <w:kern w:val="0"/>
          <w:sz w:val="24"/>
          <w:szCs w:val="24"/>
          <w:u w:val="wave"/>
          <w:lang w:val="en-US" w:eastAsia="zh-CN" w:bidi="ar-SA"/>
        </w:rPr>
        <w:fldChar w:fldCharType="begin"/>
      </w:r>
      <w:r>
        <w:rPr>
          <w:rFonts w:hint="default" w:ascii="Times New Roman" w:cs="Times New Roman" w:hAnsiTheme="minorEastAsia" w:eastAsiaTheme="minorEastAsia"/>
          <w:color w:val="FF0000"/>
          <w:kern w:val="0"/>
          <w:sz w:val="24"/>
          <w:szCs w:val="24"/>
          <w:u w:val="wave"/>
          <w:lang w:val="en-US" w:eastAsia="zh-CN" w:bidi="ar-SA"/>
        </w:rPr>
        <w:instrText xml:space="preserve"> HYPERLINK "https://baike.baidu.com/item/%E4%B9%99%E9%85%B8%E7%9B%90/8223668" \t "https://baike.baidu.com/item/%E5%8E%8C%E6%B0%A7%E6%B1%A1%E6%B0%B4%E5%A4%84%E7%90%86/_blank" </w:instrText>
      </w:r>
      <w:r>
        <w:rPr>
          <w:rFonts w:hint="default" w:ascii="Times New Roman" w:cs="Times New Roman" w:hAnsiTheme="minorEastAsia" w:eastAsiaTheme="minorEastAsia"/>
          <w:color w:val="FF0000"/>
          <w:kern w:val="0"/>
          <w:sz w:val="24"/>
          <w:szCs w:val="24"/>
          <w:u w:val="wave"/>
          <w:lang w:val="en-US" w:eastAsia="zh-CN" w:bidi="ar-SA"/>
        </w:rPr>
        <w:fldChar w:fldCharType="separate"/>
      </w:r>
      <w:r>
        <w:rPr>
          <w:rFonts w:hint="default" w:ascii="Times New Roman" w:cs="Times New Roman" w:hAnsiTheme="minorEastAsia" w:eastAsiaTheme="minorEastAsia"/>
          <w:color w:val="FF0000"/>
          <w:kern w:val="0"/>
          <w:sz w:val="24"/>
          <w:szCs w:val="24"/>
          <w:u w:val="wave"/>
          <w:lang w:val="en-US" w:eastAsia="zh-CN" w:bidi="ar-SA"/>
        </w:rPr>
        <w:t>乙酸盐</w:t>
      </w:r>
      <w:r>
        <w:rPr>
          <w:rFonts w:hint="default" w:ascii="Times New Roman" w:cs="Times New Roman" w:hAnsiTheme="minorEastAsia" w:eastAsiaTheme="minorEastAsia"/>
          <w:color w:val="FF0000"/>
          <w:kern w:val="0"/>
          <w:sz w:val="24"/>
          <w:szCs w:val="24"/>
          <w:u w:val="wave"/>
          <w:lang w:val="en-US" w:eastAsia="zh-CN" w:bidi="ar-SA"/>
        </w:rPr>
        <w:fldChar w:fldCharType="end"/>
      </w:r>
      <w:r>
        <w:rPr>
          <w:rFonts w:hint="default" w:ascii="Times New Roman" w:cs="Times New Roman" w:hAnsiTheme="minorEastAsia" w:eastAsiaTheme="minorEastAsia"/>
          <w:color w:val="FF0000"/>
          <w:kern w:val="0"/>
          <w:sz w:val="24"/>
          <w:szCs w:val="24"/>
          <w:u w:val="wave"/>
          <w:lang w:val="en-US" w:eastAsia="zh-CN" w:bidi="ar-SA"/>
        </w:rPr>
        <w:t>、二氧化碳和</w:t>
      </w:r>
      <w:r>
        <w:rPr>
          <w:rFonts w:hint="default" w:ascii="Times New Roman" w:cs="Times New Roman" w:hAnsiTheme="minorEastAsia" w:eastAsiaTheme="minorEastAsia"/>
          <w:color w:val="FF0000"/>
          <w:kern w:val="0"/>
          <w:sz w:val="24"/>
          <w:szCs w:val="24"/>
          <w:u w:val="wave"/>
          <w:lang w:val="en-US" w:eastAsia="zh-CN" w:bidi="ar-SA"/>
        </w:rPr>
        <w:fldChar w:fldCharType="begin"/>
      </w:r>
      <w:r>
        <w:rPr>
          <w:rFonts w:hint="default" w:ascii="Times New Roman" w:cs="Times New Roman" w:hAnsiTheme="minorEastAsia" w:eastAsiaTheme="minorEastAsia"/>
          <w:color w:val="FF0000"/>
          <w:kern w:val="0"/>
          <w:sz w:val="24"/>
          <w:szCs w:val="24"/>
          <w:u w:val="wave"/>
          <w:lang w:val="en-US" w:eastAsia="zh-CN" w:bidi="ar-SA"/>
        </w:rPr>
        <w:instrText xml:space="preserve"> HYPERLINK "https://baike.baidu.com/item/%E6%B0%A2%E6%B0%94/1760269" \t "https://baike.baidu.com/item/%E5%8E%8C%E6%B0%A7%E6%B1%A1%E6%B0%B4%E5%A4%84%E7%90%86/_blank" </w:instrText>
      </w:r>
      <w:r>
        <w:rPr>
          <w:rFonts w:hint="default" w:ascii="Times New Roman" w:cs="Times New Roman" w:hAnsiTheme="minorEastAsia" w:eastAsiaTheme="minorEastAsia"/>
          <w:color w:val="FF0000"/>
          <w:kern w:val="0"/>
          <w:sz w:val="24"/>
          <w:szCs w:val="24"/>
          <w:u w:val="wave"/>
          <w:lang w:val="en-US" w:eastAsia="zh-CN" w:bidi="ar-SA"/>
        </w:rPr>
        <w:fldChar w:fldCharType="separate"/>
      </w:r>
      <w:r>
        <w:rPr>
          <w:rFonts w:hint="default" w:ascii="Times New Roman" w:cs="Times New Roman" w:hAnsiTheme="minorEastAsia" w:eastAsiaTheme="minorEastAsia"/>
          <w:color w:val="FF0000"/>
          <w:kern w:val="0"/>
          <w:sz w:val="24"/>
          <w:szCs w:val="24"/>
          <w:u w:val="wave"/>
          <w:lang w:val="en-US" w:eastAsia="zh-CN" w:bidi="ar-SA"/>
        </w:rPr>
        <w:t>氢气</w:t>
      </w:r>
      <w:r>
        <w:rPr>
          <w:rFonts w:hint="default" w:ascii="Times New Roman" w:cs="Times New Roman" w:hAnsiTheme="minorEastAsia" w:eastAsiaTheme="minorEastAsia"/>
          <w:color w:val="FF0000"/>
          <w:kern w:val="0"/>
          <w:sz w:val="24"/>
          <w:szCs w:val="24"/>
          <w:u w:val="wave"/>
          <w:lang w:val="en-US" w:eastAsia="zh-CN" w:bidi="ar-SA"/>
        </w:rPr>
        <w:fldChar w:fldCharType="end"/>
      </w:r>
      <w:r>
        <w:rPr>
          <w:rFonts w:hint="default" w:ascii="Times New Roman" w:cs="Times New Roman" w:hAnsiTheme="minorEastAsia" w:eastAsiaTheme="minorEastAsia"/>
          <w:color w:val="FF0000"/>
          <w:kern w:val="0"/>
          <w:sz w:val="24"/>
          <w:szCs w:val="24"/>
          <w:u w:val="wave"/>
          <w:lang w:val="en-US" w:eastAsia="zh-CN" w:bidi="ar-SA"/>
        </w:rPr>
        <w:t>等转化为甲烷，达到进一步处理有机物的目的，再进入沉淀池处理、消毒池消毒处理后</w:t>
      </w:r>
      <w:r>
        <w:rPr>
          <w:rFonts w:hint="eastAsia" w:ascii="Times New Roman" w:cs="Times New Roman" w:hAnsiTheme="minorEastAsia" w:eastAsiaTheme="minorEastAsia"/>
          <w:color w:val="FF0000"/>
          <w:kern w:val="0"/>
          <w:sz w:val="24"/>
          <w:szCs w:val="24"/>
          <w:u w:val="wave"/>
          <w:lang w:val="en-US" w:eastAsia="zh-CN" w:bidi="ar-SA"/>
        </w:rPr>
        <w:t>回用于周边种植基地灌溉</w:t>
      </w:r>
      <w:r>
        <w:rPr>
          <w:rFonts w:hint="default" w:ascii="Times New Roman" w:cs="Times New Roman" w:hAnsiTheme="minorEastAsia" w:eastAsiaTheme="minorEastAsia"/>
          <w:color w:val="FF0000"/>
          <w:kern w:val="0"/>
          <w:sz w:val="24"/>
          <w:szCs w:val="24"/>
          <w:u w:val="wave"/>
          <w:lang w:val="en-US" w:eastAsia="zh-CN" w:bidi="ar-SA"/>
        </w:rPr>
        <w:t>，不外排。</w:t>
      </w:r>
    </w:p>
    <w:p>
      <w:pPr>
        <w:pStyle w:val="43"/>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cs="Times New Roman" w:hAnsiTheme="minorEastAsia" w:eastAsiaTheme="minorEastAsia"/>
          <w:color w:val="FF0000"/>
          <w:kern w:val="0"/>
          <w:sz w:val="24"/>
          <w:szCs w:val="24"/>
          <w:u w:val="wave"/>
          <w:lang w:val="en-US" w:eastAsia="zh-CN" w:bidi="ar-SA"/>
        </w:rPr>
      </w:pPr>
      <w:r>
        <w:rPr>
          <w:rFonts w:hint="default" w:ascii="Times New Roman" w:cs="Times New Roman" w:hAnsiTheme="minorEastAsia" w:eastAsiaTheme="minorEastAsia"/>
          <w:color w:val="FF0000"/>
          <w:kern w:val="0"/>
          <w:sz w:val="24"/>
          <w:szCs w:val="24"/>
          <w:u w:val="wave"/>
          <w:lang w:val="en-US" w:eastAsia="zh-CN" w:bidi="ar-SA"/>
        </w:rPr>
        <w:t>项目拟采取隔油池、厌氧废水处理系统等防治措施后，污水处理效果见下表。</w:t>
      </w:r>
    </w:p>
    <w:p>
      <w:pPr>
        <w:spacing w:beforeLines="50"/>
        <w:jc w:val="center"/>
        <w:rPr>
          <w:b/>
          <w:color w:val="FF0000"/>
          <w:u w:val="wave"/>
        </w:rPr>
      </w:pPr>
      <w:r>
        <w:rPr>
          <w:b/>
          <w:color w:val="FF0000"/>
          <w:u w:val="wave"/>
        </w:rPr>
        <w:t>表</w:t>
      </w:r>
      <w:r>
        <w:rPr>
          <w:rFonts w:hint="eastAsia"/>
          <w:b/>
          <w:color w:val="FF0000"/>
          <w:u w:val="wave"/>
          <w:lang w:val="en-US" w:eastAsia="zh-CN"/>
        </w:rPr>
        <w:t>6.2-12</w:t>
      </w:r>
      <w:r>
        <w:rPr>
          <w:b/>
          <w:color w:val="FF0000"/>
          <w:u w:val="wave"/>
        </w:rPr>
        <w:t xml:space="preserve">  废水处理设施进出水水质情况一览表</w:t>
      </w:r>
    </w:p>
    <w:tbl>
      <w:tblPr>
        <w:tblStyle w:val="4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96"/>
        <w:gridCol w:w="1279"/>
        <w:gridCol w:w="1677"/>
        <w:gridCol w:w="950"/>
        <w:gridCol w:w="950"/>
        <w:gridCol w:w="950"/>
        <w:gridCol w:w="9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3" w:type="pct"/>
            <w:vMerge w:val="restar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FF0000"/>
                <w:sz w:val="21"/>
                <w:szCs w:val="21"/>
                <w:u w:val="wave"/>
              </w:rPr>
            </w:pPr>
            <w:r>
              <w:rPr>
                <w:rFonts w:hint="default" w:ascii="Times New Roman" w:hAnsi="Times New Roman" w:cs="Times New Roman"/>
                <w:b/>
                <w:bCs/>
                <w:color w:val="FF0000"/>
                <w:sz w:val="21"/>
                <w:szCs w:val="21"/>
                <w:u w:val="wave"/>
              </w:rPr>
              <w:t>项目</w:t>
            </w:r>
          </w:p>
        </w:tc>
        <w:tc>
          <w:tcPr>
            <w:tcW w:w="750" w:type="pct"/>
            <w:vMerge w:val="restar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FF0000"/>
                <w:sz w:val="21"/>
                <w:szCs w:val="21"/>
                <w:u w:val="wave"/>
              </w:rPr>
            </w:pPr>
            <w:r>
              <w:rPr>
                <w:rFonts w:hint="default" w:ascii="Times New Roman" w:hAnsi="Times New Roman" w:cs="Times New Roman"/>
                <w:b/>
                <w:bCs/>
                <w:color w:val="FF0000"/>
                <w:sz w:val="21"/>
                <w:szCs w:val="21"/>
                <w:u w:val="wave"/>
              </w:rPr>
              <w:t>污水量（m</w:t>
            </w:r>
            <w:r>
              <w:rPr>
                <w:rFonts w:hint="default" w:ascii="Times New Roman" w:hAnsi="Times New Roman" w:cs="Times New Roman"/>
                <w:b/>
                <w:bCs/>
                <w:color w:val="FF0000"/>
                <w:sz w:val="21"/>
                <w:szCs w:val="21"/>
                <w:u w:val="wave"/>
                <w:vertAlign w:val="superscript"/>
              </w:rPr>
              <w:t>3</w:t>
            </w:r>
            <w:r>
              <w:rPr>
                <w:rFonts w:hint="default" w:ascii="Times New Roman" w:hAnsi="Times New Roman" w:cs="Times New Roman"/>
                <w:b/>
                <w:bCs/>
                <w:color w:val="FF0000"/>
                <w:sz w:val="21"/>
                <w:szCs w:val="21"/>
                <w:u w:val="wave"/>
              </w:rPr>
              <w:t>/a）</w:t>
            </w:r>
          </w:p>
        </w:tc>
        <w:tc>
          <w:tcPr>
            <w:tcW w:w="983" w:type="pct"/>
            <w:vMerge w:val="restar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FF0000"/>
                <w:sz w:val="21"/>
                <w:szCs w:val="21"/>
                <w:u w:val="wave"/>
              </w:rPr>
            </w:pPr>
            <w:r>
              <w:rPr>
                <w:rFonts w:hint="default" w:ascii="Times New Roman" w:hAnsi="Times New Roman" w:cs="Times New Roman"/>
                <w:b/>
                <w:bCs/>
                <w:color w:val="FF0000"/>
                <w:sz w:val="21"/>
                <w:szCs w:val="21"/>
                <w:u w:val="wave"/>
              </w:rPr>
              <w:t>指标</w:t>
            </w:r>
          </w:p>
        </w:tc>
        <w:tc>
          <w:tcPr>
            <w:tcW w:w="2212" w:type="pct"/>
            <w:gridSpan w:val="4"/>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FF0000"/>
                <w:sz w:val="21"/>
                <w:szCs w:val="21"/>
                <w:u w:val="wave"/>
              </w:rPr>
            </w:pPr>
            <w:r>
              <w:rPr>
                <w:rFonts w:hint="default" w:ascii="Times New Roman" w:hAnsi="Times New Roman" w:cs="Times New Roman"/>
                <w:b/>
                <w:bCs/>
                <w:color w:val="FF0000"/>
                <w:sz w:val="21"/>
                <w:szCs w:val="21"/>
                <w:u w:val="wave"/>
              </w:rPr>
              <w:t>污染物名称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3" w:type="pct"/>
            <w:vMerge w:val="continue"/>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FF0000"/>
                <w:sz w:val="21"/>
                <w:szCs w:val="21"/>
                <w:u w:val="wave"/>
              </w:rPr>
            </w:pPr>
          </w:p>
        </w:tc>
        <w:tc>
          <w:tcPr>
            <w:tcW w:w="750" w:type="pct"/>
            <w:vMerge w:val="continue"/>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FF0000"/>
                <w:sz w:val="21"/>
                <w:szCs w:val="21"/>
                <w:u w:val="wave"/>
              </w:rPr>
            </w:pPr>
          </w:p>
        </w:tc>
        <w:tc>
          <w:tcPr>
            <w:tcW w:w="983" w:type="pct"/>
            <w:vMerge w:val="continue"/>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FF0000"/>
                <w:sz w:val="21"/>
                <w:szCs w:val="21"/>
                <w:u w:val="wave"/>
              </w:rPr>
            </w:pPr>
          </w:p>
        </w:tc>
        <w:tc>
          <w:tcPr>
            <w:tcW w:w="557"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FF0000"/>
                <w:sz w:val="21"/>
                <w:szCs w:val="21"/>
                <w:u w:val="wave"/>
              </w:rPr>
            </w:pPr>
            <w:r>
              <w:rPr>
                <w:rFonts w:hint="default" w:ascii="Times New Roman" w:hAnsi="Times New Roman" w:cs="Times New Roman"/>
                <w:b/>
                <w:bCs/>
                <w:color w:val="FF0000"/>
                <w:sz w:val="21"/>
                <w:szCs w:val="21"/>
                <w:u w:val="wave"/>
              </w:rPr>
              <w:t>COD</w:t>
            </w:r>
          </w:p>
        </w:tc>
        <w:tc>
          <w:tcPr>
            <w:tcW w:w="557"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FF0000"/>
                <w:sz w:val="21"/>
                <w:szCs w:val="21"/>
                <w:u w:val="wave"/>
              </w:rPr>
            </w:pPr>
            <w:r>
              <w:rPr>
                <w:rFonts w:hint="default" w:ascii="Times New Roman" w:hAnsi="Times New Roman" w:cs="Times New Roman"/>
                <w:b/>
                <w:bCs/>
                <w:color w:val="FF0000"/>
                <w:sz w:val="21"/>
                <w:szCs w:val="21"/>
                <w:u w:val="wave"/>
              </w:rPr>
              <w:t>BOD</w:t>
            </w:r>
            <w:r>
              <w:rPr>
                <w:rFonts w:hint="default" w:ascii="Times New Roman" w:hAnsi="Times New Roman" w:cs="Times New Roman"/>
                <w:b/>
                <w:bCs/>
                <w:color w:val="FF0000"/>
                <w:sz w:val="21"/>
                <w:szCs w:val="21"/>
                <w:u w:val="wave"/>
                <w:vertAlign w:val="subscript"/>
              </w:rPr>
              <w:t>5</w:t>
            </w:r>
          </w:p>
        </w:tc>
        <w:tc>
          <w:tcPr>
            <w:tcW w:w="557"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FF0000"/>
                <w:sz w:val="21"/>
                <w:szCs w:val="21"/>
                <w:u w:val="wave"/>
              </w:rPr>
            </w:pPr>
            <w:r>
              <w:rPr>
                <w:rFonts w:hint="default" w:ascii="Times New Roman" w:hAnsi="Times New Roman" w:cs="Times New Roman"/>
                <w:b/>
                <w:bCs/>
                <w:color w:val="FF0000"/>
                <w:sz w:val="21"/>
                <w:szCs w:val="21"/>
                <w:u w:val="wave"/>
              </w:rPr>
              <w:t>氨氮</w:t>
            </w:r>
          </w:p>
        </w:tc>
        <w:tc>
          <w:tcPr>
            <w:tcW w:w="541"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FF0000"/>
                <w:sz w:val="21"/>
                <w:szCs w:val="21"/>
                <w:u w:val="wave"/>
              </w:rPr>
            </w:pPr>
            <w:r>
              <w:rPr>
                <w:rFonts w:hint="default" w:ascii="Times New Roman" w:hAnsi="Times New Roman" w:cs="Times New Roman"/>
                <w:b/>
                <w:bCs/>
                <w:color w:val="FF0000"/>
                <w:sz w:val="21"/>
                <w:szCs w:val="21"/>
                <w:u w:val="wave"/>
              </w:rPr>
              <w:t>SS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3" w:type="pct"/>
            <w:vMerge w:val="restar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污水处理站进口水质</w:t>
            </w:r>
          </w:p>
        </w:tc>
        <w:tc>
          <w:tcPr>
            <w:tcW w:w="750" w:type="pct"/>
            <w:vMerge w:val="restar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u w:val="wave"/>
                <w:lang w:val="en-US" w:eastAsia="zh-CN"/>
              </w:rPr>
            </w:pPr>
            <w:r>
              <w:rPr>
                <w:rFonts w:hint="eastAsia" w:ascii="Times New Roman" w:hAnsi="Times New Roman" w:cs="Times New Roman"/>
                <w:color w:val="FF0000"/>
                <w:sz w:val="21"/>
                <w:szCs w:val="21"/>
                <w:u w:val="wave"/>
                <w:lang w:val="en-US" w:eastAsia="zh-CN"/>
              </w:rPr>
              <w:t>2286.59</w:t>
            </w:r>
          </w:p>
        </w:tc>
        <w:tc>
          <w:tcPr>
            <w:tcW w:w="983"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进水浓度（mg/L）</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color w:val="FF0000"/>
                <w:sz w:val="21"/>
                <w:szCs w:val="21"/>
                <w:u w:val="wave"/>
              </w:rPr>
            </w:pPr>
            <w:r>
              <w:rPr>
                <w:rFonts w:hint="default" w:ascii="Times New Roman" w:hAnsi="Times New Roman" w:eastAsia="宋体" w:cs="Times New Roman"/>
                <w:i w:val="0"/>
                <w:color w:val="FF0000"/>
                <w:kern w:val="0"/>
                <w:sz w:val="21"/>
                <w:szCs w:val="21"/>
                <w:u w:val="wave"/>
                <w:lang w:val="en-US" w:eastAsia="zh-CN" w:bidi="ar"/>
              </w:rPr>
              <w:t>768.63</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color w:val="FF0000"/>
                <w:sz w:val="21"/>
                <w:szCs w:val="21"/>
                <w:u w:val="wave"/>
              </w:rPr>
            </w:pPr>
            <w:r>
              <w:rPr>
                <w:rFonts w:hint="default" w:ascii="Times New Roman" w:hAnsi="Times New Roman" w:eastAsia="宋体" w:cs="Times New Roman"/>
                <w:i w:val="0"/>
                <w:color w:val="FF0000"/>
                <w:kern w:val="0"/>
                <w:sz w:val="21"/>
                <w:szCs w:val="21"/>
                <w:u w:val="wave"/>
                <w:lang w:val="en-US" w:eastAsia="zh-CN" w:bidi="ar"/>
              </w:rPr>
              <w:t>394.11</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color w:val="FF0000"/>
                <w:sz w:val="21"/>
                <w:szCs w:val="21"/>
                <w:u w:val="wave"/>
              </w:rPr>
            </w:pPr>
            <w:r>
              <w:rPr>
                <w:rFonts w:hint="default" w:ascii="Times New Roman" w:hAnsi="Times New Roman" w:eastAsia="宋体" w:cs="Times New Roman"/>
                <w:i w:val="0"/>
                <w:color w:val="FF0000"/>
                <w:kern w:val="0"/>
                <w:sz w:val="21"/>
                <w:szCs w:val="21"/>
                <w:u w:val="wave"/>
                <w:lang w:val="en-US" w:eastAsia="zh-CN" w:bidi="ar"/>
              </w:rPr>
              <w:t>122.23</w:t>
            </w:r>
          </w:p>
        </w:tc>
        <w:tc>
          <w:tcPr>
            <w:tcW w:w="541" w:type="pct"/>
            <w:noWrap w:val="0"/>
            <w:vAlign w:val="center"/>
          </w:tcPr>
          <w:p>
            <w:pPr>
              <w:keepNext w:val="0"/>
              <w:keepLines w:val="0"/>
              <w:widowControl/>
              <w:suppressLineNumbers w:val="0"/>
              <w:jc w:val="center"/>
              <w:textAlignment w:val="center"/>
              <w:rPr>
                <w:rFonts w:hint="default" w:ascii="Times New Roman" w:hAnsi="Times New Roman" w:cs="Times New Roman"/>
                <w:color w:val="FF0000"/>
                <w:sz w:val="21"/>
                <w:szCs w:val="21"/>
                <w:u w:val="wave"/>
              </w:rPr>
            </w:pPr>
            <w:r>
              <w:rPr>
                <w:rFonts w:hint="default" w:ascii="Times New Roman" w:hAnsi="Times New Roman" w:eastAsia="宋体" w:cs="Times New Roman"/>
                <w:i w:val="0"/>
                <w:color w:val="FF0000"/>
                <w:kern w:val="0"/>
                <w:sz w:val="21"/>
                <w:szCs w:val="21"/>
                <w:u w:val="wave"/>
                <w:lang w:val="en-US" w:eastAsia="zh-CN" w:bidi="ar"/>
              </w:rPr>
              <w:t>446.80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3" w:type="pct"/>
            <w:vMerge w:val="continue"/>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u w:val="wave"/>
              </w:rPr>
            </w:pPr>
          </w:p>
        </w:tc>
        <w:tc>
          <w:tcPr>
            <w:tcW w:w="750" w:type="pct"/>
            <w:vMerge w:val="continue"/>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u w:val="wave"/>
              </w:rPr>
            </w:pPr>
          </w:p>
        </w:tc>
        <w:tc>
          <w:tcPr>
            <w:tcW w:w="983"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产生量（t/a）</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color w:val="FF0000"/>
                <w:sz w:val="21"/>
                <w:szCs w:val="21"/>
                <w:u w:val="wave"/>
              </w:rPr>
            </w:pPr>
            <w:r>
              <w:rPr>
                <w:rFonts w:hint="default" w:ascii="Times New Roman" w:hAnsi="Times New Roman" w:eastAsia="宋体" w:cs="Times New Roman"/>
                <w:i w:val="0"/>
                <w:color w:val="FF0000"/>
                <w:kern w:val="0"/>
                <w:sz w:val="21"/>
                <w:szCs w:val="21"/>
                <w:u w:val="wave"/>
                <w:lang w:val="en-US" w:eastAsia="zh-CN" w:bidi="ar"/>
              </w:rPr>
              <w:t>1.758</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color w:val="FF0000"/>
                <w:sz w:val="21"/>
                <w:szCs w:val="21"/>
                <w:u w:val="wave"/>
              </w:rPr>
            </w:pPr>
            <w:r>
              <w:rPr>
                <w:rFonts w:hint="default" w:ascii="Times New Roman" w:hAnsi="Times New Roman" w:eastAsia="宋体" w:cs="Times New Roman"/>
                <w:i w:val="0"/>
                <w:color w:val="FF0000"/>
                <w:kern w:val="0"/>
                <w:sz w:val="21"/>
                <w:szCs w:val="21"/>
                <w:u w:val="wave"/>
                <w:lang w:val="en-US" w:eastAsia="zh-CN" w:bidi="ar"/>
              </w:rPr>
              <w:t>0.901</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color w:val="FF0000"/>
                <w:sz w:val="21"/>
                <w:szCs w:val="21"/>
                <w:u w:val="wave"/>
              </w:rPr>
            </w:pPr>
            <w:r>
              <w:rPr>
                <w:rFonts w:hint="default" w:ascii="Times New Roman" w:hAnsi="Times New Roman" w:eastAsia="宋体" w:cs="Times New Roman"/>
                <w:i w:val="0"/>
                <w:color w:val="FF0000"/>
                <w:kern w:val="0"/>
                <w:sz w:val="21"/>
                <w:szCs w:val="21"/>
                <w:u w:val="wave"/>
                <w:lang w:val="en-US" w:eastAsia="zh-CN" w:bidi="ar"/>
              </w:rPr>
              <w:t>0.279</w:t>
            </w:r>
          </w:p>
        </w:tc>
        <w:tc>
          <w:tcPr>
            <w:tcW w:w="541" w:type="pct"/>
            <w:noWrap w:val="0"/>
            <w:vAlign w:val="center"/>
          </w:tcPr>
          <w:p>
            <w:pPr>
              <w:keepNext w:val="0"/>
              <w:keepLines w:val="0"/>
              <w:widowControl/>
              <w:suppressLineNumbers w:val="0"/>
              <w:jc w:val="center"/>
              <w:textAlignment w:val="center"/>
              <w:rPr>
                <w:rFonts w:hint="default" w:ascii="Times New Roman" w:hAnsi="Times New Roman" w:cs="Times New Roman"/>
                <w:color w:val="FF0000"/>
                <w:sz w:val="21"/>
                <w:szCs w:val="21"/>
                <w:u w:val="wave"/>
              </w:rPr>
            </w:pPr>
            <w:r>
              <w:rPr>
                <w:rFonts w:hint="default" w:ascii="Times New Roman" w:hAnsi="Times New Roman" w:eastAsia="宋体" w:cs="Times New Roman"/>
                <w:i w:val="0"/>
                <w:color w:val="FF0000"/>
                <w:kern w:val="0"/>
                <w:sz w:val="21"/>
                <w:szCs w:val="21"/>
                <w:u w:val="wave"/>
                <w:lang w:val="en-US" w:eastAsia="zh-CN" w:bidi="ar"/>
              </w:rPr>
              <w:t>1.022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3" w:type="pct"/>
            <w:vMerge w:val="restar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污水处理站</w:t>
            </w:r>
          </w:p>
        </w:tc>
        <w:tc>
          <w:tcPr>
            <w:tcW w:w="750" w:type="pct"/>
            <w:vMerge w:val="restar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u w:val="wave"/>
                <w:lang w:val="en-US" w:eastAsia="zh-CN"/>
              </w:rPr>
            </w:pPr>
            <w:r>
              <w:rPr>
                <w:rFonts w:hint="eastAsia" w:ascii="Times New Roman" w:hAnsi="Times New Roman" w:cs="Times New Roman"/>
                <w:color w:val="FF0000"/>
                <w:sz w:val="21"/>
                <w:szCs w:val="21"/>
                <w:u w:val="wave"/>
                <w:lang w:val="en-US" w:eastAsia="zh-CN"/>
              </w:rPr>
              <w:t>2286.59</w:t>
            </w:r>
          </w:p>
        </w:tc>
        <w:tc>
          <w:tcPr>
            <w:tcW w:w="983"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去除效率（%）</w:t>
            </w:r>
          </w:p>
        </w:tc>
        <w:tc>
          <w:tcPr>
            <w:tcW w:w="557"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85</w:t>
            </w:r>
          </w:p>
        </w:tc>
        <w:tc>
          <w:tcPr>
            <w:tcW w:w="557"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85</w:t>
            </w:r>
          </w:p>
        </w:tc>
        <w:tc>
          <w:tcPr>
            <w:tcW w:w="557"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80</w:t>
            </w:r>
          </w:p>
        </w:tc>
        <w:tc>
          <w:tcPr>
            <w:tcW w:w="541"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3" w:type="pct"/>
            <w:vMerge w:val="continue"/>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u w:val="wave"/>
              </w:rPr>
            </w:pPr>
          </w:p>
        </w:tc>
        <w:tc>
          <w:tcPr>
            <w:tcW w:w="750" w:type="pct"/>
            <w:vMerge w:val="continue"/>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u w:val="wave"/>
              </w:rPr>
            </w:pPr>
          </w:p>
        </w:tc>
        <w:tc>
          <w:tcPr>
            <w:tcW w:w="983"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削减量（t/a）</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color w:val="FF0000"/>
                <w:sz w:val="21"/>
                <w:szCs w:val="21"/>
                <w:u w:val="wave"/>
              </w:rPr>
            </w:pPr>
            <w:r>
              <w:rPr>
                <w:rFonts w:hint="default" w:ascii="Times New Roman" w:hAnsi="Times New Roman" w:eastAsia="宋体" w:cs="Times New Roman"/>
                <w:i w:val="0"/>
                <w:color w:val="FF0000"/>
                <w:kern w:val="0"/>
                <w:sz w:val="21"/>
                <w:szCs w:val="21"/>
                <w:u w:val="wave"/>
                <w:lang w:val="en-US" w:eastAsia="zh-CN" w:bidi="ar"/>
              </w:rPr>
              <w:t>1.494</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color w:val="FF0000"/>
                <w:sz w:val="21"/>
                <w:szCs w:val="21"/>
                <w:u w:val="wave"/>
              </w:rPr>
            </w:pPr>
            <w:r>
              <w:rPr>
                <w:rFonts w:hint="default" w:ascii="Times New Roman" w:hAnsi="Times New Roman" w:eastAsia="宋体" w:cs="Times New Roman"/>
                <w:i w:val="0"/>
                <w:color w:val="FF0000"/>
                <w:kern w:val="0"/>
                <w:sz w:val="21"/>
                <w:szCs w:val="21"/>
                <w:u w:val="wave"/>
                <w:lang w:val="en-US" w:eastAsia="zh-CN" w:bidi="ar"/>
              </w:rPr>
              <w:t>0.766</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color w:val="FF0000"/>
                <w:sz w:val="21"/>
                <w:szCs w:val="21"/>
                <w:u w:val="wave"/>
              </w:rPr>
            </w:pPr>
            <w:r>
              <w:rPr>
                <w:rFonts w:hint="default" w:ascii="Times New Roman" w:hAnsi="Times New Roman" w:eastAsia="宋体" w:cs="Times New Roman"/>
                <w:i w:val="0"/>
                <w:color w:val="FF0000"/>
                <w:kern w:val="0"/>
                <w:sz w:val="21"/>
                <w:szCs w:val="21"/>
                <w:u w:val="wave"/>
                <w:lang w:val="en-US" w:eastAsia="zh-CN" w:bidi="ar"/>
              </w:rPr>
              <w:t>0.223</w:t>
            </w:r>
          </w:p>
        </w:tc>
        <w:tc>
          <w:tcPr>
            <w:tcW w:w="541" w:type="pct"/>
            <w:noWrap w:val="0"/>
            <w:vAlign w:val="center"/>
          </w:tcPr>
          <w:p>
            <w:pPr>
              <w:keepNext w:val="0"/>
              <w:keepLines w:val="0"/>
              <w:widowControl/>
              <w:suppressLineNumbers w:val="0"/>
              <w:jc w:val="center"/>
              <w:textAlignment w:val="center"/>
              <w:rPr>
                <w:rFonts w:hint="default" w:ascii="Times New Roman" w:hAnsi="Times New Roman" w:cs="Times New Roman"/>
                <w:color w:val="FF0000"/>
                <w:sz w:val="21"/>
                <w:szCs w:val="21"/>
                <w:u w:val="wave"/>
              </w:rPr>
            </w:pPr>
            <w:r>
              <w:rPr>
                <w:rFonts w:hint="default" w:ascii="Times New Roman" w:hAnsi="Times New Roman" w:eastAsia="宋体" w:cs="Times New Roman"/>
                <w:i w:val="0"/>
                <w:color w:val="FF0000"/>
                <w:kern w:val="0"/>
                <w:sz w:val="21"/>
                <w:szCs w:val="21"/>
                <w:u w:val="wave"/>
                <w:lang w:val="en-US" w:eastAsia="zh-CN" w:bidi="ar"/>
              </w:rPr>
              <w:t>0.869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3" w:type="pct"/>
            <w:vMerge w:val="restar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污水处理站出口水质</w:t>
            </w:r>
          </w:p>
        </w:tc>
        <w:tc>
          <w:tcPr>
            <w:tcW w:w="750" w:type="pct"/>
            <w:vMerge w:val="restar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FF0000"/>
                <w:sz w:val="21"/>
                <w:szCs w:val="21"/>
                <w:u w:val="wave"/>
                <w:lang w:val="en-US" w:eastAsia="zh-CN"/>
              </w:rPr>
            </w:pPr>
            <w:r>
              <w:rPr>
                <w:rFonts w:hint="eastAsia" w:ascii="Times New Roman" w:hAnsi="Times New Roman" w:cs="Times New Roman"/>
                <w:color w:val="FF0000"/>
                <w:sz w:val="21"/>
                <w:szCs w:val="21"/>
                <w:u w:val="wave"/>
                <w:lang w:val="en-US" w:eastAsia="zh-CN"/>
              </w:rPr>
              <w:t>2286.59</w:t>
            </w:r>
          </w:p>
        </w:tc>
        <w:tc>
          <w:tcPr>
            <w:tcW w:w="983"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出水浓度（mg/L）</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color w:val="FF0000"/>
                <w:sz w:val="21"/>
                <w:szCs w:val="21"/>
                <w:u w:val="wave"/>
              </w:rPr>
            </w:pPr>
            <w:r>
              <w:rPr>
                <w:rFonts w:hint="default" w:ascii="Times New Roman" w:hAnsi="Times New Roman" w:eastAsia="宋体" w:cs="Times New Roman"/>
                <w:i w:val="0"/>
                <w:color w:val="FF0000"/>
                <w:kern w:val="0"/>
                <w:sz w:val="21"/>
                <w:szCs w:val="21"/>
                <w:u w:val="wave"/>
                <w:lang w:val="en-US" w:eastAsia="zh-CN" w:bidi="ar"/>
              </w:rPr>
              <w:t>115.32</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color w:val="FF0000"/>
                <w:sz w:val="21"/>
                <w:szCs w:val="21"/>
                <w:u w:val="wave"/>
              </w:rPr>
            </w:pPr>
            <w:r>
              <w:rPr>
                <w:rFonts w:hint="default" w:ascii="Times New Roman" w:hAnsi="Times New Roman" w:eastAsia="宋体" w:cs="Times New Roman"/>
                <w:i w:val="0"/>
                <w:color w:val="FF0000"/>
                <w:kern w:val="0"/>
                <w:sz w:val="21"/>
                <w:szCs w:val="21"/>
                <w:u w:val="wave"/>
                <w:lang w:val="en-US" w:eastAsia="zh-CN" w:bidi="ar"/>
              </w:rPr>
              <w:t>59.11</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color w:val="FF0000"/>
                <w:sz w:val="21"/>
                <w:szCs w:val="21"/>
                <w:u w:val="wave"/>
              </w:rPr>
            </w:pPr>
            <w:r>
              <w:rPr>
                <w:rFonts w:hint="default" w:ascii="Times New Roman" w:hAnsi="Times New Roman" w:eastAsia="宋体" w:cs="Times New Roman"/>
                <w:i w:val="0"/>
                <w:color w:val="FF0000"/>
                <w:kern w:val="0"/>
                <w:sz w:val="21"/>
                <w:szCs w:val="21"/>
                <w:u w:val="wave"/>
                <w:lang w:val="en-US" w:eastAsia="zh-CN" w:bidi="ar"/>
              </w:rPr>
              <w:t>24.40</w:t>
            </w:r>
          </w:p>
        </w:tc>
        <w:tc>
          <w:tcPr>
            <w:tcW w:w="541" w:type="pct"/>
            <w:noWrap w:val="0"/>
            <w:vAlign w:val="center"/>
          </w:tcPr>
          <w:p>
            <w:pPr>
              <w:keepNext w:val="0"/>
              <w:keepLines w:val="0"/>
              <w:widowControl/>
              <w:suppressLineNumbers w:val="0"/>
              <w:jc w:val="center"/>
              <w:textAlignment w:val="center"/>
              <w:rPr>
                <w:rFonts w:hint="default" w:ascii="Times New Roman" w:hAnsi="Times New Roman" w:cs="Times New Roman"/>
                <w:color w:val="FF0000"/>
                <w:sz w:val="21"/>
                <w:szCs w:val="21"/>
                <w:u w:val="wave"/>
              </w:rPr>
            </w:pPr>
            <w:r>
              <w:rPr>
                <w:rFonts w:hint="default" w:ascii="Times New Roman" w:hAnsi="Times New Roman" w:eastAsia="宋体" w:cs="Times New Roman"/>
                <w:i w:val="0"/>
                <w:color w:val="FF0000"/>
                <w:kern w:val="0"/>
                <w:sz w:val="21"/>
                <w:szCs w:val="21"/>
                <w:u w:val="wave"/>
                <w:lang w:val="en-US" w:eastAsia="zh-CN" w:bidi="ar"/>
              </w:rPr>
              <w:t>67.04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3" w:type="pct"/>
            <w:vMerge w:val="continue"/>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u w:val="wave"/>
              </w:rPr>
            </w:pPr>
          </w:p>
        </w:tc>
        <w:tc>
          <w:tcPr>
            <w:tcW w:w="750" w:type="pct"/>
            <w:vMerge w:val="continue"/>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u w:val="wave"/>
              </w:rPr>
            </w:pPr>
          </w:p>
        </w:tc>
        <w:tc>
          <w:tcPr>
            <w:tcW w:w="983" w:type="pct"/>
            <w:noWrap w:val="0"/>
            <w:vAlign w:val="center"/>
          </w:tcPr>
          <w:p>
            <w:pPr>
              <w:pStyle w:val="221"/>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FF0000"/>
                <w:sz w:val="21"/>
                <w:szCs w:val="21"/>
                <w:u w:val="wave"/>
              </w:rPr>
            </w:pPr>
            <w:r>
              <w:rPr>
                <w:rFonts w:hint="default" w:ascii="Times New Roman" w:hAnsi="Times New Roman" w:cs="Times New Roman"/>
                <w:color w:val="FF0000"/>
                <w:sz w:val="21"/>
                <w:szCs w:val="21"/>
                <w:u w:val="wave"/>
              </w:rPr>
              <w:t>排放量（t/a）</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color w:val="FF0000"/>
                <w:sz w:val="21"/>
                <w:szCs w:val="21"/>
                <w:u w:val="wave"/>
              </w:rPr>
            </w:pPr>
            <w:r>
              <w:rPr>
                <w:rFonts w:hint="default" w:ascii="Times New Roman" w:hAnsi="Times New Roman" w:eastAsia="宋体" w:cs="Times New Roman"/>
                <w:i w:val="0"/>
                <w:color w:val="FF0000"/>
                <w:kern w:val="0"/>
                <w:sz w:val="21"/>
                <w:szCs w:val="21"/>
                <w:u w:val="wave"/>
                <w:lang w:val="en-US" w:eastAsia="zh-CN" w:bidi="ar"/>
              </w:rPr>
              <w:t>0.264</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color w:val="FF0000"/>
                <w:sz w:val="21"/>
                <w:szCs w:val="21"/>
                <w:u w:val="wave"/>
              </w:rPr>
            </w:pPr>
            <w:r>
              <w:rPr>
                <w:rFonts w:hint="default" w:ascii="Times New Roman" w:hAnsi="Times New Roman" w:eastAsia="宋体" w:cs="Times New Roman"/>
                <w:i w:val="0"/>
                <w:color w:val="FF0000"/>
                <w:kern w:val="0"/>
                <w:sz w:val="21"/>
                <w:szCs w:val="21"/>
                <w:u w:val="wave"/>
                <w:lang w:val="en-US" w:eastAsia="zh-CN" w:bidi="ar"/>
              </w:rPr>
              <w:t>0.135</w:t>
            </w:r>
          </w:p>
        </w:tc>
        <w:tc>
          <w:tcPr>
            <w:tcW w:w="557" w:type="pct"/>
            <w:noWrap w:val="0"/>
            <w:vAlign w:val="center"/>
          </w:tcPr>
          <w:p>
            <w:pPr>
              <w:keepNext w:val="0"/>
              <w:keepLines w:val="0"/>
              <w:widowControl/>
              <w:suppressLineNumbers w:val="0"/>
              <w:jc w:val="center"/>
              <w:textAlignment w:val="center"/>
              <w:rPr>
                <w:rFonts w:hint="default" w:ascii="Times New Roman" w:hAnsi="Times New Roman" w:cs="Times New Roman"/>
                <w:color w:val="FF0000"/>
                <w:sz w:val="21"/>
                <w:szCs w:val="21"/>
                <w:u w:val="wave"/>
              </w:rPr>
            </w:pPr>
            <w:r>
              <w:rPr>
                <w:rFonts w:hint="default" w:ascii="Times New Roman" w:hAnsi="Times New Roman" w:eastAsia="宋体" w:cs="Times New Roman"/>
                <w:i w:val="0"/>
                <w:color w:val="FF0000"/>
                <w:kern w:val="0"/>
                <w:sz w:val="21"/>
                <w:szCs w:val="21"/>
                <w:u w:val="wave"/>
                <w:lang w:val="en-US" w:eastAsia="zh-CN" w:bidi="ar"/>
              </w:rPr>
              <w:t>0.056</w:t>
            </w:r>
          </w:p>
        </w:tc>
        <w:tc>
          <w:tcPr>
            <w:tcW w:w="541" w:type="pct"/>
            <w:noWrap w:val="0"/>
            <w:vAlign w:val="center"/>
          </w:tcPr>
          <w:p>
            <w:pPr>
              <w:keepNext w:val="0"/>
              <w:keepLines w:val="0"/>
              <w:widowControl/>
              <w:suppressLineNumbers w:val="0"/>
              <w:jc w:val="center"/>
              <w:textAlignment w:val="center"/>
              <w:rPr>
                <w:rFonts w:hint="default" w:ascii="Times New Roman" w:hAnsi="Times New Roman" w:cs="Times New Roman"/>
                <w:color w:val="FF0000"/>
                <w:sz w:val="21"/>
                <w:szCs w:val="21"/>
                <w:u w:val="wave"/>
              </w:rPr>
            </w:pPr>
            <w:r>
              <w:rPr>
                <w:rFonts w:hint="default" w:ascii="Times New Roman" w:hAnsi="Times New Roman" w:eastAsia="宋体" w:cs="Times New Roman"/>
                <w:i w:val="0"/>
                <w:color w:val="FF0000"/>
                <w:kern w:val="0"/>
                <w:sz w:val="21"/>
                <w:szCs w:val="21"/>
                <w:u w:val="wave"/>
                <w:lang w:val="en-US" w:eastAsia="zh-CN" w:bidi="ar"/>
              </w:rPr>
              <w:t>0.153</w:t>
            </w:r>
          </w:p>
        </w:tc>
      </w:tr>
    </w:tbl>
    <w:p>
      <w:pPr>
        <w:spacing w:line="360" w:lineRule="auto"/>
        <w:ind w:firstLine="482" w:firstLineChars="200"/>
        <w:rPr>
          <w:b/>
          <w:color w:val="FF0000"/>
          <w:sz w:val="24"/>
          <w:u w:val="wave"/>
        </w:rPr>
      </w:pPr>
      <w:r>
        <w:rPr>
          <w:rFonts w:hint="eastAsia"/>
          <w:b/>
          <w:color w:val="FF0000"/>
          <w:sz w:val="24"/>
          <w:u w:val="wave"/>
        </w:rPr>
        <w:t>2、评价等级</w:t>
      </w:r>
    </w:p>
    <w:p>
      <w:pPr>
        <w:spacing w:line="360" w:lineRule="auto"/>
        <w:ind w:firstLine="480" w:firstLineChars="200"/>
        <w:rPr>
          <w:color w:val="FF0000"/>
          <w:kern w:val="0"/>
          <w:sz w:val="24"/>
          <w:u w:val="wave"/>
        </w:rPr>
      </w:pPr>
      <w:r>
        <w:rPr>
          <w:rFonts w:hint="eastAsia"/>
          <w:color w:val="FF0000"/>
          <w:sz w:val="24"/>
          <w:u w:val="wave"/>
        </w:rPr>
        <w:t>根据《环境影响评价技术导则 地表水环境》（HJ 2.3-2018）中5.2 评价等级的确定，</w:t>
      </w:r>
      <w:r>
        <w:rPr>
          <w:rFonts w:hint="eastAsia" w:eastAsiaTheme="minorEastAsia"/>
          <w:color w:val="FF0000"/>
          <w:sz w:val="24"/>
          <w:u w:val="wave"/>
        </w:rPr>
        <w:t>本项目地表水评价等级定为三级B。</w:t>
      </w:r>
      <w:r>
        <w:rPr>
          <w:rFonts w:hint="eastAsia"/>
          <w:color w:val="FF0000"/>
          <w:kern w:val="0"/>
          <w:sz w:val="24"/>
          <w:u w:val="wave"/>
        </w:rPr>
        <w:t>故本次环评地表水环评可不做预测，仅做地表水环境影响分析。主要分析废水经</w:t>
      </w:r>
      <w:r>
        <w:rPr>
          <w:rFonts w:hint="default" w:hAnsiTheme="minorEastAsia" w:eastAsiaTheme="minorEastAsia"/>
          <w:color w:val="FF0000"/>
          <w:kern w:val="0"/>
          <w:sz w:val="24"/>
          <w:u w:val="wave"/>
        </w:rPr>
        <w:t>污水处理站</w:t>
      </w:r>
      <w:r>
        <w:rPr>
          <w:rFonts w:hint="eastAsia" w:hAnsiTheme="minorEastAsia" w:eastAsiaTheme="minorEastAsia"/>
          <w:color w:val="FF0000"/>
          <w:kern w:val="0"/>
          <w:sz w:val="24"/>
          <w:u w:val="wave"/>
          <w:lang w:eastAsia="zh-CN"/>
        </w:rPr>
        <w:t>（</w:t>
      </w:r>
      <w:r>
        <w:rPr>
          <w:rFonts w:hint="eastAsia" w:hAnsiTheme="minorEastAsia" w:eastAsiaTheme="minorEastAsia"/>
          <w:color w:val="FF0000"/>
          <w:kern w:val="0"/>
          <w:sz w:val="24"/>
          <w:u w:val="wave"/>
          <w:lang w:val="en-US" w:eastAsia="zh-CN"/>
        </w:rPr>
        <w:t>采用“厌氧发酵”工艺</w:t>
      </w:r>
      <w:r>
        <w:rPr>
          <w:rFonts w:hint="eastAsia" w:hAnsiTheme="minorEastAsia" w:eastAsiaTheme="minorEastAsia"/>
          <w:color w:val="FF0000"/>
          <w:kern w:val="0"/>
          <w:sz w:val="24"/>
          <w:u w:val="wave"/>
          <w:lang w:eastAsia="zh-CN"/>
        </w:rPr>
        <w:t>）</w:t>
      </w:r>
      <w:r>
        <w:rPr>
          <w:rFonts w:hint="eastAsia"/>
          <w:color w:val="FF0000"/>
          <w:kern w:val="0"/>
          <w:sz w:val="24"/>
          <w:u w:val="wave"/>
        </w:rPr>
        <w:t>处理之后，废水的消纳去向的可行性</w:t>
      </w:r>
      <w:r>
        <w:rPr>
          <w:rFonts w:hint="eastAsia"/>
          <w:color w:val="FF0000"/>
          <w:kern w:val="0"/>
          <w:sz w:val="24"/>
          <w:u w:val="wave"/>
          <w:lang w:eastAsia="zh-CN"/>
        </w:rPr>
        <w:t>。</w:t>
      </w:r>
    </w:p>
    <w:p>
      <w:pPr>
        <w:spacing w:line="360" w:lineRule="auto"/>
        <w:ind w:firstLine="482" w:firstLineChars="200"/>
        <w:rPr>
          <w:b/>
          <w:color w:val="FF0000"/>
          <w:sz w:val="24"/>
          <w:u w:val="wave"/>
        </w:rPr>
      </w:pPr>
      <w:r>
        <w:rPr>
          <w:rFonts w:hint="eastAsia"/>
          <w:b/>
          <w:color w:val="FF0000"/>
          <w:sz w:val="24"/>
          <w:u w:val="wave"/>
        </w:rPr>
        <w:t>3、废水消纳可行性分析</w:t>
      </w:r>
    </w:p>
    <w:p>
      <w:pPr>
        <w:spacing w:line="360" w:lineRule="auto"/>
        <w:ind w:firstLine="480" w:firstLineChars="200"/>
        <w:rPr>
          <w:rFonts w:hint="eastAsia" w:eastAsia="宋体"/>
          <w:color w:val="FF0000"/>
          <w:sz w:val="24"/>
          <w:u w:val="wave"/>
          <w:lang w:eastAsia="zh-CN"/>
        </w:rPr>
      </w:pPr>
      <w:r>
        <w:rPr>
          <w:rFonts w:hint="eastAsia"/>
          <w:color w:val="FF0000"/>
          <w:sz w:val="24"/>
          <w:u w:val="wave"/>
          <w:lang w:eastAsia="zh-CN"/>
        </w:rPr>
        <w:t>（</w:t>
      </w:r>
      <w:r>
        <w:rPr>
          <w:rFonts w:hint="eastAsia"/>
          <w:color w:val="FF0000"/>
          <w:sz w:val="24"/>
          <w:u w:val="wave"/>
          <w:lang w:val="en-US" w:eastAsia="zh-CN"/>
        </w:rPr>
        <w:t>1</w:t>
      </w:r>
      <w:r>
        <w:rPr>
          <w:rFonts w:hint="eastAsia"/>
          <w:color w:val="FF0000"/>
          <w:sz w:val="24"/>
          <w:u w:val="wave"/>
          <w:lang w:eastAsia="zh-CN"/>
        </w:rPr>
        <w:t>）污水用于</w:t>
      </w:r>
      <w:r>
        <w:rPr>
          <w:rFonts w:hint="eastAsia" w:ascii="Times New Roman" w:cs="Times New Roman" w:hAnsiTheme="minorEastAsia" w:eastAsiaTheme="minorEastAsia"/>
          <w:color w:val="FF0000"/>
          <w:kern w:val="0"/>
          <w:sz w:val="24"/>
          <w:szCs w:val="24"/>
          <w:u w:val="wave"/>
          <w:lang w:val="en-US" w:eastAsia="zh-CN" w:bidi="ar-SA"/>
        </w:rPr>
        <w:t>周边种植基地灌溉</w:t>
      </w:r>
      <w:r>
        <w:rPr>
          <w:rFonts w:hint="eastAsia"/>
          <w:color w:val="FF0000"/>
          <w:sz w:val="24"/>
          <w:u w:val="wave"/>
          <w:lang w:eastAsia="zh-CN"/>
        </w:rPr>
        <w:t>的可行性分析</w:t>
      </w:r>
    </w:p>
    <w:p>
      <w:pPr>
        <w:spacing w:line="360" w:lineRule="auto"/>
        <w:ind w:firstLine="480" w:firstLineChars="200"/>
        <w:rPr>
          <w:rFonts w:hint="eastAsia"/>
          <w:color w:val="FF0000"/>
          <w:sz w:val="24"/>
          <w:u w:val="wave"/>
          <w:lang w:val="en-US" w:eastAsia="zh-CN"/>
        </w:rPr>
      </w:pPr>
      <w:r>
        <w:rPr>
          <w:rFonts w:hint="eastAsia"/>
          <w:color w:val="FF0000"/>
          <w:sz w:val="24"/>
          <w:u w:val="wave"/>
        </w:rPr>
        <w:t>本项目坚持“种养结合”的原则，员工生活废水、养殖废水经厌氧发酵处理系统处理后回用于</w:t>
      </w:r>
      <w:r>
        <w:rPr>
          <w:rFonts w:hint="eastAsia" w:cs="Times New Roman"/>
          <w:color w:val="FF0000"/>
          <w:kern w:val="0"/>
          <w:sz w:val="24"/>
          <w:u w:val="wave"/>
          <w:lang w:val="en-US" w:eastAsia="zh-CN"/>
        </w:rPr>
        <w:t>周边</w:t>
      </w:r>
      <w:r>
        <w:rPr>
          <w:rFonts w:hint="eastAsia"/>
          <w:color w:val="FF0000"/>
          <w:kern w:val="0"/>
          <w:sz w:val="24"/>
          <w:u w:val="wave"/>
        </w:rPr>
        <w:t>种植基地</w:t>
      </w:r>
      <w:r>
        <w:rPr>
          <w:rFonts w:hint="eastAsia"/>
          <w:color w:val="FF0000"/>
          <w:kern w:val="0"/>
          <w:sz w:val="24"/>
          <w:u w:val="wave"/>
          <w:lang w:val="en-US" w:eastAsia="zh-CN"/>
        </w:rPr>
        <w:t>灌溉</w:t>
      </w:r>
      <w:r>
        <w:rPr>
          <w:rFonts w:hint="eastAsia"/>
          <w:color w:val="FF0000"/>
          <w:sz w:val="24"/>
          <w:u w:val="wave"/>
        </w:rPr>
        <w:t>，不外排。本项目养殖废水、生活</w:t>
      </w:r>
      <w:r>
        <w:rPr>
          <w:rFonts w:hint="eastAsia"/>
          <w:color w:val="FF0000"/>
          <w:sz w:val="24"/>
          <w:u w:val="wave"/>
          <w:lang w:val="en-US" w:eastAsia="zh-CN"/>
        </w:rPr>
        <w:t>污水</w:t>
      </w:r>
      <w:r>
        <w:rPr>
          <w:rFonts w:hint="eastAsia"/>
          <w:color w:val="FF0000"/>
          <w:sz w:val="24"/>
          <w:u w:val="wave"/>
        </w:rPr>
        <w:t>经厌氧发酵系统处理后，通过车辆运输</w:t>
      </w:r>
      <w:r>
        <w:rPr>
          <w:rFonts w:hint="eastAsia"/>
          <w:color w:val="FF0000"/>
          <w:sz w:val="24"/>
          <w:u w:val="wave"/>
          <w:lang w:val="en-US" w:eastAsia="zh-CN"/>
        </w:rPr>
        <w:t>至</w:t>
      </w:r>
      <w:r>
        <w:rPr>
          <w:rFonts w:hint="eastAsia"/>
          <w:color w:val="FF0000"/>
          <w:sz w:val="24"/>
          <w:u w:val="wave"/>
        </w:rPr>
        <w:t>接纳土地上作为</w:t>
      </w:r>
      <w:r>
        <w:rPr>
          <w:rFonts w:hint="eastAsia"/>
          <w:color w:val="FF0000"/>
          <w:sz w:val="24"/>
          <w:u w:val="wave"/>
          <w:lang w:val="en-US" w:eastAsia="zh-CN"/>
        </w:rPr>
        <w:t>农作物</w:t>
      </w:r>
      <w:r>
        <w:rPr>
          <w:rFonts w:hint="eastAsia"/>
          <w:color w:val="FF0000"/>
          <w:sz w:val="24"/>
          <w:u w:val="wave"/>
        </w:rPr>
        <w:t>的肥料，</w:t>
      </w:r>
      <w:r>
        <w:rPr>
          <w:rFonts w:hint="eastAsia" w:hAnsiTheme="minorEastAsia" w:eastAsiaTheme="minorEastAsia"/>
          <w:color w:val="FF0000"/>
          <w:kern w:val="0"/>
          <w:sz w:val="24"/>
          <w:u w:val="wave"/>
        </w:rPr>
        <w:t>根据建设单位提供的资料，目前已流转项目周边约162.69亩水田及60.87亩旱地作为公司同期发展的种植区，水田全部种植水稻，旱地种植四季蔬菜及果木等。</w:t>
      </w:r>
      <w:r>
        <w:rPr>
          <w:rFonts w:hint="eastAsia"/>
          <w:color w:val="FF0000"/>
          <w:sz w:val="24"/>
          <w:u w:val="wave"/>
        </w:rPr>
        <w:t>本项目废水产生量为</w:t>
      </w:r>
      <w:r>
        <w:rPr>
          <w:rFonts w:hint="eastAsia"/>
          <w:color w:val="FF0000"/>
          <w:sz w:val="24"/>
          <w:u w:val="wave"/>
          <w:lang w:val="en-US" w:eastAsia="zh-CN"/>
        </w:rPr>
        <w:t>2286.59</w:t>
      </w:r>
      <w:r>
        <w:rPr>
          <w:rFonts w:hint="eastAsia"/>
          <w:color w:val="FF0000"/>
          <w:sz w:val="24"/>
          <w:u w:val="wave"/>
        </w:rPr>
        <w:t>m</w:t>
      </w:r>
      <w:r>
        <w:rPr>
          <w:rFonts w:hint="eastAsia"/>
          <w:color w:val="FF0000"/>
          <w:sz w:val="24"/>
          <w:u w:val="wave"/>
          <w:vertAlign w:val="superscript"/>
        </w:rPr>
        <w:t>3</w:t>
      </w:r>
      <w:r>
        <w:rPr>
          <w:rFonts w:hint="eastAsia"/>
          <w:color w:val="FF0000"/>
          <w:sz w:val="24"/>
          <w:u w:val="wave"/>
        </w:rPr>
        <w:t>/a，参考湖南省地方标准《用水定额》（DB43/T388-2020）中表2标准，</w:t>
      </w:r>
      <w:r>
        <w:rPr>
          <w:rFonts w:hint="eastAsia"/>
          <w:color w:val="FF0000"/>
          <w:sz w:val="24"/>
          <w:u w:val="wave"/>
          <w:lang w:val="en-US" w:eastAsia="zh-CN"/>
        </w:rPr>
        <w:t>衡阳县</w:t>
      </w:r>
      <w:r>
        <w:rPr>
          <w:rFonts w:hint="eastAsia"/>
          <w:color w:val="FF0000"/>
          <w:sz w:val="24"/>
          <w:u w:val="wave"/>
        </w:rPr>
        <w:t>灌溉分区为</w:t>
      </w:r>
      <w:r>
        <w:rPr>
          <w:rFonts w:hint="eastAsia" w:ascii="宋体" w:hAnsi="宋体" w:eastAsia="宋体" w:cs="宋体"/>
          <w:color w:val="FF0000"/>
          <w:sz w:val="24"/>
          <w:u w:val="wave"/>
        </w:rPr>
        <w:t>Ⅳ</w:t>
      </w:r>
      <w:r>
        <w:rPr>
          <w:rFonts w:hint="eastAsia"/>
          <w:color w:val="FF0000"/>
          <w:sz w:val="24"/>
          <w:u w:val="wave"/>
        </w:rPr>
        <w:t>区，</w:t>
      </w:r>
      <w:r>
        <w:rPr>
          <w:rFonts w:hint="eastAsia"/>
          <w:color w:val="FF0000"/>
          <w:sz w:val="24"/>
          <w:u w:val="wave"/>
          <w:lang w:val="en-US" w:eastAsia="zh-CN"/>
        </w:rPr>
        <w:t>中稻</w:t>
      </w:r>
      <w:r>
        <w:rPr>
          <w:rFonts w:hint="eastAsia"/>
          <w:color w:val="FF0000"/>
          <w:sz w:val="24"/>
          <w:u w:val="wave"/>
        </w:rPr>
        <w:t>用水定额</w:t>
      </w:r>
      <w:r>
        <w:rPr>
          <w:rFonts w:hint="eastAsia"/>
          <w:color w:val="FF0000"/>
          <w:sz w:val="24"/>
          <w:u w:val="wave"/>
          <w:lang w:val="en-US" w:eastAsia="zh-CN"/>
        </w:rPr>
        <w:t>472</w:t>
      </w:r>
      <w:r>
        <w:rPr>
          <w:rFonts w:hint="eastAsia"/>
          <w:color w:val="FF0000"/>
          <w:sz w:val="24"/>
          <w:u w:val="wave"/>
        </w:rPr>
        <w:t>m</w:t>
      </w:r>
      <w:r>
        <w:rPr>
          <w:rFonts w:hint="eastAsia"/>
          <w:color w:val="FF0000"/>
          <w:sz w:val="24"/>
          <w:u w:val="wave"/>
          <w:vertAlign w:val="superscript"/>
        </w:rPr>
        <w:t>3</w:t>
      </w:r>
      <w:r>
        <w:rPr>
          <w:rFonts w:hint="eastAsia"/>
          <w:color w:val="FF0000"/>
          <w:sz w:val="24"/>
          <w:u w:val="wave"/>
        </w:rPr>
        <w:t>/亩﹒a，</w:t>
      </w:r>
      <w:r>
        <w:rPr>
          <w:rFonts w:hint="eastAsia" w:hAnsiTheme="minorEastAsia" w:eastAsiaTheme="minorEastAsia"/>
          <w:color w:val="FF0000"/>
          <w:kern w:val="0"/>
          <w:sz w:val="24"/>
          <w:u w:val="wave"/>
        </w:rPr>
        <w:t>公司同期发展的种植</w:t>
      </w:r>
      <w:r>
        <w:rPr>
          <w:rFonts w:hint="eastAsia" w:hAnsiTheme="minorEastAsia" w:eastAsiaTheme="minorEastAsia"/>
          <w:color w:val="FF0000"/>
          <w:kern w:val="0"/>
          <w:sz w:val="24"/>
          <w:u w:val="wave"/>
          <w:lang w:val="en-US" w:eastAsia="zh-CN"/>
        </w:rPr>
        <w:t>基地水稻种植</w:t>
      </w:r>
      <w:r>
        <w:rPr>
          <w:rFonts w:hint="eastAsia"/>
          <w:color w:val="FF0000"/>
          <w:sz w:val="24"/>
          <w:u w:val="wave"/>
        </w:rPr>
        <w:t>面积为</w:t>
      </w:r>
      <w:r>
        <w:rPr>
          <w:rFonts w:hint="eastAsia"/>
          <w:color w:val="FF0000"/>
          <w:sz w:val="24"/>
          <w:u w:val="wave"/>
          <w:lang w:val="en-US" w:eastAsia="zh-CN"/>
        </w:rPr>
        <w:t>162.69</w:t>
      </w:r>
      <w:r>
        <w:rPr>
          <w:rFonts w:hint="eastAsia"/>
          <w:color w:val="FF0000"/>
          <w:sz w:val="24"/>
          <w:u w:val="wave"/>
        </w:rPr>
        <w:t>亩，经计算可知消纳处理达标后的废水约</w:t>
      </w:r>
      <w:r>
        <w:rPr>
          <w:rFonts w:hint="eastAsia"/>
          <w:color w:val="FF0000"/>
          <w:sz w:val="24"/>
          <w:u w:val="wave"/>
          <w:lang w:val="en-US" w:eastAsia="zh-CN"/>
        </w:rPr>
        <w:t>76789.68</w:t>
      </w:r>
      <w:r>
        <w:rPr>
          <w:rFonts w:hint="eastAsia"/>
          <w:color w:val="FF0000"/>
          <w:sz w:val="24"/>
          <w:u w:val="wave"/>
        </w:rPr>
        <w:t>t/a，则本项目土地可以完全消纳厂区综合废水</w:t>
      </w:r>
      <w:r>
        <w:rPr>
          <w:rFonts w:hint="eastAsia"/>
          <w:color w:val="FF0000"/>
          <w:sz w:val="24"/>
          <w:u w:val="wave"/>
          <w:lang w:val="en-US" w:eastAsia="zh-CN"/>
        </w:rPr>
        <w:t>。</w:t>
      </w:r>
    </w:p>
    <w:p>
      <w:pPr>
        <w:spacing w:line="360" w:lineRule="auto"/>
        <w:ind w:firstLine="480" w:firstLineChars="200"/>
        <w:rPr>
          <w:rFonts w:hint="eastAsia"/>
          <w:color w:val="FF0000"/>
          <w:sz w:val="24"/>
          <w:u w:val="wave"/>
        </w:rPr>
      </w:pPr>
      <w:r>
        <w:rPr>
          <w:rFonts w:hint="eastAsia"/>
          <w:color w:val="FF0000"/>
          <w:sz w:val="24"/>
          <w:u w:val="wave"/>
        </w:rPr>
        <w:t>（2）污水作为肥料施肥对土壤的影响</w:t>
      </w:r>
    </w:p>
    <w:p>
      <w:pPr>
        <w:spacing w:line="360" w:lineRule="auto"/>
        <w:ind w:firstLine="480" w:firstLineChars="200"/>
        <w:rPr>
          <w:rFonts w:hint="eastAsia"/>
          <w:color w:val="FF0000"/>
          <w:sz w:val="24"/>
          <w:u w:val="wave"/>
        </w:rPr>
      </w:pPr>
      <w:r>
        <w:rPr>
          <w:rFonts w:hint="eastAsia"/>
          <w:color w:val="FF0000"/>
          <w:sz w:val="24"/>
          <w:u w:val="wave"/>
        </w:rPr>
        <w:t>养殖废水经过污水处理站处理后，氮、磷浓度大大降低，但废水中仍有部分氮、磷，以氨氮为例，核算污水灌溉对土壤质量的影响，按一般的施肥量计算（10kg氮/亩﹒a），100亩地对氮养分的需求至少为1t氮/a，本项目养殖废水产生量为</w:t>
      </w:r>
      <w:r>
        <w:rPr>
          <w:rFonts w:hint="eastAsia"/>
          <w:color w:val="FF0000"/>
          <w:sz w:val="24"/>
          <w:u w:val="wave"/>
          <w:lang w:val="en-US" w:eastAsia="zh-CN"/>
        </w:rPr>
        <w:t>2286.59</w:t>
      </w:r>
      <w:r>
        <w:rPr>
          <w:rFonts w:hint="eastAsia"/>
          <w:color w:val="FF0000"/>
          <w:sz w:val="24"/>
          <w:u w:val="wave"/>
        </w:rPr>
        <w:t>m</w:t>
      </w:r>
      <w:r>
        <w:rPr>
          <w:rFonts w:hint="eastAsia"/>
          <w:color w:val="FF0000"/>
          <w:sz w:val="24"/>
          <w:u w:val="wave"/>
          <w:vertAlign w:val="superscript"/>
        </w:rPr>
        <w:t>3</w:t>
      </w:r>
      <w:r>
        <w:rPr>
          <w:rFonts w:hint="eastAsia"/>
          <w:color w:val="FF0000"/>
          <w:sz w:val="24"/>
          <w:u w:val="wave"/>
        </w:rPr>
        <w:t>/a，氨氮浓度为</w:t>
      </w:r>
      <w:r>
        <w:rPr>
          <w:rFonts w:hint="eastAsia"/>
          <w:color w:val="FF0000"/>
          <w:sz w:val="24"/>
          <w:u w:val="wave"/>
          <w:lang w:val="en-US" w:eastAsia="zh-CN"/>
        </w:rPr>
        <w:t>24.40</w:t>
      </w:r>
      <w:r>
        <w:rPr>
          <w:rFonts w:hint="eastAsia"/>
          <w:color w:val="FF0000"/>
          <w:sz w:val="24"/>
          <w:u w:val="wave"/>
        </w:rPr>
        <w:t>mg/L，则废水中氨氮的总量为0.0</w:t>
      </w:r>
      <w:r>
        <w:rPr>
          <w:rFonts w:hint="eastAsia"/>
          <w:color w:val="FF0000"/>
          <w:sz w:val="24"/>
          <w:u w:val="wave"/>
          <w:lang w:val="en-US" w:eastAsia="zh-CN"/>
        </w:rPr>
        <w:t>56</w:t>
      </w:r>
      <w:r>
        <w:rPr>
          <w:rFonts w:hint="eastAsia"/>
          <w:color w:val="FF0000"/>
          <w:sz w:val="24"/>
          <w:u w:val="wave"/>
        </w:rPr>
        <w:t>t/a，远远小于土地需求量，若污水用于</w:t>
      </w:r>
      <w:r>
        <w:rPr>
          <w:rFonts w:hint="eastAsia" w:cs="Times New Roman"/>
          <w:color w:val="FF0000"/>
          <w:kern w:val="0"/>
          <w:sz w:val="24"/>
          <w:u w:val="wave"/>
          <w:lang w:val="en-US" w:eastAsia="zh-CN"/>
        </w:rPr>
        <w:t>周边</w:t>
      </w:r>
      <w:r>
        <w:rPr>
          <w:rFonts w:hint="eastAsia"/>
          <w:color w:val="FF0000"/>
          <w:kern w:val="0"/>
          <w:sz w:val="24"/>
          <w:u w:val="wave"/>
        </w:rPr>
        <w:t>种植基地</w:t>
      </w:r>
      <w:r>
        <w:rPr>
          <w:rFonts w:hint="eastAsia"/>
          <w:color w:val="FF0000"/>
          <w:kern w:val="0"/>
          <w:sz w:val="24"/>
          <w:u w:val="wave"/>
          <w:lang w:val="en-US" w:eastAsia="zh-CN"/>
        </w:rPr>
        <w:t>灌溉</w:t>
      </w:r>
      <w:r>
        <w:rPr>
          <w:rFonts w:hint="eastAsia"/>
          <w:color w:val="FF0000"/>
          <w:sz w:val="24"/>
          <w:u w:val="wave"/>
        </w:rPr>
        <w:t>，则不仅不会超出土壤的自净能力，反而可以节省肥料，提高土壤肥力。</w:t>
      </w:r>
    </w:p>
    <w:p>
      <w:pPr>
        <w:spacing w:line="360" w:lineRule="auto"/>
        <w:ind w:firstLine="480" w:firstLineChars="200"/>
        <w:rPr>
          <w:rFonts w:hint="eastAsia"/>
          <w:color w:val="FF0000"/>
          <w:sz w:val="24"/>
          <w:u w:val="wave"/>
        </w:rPr>
      </w:pPr>
      <w:r>
        <w:rPr>
          <w:rFonts w:hint="eastAsia"/>
          <w:color w:val="FF0000"/>
          <w:sz w:val="24"/>
          <w:u w:val="wave"/>
        </w:rPr>
        <w:t>综上所述，本项目废水回用于绿化灌溉是可行的。</w:t>
      </w:r>
    </w:p>
    <w:p>
      <w:pPr>
        <w:spacing w:line="360" w:lineRule="auto"/>
        <w:ind w:firstLine="480" w:firstLineChars="200"/>
        <w:rPr>
          <w:rFonts w:hint="eastAsia"/>
          <w:sz w:val="24"/>
        </w:rPr>
      </w:pPr>
      <w:r>
        <w:rPr>
          <w:rFonts w:hint="eastAsia"/>
          <w:color w:val="FF0000"/>
          <w:sz w:val="24"/>
          <w:u w:val="wave"/>
        </w:rPr>
        <w:t>由于本工程所有养殖废水均能得到综合利用，场区不设置废水排放口，废水不排放，通过采取该措施后，不会对周边水体水质造成影响。</w:t>
      </w:r>
    </w:p>
    <w:p>
      <w:pPr>
        <w:pStyle w:val="7"/>
        <w:adjustRightInd w:val="0"/>
        <w:snapToGrid w:val="0"/>
        <w:spacing w:before="0" w:after="0" w:line="360" w:lineRule="auto"/>
        <w:jc w:val="left"/>
        <w:rPr>
          <w:sz w:val="24"/>
          <w:szCs w:val="24"/>
        </w:rPr>
      </w:pPr>
      <w:r>
        <w:rPr>
          <w:rFonts w:hint="eastAsia"/>
          <w:sz w:val="24"/>
          <w:szCs w:val="24"/>
        </w:rPr>
        <w:t>6.2.3 地下水环境影响分析</w:t>
      </w:r>
    </w:p>
    <w:p>
      <w:pPr>
        <w:spacing w:line="360" w:lineRule="auto"/>
        <w:ind w:firstLine="482" w:firstLineChars="200"/>
        <w:rPr>
          <w:rFonts w:hAnsiTheme="minorEastAsia" w:eastAsiaTheme="minorEastAsia"/>
          <w:b/>
          <w:kern w:val="0"/>
          <w:sz w:val="24"/>
        </w:rPr>
      </w:pPr>
      <w:r>
        <w:rPr>
          <w:rFonts w:hint="eastAsia" w:hAnsiTheme="minorEastAsia" w:eastAsiaTheme="minorEastAsia"/>
          <w:b/>
          <w:kern w:val="0"/>
          <w:sz w:val="24"/>
        </w:rPr>
        <w:t>1、区域水文地质概况</w:t>
      </w:r>
    </w:p>
    <w:p>
      <w:pPr>
        <w:spacing w:line="360" w:lineRule="auto"/>
        <w:ind w:firstLine="480" w:firstLineChars="200"/>
        <w:rPr>
          <w:rFonts w:hAnsiTheme="minorEastAsia" w:eastAsiaTheme="minorEastAsia"/>
          <w:kern w:val="0"/>
          <w:sz w:val="24"/>
        </w:rPr>
      </w:pPr>
      <w:r>
        <w:rPr>
          <w:rFonts w:hAnsiTheme="minorEastAsia" w:eastAsiaTheme="minorEastAsia"/>
          <w:kern w:val="0"/>
          <w:sz w:val="24"/>
        </w:rPr>
        <w:t>本项目区域地下水类型主要为基岩裂隙水和第四系孔隙潜水。地下水的主要来源为大气降水、地表水的补给，排泄方式为蒸发、人工开采及向下游径流。本项目区域地下水主要接受大气降水、坑塘水面的补给。整体区域地下水缓慢向</w:t>
      </w:r>
      <w:r>
        <w:rPr>
          <w:rFonts w:hint="eastAsia" w:hAnsiTheme="minorEastAsia" w:eastAsiaTheme="minorEastAsia"/>
          <w:kern w:val="0"/>
          <w:sz w:val="24"/>
        </w:rPr>
        <w:t>东</w:t>
      </w:r>
      <w:r>
        <w:rPr>
          <w:rFonts w:hAnsiTheme="minorEastAsia" w:eastAsiaTheme="minorEastAsia"/>
          <w:kern w:val="0"/>
          <w:sz w:val="24"/>
        </w:rPr>
        <w:t>北流向。</w:t>
      </w:r>
    </w:p>
    <w:p>
      <w:pPr>
        <w:spacing w:line="360" w:lineRule="auto"/>
        <w:ind w:firstLine="480" w:firstLineChars="200"/>
        <w:rPr>
          <w:rFonts w:hAnsiTheme="minorEastAsia" w:eastAsiaTheme="minorEastAsia"/>
          <w:kern w:val="0"/>
          <w:sz w:val="24"/>
        </w:rPr>
      </w:pPr>
      <w:r>
        <w:rPr>
          <w:rFonts w:hAnsiTheme="minorEastAsia" w:eastAsiaTheme="minorEastAsia"/>
          <w:kern w:val="0"/>
          <w:sz w:val="24"/>
        </w:rPr>
        <w:t>项目所在地周边分布有少量散居农户，根据现场踏勘了解，目前居民饮用项目周边</w:t>
      </w:r>
      <w:r>
        <w:rPr>
          <w:rFonts w:hint="eastAsia" w:hAnsiTheme="minorEastAsia" w:eastAsiaTheme="minorEastAsia"/>
          <w:kern w:val="0"/>
          <w:sz w:val="24"/>
        </w:rPr>
        <w:t>居民暂时</w:t>
      </w:r>
      <w:r>
        <w:rPr>
          <w:rFonts w:hAnsiTheme="minorEastAsia" w:eastAsiaTheme="minorEastAsia"/>
          <w:kern w:val="0"/>
          <w:sz w:val="24"/>
        </w:rPr>
        <w:t>采用水井，目前正在</w:t>
      </w:r>
      <w:r>
        <w:rPr>
          <w:rFonts w:hint="eastAsia" w:hAnsiTheme="minorEastAsia" w:eastAsiaTheme="minorEastAsia"/>
          <w:kern w:val="0"/>
          <w:sz w:val="24"/>
        </w:rPr>
        <w:t>铺设</w:t>
      </w:r>
      <w:r>
        <w:rPr>
          <w:rFonts w:hAnsiTheme="minorEastAsia" w:eastAsiaTheme="minorEastAsia"/>
          <w:kern w:val="0"/>
          <w:sz w:val="24"/>
        </w:rPr>
        <w:t>自来水管道。</w:t>
      </w:r>
    </w:p>
    <w:p>
      <w:pPr>
        <w:spacing w:line="360" w:lineRule="auto"/>
        <w:ind w:firstLine="480" w:firstLineChars="200"/>
        <w:rPr>
          <w:rFonts w:hAnsiTheme="minorEastAsia" w:eastAsiaTheme="minorEastAsia"/>
          <w:kern w:val="0"/>
          <w:sz w:val="24"/>
        </w:rPr>
      </w:pPr>
      <w:r>
        <w:rPr>
          <w:rFonts w:hAnsiTheme="minorEastAsia" w:eastAsiaTheme="minorEastAsia"/>
          <w:kern w:val="0"/>
          <w:sz w:val="24"/>
        </w:rPr>
        <w:t>根据项目地下水监测结果和评价结果，项目地周边地下水监测因子均满足《地下水质量标准》（GB/T14848-2017）中III类标准要求。本评价要求建设单位将场区内废水经过</w:t>
      </w:r>
      <w:r>
        <w:rPr>
          <w:rFonts w:hint="default" w:hAnsiTheme="minorEastAsia" w:eastAsiaTheme="minorEastAsia"/>
          <w:kern w:val="0"/>
          <w:sz w:val="24"/>
        </w:rPr>
        <w:t>污水处理站</w:t>
      </w:r>
      <w:r>
        <w:rPr>
          <w:rFonts w:hint="eastAsia" w:hAnsiTheme="minorEastAsia" w:eastAsiaTheme="minorEastAsia"/>
          <w:kern w:val="0"/>
          <w:sz w:val="24"/>
          <w:lang w:eastAsia="zh-CN"/>
        </w:rPr>
        <w:t>（</w:t>
      </w:r>
      <w:r>
        <w:rPr>
          <w:rFonts w:hint="eastAsia" w:hAnsiTheme="minorEastAsia" w:eastAsiaTheme="minorEastAsia"/>
          <w:kern w:val="0"/>
          <w:sz w:val="24"/>
          <w:lang w:val="en-US" w:eastAsia="zh-CN"/>
        </w:rPr>
        <w:t>采用“厌氧发酵”工艺</w:t>
      </w:r>
      <w:r>
        <w:rPr>
          <w:rFonts w:hint="eastAsia" w:hAnsiTheme="minorEastAsia" w:eastAsiaTheme="minorEastAsia"/>
          <w:kern w:val="0"/>
          <w:sz w:val="24"/>
          <w:lang w:eastAsia="zh-CN"/>
        </w:rPr>
        <w:t>）</w:t>
      </w:r>
      <w:r>
        <w:rPr>
          <w:rFonts w:hint="default" w:hAnsiTheme="minorEastAsia" w:eastAsiaTheme="minorEastAsia"/>
          <w:kern w:val="0"/>
          <w:sz w:val="24"/>
        </w:rPr>
        <w:t>处理后</w:t>
      </w:r>
      <w:r>
        <w:rPr>
          <w:rFonts w:hint="eastAsia" w:hAnsiTheme="minorEastAsia" w:eastAsiaTheme="minorEastAsia"/>
          <w:kern w:val="0"/>
          <w:sz w:val="24"/>
          <w:lang w:val="en-US" w:eastAsia="zh-CN"/>
        </w:rPr>
        <w:t>用于</w:t>
      </w:r>
      <w:r>
        <w:rPr>
          <w:rFonts w:hint="default" w:hAnsiTheme="minorEastAsia" w:eastAsiaTheme="minorEastAsia"/>
          <w:kern w:val="0"/>
          <w:sz w:val="24"/>
        </w:rPr>
        <w:t>周边种植基地灌溉，不外排</w:t>
      </w:r>
      <w:r>
        <w:rPr>
          <w:rFonts w:hAnsiTheme="minorEastAsia" w:eastAsiaTheme="minorEastAsia"/>
          <w:kern w:val="0"/>
          <w:sz w:val="24"/>
        </w:rPr>
        <w:t>。场区内按照重点污染防治区、一般污染防治区以及简单防治区进行分区防渗，杜绝对地下水产生不利影响</w:t>
      </w:r>
    </w:p>
    <w:p>
      <w:pPr>
        <w:spacing w:line="360" w:lineRule="auto"/>
        <w:ind w:firstLine="482" w:firstLineChars="200"/>
        <w:rPr>
          <w:rFonts w:hAnsiTheme="majorEastAsia" w:eastAsiaTheme="majorEastAsia"/>
          <w:b/>
          <w:sz w:val="24"/>
        </w:rPr>
      </w:pPr>
      <w:r>
        <w:rPr>
          <w:rFonts w:hint="eastAsia" w:hAnsiTheme="majorEastAsia" w:eastAsiaTheme="majorEastAsia"/>
          <w:b/>
          <w:sz w:val="24"/>
        </w:rPr>
        <w:t>2、地下水污染途径</w:t>
      </w:r>
    </w:p>
    <w:p>
      <w:pPr>
        <w:spacing w:line="360" w:lineRule="auto"/>
        <w:ind w:firstLine="480" w:firstLineChars="200"/>
        <w:rPr>
          <w:rFonts w:hAnsiTheme="majorEastAsia" w:eastAsiaTheme="majorEastAsia"/>
          <w:sz w:val="24"/>
        </w:rPr>
      </w:pPr>
      <w:r>
        <w:rPr>
          <w:rFonts w:hint="eastAsia" w:hAnsiTheme="minorEastAsia" w:eastAsiaTheme="minorEastAsia"/>
          <w:kern w:val="0"/>
          <w:sz w:val="24"/>
        </w:rPr>
        <w:t>污染物对地下水的影响主要是由于降雨或废水排放等通过垂直渗透进入包气带，进入包气带的污染物在物理、化学和生物作用下经吸附、转化、迁移和分解后输入地下水。因此，包气带是联接地面污染物与地下含水层的主要通道和过渡带，既是污染物媒介体，又是污染物的净化场所和防护层。地下水能否被污染以及污染物的种类和性质。一般说来，土壤粒细而紧密，渗透性差，则污染慢；反之，颗粒大松散，渗透性能良好则污染重</w:t>
      </w:r>
      <w:r>
        <w:rPr>
          <w:rFonts w:hint="eastAsia" w:hAnsiTheme="majorEastAsia" w:eastAsiaTheme="majorEastAsia"/>
          <w:sz w:val="24"/>
        </w:rPr>
        <w:t>。</w:t>
      </w:r>
    </w:p>
    <w:p>
      <w:pPr>
        <w:spacing w:line="360" w:lineRule="auto"/>
        <w:ind w:firstLine="482" w:firstLineChars="200"/>
        <w:rPr>
          <w:rFonts w:hAnsiTheme="majorEastAsia" w:eastAsiaTheme="majorEastAsia"/>
          <w:b/>
          <w:sz w:val="24"/>
        </w:rPr>
      </w:pPr>
      <w:r>
        <w:rPr>
          <w:rFonts w:hint="eastAsia" w:hAnsiTheme="majorEastAsia" w:eastAsiaTheme="majorEastAsia"/>
          <w:b/>
          <w:sz w:val="24"/>
        </w:rPr>
        <w:t>3、正常工况下污染源预测</w:t>
      </w:r>
    </w:p>
    <w:p>
      <w:pPr>
        <w:spacing w:line="360" w:lineRule="auto"/>
        <w:ind w:firstLine="480" w:firstLineChars="200"/>
        <w:rPr>
          <w:rFonts w:hAnsiTheme="majorEastAsia" w:eastAsiaTheme="majorEastAsia"/>
          <w:sz w:val="24"/>
        </w:rPr>
      </w:pPr>
      <w:r>
        <w:rPr>
          <w:rFonts w:hint="eastAsia"/>
          <w:kern w:val="0"/>
          <w:sz w:val="24"/>
        </w:rPr>
        <w:t>本项目</w:t>
      </w:r>
      <w:r>
        <w:rPr>
          <w:rFonts w:hint="default" w:ascii="Times New Roman" w:hAnsi="Times New Roman" w:cs="Times New Roman"/>
          <w:kern w:val="0"/>
          <w:sz w:val="24"/>
        </w:rPr>
        <w:t>项目废水主要包括清舍时鸡舍冲洗废水、防尘间喷淋废水</w:t>
      </w:r>
      <w:r>
        <w:rPr>
          <w:rFonts w:hint="eastAsia" w:ascii="Times New Roman" w:hAnsi="Times New Roman" w:cs="Times New Roman"/>
          <w:kern w:val="0"/>
          <w:sz w:val="24"/>
          <w:lang w:val="en-US" w:eastAsia="zh-CN"/>
        </w:rPr>
        <w:t>和</w:t>
      </w:r>
      <w:r>
        <w:rPr>
          <w:rFonts w:hint="default" w:ascii="Times New Roman" w:hAnsi="Times New Roman" w:cs="Times New Roman"/>
          <w:kern w:val="0"/>
          <w:sz w:val="24"/>
        </w:rPr>
        <w:t>生活</w:t>
      </w:r>
      <w:r>
        <w:rPr>
          <w:rFonts w:hint="eastAsia" w:ascii="Times New Roman" w:hAnsi="Times New Roman" w:cs="Times New Roman"/>
          <w:kern w:val="0"/>
          <w:sz w:val="24"/>
          <w:lang w:val="en-US" w:eastAsia="zh-CN"/>
        </w:rPr>
        <w:t>污水</w:t>
      </w:r>
      <w:r>
        <w:rPr>
          <w:rFonts w:hint="default" w:ascii="Times New Roman" w:hAnsi="Times New Roman" w:cs="Times New Roman"/>
          <w:kern w:val="0"/>
          <w:sz w:val="24"/>
        </w:rPr>
        <w:t>，项目运营期年排水量为</w:t>
      </w:r>
      <w:r>
        <w:rPr>
          <w:rFonts w:hint="eastAsia" w:ascii="Times New Roman" w:hAnsi="Times New Roman" w:cs="Times New Roman"/>
          <w:sz w:val="24"/>
          <w:lang w:val="en-US" w:eastAsia="zh-CN"/>
        </w:rPr>
        <w:t>2286.59</w:t>
      </w:r>
      <w:r>
        <w:rPr>
          <w:rFonts w:ascii="Times New Roman" w:hAnsi="Times New Roman" w:cs="Times New Roman"/>
          <w:sz w:val="24"/>
        </w:rPr>
        <w:t>m</w:t>
      </w:r>
      <w:r>
        <w:rPr>
          <w:rFonts w:ascii="Times New Roman" w:hAnsi="Times New Roman" w:cs="Times New Roman"/>
          <w:sz w:val="24"/>
          <w:vertAlign w:val="superscript"/>
        </w:rPr>
        <w:t>3</w:t>
      </w:r>
      <w:r>
        <w:rPr>
          <w:rFonts w:hint="default" w:ascii="Times New Roman" w:hAnsi="Times New Roman" w:cs="Times New Roman"/>
          <w:kern w:val="0"/>
          <w:sz w:val="24"/>
        </w:rPr>
        <w:t>（其中生活废水：</w:t>
      </w:r>
      <w:r>
        <w:rPr>
          <w:rFonts w:hint="eastAsia" w:ascii="Times New Roman" w:hAnsi="Times New Roman" w:cs="Times New Roman"/>
          <w:kern w:val="0"/>
          <w:sz w:val="24"/>
          <w:lang w:val="en-US" w:eastAsia="zh-CN"/>
        </w:rPr>
        <w:t>1460</w:t>
      </w:r>
      <w:r>
        <w:rPr>
          <w:rFonts w:hint="default" w:ascii="Times New Roman" w:hAnsi="Times New Roman" w:cs="Times New Roman"/>
          <w:kern w:val="0"/>
          <w:sz w:val="24"/>
        </w:rPr>
        <w:t>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/a，生产废水：</w:t>
      </w:r>
      <w:r>
        <w:rPr>
          <w:rFonts w:hint="eastAsia" w:ascii="Times New Roman" w:hAnsi="Times New Roman" w:cs="Times New Roman"/>
          <w:kern w:val="0"/>
          <w:sz w:val="24"/>
          <w:lang w:val="en-US" w:eastAsia="zh-CN"/>
        </w:rPr>
        <w:t>826.59</w:t>
      </w:r>
      <w:r>
        <w:rPr>
          <w:rFonts w:hint="default" w:ascii="Times New Roman" w:hAnsi="Times New Roman" w:cs="Times New Roman"/>
          <w:kern w:val="0"/>
          <w:sz w:val="24"/>
        </w:rPr>
        <w:t>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/a）</w:t>
      </w:r>
      <w:r>
        <w:rPr>
          <w:sz w:val="24"/>
        </w:rPr>
        <w:t>。</w:t>
      </w:r>
      <w:r>
        <w:rPr>
          <w:rFonts w:hint="eastAsia" w:hAnsiTheme="minorEastAsia" w:eastAsiaTheme="minorEastAsia"/>
          <w:kern w:val="0"/>
          <w:sz w:val="24"/>
          <w:lang w:val="en-US" w:eastAsia="zh-CN"/>
        </w:rPr>
        <w:t>本项目共设2座污水处理站，</w:t>
      </w:r>
      <w:r>
        <w:rPr>
          <w:rFonts w:hint="eastAsia" w:hAnsiTheme="minorEastAsia" w:eastAsiaTheme="minorEastAsia"/>
          <w:kern w:val="0"/>
          <w:sz w:val="24"/>
          <w:lang w:eastAsia="zh-CN"/>
        </w:rPr>
        <w:t>南场</w:t>
      </w:r>
      <w:r>
        <w:rPr>
          <w:rFonts w:hint="eastAsia" w:hAnsiTheme="minorEastAsia" w:eastAsiaTheme="minorEastAsia"/>
          <w:kern w:val="0"/>
          <w:sz w:val="24"/>
          <w:lang w:val="en-US" w:eastAsia="zh-CN"/>
        </w:rPr>
        <w:t>污水处理站</w:t>
      </w:r>
      <w:r>
        <w:rPr>
          <w:rFonts w:hint="default" w:hAnsiTheme="minorEastAsia" w:eastAsiaTheme="minorEastAsia"/>
          <w:kern w:val="0"/>
          <w:sz w:val="24"/>
        </w:rPr>
        <w:t>收集</w:t>
      </w:r>
      <w:r>
        <w:rPr>
          <w:rFonts w:hint="eastAsia" w:hAnsiTheme="minorEastAsia" w:eastAsiaTheme="minorEastAsia"/>
          <w:kern w:val="0"/>
          <w:sz w:val="24"/>
          <w:lang w:eastAsia="zh-CN"/>
        </w:rPr>
        <w:t>南部养殖区</w:t>
      </w:r>
      <w:r>
        <w:rPr>
          <w:rFonts w:hint="default" w:hAnsiTheme="minorEastAsia" w:eastAsiaTheme="minorEastAsia"/>
          <w:kern w:val="0"/>
          <w:sz w:val="24"/>
        </w:rPr>
        <w:t>鸡舍冲洗废水、防尘间喷淋废水和中部生活污水（隔油预处理）</w:t>
      </w:r>
      <w:r>
        <w:rPr>
          <w:rFonts w:hint="eastAsia" w:hAnsiTheme="minorEastAsia" w:eastAsiaTheme="minorEastAsia"/>
          <w:kern w:val="0"/>
          <w:sz w:val="24"/>
          <w:lang w:eastAsia="zh-CN"/>
        </w:rPr>
        <w:t>，东场</w:t>
      </w:r>
      <w:r>
        <w:rPr>
          <w:rFonts w:hint="eastAsia" w:hAnsiTheme="minorEastAsia" w:eastAsiaTheme="minorEastAsia"/>
          <w:kern w:val="0"/>
          <w:sz w:val="24"/>
          <w:lang w:val="en-US" w:eastAsia="zh-CN"/>
        </w:rPr>
        <w:t>污水处理站</w:t>
      </w:r>
      <w:r>
        <w:rPr>
          <w:rFonts w:hint="default" w:hAnsiTheme="minorEastAsia" w:eastAsiaTheme="minorEastAsia"/>
          <w:kern w:val="0"/>
          <w:sz w:val="24"/>
        </w:rPr>
        <w:t>收集东部养殖区鸡舍冲洗废水、防尘间喷淋废水和东部生活污水，废水经污水处理站</w:t>
      </w:r>
      <w:r>
        <w:rPr>
          <w:rFonts w:hint="eastAsia" w:hAnsiTheme="minorEastAsia" w:eastAsiaTheme="minorEastAsia"/>
          <w:kern w:val="0"/>
          <w:sz w:val="24"/>
          <w:lang w:eastAsia="zh-CN"/>
        </w:rPr>
        <w:t>（</w:t>
      </w:r>
      <w:r>
        <w:rPr>
          <w:rFonts w:hint="eastAsia" w:hAnsiTheme="minorEastAsia" w:eastAsiaTheme="minorEastAsia"/>
          <w:kern w:val="0"/>
          <w:sz w:val="24"/>
          <w:lang w:val="en-US" w:eastAsia="zh-CN"/>
        </w:rPr>
        <w:t>采用“厌氧发酵”工艺</w:t>
      </w:r>
      <w:r>
        <w:rPr>
          <w:rFonts w:hint="eastAsia" w:hAnsiTheme="minorEastAsia" w:eastAsiaTheme="minorEastAsia"/>
          <w:kern w:val="0"/>
          <w:sz w:val="24"/>
          <w:lang w:eastAsia="zh-CN"/>
        </w:rPr>
        <w:t>）</w:t>
      </w:r>
      <w:r>
        <w:rPr>
          <w:rFonts w:hint="default" w:hAnsiTheme="minorEastAsia" w:eastAsiaTheme="minorEastAsia"/>
          <w:kern w:val="0"/>
          <w:sz w:val="24"/>
        </w:rPr>
        <w:t>处理后</w:t>
      </w:r>
      <w:r>
        <w:rPr>
          <w:rFonts w:hint="eastAsia" w:hAnsiTheme="minorEastAsia" w:eastAsiaTheme="minorEastAsia"/>
          <w:kern w:val="0"/>
          <w:sz w:val="24"/>
          <w:lang w:val="en-US" w:eastAsia="zh-CN"/>
        </w:rPr>
        <w:t>用于</w:t>
      </w:r>
      <w:r>
        <w:rPr>
          <w:rFonts w:hint="default" w:hAnsiTheme="minorEastAsia" w:eastAsiaTheme="minorEastAsia"/>
          <w:kern w:val="0"/>
          <w:sz w:val="24"/>
        </w:rPr>
        <w:t>周边种植基地灌溉，不外排</w:t>
      </w:r>
      <w:r>
        <w:rPr>
          <w:rFonts w:hint="eastAsia" w:hAnsiTheme="majorEastAsia" w:eastAsiaTheme="majorEastAsia"/>
          <w:sz w:val="24"/>
        </w:rPr>
        <w:t>。项目</w:t>
      </w:r>
      <w:r>
        <w:rPr>
          <w:rFonts w:hint="eastAsia" w:eastAsiaTheme="majorEastAsia"/>
          <w:kern w:val="0"/>
          <w:sz w:val="24"/>
          <w:lang w:val="en-US" w:eastAsia="zh-CN"/>
        </w:rPr>
        <w:t>污水处理站池体</w:t>
      </w:r>
      <w:r>
        <w:rPr>
          <w:rFonts w:hint="eastAsia" w:hAnsiTheme="majorEastAsia" w:eastAsiaTheme="majorEastAsia"/>
          <w:sz w:val="24"/>
        </w:rPr>
        <w:t>均采用防渗处理，防渗系数高于1×10</w:t>
      </w:r>
      <w:r>
        <w:rPr>
          <w:rFonts w:hint="eastAsia" w:hAnsiTheme="majorEastAsia" w:eastAsiaTheme="majorEastAsia"/>
          <w:sz w:val="24"/>
          <w:vertAlign w:val="superscript"/>
        </w:rPr>
        <w:t>-7</w:t>
      </w:r>
      <w:r>
        <w:rPr>
          <w:rFonts w:hint="eastAsia" w:hAnsiTheme="majorEastAsia" w:eastAsiaTheme="majorEastAsia"/>
          <w:sz w:val="24"/>
        </w:rPr>
        <w:t>cm/s，可有效防止废液渗漏污染地下水。采取以上措施后，本项目废水可得到妥善处理，正常情况下对周边区域地下水的环境影响可得到有效避免。</w:t>
      </w:r>
    </w:p>
    <w:p>
      <w:pPr>
        <w:spacing w:line="360" w:lineRule="auto"/>
        <w:ind w:firstLine="482" w:firstLineChars="200"/>
        <w:rPr>
          <w:rFonts w:hAnsiTheme="majorEastAsia" w:eastAsiaTheme="majorEastAsia"/>
          <w:b/>
          <w:sz w:val="24"/>
        </w:rPr>
      </w:pPr>
      <w:r>
        <w:rPr>
          <w:rFonts w:hint="eastAsia" w:hAnsiTheme="majorEastAsia" w:eastAsiaTheme="majorEastAsia"/>
          <w:b/>
          <w:sz w:val="24"/>
        </w:rPr>
        <w:t>4、事故工况下污染源预测</w:t>
      </w:r>
    </w:p>
    <w:p>
      <w:pPr>
        <w:spacing w:line="360" w:lineRule="auto"/>
        <w:ind w:firstLine="480" w:firstLineChars="200"/>
        <w:rPr>
          <w:rFonts w:hAnsiTheme="majorEastAsia" w:eastAsiaTheme="majorEastAsia"/>
          <w:sz w:val="24"/>
        </w:rPr>
      </w:pPr>
      <w:r>
        <w:rPr>
          <w:rFonts w:hint="eastAsia" w:hAnsiTheme="majorEastAsia" w:eastAsiaTheme="majorEastAsia"/>
          <w:sz w:val="24"/>
        </w:rPr>
        <w:t>本项目事故主要考虑</w:t>
      </w:r>
      <w:r>
        <w:rPr>
          <w:rFonts w:hint="eastAsia" w:ascii="Times New Roman" w:hAnsi="Times New Roman" w:cs="Times New Roman"/>
          <w:sz w:val="24"/>
          <w:lang w:val="en-US" w:eastAsia="zh-CN"/>
        </w:rPr>
        <w:t>污水处理站</w:t>
      </w:r>
      <w:r>
        <w:rPr>
          <w:rFonts w:hint="eastAsia" w:hAnsiTheme="majorEastAsia" w:eastAsiaTheme="majorEastAsia"/>
          <w:sz w:val="24"/>
        </w:rPr>
        <w:t>和输水管道的渗漏问题，此时污染物直接进入表土层，其浓度能在瞬间达到最大值，但是通过表土层以及包气带土层的降解作用，到达地下水埋深时其浓度较小，对地下水影响不大。考虑渗漏时间较长，包气带土层中污染物含量处于饱和状态，无法再降解，此时污染物就会出现下渗，可能会对地下水产生一定的污染。</w:t>
      </w:r>
    </w:p>
    <w:p>
      <w:pPr>
        <w:spacing w:line="360" w:lineRule="auto"/>
        <w:ind w:firstLine="480" w:firstLineChars="200"/>
        <w:rPr>
          <w:rFonts w:hAnsiTheme="majorEastAsia" w:eastAsiaTheme="majorEastAsia"/>
          <w:sz w:val="24"/>
        </w:rPr>
      </w:pPr>
      <w:r>
        <w:rPr>
          <w:rFonts w:hint="eastAsia" w:hAnsiTheme="majorEastAsia" w:eastAsiaTheme="majorEastAsia"/>
          <w:sz w:val="24"/>
        </w:rPr>
        <w:t>（1）预测范围</w:t>
      </w:r>
    </w:p>
    <w:p>
      <w:pPr>
        <w:spacing w:line="360" w:lineRule="auto"/>
        <w:ind w:firstLine="480" w:firstLineChars="200"/>
        <w:rPr>
          <w:rFonts w:hAnsiTheme="majorEastAsia" w:eastAsiaTheme="majorEastAsia"/>
          <w:sz w:val="24"/>
        </w:rPr>
      </w:pPr>
      <w:r>
        <w:rPr>
          <w:rFonts w:hint="eastAsia" w:hAnsiTheme="majorEastAsia" w:eastAsiaTheme="majorEastAsia"/>
          <w:sz w:val="24"/>
        </w:rPr>
        <w:t>根据《环境影响评价技术导则地下水环境》（HJ610-2016），本项目属于Ⅲ类建设项目，本次地下水环境影响评价预测范围与地下水现状调查范围一致，预测层位为地下水的潜水含水层。</w:t>
      </w:r>
    </w:p>
    <w:p>
      <w:pPr>
        <w:spacing w:line="360" w:lineRule="auto"/>
        <w:ind w:firstLine="480" w:firstLineChars="200"/>
        <w:rPr>
          <w:rFonts w:hAnsiTheme="majorEastAsia" w:eastAsiaTheme="majorEastAsia"/>
          <w:sz w:val="24"/>
        </w:rPr>
      </w:pPr>
      <w:r>
        <w:rPr>
          <w:rFonts w:hint="eastAsia" w:hAnsiTheme="majorEastAsia" w:eastAsiaTheme="majorEastAsia"/>
          <w:sz w:val="24"/>
        </w:rPr>
        <w:t>（2）预测时段</w:t>
      </w:r>
    </w:p>
    <w:p>
      <w:pPr>
        <w:spacing w:line="360" w:lineRule="auto"/>
        <w:ind w:firstLine="480" w:firstLineChars="200"/>
        <w:rPr>
          <w:rFonts w:hAnsi="宋体"/>
          <w:kern w:val="0"/>
          <w:sz w:val="24"/>
        </w:rPr>
      </w:pPr>
      <w:r>
        <w:rPr>
          <w:rFonts w:hint="eastAsia" w:hAnsi="宋体"/>
          <w:kern w:val="0"/>
          <w:sz w:val="24"/>
        </w:rPr>
        <w:t>当</w:t>
      </w:r>
      <w:r>
        <w:rPr>
          <w:rFonts w:hint="eastAsia" w:ascii="Times New Roman" w:hAnsi="Times New Roman" w:cs="Times New Roman"/>
          <w:sz w:val="24"/>
          <w:lang w:val="en-US" w:eastAsia="zh-CN"/>
        </w:rPr>
        <w:t>污水处理站</w:t>
      </w:r>
      <w:r>
        <w:rPr>
          <w:rFonts w:hint="eastAsia" w:hAnsi="宋体"/>
          <w:kern w:val="0"/>
          <w:sz w:val="24"/>
        </w:rPr>
        <w:t>废水外溢，废机油及柴油渗漏时，对地下水环境造成污染。在事故状态下，会产生一定量的废水以及油料，对地下水造成污染。环评考虑最不利因素，评价事故工况时防渗措施均失效的情况下，运用解析法进行模拟预测。</w:t>
      </w:r>
    </w:p>
    <w:p>
      <w:pPr>
        <w:spacing w:line="360" w:lineRule="auto"/>
        <w:ind w:firstLine="480" w:firstLineChars="200"/>
        <w:rPr>
          <w:rFonts w:hAnsi="宋体"/>
          <w:kern w:val="0"/>
          <w:sz w:val="24"/>
        </w:rPr>
      </w:pPr>
      <w:r>
        <w:rPr>
          <w:rFonts w:hint="eastAsia" w:hAnsi="宋体"/>
          <w:kern w:val="0"/>
          <w:sz w:val="24"/>
        </w:rPr>
        <w:t>本项目主要预测在指定浓度持续渗漏100d、365d（1年）、1000d、3650d（10年）的迁移情况。</w:t>
      </w:r>
    </w:p>
    <w:p>
      <w:pPr>
        <w:spacing w:line="360" w:lineRule="auto"/>
        <w:ind w:firstLine="480" w:firstLineChars="200"/>
        <w:rPr>
          <w:rFonts w:hAnsiTheme="majorEastAsia" w:eastAsiaTheme="majorEastAsia"/>
          <w:sz w:val="24"/>
        </w:rPr>
      </w:pPr>
      <w:r>
        <w:rPr>
          <w:rFonts w:hint="eastAsia" w:hAnsiTheme="majorEastAsia" w:eastAsiaTheme="majorEastAsia"/>
          <w:sz w:val="24"/>
        </w:rPr>
        <w:t>（3）预测因子</w:t>
      </w:r>
    </w:p>
    <w:p>
      <w:pPr>
        <w:spacing w:line="360" w:lineRule="auto"/>
        <w:ind w:firstLine="480" w:firstLineChars="200"/>
        <w:rPr>
          <w:rFonts w:hAnsiTheme="majorEastAsia" w:eastAsiaTheme="majorEastAsia"/>
          <w:sz w:val="24"/>
        </w:rPr>
      </w:pPr>
      <w:r>
        <w:rPr>
          <w:rFonts w:hint="eastAsia" w:hAnsiTheme="majorEastAsia" w:eastAsiaTheme="majorEastAsia"/>
          <w:sz w:val="24"/>
        </w:rPr>
        <w:t>根据《环境影响评价技术导则地下水环境》（HJ 610-2016）中“9.5 预测因子”中“a）根据5.3.2 识别出的特征因子，按照重金属、持久性有机污染物和其他类别进行分类，并对每一类别中的各项因子采用标准指数法进行排序，分别取标准指数最大的因子作为预测因子；c）污染场地已查明的主要污染物，按照a）筛选预测因子”。</w:t>
      </w:r>
    </w:p>
    <w:p>
      <w:pPr>
        <w:spacing w:line="360" w:lineRule="auto"/>
        <w:ind w:firstLine="480" w:firstLineChars="200"/>
        <w:rPr>
          <w:rFonts w:eastAsiaTheme="majorEastAsia"/>
          <w:sz w:val="24"/>
        </w:rPr>
      </w:pPr>
      <w:r>
        <w:rPr>
          <w:rFonts w:hint="eastAsia" w:hAnsiTheme="majorEastAsia" w:eastAsiaTheme="majorEastAsia"/>
          <w:sz w:val="24"/>
        </w:rPr>
        <w:t>根据工程分析，本项目地下水环境主要的污染源为废水中的COD、BOD</w:t>
      </w:r>
      <w:r>
        <w:rPr>
          <w:rFonts w:hint="eastAsia" w:hAnsiTheme="majorEastAsia" w:eastAsiaTheme="majorEastAsia"/>
          <w:sz w:val="24"/>
          <w:vertAlign w:val="subscript"/>
        </w:rPr>
        <w:t>5</w:t>
      </w:r>
      <w:r>
        <w:rPr>
          <w:rFonts w:hint="eastAsia" w:hAnsiTheme="majorEastAsia" w:eastAsiaTheme="majorEastAsia"/>
          <w:sz w:val="24"/>
        </w:rPr>
        <w:t>、SS、氨氮、总磷、总氮，以及柴油、废机油泄漏产生的石油类污染。由于《地下水质量标准》</w:t>
      </w:r>
      <w:r>
        <w:rPr>
          <w:rFonts w:hint="eastAsia" w:hAnsiTheme="majorEastAsia" w:eastAsiaTheme="majorEastAsia"/>
          <w:sz w:val="24"/>
          <w:lang w:eastAsia="zh-CN"/>
        </w:rPr>
        <w:t>（</w:t>
      </w:r>
      <w:r>
        <w:rPr>
          <w:rFonts w:hint="eastAsia" w:hAnsiTheme="majorEastAsia" w:eastAsiaTheme="majorEastAsia"/>
          <w:sz w:val="24"/>
        </w:rPr>
        <w:t>GB/T14848-2017</w:t>
      </w:r>
      <w:r>
        <w:rPr>
          <w:rFonts w:hint="eastAsia" w:hAnsiTheme="majorEastAsia" w:eastAsiaTheme="majorEastAsia"/>
          <w:sz w:val="24"/>
          <w:lang w:eastAsia="zh-CN"/>
        </w:rPr>
        <w:t>）</w:t>
      </w:r>
      <w:r>
        <w:rPr>
          <w:rFonts w:hint="eastAsia" w:hAnsiTheme="majorEastAsia" w:eastAsiaTheme="majorEastAsia"/>
          <w:sz w:val="24"/>
        </w:rPr>
        <w:t>中无石油类污染物的限值要求，因此本次评价主要考虑废水中污染物在分正常工况下对地下水造成的影响预测。本次评价将COD、氨氮作为非正常工况下地下水污染预测因子</w:t>
      </w:r>
      <w:r>
        <w:rPr>
          <w:rFonts w:hint="eastAsia" w:eastAsiaTheme="majorEastAsia"/>
          <w:sz w:val="24"/>
        </w:rPr>
        <w:t>。</w:t>
      </w:r>
    </w:p>
    <w:p>
      <w:pPr>
        <w:spacing w:line="360" w:lineRule="auto"/>
        <w:ind w:firstLine="480" w:firstLineChars="200"/>
        <w:rPr>
          <w:kern w:val="0"/>
          <w:sz w:val="24"/>
          <w:szCs w:val="20"/>
        </w:rPr>
      </w:pPr>
      <w:r>
        <w:rPr>
          <w:rFonts w:hint="eastAsia"/>
          <w:kern w:val="0"/>
          <w:sz w:val="24"/>
          <w:szCs w:val="20"/>
        </w:rPr>
        <w:t>（4）预测源强</w:t>
      </w:r>
    </w:p>
    <w:p>
      <w:pPr>
        <w:spacing w:line="360" w:lineRule="auto"/>
        <w:ind w:firstLine="480" w:firstLineChars="200"/>
        <w:rPr>
          <w:rFonts w:hAnsiTheme="majorEastAsia" w:eastAsiaTheme="majorEastAsia"/>
          <w:sz w:val="24"/>
        </w:rPr>
      </w:pPr>
      <w:r>
        <w:rPr>
          <w:rFonts w:hint="eastAsia" w:hAnsiTheme="majorEastAsia" w:eastAsiaTheme="majorEastAsia"/>
          <w:sz w:val="24"/>
        </w:rPr>
        <w:t>本项目导致地下水污染的原因主要为</w:t>
      </w:r>
      <w:r>
        <w:rPr>
          <w:rFonts w:hint="eastAsia" w:eastAsiaTheme="majorEastAsia"/>
          <w:kern w:val="0"/>
          <w:sz w:val="24"/>
          <w:lang w:val="en-US" w:eastAsia="zh-CN"/>
        </w:rPr>
        <w:t>污水处理站池体</w:t>
      </w:r>
      <w:r>
        <w:rPr>
          <w:rFonts w:hint="eastAsia" w:hAnsiTheme="majorEastAsia" w:eastAsiaTheme="majorEastAsia"/>
          <w:sz w:val="24"/>
        </w:rPr>
        <w:t>防渗层破裂后废水渗漏至地下导致地下水污染。本项目废水COD</w:t>
      </w:r>
      <w:r>
        <w:rPr>
          <w:rFonts w:hint="eastAsia" w:eastAsiaTheme="majorEastAsia"/>
          <w:kern w:val="0"/>
          <w:sz w:val="24"/>
          <w:lang w:val="en-US" w:eastAsia="zh-CN"/>
        </w:rPr>
        <w:t>394.11</w:t>
      </w:r>
      <w:r>
        <w:rPr>
          <w:rFonts w:hint="eastAsia"/>
          <w:kern w:val="0"/>
          <w:sz w:val="24"/>
        </w:rPr>
        <w:t>mg/L、氨氮</w:t>
      </w:r>
      <w:r>
        <w:rPr>
          <w:rFonts w:hint="eastAsia"/>
          <w:kern w:val="0"/>
          <w:sz w:val="24"/>
          <w:lang w:val="en-US" w:eastAsia="zh-CN"/>
        </w:rPr>
        <w:t>122.23</w:t>
      </w:r>
      <w:r>
        <w:rPr>
          <w:rFonts w:hint="eastAsia"/>
          <w:kern w:val="0"/>
          <w:sz w:val="24"/>
        </w:rPr>
        <w:t>mg/L</w:t>
      </w:r>
      <w:r>
        <w:rPr>
          <w:rFonts w:hint="eastAsia" w:hAnsiTheme="majorEastAsia" w:eastAsiaTheme="majorEastAsia"/>
          <w:sz w:val="24"/>
        </w:rPr>
        <w:t>。此COD是指COD</w:t>
      </w:r>
      <w:r>
        <w:rPr>
          <w:rFonts w:hint="eastAsia" w:hAnsiTheme="majorEastAsia" w:eastAsiaTheme="majorEastAsia"/>
          <w:sz w:val="24"/>
          <w:vertAlign w:val="subscript"/>
        </w:rPr>
        <w:t>Cr</w:t>
      </w:r>
      <w:r>
        <w:rPr>
          <w:rFonts w:hint="eastAsia" w:hAnsiTheme="majorEastAsia" w:eastAsiaTheme="majorEastAsia"/>
          <w:sz w:val="24"/>
        </w:rPr>
        <w:t>，对于同一种水样，COD</w:t>
      </w:r>
      <w:r>
        <w:rPr>
          <w:rFonts w:hint="eastAsia" w:hAnsiTheme="majorEastAsia" w:eastAsiaTheme="majorEastAsia"/>
          <w:sz w:val="24"/>
          <w:vertAlign w:val="subscript"/>
        </w:rPr>
        <w:t>Cr</w:t>
      </w:r>
      <w:r>
        <w:rPr>
          <w:rFonts w:hint="eastAsia" w:hAnsiTheme="majorEastAsia" w:eastAsiaTheme="majorEastAsia"/>
          <w:sz w:val="24"/>
        </w:rPr>
        <w:t>与COD</w:t>
      </w:r>
      <w:r>
        <w:rPr>
          <w:rFonts w:hint="eastAsia" w:hAnsiTheme="majorEastAsia" w:eastAsiaTheme="majorEastAsia"/>
          <w:sz w:val="24"/>
          <w:vertAlign w:val="subscript"/>
        </w:rPr>
        <w:t>Mn</w:t>
      </w:r>
      <w:r>
        <w:rPr>
          <w:rFonts w:hint="eastAsia" w:hAnsiTheme="majorEastAsia" w:eastAsiaTheme="majorEastAsia"/>
          <w:sz w:val="24"/>
        </w:rPr>
        <w:t>之间存在一定的线性比例关系：COD</w:t>
      </w:r>
      <w:r>
        <w:rPr>
          <w:rFonts w:hint="eastAsia" w:hAnsiTheme="majorEastAsia" w:eastAsiaTheme="majorEastAsia"/>
          <w:sz w:val="24"/>
          <w:vertAlign w:val="subscript"/>
        </w:rPr>
        <w:t>Cr</w:t>
      </w:r>
      <w:r>
        <w:rPr>
          <w:rFonts w:hint="eastAsia" w:hAnsiTheme="majorEastAsia" w:eastAsiaTheme="majorEastAsia"/>
          <w:sz w:val="24"/>
        </w:rPr>
        <w:t>=kCOD</w:t>
      </w:r>
      <w:r>
        <w:rPr>
          <w:rFonts w:hint="eastAsia" w:hAnsiTheme="majorEastAsia" w:eastAsiaTheme="majorEastAsia"/>
          <w:sz w:val="24"/>
          <w:vertAlign w:val="subscript"/>
        </w:rPr>
        <w:t>Mn</w:t>
      </w:r>
      <w:r>
        <w:rPr>
          <w:rFonts w:hint="eastAsia" w:hAnsiTheme="majorEastAsia" w:eastAsiaTheme="majorEastAsia"/>
          <w:sz w:val="24"/>
        </w:rPr>
        <w:t>，一般来说1.5＜k＜4.0，为保守起见，本次k取2.5，则折算后的COD</w:t>
      </w:r>
      <w:r>
        <w:rPr>
          <w:rFonts w:hint="eastAsia" w:hAnsiTheme="majorEastAsia" w:eastAsiaTheme="majorEastAsia"/>
          <w:sz w:val="24"/>
          <w:vertAlign w:val="subscript"/>
        </w:rPr>
        <w:t>Mn</w:t>
      </w:r>
      <w:r>
        <w:rPr>
          <w:rFonts w:hint="eastAsia" w:hAnsiTheme="majorEastAsia" w:eastAsiaTheme="majorEastAsia"/>
          <w:sz w:val="24"/>
        </w:rPr>
        <w:t>初始浓度为</w:t>
      </w:r>
      <w:r>
        <w:rPr>
          <w:rFonts w:hint="eastAsia" w:hAnsiTheme="majorEastAsia" w:eastAsiaTheme="majorEastAsia"/>
          <w:sz w:val="24"/>
          <w:lang w:val="en-US" w:eastAsia="zh-CN"/>
        </w:rPr>
        <w:t>157.644</w:t>
      </w:r>
      <w:r>
        <w:rPr>
          <w:rFonts w:hint="eastAsia" w:hAnsiTheme="majorEastAsia" w:eastAsiaTheme="majorEastAsia"/>
          <w:sz w:val="24"/>
        </w:rPr>
        <w:t>mg/L。</w:t>
      </w:r>
      <w:r>
        <w:rPr>
          <w:rFonts w:hint="eastAsia"/>
          <w:kern w:val="0"/>
          <w:sz w:val="24"/>
          <w:szCs w:val="20"/>
        </w:rPr>
        <w:t>由于泄露是偶然发生的，预计本项目污水泄漏的概率为1%，泄漏的污水量按1天（</w:t>
      </w:r>
      <w:r>
        <w:rPr>
          <w:rFonts w:hint="eastAsia"/>
          <w:kern w:val="0"/>
          <w:sz w:val="24"/>
          <w:szCs w:val="20"/>
          <w:lang w:val="en-US" w:eastAsia="zh-CN"/>
        </w:rPr>
        <w:t>6.265</w:t>
      </w:r>
      <w:r>
        <w:rPr>
          <w:rFonts w:hint="eastAsia"/>
          <w:kern w:val="0"/>
          <w:sz w:val="24"/>
          <w:szCs w:val="20"/>
        </w:rPr>
        <w:t>m</w:t>
      </w:r>
      <w:r>
        <w:rPr>
          <w:rFonts w:hint="eastAsia"/>
          <w:kern w:val="0"/>
          <w:sz w:val="24"/>
          <w:szCs w:val="20"/>
          <w:vertAlign w:val="superscript"/>
        </w:rPr>
        <w:t>3</w:t>
      </w:r>
      <w:r>
        <w:rPr>
          <w:rFonts w:hint="eastAsia"/>
          <w:kern w:val="0"/>
          <w:sz w:val="24"/>
          <w:szCs w:val="20"/>
        </w:rPr>
        <w:t>/d）污水量的10%，向地下水排污量即泄漏量为</w:t>
      </w:r>
      <w:r>
        <w:rPr>
          <w:rFonts w:hint="eastAsia" w:hAnsiTheme="majorEastAsia" w:eastAsiaTheme="majorEastAsia"/>
          <w:sz w:val="24"/>
        </w:rPr>
        <w:t>COD</w:t>
      </w:r>
      <w:r>
        <w:rPr>
          <w:rFonts w:hint="eastAsia" w:hAnsiTheme="majorEastAsia" w:eastAsiaTheme="majorEastAsia"/>
          <w:sz w:val="24"/>
          <w:vertAlign w:val="subscript"/>
        </w:rPr>
        <w:t>Mn</w:t>
      </w:r>
      <w:r>
        <w:rPr>
          <w:rFonts w:hint="eastAsia" w:hAnsiTheme="majorEastAsia" w:eastAsiaTheme="majorEastAsia"/>
          <w:sz w:val="24"/>
          <w:lang w:val="en-US" w:eastAsia="zh-CN"/>
        </w:rPr>
        <w:t>0.987</w:t>
      </w:r>
      <w:r>
        <w:rPr>
          <w:rFonts w:hint="eastAsia" w:hAnsiTheme="majorEastAsia" w:eastAsiaTheme="majorEastAsia"/>
          <w:sz w:val="24"/>
        </w:rPr>
        <w:t>kg、氨氮0.</w:t>
      </w:r>
      <w:r>
        <w:rPr>
          <w:rFonts w:hint="eastAsia" w:hAnsiTheme="majorEastAsia" w:eastAsiaTheme="majorEastAsia"/>
          <w:sz w:val="24"/>
          <w:lang w:val="en-US" w:eastAsia="zh-CN"/>
        </w:rPr>
        <w:t>764</w:t>
      </w:r>
      <w:r>
        <w:rPr>
          <w:rFonts w:hint="eastAsia" w:hAnsiTheme="majorEastAsia" w:eastAsiaTheme="majorEastAsia"/>
          <w:sz w:val="24"/>
        </w:rPr>
        <w:t>kg</w:t>
      </w:r>
      <w:r>
        <w:rPr>
          <w:rFonts w:hint="eastAsia" w:hAnsiTheme="majorEastAsia" w:eastAsiaTheme="majorEastAsia"/>
          <w:sz w:val="24"/>
          <w:lang w:val="en-US" w:eastAsia="zh-CN"/>
        </w:rPr>
        <w:t>。</w:t>
      </w:r>
      <w:r>
        <w:rPr>
          <w:rFonts w:hint="eastAsia" w:hAnsiTheme="majorEastAsia" w:eastAsiaTheme="majorEastAsia"/>
          <w:sz w:val="24"/>
        </w:rPr>
        <w:t>高锰酸盐指数及氨氮评价标准均参照《地下水质量标准》（GB/T14848-2017）中耗氧量（COD</w:t>
      </w:r>
      <w:r>
        <w:rPr>
          <w:rFonts w:hint="eastAsia" w:hAnsiTheme="majorEastAsia" w:eastAsiaTheme="majorEastAsia"/>
          <w:sz w:val="24"/>
          <w:vertAlign w:val="subscript"/>
        </w:rPr>
        <w:t>Mn</w:t>
      </w:r>
      <w:r>
        <w:rPr>
          <w:rFonts w:hint="eastAsia" w:hAnsiTheme="majorEastAsia" w:eastAsiaTheme="majorEastAsia"/>
          <w:sz w:val="24"/>
        </w:rPr>
        <w:t>法）及氨氮的Ⅲ类标准，其限值分别为COD</w:t>
      </w:r>
      <w:r>
        <w:rPr>
          <w:rFonts w:hint="eastAsia" w:hAnsiTheme="majorEastAsia" w:eastAsiaTheme="majorEastAsia"/>
          <w:sz w:val="24"/>
          <w:vertAlign w:val="subscript"/>
        </w:rPr>
        <w:t>Mn</w:t>
      </w:r>
      <w:r>
        <w:rPr>
          <w:rFonts w:hint="eastAsia" w:hAnsiTheme="majorEastAsia" w:eastAsiaTheme="majorEastAsia"/>
          <w:sz w:val="24"/>
        </w:rPr>
        <w:t>3.0mg/L、氨氮（以N计）0.5mg/L。</w:t>
      </w:r>
    </w:p>
    <w:p>
      <w:pPr>
        <w:spacing w:line="360" w:lineRule="auto"/>
        <w:ind w:firstLine="480" w:firstLineChars="200"/>
        <w:rPr>
          <w:rFonts w:hAnsiTheme="majorEastAsia" w:eastAsiaTheme="majorEastAsia"/>
          <w:sz w:val="24"/>
        </w:rPr>
      </w:pPr>
      <w:r>
        <w:rPr>
          <w:rFonts w:hint="eastAsia" w:hAnsiTheme="majorEastAsia" w:eastAsiaTheme="majorEastAsia"/>
          <w:sz w:val="24"/>
        </w:rPr>
        <w:t>（5）预测内容</w:t>
      </w:r>
    </w:p>
    <w:p>
      <w:pPr>
        <w:spacing w:line="360" w:lineRule="auto"/>
        <w:ind w:firstLine="480" w:firstLineChars="200"/>
        <w:rPr>
          <w:rFonts w:hAnsiTheme="majorEastAsia" w:eastAsiaTheme="majorEastAsia"/>
          <w:sz w:val="24"/>
        </w:rPr>
      </w:pPr>
      <w:r>
        <w:rPr>
          <w:rFonts w:hint="eastAsia" w:hAnsiTheme="majorEastAsia" w:eastAsiaTheme="majorEastAsia"/>
          <w:sz w:val="24"/>
        </w:rPr>
        <w:t>①给出特征因子不同时段的影响范围、程度，最大迁移距离；</w:t>
      </w:r>
    </w:p>
    <w:p>
      <w:pPr>
        <w:spacing w:line="360" w:lineRule="auto"/>
        <w:ind w:firstLine="480" w:firstLineChars="200"/>
        <w:rPr>
          <w:rFonts w:hAnsiTheme="majorEastAsia" w:eastAsiaTheme="majorEastAsia"/>
          <w:sz w:val="24"/>
        </w:rPr>
      </w:pPr>
      <w:r>
        <w:rPr>
          <w:rFonts w:hint="eastAsia" w:hAnsiTheme="majorEastAsia" w:eastAsiaTheme="majorEastAsia"/>
          <w:sz w:val="24"/>
        </w:rPr>
        <w:t>②给出预测期内场地边界或地下水环境保护目标处预测因子随时间的变化规律。</w:t>
      </w:r>
    </w:p>
    <w:p>
      <w:pPr>
        <w:spacing w:line="360" w:lineRule="auto"/>
        <w:ind w:firstLine="480" w:firstLineChars="200"/>
        <w:rPr>
          <w:kern w:val="0"/>
          <w:sz w:val="24"/>
          <w:szCs w:val="20"/>
        </w:rPr>
      </w:pPr>
      <w:r>
        <w:rPr>
          <w:rFonts w:hint="eastAsia" w:hAnsiTheme="majorEastAsia" w:eastAsiaTheme="majorEastAsia"/>
          <w:sz w:val="24"/>
        </w:rPr>
        <w:t>（6）</w:t>
      </w:r>
      <w:r>
        <w:rPr>
          <w:kern w:val="0"/>
          <w:sz w:val="24"/>
          <w:szCs w:val="20"/>
        </w:rPr>
        <w:t>预测模式的确定</w:t>
      </w:r>
    </w:p>
    <w:p>
      <w:pPr>
        <w:spacing w:line="360" w:lineRule="auto"/>
        <w:ind w:firstLine="480" w:firstLineChars="200"/>
        <w:rPr>
          <w:rFonts w:hAnsiTheme="majorEastAsia" w:eastAsiaTheme="majorEastAsia"/>
          <w:sz w:val="24"/>
        </w:rPr>
      </w:pPr>
      <w:r>
        <w:rPr>
          <w:rFonts w:hint="eastAsia" w:hAnsiTheme="majorEastAsia" w:eastAsiaTheme="majorEastAsia"/>
          <w:sz w:val="24"/>
        </w:rPr>
        <w:t>根据《环境影响评价技术导则地下水环境》（HJ610-2016），经分析：非正常情况下，</w:t>
      </w:r>
      <w:r>
        <w:rPr>
          <w:rFonts w:hint="eastAsia" w:ascii="Times New Roman" w:hAnsi="Times New Roman" w:cs="Times New Roman"/>
          <w:sz w:val="24"/>
          <w:lang w:val="en-US" w:eastAsia="zh-CN"/>
        </w:rPr>
        <w:t>污水处理站池体</w:t>
      </w:r>
      <w:r>
        <w:rPr>
          <w:rFonts w:hint="eastAsia" w:hAnsiTheme="majorEastAsia" w:eastAsiaTheme="majorEastAsia"/>
          <w:sz w:val="24"/>
        </w:rPr>
        <w:t>防渗层破裂后废水下渗导致地下水污染，含污染物的废水连续下渗，根据导则推荐：本项目采用一维半无限长多空介质柱体、一端为定浓度边界的弥散问题。</w:t>
      </w:r>
    </w:p>
    <w:p>
      <w:pPr>
        <w:spacing w:line="360" w:lineRule="auto"/>
        <w:ind w:firstLine="480" w:firstLineChars="200"/>
        <w:rPr>
          <w:kern w:val="0"/>
          <w:sz w:val="24"/>
          <w:szCs w:val="20"/>
        </w:rPr>
      </w:pPr>
      <w:r>
        <w:rPr>
          <w:rFonts w:hint="eastAsia" w:hAnsiTheme="majorEastAsia" w:eastAsiaTheme="majorEastAsia"/>
          <w:sz w:val="24"/>
        </w:rPr>
        <w:t>预测模式如下：</w:t>
      </w:r>
    </w:p>
    <w:p>
      <w:pPr>
        <w:spacing w:line="360" w:lineRule="auto"/>
        <w:ind w:firstLine="480" w:firstLineChars="200"/>
        <w:jc w:val="center"/>
        <w:rPr>
          <w:rFonts w:hAnsiTheme="majorEastAsia" w:eastAsiaTheme="majorEastAsia"/>
          <w:sz w:val="24"/>
        </w:rPr>
      </w:pPr>
      <w:r>
        <w:rPr>
          <w:rFonts w:hAnsiTheme="majorEastAsia" w:eastAsiaTheme="majorEastAsia"/>
          <w:sz w:val="24"/>
        </w:rPr>
        <w:drawing>
          <wp:inline distT="0" distB="0" distL="0" distR="0">
            <wp:extent cx="2771775" cy="609600"/>
            <wp:effectExtent l="19050" t="0" r="9525" b="0"/>
            <wp:docPr id="1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3"/>
                    <pic:cNvPicPr>
                      <a:picLocks noChangeAspect="1" noChangeArrowheads="1"/>
                    </pic:cNvPicPr>
                  </pic:nvPicPr>
                  <pic:blipFill>
                    <a:blip r:embed="rId39" cstate="print"/>
                    <a:srcRect/>
                    <a:stretch>
                      <a:fillRect/>
                    </a:stretch>
                  </pic:blipFill>
                  <pic:spPr>
                    <a:xfrm>
                      <a:off x="0" y="0"/>
                      <a:ext cx="2771775" cy="609600"/>
                    </a:xfrm>
                    <a:prstGeom prst="rect">
                      <a:avLst/>
                    </a:prstGeom>
                    <a:noFill/>
                    <a:ln w="9525">
                      <a:noFill/>
                      <a:miter lim="800000"/>
                      <a:headEnd/>
                      <a:tailEnd/>
                    </a:ln>
                  </pic:spPr>
                </pic:pic>
              </a:graphicData>
            </a:graphic>
          </wp:inline>
        </w:drawing>
      </w:r>
    </w:p>
    <w:p>
      <w:pPr>
        <w:spacing w:line="360" w:lineRule="auto"/>
        <w:ind w:firstLine="480" w:firstLineChars="200"/>
        <w:rPr>
          <w:kern w:val="0"/>
          <w:sz w:val="24"/>
          <w:szCs w:val="20"/>
        </w:rPr>
      </w:pPr>
      <w:r>
        <w:rPr>
          <w:rFonts w:hint="eastAsia"/>
          <w:kern w:val="0"/>
          <w:sz w:val="24"/>
          <w:szCs w:val="20"/>
        </w:rPr>
        <w:t>式中：X——距注入点的距离，m；</w:t>
      </w:r>
    </w:p>
    <w:p>
      <w:pPr>
        <w:spacing w:line="360" w:lineRule="auto"/>
        <w:ind w:firstLine="1200" w:firstLineChars="500"/>
        <w:rPr>
          <w:kern w:val="0"/>
          <w:sz w:val="24"/>
          <w:szCs w:val="20"/>
        </w:rPr>
      </w:pPr>
      <w:r>
        <w:rPr>
          <w:rFonts w:hint="eastAsia"/>
          <w:kern w:val="0"/>
          <w:sz w:val="24"/>
          <w:szCs w:val="20"/>
        </w:rPr>
        <w:t>t——时间，d；</w:t>
      </w:r>
    </w:p>
    <w:p>
      <w:pPr>
        <w:spacing w:line="360" w:lineRule="auto"/>
        <w:ind w:firstLine="1200" w:firstLineChars="500"/>
        <w:rPr>
          <w:kern w:val="0"/>
          <w:sz w:val="24"/>
          <w:szCs w:val="20"/>
        </w:rPr>
      </w:pPr>
      <w:r>
        <w:rPr>
          <w:rFonts w:hint="eastAsia"/>
          <w:kern w:val="0"/>
          <w:sz w:val="24"/>
          <w:szCs w:val="20"/>
        </w:rPr>
        <w:t>C(x,t)——t 时刻x 处的示踪剂浓度，g/L；</w:t>
      </w:r>
    </w:p>
    <w:p>
      <w:pPr>
        <w:spacing w:line="360" w:lineRule="auto"/>
        <w:ind w:firstLine="1200" w:firstLineChars="500"/>
        <w:rPr>
          <w:kern w:val="0"/>
          <w:sz w:val="24"/>
          <w:szCs w:val="20"/>
        </w:rPr>
      </w:pPr>
      <w:r>
        <w:rPr>
          <w:rFonts w:hint="eastAsia"/>
          <w:kern w:val="0"/>
          <w:sz w:val="24"/>
          <w:szCs w:val="20"/>
        </w:rPr>
        <w:t>C0——注入的示踪剂浓度，g/L；</w:t>
      </w:r>
    </w:p>
    <w:p>
      <w:pPr>
        <w:spacing w:line="360" w:lineRule="auto"/>
        <w:ind w:firstLine="1200" w:firstLineChars="500"/>
        <w:rPr>
          <w:kern w:val="0"/>
          <w:sz w:val="24"/>
          <w:szCs w:val="20"/>
        </w:rPr>
      </w:pPr>
      <w:r>
        <w:rPr>
          <w:rFonts w:hint="eastAsia"/>
          <w:kern w:val="0"/>
          <w:sz w:val="24"/>
          <w:szCs w:val="20"/>
        </w:rPr>
        <w:t>u——水流速度，m/d；</w:t>
      </w:r>
    </w:p>
    <w:p>
      <w:pPr>
        <w:spacing w:line="360" w:lineRule="auto"/>
        <w:ind w:firstLine="1200" w:firstLineChars="500"/>
        <w:rPr>
          <w:kern w:val="0"/>
          <w:sz w:val="24"/>
          <w:szCs w:val="20"/>
        </w:rPr>
      </w:pPr>
      <w:r>
        <w:rPr>
          <w:rFonts w:hint="eastAsia"/>
          <w:kern w:val="0"/>
          <w:sz w:val="24"/>
          <w:szCs w:val="20"/>
        </w:rPr>
        <w:t>DL——纵向弥散系数，m2/d；</w:t>
      </w:r>
    </w:p>
    <w:p>
      <w:pPr>
        <w:spacing w:line="360" w:lineRule="auto"/>
        <w:ind w:firstLine="1200" w:firstLineChars="500"/>
        <w:rPr>
          <w:kern w:val="0"/>
          <w:sz w:val="24"/>
          <w:szCs w:val="20"/>
        </w:rPr>
      </w:pPr>
      <w:r>
        <w:rPr>
          <w:rFonts w:hint="eastAsia"/>
          <w:kern w:val="0"/>
          <w:sz w:val="24"/>
          <w:szCs w:val="20"/>
        </w:rPr>
        <w:t>erfc（）——余误差函数（可查《水文地质手册》获得）；</w:t>
      </w:r>
    </w:p>
    <w:p>
      <w:pPr>
        <w:spacing w:line="360" w:lineRule="auto"/>
        <w:ind w:firstLine="480" w:firstLineChars="200"/>
        <w:rPr>
          <w:kern w:val="0"/>
          <w:sz w:val="24"/>
          <w:szCs w:val="20"/>
        </w:rPr>
      </w:pPr>
      <w:r>
        <w:rPr>
          <w:rFonts w:hint="eastAsia" w:hAnsiTheme="majorEastAsia" w:eastAsiaTheme="majorEastAsia"/>
          <w:sz w:val="24"/>
        </w:rPr>
        <w:t>（7）</w:t>
      </w:r>
      <w:r>
        <w:rPr>
          <w:rFonts w:hint="eastAsia" w:ascii="宋体" w:cs="宋体" w:hAnsiTheme="minorHAnsi"/>
          <w:kern w:val="0"/>
          <w:sz w:val="24"/>
        </w:rPr>
        <w:t>模拟预测结果及影响分析</w:t>
      </w:r>
    </w:p>
    <w:p>
      <w:pPr>
        <w:spacing w:line="360" w:lineRule="auto"/>
        <w:ind w:firstLine="480" w:firstLineChars="200"/>
        <w:rPr>
          <w:kern w:val="0"/>
          <w:sz w:val="24"/>
          <w:szCs w:val="20"/>
        </w:rPr>
      </w:pPr>
      <w:r>
        <w:rPr>
          <w:rFonts w:hint="eastAsia"/>
          <w:kern w:val="0"/>
          <w:sz w:val="24"/>
          <w:szCs w:val="20"/>
        </w:rPr>
        <w:t>本项目预测参数取值见下表。</w:t>
      </w:r>
    </w:p>
    <w:p>
      <w:pPr>
        <w:spacing w:beforeLines="50"/>
        <w:jc w:val="center"/>
        <w:rPr>
          <w:b/>
        </w:rPr>
      </w:pPr>
      <w:r>
        <w:rPr>
          <w:rFonts w:hint="eastAsia"/>
          <w:b/>
        </w:rPr>
        <w:t>表6.2-1</w:t>
      </w:r>
      <w:r>
        <w:rPr>
          <w:rFonts w:hint="eastAsia"/>
          <w:b/>
          <w:lang w:val="en-US" w:eastAsia="zh-CN"/>
        </w:rPr>
        <w:t>3</w:t>
      </w:r>
      <w:r>
        <w:rPr>
          <w:rFonts w:hint="eastAsia"/>
          <w:b/>
        </w:rPr>
        <w:t xml:space="preserve">  解析法预测参数取值表</w:t>
      </w:r>
    </w:p>
    <w:tbl>
      <w:tblPr>
        <w:tblStyle w:val="4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51"/>
        <w:gridCol w:w="65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44" w:type="pct"/>
            <w:vAlign w:val="center"/>
          </w:tcPr>
          <w:p>
            <w:pPr>
              <w:jc w:val="center"/>
              <w:rPr>
                <w:b/>
              </w:rPr>
            </w:pPr>
            <w:r>
              <w:rPr>
                <w:b/>
              </w:rPr>
              <w:t>项目</w:t>
            </w:r>
          </w:p>
        </w:tc>
        <w:tc>
          <w:tcPr>
            <w:tcW w:w="3856" w:type="pct"/>
            <w:vAlign w:val="center"/>
          </w:tcPr>
          <w:p>
            <w:pPr>
              <w:jc w:val="center"/>
              <w:rPr>
                <w:b/>
              </w:rPr>
            </w:pPr>
            <w:r>
              <w:rPr>
                <w:b/>
              </w:rPr>
              <w:t>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44" w:type="pct"/>
            <w:vAlign w:val="center"/>
          </w:tcPr>
          <w:p>
            <w:pPr>
              <w:jc w:val="center"/>
            </w:pPr>
            <w:r>
              <w:t>污染物浓度</w:t>
            </w:r>
          </w:p>
        </w:tc>
        <w:tc>
          <w:tcPr>
            <w:tcW w:w="3856" w:type="pct"/>
            <w:vAlign w:val="center"/>
          </w:tcPr>
          <w:p>
            <w:pPr>
              <w:jc w:val="center"/>
            </w:pPr>
            <w:r>
              <w:rPr>
                <w:rFonts w:hint="eastAsia"/>
              </w:rPr>
              <w:t>COD：</w:t>
            </w:r>
            <w:r>
              <w:rPr>
                <w:rFonts w:hint="eastAsia"/>
                <w:lang w:val="en-US" w:eastAsia="zh-CN"/>
              </w:rPr>
              <w:t>157.644</w:t>
            </w:r>
            <w:r>
              <w:rPr>
                <w:rFonts w:hint="eastAsia"/>
              </w:rPr>
              <w:t>mg/L；氨氮：</w:t>
            </w:r>
            <w:r>
              <w:rPr>
                <w:rFonts w:hint="eastAsia"/>
                <w:lang w:val="en-US" w:eastAsia="zh-CN"/>
              </w:rPr>
              <w:t>122.23</w:t>
            </w:r>
            <w:r>
              <w:rPr>
                <w:rFonts w:hint="eastAsia"/>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44" w:type="pct"/>
            <w:vAlign w:val="center"/>
          </w:tcPr>
          <w:p>
            <w:pPr>
              <w:jc w:val="center"/>
            </w:pPr>
            <w:r>
              <w:rPr>
                <w:rFonts w:hint="eastAsia"/>
              </w:rPr>
              <w:t>纵向弥散系数DL</w:t>
            </w:r>
          </w:p>
        </w:tc>
        <w:tc>
          <w:tcPr>
            <w:tcW w:w="3856" w:type="pct"/>
            <w:vAlign w:val="center"/>
          </w:tcPr>
          <w:p>
            <w:pPr>
              <w:jc w:val="center"/>
            </w:pPr>
            <w:r>
              <w:rPr>
                <w:rFonts w:hint="eastAsia"/>
              </w:rPr>
              <w:t>0.3m</w:t>
            </w:r>
            <w:r>
              <w:rPr>
                <w:rFonts w:hint="eastAsia"/>
                <w:vertAlign w:val="superscript"/>
              </w:rPr>
              <w:t>2</w:t>
            </w:r>
            <w:r>
              <w:rPr>
                <w:rFonts w:hint="eastAsia"/>
              </w:rPr>
              <w:t>/d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44" w:type="pct"/>
            <w:vAlign w:val="center"/>
          </w:tcPr>
          <w:p>
            <w:pPr>
              <w:jc w:val="center"/>
            </w:pPr>
            <w:r>
              <w:rPr>
                <w:rFonts w:hint="eastAsia"/>
              </w:rPr>
              <w:t>地下水流速u</w:t>
            </w:r>
          </w:p>
        </w:tc>
        <w:tc>
          <w:tcPr>
            <w:tcW w:w="3856" w:type="pct"/>
            <w:vAlign w:val="center"/>
          </w:tcPr>
          <w:p>
            <w:pPr>
              <w:jc w:val="center"/>
            </w:pPr>
            <w:r>
              <w:rPr>
                <w:rFonts w:hint="eastAsia"/>
              </w:rPr>
              <w:t>u=KI/n=0.005m/d；K—渗透系数，m/d，根据《环境影响评价技术导则地下水》（HJ610-2016）附录B，本项目地下水富集层主要为粉质黏土，渗透系数按经验值选取0.5m/d；I—水力坡度，本地水力坡度为5</w:t>
            </w:r>
            <w:r>
              <w:t>‰</w:t>
            </w:r>
            <w:r>
              <w:rPr>
                <w:rFonts w:hint="eastAsia"/>
              </w:rPr>
              <w:t>；n—有效孔隙度，无量纲，项目区域内有效孔隙度为0.5</w:t>
            </w:r>
          </w:p>
        </w:tc>
      </w:tr>
    </w:tbl>
    <w:p>
      <w:pPr>
        <w:spacing w:line="360" w:lineRule="auto"/>
        <w:ind w:firstLine="480" w:firstLineChars="200"/>
        <w:rPr>
          <w:kern w:val="0"/>
          <w:sz w:val="24"/>
          <w:szCs w:val="20"/>
        </w:rPr>
      </w:pPr>
      <w:r>
        <w:rPr>
          <w:rFonts w:hint="eastAsia"/>
          <w:kern w:val="0"/>
          <w:sz w:val="24"/>
          <w:szCs w:val="20"/>
        </w:rPr>
        <w:t>通过预测，</w:t>
      </w:r>
      <w:r>
        <w:rPr>
          <w:rFonts w:hint="eastAsia" w:ascii="Times New Roman" w:hAnsi="Times New Roman" w:cs="Times New Roman"/>
          <w:sz w:val="24"/>
          <w:lang w:val="en-US" w:eastAsia="zh-CN"/>
        </w:rPr>
        <w:t>污水处理站</w:t>
      </w:r>
      <w:r>
        <w:rPr>
          <w:rFonts w:hint="eastAsia"/>
          <w:kern w:val="0"/>
          <w:sz w:val="24"/>
          <w:szCs w:val="20"/>
        </w:rPr>
        <w:t>泄漏不同时段对地下水的影响程度见表6.2-1</w:t>
      </w:r>
      <w:r>
        <w:rPr>
          <w:rFonts w:hint="eastAsia"/>
          <w:kern w:val="0"/>
          <w:sz w:val="24"/>
          <w:szCs w:val="20"/>
          <w:lang w:val="en-US" w:eastAsia="zh-CN"/>
        </w:rPr>
        <w:t>4</w:t>
      </w:r>
      <w:r>
        <w:rPr>
          <w:rFonts w:hint="eastAsia"/>
          <w:kern w:val="0"/>
          <w:sz w:val="24"/>
          <w:szCs w:val="20"/>
        </w:rPr>
        <w:t>。</w:t>
      </w:r>
    </w:p>
    <w:p>
      <w:pPr>
        <w:spacing w:beforeLines="50"/>
        <w:jc w:val="center"/>
        <w:rPr>
          <w:b/>
        </w:rPr>
      </w:pPr>
      <w:r>
        <w:rPr>
          <w:rFonts w:hint="eastAsia"/>
          <w:b/>
        </w:rPr>
        <w:t>表6.2</w:t>
      </w:r>
      <w:r>
        <w:rPr>
          <w:rFonts w:hint="eastAsia"/>
          <w:b/>
          <w:lang w:val="en-US" w:eastAsia="zh-CN"/>
        </w:rPr>
        <w:t>-14</w:t>
      </w:r>
      <w:r>
        <w:rPr>
          <w:rFonts w:hint="eastAsia"/>
          <w:b/>
        </w:rPr>
        <w:t xml:space="preserve">  运营期生产废水泄漏不同时段对地下水的影响程度</w:t>
      </w:r>
    </w:p>
    <w:tbl>
      <w:tblPr>
        <w:tblStyle w:val="4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21"/>
        <w:gridCol w:w="1421"/>
        <w:gridCol w:w="1421"/>
        <w:gridCol w:w="1422"/>
        <w:gridCol w:w="1422"/>
        <w:gridCol w:w="142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666" w:type="pct"/>
            <w:gridSpan w:val="2"/>
            <w:tcBorders>
              <w:tl2br w:val="single" w:color="auto" w:sz="4" w:space="0"/>
            </w:tcBorders>
            <w:vAlign w:val="center"/>
          </w:tcPr>
          <w:p>
            <w:pPr>
              <w:jc w:val="center"/>
              <w:rPr>
                <w:b/>
                <w:szCs w:val="21"/>
              </w:rPr>
            </w:pPr>
            <w:r>
              <w:rPr>
                <w:b/>
                <w:szCs w:val="21"/>
              </w:rPr>
              <w:t>时段</w:t>
            </w:r>
          </w:p>
          <w:p>
            <w:pPr>
              <w:jc w:val="center"/>
              <w:rPr>
                <w:b/>
                <w:szCs w:val="21"/>
              </w:rPr>
            </w:pPr>
            <w:r>
              <w:rPr>
                <w:b/>
                <w:szCs w:val="21"/>
              </w:rPr>
              <w:t>结果</w:t>
            </w:r>
          </w:p>
        </w:tc>
        <w:tc>
          <w:tcPr>
            <w:tcW w:w="833" w:type="pct"/>
            <w:vAlign w:val="center"/>
          </w:tcPr>
          <w:p>
            <w:pPr>
              <w:jc w:val="center"/>
              <w:rPr>
                <w:b/>
                <w:szCs w:val="21"/>
              </w:rPr>
            </w:pPr>
            <w:r>
              <w:rPr>
                <w:rFonts w:hint="eastAsia"/>
                <w:b/>
                <w:szCs w:val="21"/>
              </w:rPr>
              <w:t>100d</w:t>
            </w:r>
          </w:p>
        </w:tc>
        <w:tc>
          <w:tcPr>
            <w:tcW w:w="834" w:type="pct"/>
            <w:vAlign w:val="center"/>
          </w:tcPr>
          <w:p>
            <w:pPr>
              <w:jc w:val="center"/>
              <w:rPr>
                <w:b/>
                <w:szCs w:val="21"/>
              </w:rPr>
            </w:pPr>
            <w:r>
              <w:rPr>
                <w:rFonts w:hint="eastAsia"/>
                <w:b/>
                <w:szCs w:val="21"/>
              </w:rPr>
              <w:t>365d</w:t>
            </w:r>
          </w:p>
        </w:tc>
        <w:tc>
          <w:tcPr>
            <w:tcW w:w="834" w:type="pct"/>
            <w:vAlign w:val="center"/>
          </w:tcPr>
          <w:p>
            <w:pPr>
              <w:jc w:val="center"/>
              <w:rPr>
                <w:b/>
                <w:szCs w:val="21"/>
              </w:rPr>
            </w:pPr>
            <w:r>
              <w:rPr>
                <w:rFonts w:hint="eastAsia"/>
                <w:b/>
                <w:szCs w:val="21"/>
              </w:rPr>
              <w:t>1000d</w:t>
            </w:r>
          </w:p>
        </w:tc>
        <w:tc>
          <w:tcPr>
            <w:tcW w:w="833" w:type="pct"/>
            <w:vAlign w:val="center"/>
          </w:tcPr>
          <w:p>
            <w:pPr>
              <w:jc w:val="center"/>
              <w:rPr>
                <w:b/>
                <w:szCs w:val="21"/>
              </w:rPr>
            </w:pPr>
            <w:r>
              <w:rPr>
                <w:rFonts w:hint="eastAsia"/>
                <w:b/>
                <w:szCs w:val="21"/>
              </w:rPr>
              <w:t>3650d</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3" w:type="pct"/>
            <w:vMerge w:val="restart"/>
            <w:vAlign w:val="center"/>
          </w:tcPr>
          <w:p>
            <w:pPr>
              <w:jc w:val="center"/>
              <w:rPr>
                <w:szCs w:val="21"/>
              </w:rPr>
            </w:pPr>
            <w:r>
              <w:rPr>
                <w:rFonts w:hint="eastAsia"/>
                <w:szCs w:val="21"/>
              </w:rPr>
              <w:t>COD</w:t>
            </w:r>
          </w:p>
        </w:tc>
        <w:tc>
          <w:tcPr>
            <w:tcW w:w="833" w:type="pct"/>
            <w:vAlign w:val="center"/>
          </w:tcPr>
          <w:p>
            <w:pPr>
              <w:jc w:val="center"/>
              <w:rPr>
                <w:szCs w:val="21"/>
              </w:rPr>
            </w:pPr>
            <w:r>
              <w:rPr>
                <w:rFonts w:hint="eastAsia"/>
                <w:szCs w:val="21"/>
              </w:rPr>
              <w:t>最大浓度值（mg/L）</w:t>
            </w:r>
          </w:p>
        </w:tc>
        <w:tc>
          <w:tcPr>
            <w:tcW w:w="833" w:type="pct"/>
            <w:vAlign w:val="center"/>
          </w:tcPr>
          <w:p>
            <w:pPr>
              <w:jc w:val="center"/>
              <w:rPr>
                <w:rFonts w:hint="default" w:eastAsia="宋体"/>
                <w:szCs w:val="21"/>
                <w:lang w:val="en-US" w:eastAsia="zh-CN"/>
              </w:rPr>
            </w:pPr>
            <w:r>
              <w:rPr>
                <w:rFonts w:hint="eastAsia"/>
                <w:szCs w:val="21"/>
                <w:lang w:val="en-US" w:eastAsia="zh-CN"/>
              </w:rPr>
              <w:t>157.644</w:t>
            </w:r>
          </w:p>
        </w:tc>
        <w:tc>
          <w:tcPr>
            <w:tcW w:w="834" w:type="pct"/>
            <w:vAlign w:val="center"/>
          </w:tcPr>
          <w:p>
            <w:pPr>
              <w:jc w:val="center"/>
              <w:rPr>
                <w:szCs w:val="21"/>
              </w:rPr>
            </w:pPr>
            <w:r>
              <w:rPr>
                <w:rFonts w:hint="eastAsia"/>
                <w:szCs w:val="21"/>
                <w:lang w:val="en-US" w:eastAsia="zh-CN"/>
              </w:rPr>
              <w:t>157.644</w:t>
            </w:r>
          </w:p>
        </w:tc>
        <w:tc>
          <w:tcPr>
            <w:tcW w:w="834" w:type="pct"/>
            <w:vAlign w:val="center"/>
          </w:tcPr>
          <w:p>
            <w:pPr>
              <w:jc w:val="center"/>
              <w:rPr>
                <w:szCs w:val="21"/>
              </w:rPr>
            </w:pPr>
            <w:r>
              <w:rPr>
                <w:rFonts w:hint="eastAsia"/>
                <w:szCs w:val="21"/>
                <w:lang w:val="en-US" w:eastAsia="zh-CN"/>
              </w:rPr>
              <w:t>157.644</w:t>
            </w:r>
          </w:p>
        </w:tc>
        <w:tc>
          <w:tcPr>
            <w:tcW w:w="833" w:type="pct"/>
            <w:vAlign w:val="center"/>
          </w:tcPr>
          <w:p>
            <w:pPr>
              <w:jc w:val="center"/>
              <w:rPr>
                <w:szCs w:val="21"/>
              </w:rPr>
            </w:pPr>
            <w:r>
              <w:rPr>
                <w:rFonts w:hint="eastAsia"/>
                <w:szCs w:val="21"/>
                <w:lang w:val="en-US" w:eastAsia="zh-CN"/>
              </w:rPr>
              <w:t>157.644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833" w:type="pct"/>
            <w:vMerge w:val="continue"/>
            <w:vAlign w:val="center"/>
          </w:tcPr>
          <w:p>
            <w:pPr>
              <w:jc w:val="center"/>
              <w:rPr>
                <w:szCs w:val="21"/>
              </w:rPr>
            </w:pPr>
          </w:p>
        </w:tc>
        <w:tc>
          <w:tcPr>
            <w:tcW w:w="833" w:type="pct"/>
            <w:vAlign w:val="center"/>
          </w:tcPr>
          <w:p>
            <w:pPr>
              <w:jc w:val="center"/>
              <w:rPr>
                <w:szCs w:val="21"/>
              </w:rPr>
            </w:pPr>
            <w:r>
              <w:rPr>
                <w:rFonts w:hint="eastAsia"/>
                <w:szCs w:val="21"/>
              </w:rPr>
              <w:t>最大浓度出现距离（m）</w:t>
            </w:r>
          </w:p>
        </w:tc>
        <w:tc>
          <w:tcPr>
            <w:tcW w:w="833" w:type="pct"/>
            <w:vAlign w:val="center"/>
          </w:tcPr>
          <w:p>
            <w:pPr>
              <w:jc w:val="center"/>
              <w:rPr>
                <w:szCs w:val="21"/>
              </w:rPr>
            </w:pPr>
            <w:r>
              <w:rPr>
                <w:rFonts w:hint="eastAsia"/>
                <w:szCs w:val="21"/>
              </w:rPr>
              <w:t>0</w:t>
            </w:r>
          </w:p>
        </w:tc>
        <w:tc>
          <w:tcPr>
            <w:tcW w:w="834" w:type="pct"/>
            <w:vAlign w:val="center"/>
          </w:tcPr>
          <w:p>
            <w:pPr>
              <w:jc w:val="center"/>
              <w:rPr>
                <w:szCs w:val="21"/>
              </w:rPr>
            </w:pPr>
            <w:r>
              <w:rPr>
                <w:rFonts w:hint="eastAsia"/>
                <w:szCs w:val="21"/>
              </w:rPr>
              <w:t>0</w:t>
            </w:r>
          </w:p>
        </w:tc>
        <w:tc>
          <w:tcPr>
            <w:tcW w:w="834" w:type="pct"/>
            <w:vAlign w:val="center"/>
          </w:tcPr>
          <w:p>
            <w:pPr>
              <w:jc w:val="center"/>
              <w:rPr>
                <w:szCs w:val="21"/>
              </w:rPr>
            </w:pPr>
            <w:r>
              <w:rPr>
                <w:rFonts w:hint="eastAsia"/>
                <w:szCs w:val="21"/>
              </w:rPr>
              <w:t>0</w:t>
            </w:r>
          </w:p>
        </w:tc>
        <w:tc>
          <w:tcPr>
            <w:tcW w:w="833" w:type="pct"/>
            <w:vAlign w:val="center"/>
          </w:tcPr>
          <w:p>
            <w:pPr>
              <w:jc w:val="center"/>
              <w:rPr>
                <w:szCs w:val="21"/>
              </w:rPr>
            </w:pPr>
            <w:r>
              <w:rPr>
                <w:rFonts w:hint="eastAsia"/>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3" w:type="pct"/>
            <w:vMerge w:val="continue"/>
            <w:vAlign w:val="center"/>
          </w:tcPr>
          <w:p>
            <w:pPr>
              <w:jc w:val="center"/>
              <w:rPr>
                <w:szCs w:val="21"/>
              </w:rPr>
            </w:pPr>
          </w:p>
        </w:tc>
        <w:tc>
          <w:tcPr>
            <w:tcW w:w="833" w:type="pct"/>
            <w:vAlign w:val="center"/>
          </w:tcPr>
          <w:p>
            <w:pPr>
              <w:jc w:val="center"/>
              <w:rPr>
                <w:szCs w:val="21"/>
              </w:rPr>
            </w:pPr>
            <w:r>
              <w:rPr>
                <w:rFonts w:hint="eastAsia"/>
                <w:szCs w:val="21"/>
              </w:rPr>
              <w:t>预测最远超标距离（m）</w:t>
            </w:r>
          </w:p>
        </w:tc>
        <w:tc>
          <w:tcPr>
            <w:tcW w:w="833" w:type="pct"/>
            <w:vAlign w:val="center"/>
          </w:tcPr>
          <w:p>
            <w:pPr>
              <w:jc w:val="center"/>
              <w:rPr>
                <w:rFonts w:hint="default" w:eastAsia="宋体"/>
                <w:szCs w:val="21"/>
                <w:lang w:val="en-US" w:eastAsia="zh-CN"/>
              </w:rPr>
            </w:pPr>
            <w:r>
              <w:rPr>
                <w:rFonts w:hint="eastAsia"/>
                <w:szCs w:val="21"/>
                <w:lang w:val="en-US" w:eastAsia="zh-CN"/>
              </w:rPr>
              <w:t>18</w:t>
            </w:r>
          </w:p>
        </w:tc>
        <w:tc>
          <w:tcPr>
            <w:tcW w:w="834" w:type="pct"/>
            <w:vAlign w:val="center"/>
          </w:tcPr>
          <w:p>
            <w:pPr>
              <w:jc w:val="center"/>
              <w:rPr>
                <w:rFonts w:hint="default" w:eastAsia="宋体"/>
                <w:szCs w:val="21"/>
                <w:lang w:val="en-US" w:eastAsia="zh-CN"/>
              </w:rPr>
            </w:pPr>
            <w:r>
              <w:rPr>
                <w:rFonts w:hint="eastAsia"/>
                <w:szCs w:val="21"/>
                <w:lang w:val="en-US" w:eastAsia="zh-CN"/>
              </w:rPr>
              <w:t>36</w:t>
            </w:r>
          </w:p>
        </w:tc>
        <w:tc>
          <w:tcPr>
            <w:tcW w:w="834" w:type="pct"/>
            <w:vAlign w:val="center"/>
          </w:tcPr>
          <w:p>
            <w:pPr>
              <w:jc w:val="center"/>
              <w:rPr>
                <w:rFonts w:hint="default" w:eastAsia="宋体"/>
                <w:szCs w:val="21"/>
                <w:lang w:val="en-US" w:eastAsia="zh-CN"/>
              </w:rPr>
            </w:pPr>
            <w:r>
              <w:rPr>
                <w:rFonts w:hint="eastAsia"/>
                <w:szCs w:val="21"/>
                <w:lang w:val="en-US" w:eastAsia="zh-CN"/>
              </w:rPr>
              <w:t>61</w:t>
            </w:r>
          </w:p>
        </w:tc>
        <w:tc>
          <w:tcPr>
            <w:tcW w:w="833" w:type="pct"/>
            <w:vAlign w:val="center"/>
          </w:tcPr>
          <w:p>
            <w:pPr>
              <w:jc w:val="center"/>
              <w:rPr>
                <w:rFonts w:hint="default" w:eastAsia="宋体"/>
                <w:szCs w:val="21"/>
                <w:lang w:val="en-US" w:eastAsia="zh-CN"/>
              </w:rPr>
            </w:pPr>
            <w:r>
              <w:rPr>
                <w:rFonts w:hint="eastAsia"/>
                <w:szCs w:val="21"/>
              </w:rPr>
              <w:t>1</w:t>
            </w:r>
            <w:r>
              <w:rPr>
                <w:rFonts w:hint="eastAsia"/>
                <w:szCs w:val="21"/>
                <w:lang w:val="en-US" w:eastAsia="zh-CN"/>
              </w:rPr>
              <w:t>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3" w:type="pct"/>
            <w:vMerge w:val="continue"/>
            <w:vAlign w:val="center"/>
          </w:tcPr>
          <w:p>
            <w:pPr>
              <w:jc w:val="center"/>
              <w:rPr>
                <w:szCs w:val="21"/>
              </w:rPr>
            </w:pPr>
          </w:p>
        </w:tc>
        <w:tc>
          <w:tcPr>
            <w:tcW w:w="833" w:type="pct"/>
            <w:vAlign w:val="center"/>
          </w:tcPr>
          <w:p>
            <w:pPr>
              <w:jc w:val="center"/>
              <w:rPr>
                <w:szCs w:val="21"/>
              </w:rPr>
            </w:pPr>
            <w:r>
              <w:rPr>
                <w:rFonts w:hint="eastAsia"/>
                <w:szCs w:val="21"/>
              </w:rPr>
              <w:t>预测最远影响距离（m）</w:t>
            </w:r>
          </w:p>
        </w:tc>
        <w:tc>
          <w:tcPr>
            <w:tcW w:w="833" w:type="pct"/>
            <w:vAlign w:val="center"/>
          </w:tcPr>
          <w:p>
            <w:pPr>
              <w:jc w:val="center"/>
              <w:rPr>
                <w:rFonts w:hint="default" w:eastAsia="宋体"/>
                <w:szCs w:val="21"/>
                <w:lang w:val="en-US" w:eastAsia="zh-CN"/>
              </w:rPr>
            </w:pPr>
            <w:r>
              <w:rPr>
                <w:rFonts w:hint="eastAsia"/>
                <w:szCs w:val="21"/>
                <w:lang w:val="en-US" w:eastAsia="zh-CN"/>
              </w:rPr>
              <w:t>66</w:t>
            </w:r>
          </w:p>
        </w:tc>
        <w:tc>
          <w:tcPr>
            <w:tcW w:w="834" w:type="pct"/>
            <w:vAlign w:val="center"/>
          </w:tcPr>
          <w:p>
            <w:pPr>
              <w:jc w:val="center"/>
              <w:rPr>
                <w:rFonts w:hint="eastAsia" w:eastAsia="宋体"/>
                <w:szCs w:val="21"/>
                <w:lang w:val="en-US" w:eastAsia="zh-CN"/>
              </w:rPr>
            </w:pPr>
            <w:r>
              <w:rPr>
                <w:rFonts w:hint="eastAsia"/>
                <w:szCs w:val="21"/>
              </w:rPr>
              <w:t>12</w:t>
            </w:r>
            <w:r>
              <w:rPr>
                <w:rFonts w:hint="eastAsia"/>
                <w:szCs w:val="21"/>
                <w:lang w:val="en-US" w:eastAsia="zh-CN"/>
              </w:rPr>
              <w:t>6</w:t>
            </w:r>
          </w:p>
        </w:tc>
        <w:tc>
          <w:tcPr>
            <w:tcW w:w="834" w:type="pct"/>
            <w:vAlign w:val="center"/>
          </w:tcPr>
          <w:p>
            <w:pPr>
              <w:jc w:val="center"/>
              <w:rPr>
                <w:rFonts w:hint="eastAsia" w:eastAsia="宋体"/>
                <w:szCs w:val="21"/>
                <w:lang w:val="en-US" w:eastAsia="zh-CN"/>
              </w:rPr>
            </w:pPr>
            <w:r>
              <w:rPr>
                <w:rFonts w:hint="eastAsia"/>
                <w:szCs w:val="21"/>
              </w:rPr>
              <w:t>21</w:t>
            </w:r>
            <w:r>
              <w:rPr>
                <w:rFonts w:hint="eastAsia"/>
                <w:szCs w:val="21"/>
                <w:lang w:val="en-US" w:eastAsia="zh-CN"/>
              </w:rPr>
              <w:t>1</w:t>
            </w:r>
          </w:p>
        </w:tc>
        <w:tc>
          <w:tcPr>
            <w:tcW w:w="833" w:type="pct"/>
            <w:vAlign w:val="center"/>
          </w:tcPr>
          <w:p>
            <w:pPr>
              <w:jc w:val="center"/>
              <w:rPr>
                <w:szCs w:val="21"/>
              </w:rPr>
            </w:pPr>
            <w:r>
              <w:rPr>
                <w:rFonts w:hint="eastAsia"/>
                <w:szCs w:val="21"/>
              </w:rPr>
              <w:t>411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3" w:type="pct"/>
            <w:vMerge w:val="restart"/>
            <w:vAlign w:val="center"/>
          </w:tcPr>
          <w:p>
            <w:pPr>
              <w:jc w:val="center"/>
              <w:rPr>
                <w:szCs w:val="21"/>
              </w:rPr>
            </w:pPr>
            <w:r>
              <w:rPr>
                <w:rFonts w:hint="eastAsia"/>
                <w:szCs w:val="21"/>
              </w:rPr>
              <w:t>氨氮</w:t>
            </w:r>
          </w:p>
        </w:tc>
        <w:tc>
          <w:tcPr>
            <w:tcW w:w="833" w:type="pct"/>
            <w:vAlign w:val="center"/>
          </w:tcPr>
          <w:p>
            <w:pPr>
              <w:jc w:val="center"/>
              <w:rPr>
                <w:szCs w:val="21"/>
              </w:rPr>
            </w:pPr>
            <w:r>
              <w:rPr>
                <w:rFonts w:hint="eastAsia"/>
                <w:szCs w:val="21"/>
              </w:rPr>
              <w:t>最大浓度值（mg/L）</w:t>
            </w:r>
          </w:p>
        </w:tc>
        <w:tc>
          <w:tcPr>
            <w:tcW w:w="833" w:type="pct"/>
            <w:vAlign w:val="center"/>
          </w:tcPr>
          <w:p>
            <w:pPr>
              <w:jc w:val="center"/>
              <w:rPr>
                <w:rFonts w:hint="default" w:eastAsia="宋体"/>
                <w:szCs w:val="21"/>
                <w:lang w:val="en-US" w:eastAsia="zh-CN"/>
              </w:rPr>
            </w:pPr>
            <w:r>
              <w:rPr>
                <w:rFonts w:hint="eastAsia"/>
                <w:szCs w:val="21"/>
                <w:lang w:val="en-US" w:eastAsia="zh-CN"/>
              </w:rPr>
              <w:t>122.23</w:t>
            </w:r>
          </w:p>
        </w:tc>
        <w:tc>
          <w:tcPr>
            <w:tcW w:w="834" w:type="pct"/>
            <w:vAlign w:val="center"/>
          </w:tcPr>
          <w:p>
            <w:pPr>
              <w:jc w:val="center"/>
              <w:rPr>
                <w:szCs w:val="21"/>
              </w:rPr>
            </w:pPr>
            <w:r>
              <w:rPr>
                <w:rFonts w:hint="eastAsia"/>
                <w:szCs w:val="21"/>
                <w:lang w:val="en-US" w:eastAsia="zh-CN"/>
              </w:rPr>
              <w:t>122.23</w:t>
            </w:r>
          </w:p>
        </w:tc>
        <w:tc>
          <w:tcPr>
            <w:tcW w:w="834" w:type="pct"/>
            <w:vAlign w:val="center"/>
          </w:tcPr>
          <w:p>
            <w:pPr>
              <w:jc w:val="center"/>
              <w:rPr>
                <w:szCs w:val="21"/>
              </w:rPr>
            </w:pPr>
            <w:r>
              <w:rPr>
                <w:rFonts w:hint="eastAsia"/>
                <w:szCs w:val="21"/>
                <w:lang w:val="en-US" w:eastAsia="zh-CN"/>
              </w:rPr>
              <w:t>122.23</w:t>
            </w:r>
          </w:p>
        </w:tc>
        <w:tc>
          <w:tcPr>
            <w:tcW w:w="833" w:type="pct"/>
            <w:vAlign w:val="center"/>
          </w:tcPr>
          <w:p>
            <w:pPr>
              <w:jc w:val="center"/>
              <w:rPr>
                <w:szCs w:val="21"/>
              </w:rPr>
            </w:pPr>
            <w:r>
              <w:rPr>
                <w:rFonts w:hint="eastAsia"/>
                <w:szCs w:val="21"/>
                <w:lang w:val="en-US" w:eastAsia="zh-CN"/>
              </w:rPr>
              <w:t>122.23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3" w:type="pct"/>
            <w:vMerge w:val="continue"/>
            <w:vAlign w:val="center"/>
          </w:tcPr>
          <w:p>
            <w:pPr>
              <w:jc w:val="center"/>
              <w:rPr>
                <w:szCs w:val="21"/>
              </w:rPr>
            </w:pPr>
          </w:p>
        </w:tc>
        <w:tc>
          <w:tcPr>
            <w:tcW w:w="833" w:type="pct"/>
            <w:vAlign w:val="center"/>
          </w:tcPr>
          <w:p>
            <w:pPr>
              <w:jc w:val="center"/>
              <w:rPr>
                <w:szCs w:val="21"/>
              </w:rPr>
            </w:pPr>
            <w:r>
              <w:rPr>
                <w:rFonts w:hint="eastAsia"/>
                <w:szCs w:val="21"/>
              </w:rPr>
              <w:t>最大浓度出现距离（m）</w:t>
            </w:r>
          </w:p>
        </w:tc>
        <w:tc>
          <w:tcPr>
            <w:tcW w:w="833" w:type="pct"/>
            <w:vAlign w:val="center"/>
          </w:tcPr>
          <w:p>
            <w:pPr>
              <w:jc w:val="center"/>
              <w:rPr>
                <w:szCs w:val="21"/>
              </w:rPr>
            </w:pPr>
            <w:r>
              <w:rPr>
                <w:rFonts w:hint="eastAsia"/>
                <w:szCs w:val="21"/>
              </w:rPr>
              <w:t>0</w:t>
            </w:r>
          </w:p>
        </w:tc>
        <w:tc>
          <w:tcPr>
            <w:tcW w:w="834" w:type="pct"/>
            <w:vAlign w:val="center"/>
          </w:tcPr>
          <w:p>
            <w:pPr>
              <w:jc w:val="center"/>
              <w:rPr>
                <w:szCs w:val="21"/>
              </w:rPr>
            </w:pPr>
            <w:r>
              <w:rPr>
                <w:rFonts w:hint="eastAsia"/>
                <w:szCs w:val="21"/>
              </w:rPr>
              <w:t>0</w:t>
            </w:r>
          </w:p>
        </w:tc>
        <w:tc>
          <w:tcPr>
            <w:tcW w:w="834" w:type="pct"/>
            <w:vAlign w:val="center"/>
          </w:tcPr>
          <w:p>
            <w:pPr>
              <w:jc w:val="center"/>
              <w:rPr>
                <w:szCs w:val="21"/>
              </w:rPr>
            </w:pPr>
            <w:r>
              <w:rPr>
                <w:rFonts w:hint="eastAsia"/>
                <w:szCs w:val="21"/>
              </w:rPr>
              <w:t>0</w:t>
            </w:r>
          </w:p>
        </w:tc>
        <w:tc>
          <w:tcPr>
            <w:tcW w:w="833" w:type="pct"/>
            <w:vAlign w:val="center"/>
          </w:tcPr>
          <w:p>
            <w:pPr>
              <w:jc w:val="center"/>
              <w:rPr>
                <w:szCs w:val="21"/>
              </w:rPr>
            </w:pPr>
            <w:r>
              <w:rPr>
                <w:rFonts w:hint="eastAsia"/>
                <w:szCs w:val="21"/>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3" w:type="pct"/>
            <w:vMerge w:val="continue"/>
            <w:vAlign w:val="center"/>
          </w:tcPr>
          <w:p>
            <w:pPr>
              <w:jc w:val="center"/>
              <w:rPr>
                <w:szCs w:val="21"/>
              </w:rPr>
            </w:pPr>
          </w:p>
        </w:tc>
        <w:tc>
          <w:tcPr>
            <w:tcW w:w="833" w:type="pct"/>
            <w:vAlign w:val="center"/>
          </w:tcPr>
          <w:p>
            <w:pPr>
              <w:jc w:val="center"/>
              <w:rPr>
                <w:szCs w:val="21"/>
              </w:rPr>
            </w:pPr>
            <w:r>
              <w:rPr>
                <w:rFonts w:hint="eastAsia"/>
                <w:szCs w:val="21"/>
              </w:rPr>
              <w:t>预测最远超标距离（m）</w:t>
            </w:r>
          </w:p>
        </w:tc>
        <w:tc>
          <w:tcPr>
            <w:tcW w:w="833" w:type="pct"/>
            <w:vAlign w:val="center"/>
          </w:tcPr>
          <w:p>
            <w:pPr>
              <w:jc w:val="center"/>
              <w:rPr>
                <w:rFonts w:hint="eastAsia" w:eastAsia="宋体"/>
                <w:szCs w:val="21"/>
                <w:lang w:val="en-US" w:eastAsia="zh-CN"/>
              </w:rPr>
            </w:pPr>
            <w:r>
              <w:rPr>
                <w:rFonts w:hint="eastAsia"/>
                <w:szCs w:val="21"/>
              </w:rPr>
              <w:t>2</w:t>
            </w:r>
            <w:r>
              <w:rPr>
                <w:rFonts w:hint="eastAsia"/>
                <w:szCs w:val="21"/>
                <w:lang w:val="en-US" w:eastAsia="zh-CN"/>
              </w:rPr>
              <w:t>2</w:t>
            </w:r>
          </w:p>
        </w:tc>
        <w:tc>
          <w:tcPr>
            <w:tcW w:w="834" w:type="pct"/>
            <w:vAlign w:val="center"/>
          </w:tcPr>
          <w:p>
            <w:pPr>
              <w:jc w:val="center"/>
              <w:rPr>
                <w:rFonts w:hint="eastAsia" w:eastAsia="宋体"/>
                <w:szCs w:val="21"/>
                <w:lang w:eastAsia="zh-CN"/>
              </w:rPr>
            </w:pPr>
            <w:r>
              <w:rPr>
                <w:rFonts w:hint="eastAsia"/>
                <w:szCs w:val="21"/>
              </w:rPr>
              <w:t>4</w:t>
            </w:r>
            <w:r>
              <w:rPr>
                <w:rFonts w:hint="eastAsia"/>
                <w:szCs w:val="21"/>
                <w:lang w:val="en-US" w:eastAsia="zh-CN"/>
              </w:rPr>
              <w:t>4</w:t>
            </w:r>
          </w:p>
        </w:tc>
        <w:tc>
          <w:tcPr>
            <w:tcW w:w="834" w:type="pct"/>
            <w:vAlign w:val="center"/>
          </w:tcPr>
          <w:p>
            <w:pPr>
              <w:jc w:val="center"/>
              <w:rPr>
                <w:rFonts w:hint="default" w:eastAsia="宋体"/>
                <w:szCs w:val="21"/>
                <w:lang w:val="en-US" w:eastAsia="zh-CN"/>
              </w:rPr>
            </w:pPr>
            <w:r>
              <w:rPr>
                <w:rFonts w:hint="eastAsia"/>
                <w:szCs w:val="21"/>
                <w:lang w:val="en-US" w:eastAsia="zh-CN"/>
              </w:rPr>
              <w:t>74</w:t>
            </w:r>
          </w:p>
        </w:tc>
        <w:tc>
          <w:tcPr>
            <w:tcW w:w="833" w:type="pct"/>
            <w:vAlign w:val="center"/>
          </w:tcPr>
          <w:p>
            <w:pPr>
              <w:jc w:val="center"/>
              <w:rPr>
                <w:rFonts w:hint="default" w:eastAsia="宋体"/>
                <w:szCs w:val="21"/>
                <w:lang w:val="en-US" w:eastAsia="zh-CN"/>
              </w:rPr>
            </w:pPr>
            <w:r>
              <w:rPr>
                <w:rFonts w:hint="eastAsia"/>
                <w:szCs w:val="21"/>
              </w:rPr>
              <w:t>1</w:t>
            </w:r>
            <w:r>
              <w:rPr>
                <w:rFonts w:hint="eastAsia"/>
                <w:szCs w:val="21"/>
                <w:lang w:val="en-US" w:eastAsia="zh-CN"/>
              </w:rPr>
              <w:t>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33" w:type="pct"/>
            <w:vMerge w:val="continue"/>
            <w:vAlign w:val="center"/>
          </w:tcPr>
          <w:p>
            <w:pPr>
              <w:jc w:val="center"/>
              <w:rPr>
                <w:szCs w:val="21"/>
              </w:rPr>
            </w:pPr>
          </w:p>
        </w:tc>
        <w:tc>
          <w:tcPr>
            <w:tcW w:w="833" w:type="pct"/>
            <w:vAlign w:val="center"/>
          </w:tcPr>
          <w:p>
            <w:pPr>
              <w:jc w:val="center"/>
              <w:rPr>
                <w:szCs w:val="21"/>
              </w:rPr>
            </w:pPr>
            <w:r>
              <w:rPr>
                <w:rFonts w:hint="eastAsia"/>
                <w:szCs w:val="21"/>
              </w:rPr>
              <w:t>预测最远影响距离（m）</w:t>
            </w:r>
          </w:p>
        </w:tc>
        <w:tc>
          <w:tcPr>
            <w:tcW w:w="833" w:type="pct"/>
            <w:vAlign w:val="center"/>
          </w:tcPr>
          <w:p>
            <w:pPr>
              <w:jc w:val="center"/>
              <w:rPr>
                <w:rFonts w:hint="eastAsia" w:eastAsia="宋体"/>
                <w:szCs w:val="21"/>
                <w:lang w:val="en-US" w:eastAsia="zh-CN"/>
              </w:rPr>
            </w:pPr>
            <w:r>
              <w:rPr>
                <w:rFonts w:hint="eastAsia"/>
                <w:szCs w:val="21"/>
              </w:rPr>
              <w:t>6</w:t>
            </w:r>
            <w:r>
              <w:rPr>
                <w:rFonts w:hint="eastAsia"/>
                <w:szCs w:val="21"/>
                <w:lang w:val="en-US" w:eastAsia="zh-CN"/>
              </w:rPr>
              <w:t>6</w:t>
            </w:r>
          </w:p>
        </w:tc>
        <w:tc>
          <w:tcPr>
            <w:tcW w:w="834" w:type="pct"/>
            <w:vAlign w:val="center"/>
          </w:tcPr>
          <w:p>
            <w:pPr>
              <w:jc w:val="center"/>
              <w:rPr>
                <w:szCs w:val="21"/>
              </w:rPr>
            </w:pPr>
            <w:r>
              <w:rPr>
                <w:rFonts w:hint="eastAsia"/>
                <w:szCs w:val="21"/>
              </w:rPr>
              <w:t>126</w:t>
            </w:r>
          </w:p>
        </w:tc>
        <w:tc>
          <w:tcPr>
            <w:tcW w:w="834" w:type="pct"/>
            <w:vAlign w:val="center"/>
          </w:tcPr>
          <w:p>
            <w:pPr>
              <w:jc w:val="center"/>
              <w:rPr>
                <w:szCs w:val="21"/>
              </w:rPr>
            </w:pPr>
            <w:r>
              <w:rPr>
                <w:rFonts w:hint="eastAsia"/>
                <w:szCs w:val="21"/>
              </w:rPr>
              <w:t>211</w:t>
            </w:r>
          </w:p>
        </w:tc>
        <w:tc>
          <w:tcPr>
            <w:tcW w:w="833" w:type="pct"/>
            <w:vAlign w:val="center"/>
          </w:tcPr>
          <w:p>
            <w:pPr>
              <w:jc w:val="center"/>
              <w:rPr>
                <w:szCs w:val="21"/>
              </w:rPr>
            </w:pPr>
            <w:r>
              <w:rPr>
                <w:rFonts w:hint="eastAsia"/>
                <w:szCs w:val="21"/>
              </w:rPr>
              <w:t>411</w:t>
            </w:r>
          </w:p>
        </w:tc>
      </w:tr>
    </w:tbl>
    <w:p>
      <w:pPr>
        <w:autoSpaceDE w:val="0"/>
        <w:autoSpaceDN w:val="0"/>
        <w:adjustRightInd w:val="0"/>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根据预测结果可知，污染因子</w:t>
      </w:r>
      <w:r>
        <w:rPr>
          <w:rFonts w:hAnsiTheme="minorEastAsia" w:eastAsiaTheme="minorEastAsia"/>
          <w:kern w:val="0"/>
          <w:sz w:val="24"/>
        </w:rPr>
        <w:t>COD</w:t>
      </w:r>
      <w:r>
        <w:rPr>
          <w:rFonts w:hint="eastAsia" w:hAnsiTheme="minorEastAsia" w:eastAsiaTheme="minorEastAsia"/>
          <w:kern w:val="0"/>
          <w:sz w:val="24"/>
        </w:rPr>
        <w:t>泄漏</w:t>
      </w:r>
      <w:r>
        <w:rPr>
          <w:rFonts w:hAnsiTheme="minorEastAsia" w:eastAsiaTheme="minorEastAsia"/>
          <w:kern w:val="0"/>
          <w:sz w:val="24"/>
        </w:rPr>
        <w:t>100</w:t>
      </w:r>
      <w:r>
        <w:rPr>
          <w:rFonts w:hint="eastAsia" w:hAnsiTheme="minorEastAsia" w:eastAsiaTheme="minorEastAsia"/>
          <w:kern w:val="0"/>
          <w:sz w:val="24"/>
        </w:rPr>
        <w:t>天时，预测超标距离为</w:t>
      </w:r>
      <w:r>
        <w:rPr>
          <w:rFonts w:hint="eastAsia" w:hAnsiTheme="minorEastAsia" w:eastAsiaTheme="minorEastAsia"/>
          <w:kern w:val="0"/>
          <w:sz w:val="24"/>
          <w:lang w:val="en-US" w:eastAsia="zh-CN"/>
        </w:rPr>
        <w:t>18</w:t>
      </w:r>
      <w:r>
        <w:rPr>
          <w:rFonts w:hAnsiTheme="minorEastAsia" w:eastAsiaTheme="minorEastAsia"/>
          <w:kern w:val="0"/>
          <w:sz w:val="24"/>
        </w:rPr>
        <w:t>m</w:t>
      </w:r>
      <w:r>
        <w:rPr>
          <w:rFonts w:hint="eastAsia" w:hAnsiTheme="minorEastAsia" w:eastAsiaTheme="minorEastAsia"/>
          <w:kern w:val="0"/>
          <w:sz w:val="24"/>
        </w:rPr>
        <w:t>；影响距离为6</w:t>
      </w:r>
      <w:r>
        <w:rPr>
          <w:rFonts w:hint="eastAsia" w:hAnsiTheme="minorEastAsia" w:eastAsiaTheme="minorEastAsia"/>
          <w:kern w:val="0"/>
          <w:sz w:val="24"/>
          <w:lang w:val="en-US" w:eastAsia="zh-CN"/>
        </w:rPr>
        <w:t>6</w:t>
      </w:r>
      <w:r>
        <w:rPr>
          <w:rFonts w:hAnsiTheme="minorEastAsia" w:eastAsiaTheme="minorEastAsia"/>
          <w:kern w:val="0"/>
          <w:sz w:val="24"/>
        </w:rPr>
        <w:t>m</w:t>
      </w:r>
      <w:r>
        <w:rPr>
          <w:rFonts w:hint="eastAsia" w:hAnsiTheme="minorEastAsia" w:eastAsiaTheme="minorEastAsia"/>
          <w:kern w:val="0"/>
          <w:sz w:val="24"/>
        </w:rPr>
        <w:t>；</w:t>
      </w:r>
      <w:r>
        <w:rPr>
          <w:rFonts w:hAnsiTheme="minorEastAsia" w:eastAsiaTheme="minorEastAsia"/>
          <w:kern w:val="0"/>
          <w:sz w:val="24"/>
        </w:rPr>
        <w:t>365</w:t>
      </w:r>
      <w:r>
        <w:rPr>
          <w:rFonts w:hint="eastAsia" w:hAnsiTheme="minorEastAsia" w:eastAsiaTheme="minorEastAsia"/>
          <w:kern w:val="0"/>
          <w:sz w:val="24"/>
        </w:rPr>
        <w:t>天时，预测超标距离为</w:t>
      </w:r>
      <w:r>
        <w:rPr>
          <w:rFonts w:hint="eastAsia" w:hAnsiTheme="minorEastAsia" w:eastAsiaTheme="minorEastAsia"/>
          <w:kern w:val="0"/>
          <w:sz w:val="24"/>
          <w:lang w:val="en-US" w:eastAsia="zh-CN"/>
        </w:rPr>
        <w:t>36</w:t>
      </w:r>
      <w:r>
        <w:rPr>
          <w:rFonts w:hAnsiTheme="minorEastAsia" w:eastAsiaTheme="minorEastAsia"/>
          <w:kern w:val="0"/>
          <w:sz w:val="24"/>
        </w:rPr>
        <w:t>m</w:t>
      </w:r>
      <w:r>
        <w:rPr>
          <w:rFonts w:hint="eastAsia" w:hAnsiTheme="minorEastAsia" w:eastAsiaTheme="minorEastAsia"/>
          <w:kern w:val="0"/>
          <w:sz w:val="24"/>
        </w:rPr>
        <w:t>，影响距离为</w:t>
      </w:r>
      <w:r>
        <w:rPr>
          <w:rFonts w:hint="eastAsia" w:hAnsiTheme="minorEastAsia" w:eastAsiaTheme="minorEastAsia"/>
          <w:kern w:val="0"/>
          <w:sz w:val="24"/>
          <w:lang w:val="en-US" w:eastAsia="zh-CN"/>
        </w:rPr>
        <w:t>126</w:t>
      </w:r>
      <w:r>
        <w:rPr>
          <w:rFonts w:hAnsiTheme="minorEastAsia" w:eastAsiaTheme="minorEastAsia"/>
          <w:kern w:val="0"/>
          <w:sz w:val="24"/>
        </w:rPr>
        <w:t>m</w:t>
      </w:r>
      <w:r>
        <w:rPr>
          <w:rFonts w:hint="eastAsia" w:hAnsiTheme="minorEastAsia" w:eastAsiaTheme="minorEastAsia"/>
          <w:kern w:val="0"/>
          <w:sz w:val="24"/>
        </w:rPr>
        <w:t>；</w:t>
      </w:r>
      <w:r>
        <w:rPr>
          <w:rFonts w:hAnsiTheme="minorEastAsia" w:eastAsiaTheme="minorEastAsia"/>
          <w:kern w:val="0"/>
          <w:sz w:val="24"/>
        </w:rPr>
        <w:t>1000</w:t>
      </w:r>
      <w:r>
        <w:rPr>
          <w:rFonts w:hint="eastAsia" w:hAnsiTheme="minorEastAsia" w:eastAsiaTheme="minorEastAsia"/>
          <w:kern w:val="0"/>
          <w:sz w:val="24"/>
        </w:rPr>
        <w:t>天时，预测超标距离为</w:t>
      </w:r>
      <w:r>
        <w:rPr>
          <w:rFonts w:hint="eastAsia" w:hAnsiTheme="minorEastAsia" w:eastAsiaTheme="minorEastAsia"/>
          <w:kern w:val="0"/>
          <w:sz w:val="24"/>
          <w:lang w:val="en-US" w:eastAsia="zh-CN"/>
        </w:rPr>
        <w:t>61</w:t>
      </w:r>
      <w:r>
        <w:rPr>
          <w:rFonts w:hAnsiTheme="minorEastAsia" w:eastAsiaTheme="minorEastAsia"/>
          <w:kern w:val="0"/>
          <w:sz w:val="24"/>
        </w:rPr>
        <w:t>m</w:t>
      </w:r>
      <w:r>
        <w:rPr>
          <w:rFonts w:hint="eastAsia" w:hAnsiTheme="minorEastAsia" w:eastAsiaTheme="minorEastAsia"/>
          <w:kern w:val="0"/>
          <w:sz w:val="24"/>
        </w:rPr>
        <w:t>，影响距离为211</w:t>
      </w:r>
      <w:r>
        <w:rPr>
          <w:rFonts w:hAnsiTheme="minorEastAsia" w:eastAsiaTheme="minorEastAsia"/>
          <w:kern w:val="0"/>
          <w:sz w:val="24"/>
        </w:rPr>
        <w:t>m</w:t>
      </w:r>
      <w:r>
        <w:rPr>
          <w:rFonts w:hint="eastAsia" w:hAnsiTheme="minorEastAsia" w:eastAsiaTheme="minorEastAsia"/>
          <w:kern w:val="0"/>
          <w:sz w:val="24"/>
        </w:rPr>
        <w:t>；</w:t>
      </w:r>
      <w:r>
        <w:rPr>
          <w:rFonts w:hAnsiTheme="minorEastAsia" w:eastAsiaTheme="minorEastAsia"/>
          <w:kern w:val="0"/>
          <w:sz w:val="24"/>
        </w:rPr>
        <w:t>3650</w:t>
      </w:r>
      <w:r>
        <w:rPr>
          <w:rFonts w:hint="eastAsia" w:hAnsiTheme="minorEastAsia" w:eastAsiaTheme="minorEastAsia"/>
          <w:kern w:val="0"/>
          <w:sz w:val="24"/>
        </w:rPr>
        <w:t>天时，预测超标距离为</w:t>
      </w:r>
      <w:r>
        <w:rPr>
          <w:rFonts w:hAnsiTheme="minorEastAsia" w:eastAsiaTheme="minorEastAsia"/>
          <w:kern w:val="0"/>
          <w:sz w:val="24"/>
        </w:rPr>
        <w:t>1</w:t>
      </w:r>
      <w:r>
        <w:rPr>
          <w:rFonts w:hint="eastAsia" w:hAnsiTheme="minorEastAsia" w:eastAsiaTheme="minorEastAsia"/>
          <w:kern w:val="0"/>
          <w:sz w:val="24"/>
          <w:lang w:val="en-US" w:eastAsia="zh-CN"/>
        </w:rPr>
        <w:t>26</w:t>
      </w:r>
      <w:r>
        <w:rPr>
          <w:rFonts w:hAnsiTheme="minorEastAsia" w:eastAsiaTheme="minorEastAsia"/>
          <w:kern w:val="0"/>
          <w:sz w:val="24"/>
        </w:rPr>
        <w:t>m</w:t>
      </w:r>
      <w:r>
        <w:rPr>
          <w:rFonts w:hint="eastAsia" w:hAnsiTheme="minorEastAsia" w:eastAsiaTheme="minorEastAsia"/>
          <w:kern w:val="0"/>
          <w:sz w:val="24"/>
        </w:rPr>
        <w:t>，影响距离为411</w:t>
      </w:r>
      <w:r>
        <w:rPr>
          <w:rFonts w:hAnsiTheme="minorEastAsia" w:eastAsiaTheme="minorEastAsia"/>
          <w:kern w:val="0"/>
          <w:sz w:val="24"/>
        </w:rPr>
        <w:t>m</w:t>
      </w:r>
      <w:r>
        <w:rPr>
          <w:rFonts w:hint="eastAsia" w:hAnsiTheme="minorEastAsia" w:eastAsiaTheme="minorEastAsia"/>
          <w:kern w:val="0"/>
          <w:sz w:val="24"/>
        </w:rPr>
        <w:t>。污染因子氨氮泄漏</w:t>
      </w:r>
      <w:r>
        <w:rPr>
          <w:rFonts w:hAnsiTheme="minorEastAsia" w:eastAsiaTheme="minorEastAsia"/>
          <w:kern w:val="0"/>
          <w:sz w:val="24"/>
        </w:rPr>
        <w:t>100</w:t>
      </w:r>
      <w:r>
        <w:rPr>
          <w:rFonts w:hint="eastAsia" w:hAnsiTheme="minorEastAsia" w:eastAsiaTheme="minorEastAsia"/>
          <w:kern w:val="0"/>
          <w:sz w:val="24"/>
        </w:rPr>
        <w:t>天时，预测超标距离为</w:t>
      </w:r>
      <w:r>
        <w:rPr>
          <w:rFonts w:hAnsiTheme="minorEastAsia" w:eastAsiaTheme="minorEastAsia"/>
          <w:kern w:val="0"/>
          <w:sz w:val="24"/>
        </w:rPr>
        <w:t>2</w:t>
      </w:r>
      <w:r>
        <w:rPr>
          <w:rFonts w:hint="eastAsia" w:hAnsiTheme="minorEastAsia" w:eastAsiaTheme="minorEastAsia"/>
          <w:kern w:val="0"/>
          <w:sz w:val="24"/>
          <w:lang w:val="en-US" w:eastAsia="zh-CN"/>
        </w:rPr>
        <w:t>2</w:t>
      </w:r>
      <w:r>
        <w:rPr>
          <w:rFonts w:hAnsiTheme="minorEastAsia" w:eastAsiaTheme="minorEastAsia"/>
          <w:kern w:val="0"/>
          <w:sz w:val="24"/>
        </w:rPr>
        <w:t>m</w:t>
      </w:r>
      <w:r>
        <w:rPr>
          <w:rFonts w:hint="eastAsia" w:hAnsiTheme="minorEastAsia" w:eastAsiaTheme="minorEastAsia"/>
          <w:kern w:val="0"/>
          <w:sz w:val="24"/>
        </w:rPr>
        <w:t>，影响距离为66</w:t>
      </w:r>
      <w:r>
        <w:rPr>
          <w:rFonts w:hAnsiTheme="minorEastAsia" w:eastAsiaTheme="minorEastAsia"/>
          <w:kern w:val="0"/>
          <w:sz w:val="24"/>
        </w:rPr>
        <w:t>m</w:t>
      </w:r>
      <w:r>
        <w:rPr>
          <w:rFonts w:hint="eastAsia" w:hAnsiTheme="minorEastAsia" w:eastAsiaTheme="minorEastAsia"/>
          <w:kern w:val="0"/>
          <w:sz w:val="24"/>
        </w:rPr>
        <w:t>；</w:t>
      </w:r>
      <w:r>
        <w:rPr>
          <w:rFonts w:hAnsiTheme="minorEastAsia" w:eastAsiaTheme="minorEastAsia"/>
          <w:kern w:val="0"/>
          <w:sz w:val="24"/>
        </w:rPr>
        <w:t>365</w:t>
      </w:r>
      <w:r>
        <w:rPr>
          <w:rFonts w:hint="eastAsia" w:hAnsiTheme="minorEastAsia" w:eastAsiaTheme="minorEastAsia"/>
          <w:kern w:val="0"/>
          <w:sz w:val="24"/>
        </w:rPr>
        <w:t>天时，预测超标距离为4</w:t>
      </w:r>
      <w:r>
        <w:rPr>
          <w:rFonts w:hint="eastAsia" w:hAnsiTheme="minorEastAsia" w:eastAsiaTheme="minorEastAsia"/>
          <w:kern w:val="0"/>
          <w:sz w:val="24"/>
          <w:lang w:val="en-US" w:eastAsia="zh-CN"/>
        </w:rPr>
        <w:t>4</w:t>
      </w:r>
      <w:r>
        <w:rPr>
          <w:rFonts w:hAnsiTheme="minorEastAsia" w:eastAsiaTheme="minorEastAsia"/>
          <w:kern w:val="0"/>
          <w:sz w:val="24"/>
        </w:rPr>
        <w:t>m</w:t>
      </w:r>
      <w:r>
        <w:rPr>
          <w:rFonts w:hint="eastAsia" w:hAnsiTheme="minorEastAsia" w:eastAsiaTheme="minorEastAsia"/>
          <w:kern w:val="0"/>
          <w:sz w:val="24"/>
        </w:rPr>
        <w:t>，影响距离为126</w:t>
      </w:r>
      <w:r>
        <w:rPr>
          <w:rFonts w:hAnsiTheme="minorEastAsia" w:eastAsiaTheme="minorEastAsia"/>
          <w:kern w:val="0"/>
          <w:sz w:val="24"/>
        </w:rPr>
        <w:t>m</w:t>
      </w:r>
      <w:r>
        <w:rPr>
          <w:rFonts w:hint="eastAsia" w:hAnsiTheme="minorEastAsia" w:eastAsiaTheme="minorEastAsia"/>
          <w:kern w:val="0"/>
          <w:sz w:val="24"/>
        </w:rPr>
        <w:t>；</w:t>
      </w:r>
      <w:r>
        <w:rPr>
          <w:rFonts w:hAnsiTheme="minorEastAsia" w:eastAsiaTheme="minorEastAsia"/>
          <w:kern w:val="0"/>
          <w:sz w:val="24"/>
        </w:rPr>
        <w:t>1000</w:t>
      </w:r>
      <w:r>
        <w:rPr>
          <w:rFonts w:hint="eastAsia" w:hAnsiTheme="minorEastAsia" w:eastAsiaTheme="minorEastAsia"/>
          <w:kern w:val="0"/>
          <w:sz w:val="24"/>
        </w:rPr>
        <w:t>天时，预测超标距离为</w:t>
      </w:r>
      <w:r>
        <w:rPr>
          <w:rFonts w:hint="eastAsia" w:hAnsiTheme="minorEastAsia" w:eastAsiaTheme="minorEastAsia"/>
          <w:kern w:val="0"/>
          <w:sz w:val="24"/>
          <w:lang w:val="en-US" w:eastAsia="zh-CN"/>
        </w:rPr>
        <w:t>7</w:t>
      </w:r>
      <w:r>
        <w:rPr>
          <w:rFonts w:hint="eastAsia" w:hAnsiTheme="minorEastAsia" w:eastAsiaTheme="minorEastAsia"/>
          <w:kern w:val="0"/>
          <w:sz w:val="24"/>
        </w:rPr>
        <w:t>4</w:t>
      </w:r>
      <w:r>
        <w:rPr>
          <w:rFonts w:hAnsiTheme="minorEastAsia" w:eastAsiaTheme="minorEastAsia"/>
          <w:kern w:val="0"/>
          <w:sz w:val="24"/>
        </w:rPr>
        <w:t>m</w:t>
      </w:r>
      <w:r>
        <w:rPr>
          <w:rFonts w:hint="eastAsia" w:hAnsiTheme="minorEastAsia" w:eastAsiaTheme="minorEastAsia"/>
          <w:kern w:val="0"/>
          <w:sz w:val="24"/>
        </w:rPr>
        <w:t>，影响距离为211</w:t>
      </w:r>
      <w:r>
        <w:rPr>
          <w:rFonts w:hAnsiTheme="minorEastAsia" w:eastAsiaTheme="minorEastAsia"/>
          <w:kern w:val="0"/>
          <w:sz w:val="24"/>
        </w:rPr>
        <w:t>m</w:t>
      </w:r>
      <w:r>
        <w:rPr>
          <w:rFonts w:hint="eastAsia" w:hAnsiTheme="minorEastAsia" w:eastAsiaTheme="minorEastAsia"/>
          <w:kern w:val="0"/>
          <w:sz w:val="24"/>
        </w:rPr>
        <w:t>；</w:t>
      </w:r>
      <w:r>
        <w:rPr>
          <w:rFonts w:hAnsiTheme="minorEastAsia" w:eastAsiaTheme="minorEastAsia"/>
          <w:kern w:val="0"/>
          <w:sz w:val="24"/>
        </w:rPr>
        <w:t>3650</w:t>
      </w:r>
      <w:r>
        <w:rPr>
          <w:rFonts w:hint="eastAsia" w:hAnsiTheme="minorEastAsia" w:eastAsiaTheme="minorEastAsia"/>
          <w:kern w:val="0"/>
          <w:sz w:val="24"/>
        </w:rPr>
        <w:t>天时，预测超标距离为</w:t>
      </w:r>
      <w:r>
        <w:rPr>
          <w:rFonts w:hAnsiTheme="minorEastAsia" w:eastAsiaTheme="minorEastAsia"/>
          <w:kern w:val="0"/>
          <w:sz w:val="24"/>
        </w:rPr>
        <w:t>1</w:t>
      </w:r>
      <w:r>
        <w:rPr>
          <w:rFonts w:hint="eastAsia" w:hAnsiTheme="minorEastAsia" w:eastAsiaTheme="minorEastAsia"/>
          <w:kern w:val="0"/>
          <w:sz w:val="24"/>
          <w:lang w:val="en-US" w:eastAsia="zh-CN"/>
        </w:rPr>
        <w:t>51</w:t>
      </w:r>
      <w:r>
        <w:rPr>
          <w:rFonts w:hAnsiTheme="minorEastAsia" w:eastAsiaTheme="minorEastAsia"/>
          <w:kern w:val="0"/>
          <w:sz w:val="24"/>
        </w:rPr>
        <w:t>m</w:t>
      </w:r>
      <w:r>
        <w:rPr>
          <w:rFonts w:hint="eastAsia" w:hAnsiTheme="minorEastAsia" w:eastAsiaTheme="minorEastAsia"/>
          <w:kern w:val="0"/>
          <w:sz w:val="24"/>
        </w:rPr>
        <w:t>，影响距离为411</w:t>
      </w:r>
      <w:r>
        <w:rPr>
          <w:rFonts w:hAnsiTheme="minorEastAsia" w:eastAsiaTheme="minorEastAsia"/>
          <w:kern w:val="0"/>
          <w:sz w:val="24"/>
        </w:rPr>
        <w:t>m</w:t>
      </w:r>
      <w:r>
        <w:rPr>
          <w:rFonts w:hint="eastAsia" w:hAnsiTheme="minorEastAsia" w:eastAsiaTheme="minorEastAsia"/>
          <w:kern w:val="0"/>
          <w:sz w:val="24"/>
        </w:rPr>
        <w:t>。</w:t>
      </w:r>
    </w:p>
    <w:p>
      <w:pPr>
        <w:autoSpaceDE w:val="0"/>
        <w:autoSpaceDN w:val="0"/>
        <w:adjustRightInd w:val="0"/>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综上分析，建设项目场区地下水环境不敏感，在落实好防渗、防污措施后，本项目污染物能得到有效处理，对地下水水质影响较小，项目的建设不会产生其他环境问题，因此对地下水环境质量影响较小</w:t>
      </w:r>
      <w:r>
        <w:rPr>
          <w:rFonts w:hAnsiTheme="minorEastAsia" w:eastAsiaTheme="minorEastAsia"/>
          <w:kern w:val="0"/>
          <w:sz w:val="24"/>
        </w:rPr>
        <w:t>。</w:t>
      </w:r>
    </w:p>
    <w:p>
      <w:pPr>
        <w:autoSpaceDE w:val="0"/>
        <w:autoSpaceDN w:val="0"/>
        <w:adjustRightInd w:val="0"/>
        <w:spacing w:line="360" w:lineRule="auto"/>
        <w:ind w:firstLine="482" w:firstLineChars="200"/>
        <w:rPr>
          <w:rFonts w:hAnsiTheme="minorEastAsia" w:eastAsiaTheme="minorEastAsia"/>
          <w:b/>
          <w:kern w:val="0"/>
          <w:sz w:val="24"/>
        </w:rPr>
      </w:pPr>
      <w:r>
        <w:rPr>
          <w:rFonts w:hint="eastAsia" w:hAnsiTheme="minorEastAsia" w:eastAsiaTheme="minorEastAsia"/>
          <w:b/>
          <w:kern w:val="0"/>
          <w:sz w:val="24"/>
        </w:rPr>
        <w:t>5、小结</w:t>
      </w:r>
    </w:p>
    <w:p>
      <w:pPr>
        <w:autoSpaceDE w:val="0"/>
        <w:autoSpaceDN w:val="0"/>
        <w:adjustRightInd w:val="0"/>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本项目场内实行严格的源头控制、分区防渗、地下水跟踪监测等措施的情况下，项目对地下水影响不大，本项目对地下水的影响可接受。</w:t>
      </w:r>
    </w:p>
    <w:p>
      <w:pPr>
        <w:pStyle w:val="7"/>
        <w:adjustRightInd w:val="0"/>
        <w:snapToGrid w:val="0"/>
        <w:spacing w:before="0" w:after="0" w:line="360" w:lineRule="auto"/>
        <w:jc w:val="left"/>
        <w:rPr>
          <w:sz w:val="24"/>
          <w:szCs w:val="24"/>
        </w:rPr>
      </w:pPr>
      <w:r>
        <w:rPr>
          <w:rFonts w:hint="eastAsia"/>
          <w:sz w:val="24"/>
          <w:szCs w:val="24"/>
        </w:rPr>
        <w:t>6.2.4 声环境影响分析</w:t>
      </w:r>
    </w:p>
    <w:p>
      <w:pPr>
        <w:spacing w:line="360" w:lineRule="auto"/>
        <w:ind w:firstLine="482" w:firstLineChars="200"/>
        <w:rPr>
          <w:rFonts w:hAnsi="宋体"/>
          <w:b/>
          <w:kern w:val="0"/>
          <w:sz w:val="24"/>
        </w:rPr>
      </w:pPr>
      <w:r>
        <w:rPr>
          <w:rFonts w:hint="eastAsia" w:hAnsi="宋体"/>
          <w:b/>
          <w:kern w:val="0"/>
          <w:sz w:val="24"/>
        </w:rPr>
        <w:t>1、预测模型</w:t>
      </w:r>
    </w:p>
    <w:p>
      <w:pPr>
        <w:spacing w:line="360" w:lineRule="auto"/>
        <w:ind w:firstLine="480" w:firstLineChars="200"/>
        <w:rPr>
          <w:rFonts w:hAnsi="宋体"/>
          <w:kern w:val="0"/>
          <w:sz w:val="24"/>
        </w:rPr>
      </w:pPr>
      <w:r>
        <w:rPr>
          <w:rFonts w:hint="eastAsia" w:hAnsi="宋体"/>
          <w:kern w:val="0"/>
          <w:sz w:val="24"/>
        </w:rPr>
        <w:t>根据项目建设内容及《环境影响评价技术导则—声环境》（HJ2.4-2021）的要求，项目环评采用的模型为《环境影响评价技术导则声环境》(HJ2.4.2021)附录A（规范性附录）户外声传播的衰减和附录B（规范性附录）中“B.1工业噪声预测计算模型”。</w:t>
      </w:r>
    </w:p>
    <w:p>
      <w:pPr>
        <w:spacing w:line="360" w:lineRule="auto"/>
        <w:ind w:firstLine="482" w:firstLineChars="200"/>
        <w:rPr>
          <w:rFonts w:hAnsi="宋体"/>
          <w:b/>
          <w:kern w:val="0"/>
          <w:sz w:val="24"/>
        </w:rPr>
      </w:pPr>
      <w:r>
        <w:rPr>
          <w:rFonts w:hint="eastAsia" w:hAnsi="宋体"/>
          <w:b/>
          <w:kern w:val="0"/>
          <w:sz w:val="24"/>
        </w:rPr>
        <w:t>2、预测参数</w:t>
      </w:r>
    </w:p>
    <w:p>
      <w:pPr>
        <w:spacing w:line="360" w:lineRule="auto"/>
        <w:ind w:firstLine="480" w:firstLineChars="200"/>
        <w:rPr>
          <w:rFonts w:hAnsi="宋体"/>
          <w:kern w:val="0"/>
          <w:sz w:val="24"/>
        </w:rPr>
      </w:pPr>
      <w:r>
        <w:rPr>
          <w:rFonts w:hint="eastAsia" w:hAnsi="宋体"/>
          <w:kern w:val="0"/>
          <w:sz w:val="24"/>
        </w:rPr>
        <w:t>（1）源强</w:t>
      </w:r>
    </w:p>
    <w:p>
      <w:pPr>
        <w:spacing w:line="360" w:lineRule="auto"/>
        <w:ind w:firstLine="480" w:firstLineChars="200"/>
        <w:rPr>
          <w:rFonts w:hAnsi="宋体"/>
          <w:kern w:val="0"/>
          <w:sz w:val="24"/>
        </w:rPr>
      </w:pPr>
      <w:r>
        <w:rPr>
          <w:rFonts w:hint="eastAsia" w:hAnsi="宋体"/>
          <w:kern w:val="0"/>
          <w:sz w:val="24"/>
        </w:rPr>
        <w:t>项目在生产过程中产生的噪声主要源自鸡叫声、喂料机、喂水机、清粪系统、集蛋器、风机、水泵等，这些设备产生的噪声声级一般在60dB以上。主要噪声源排放情况见下表6.2-1</w:t>
      </w:r>
      <w:r>
        <w:rPr>
          <w:rFonts w:hint="eastAsia" w:hAnsi="宋体"/>
          <w:kern w:val="0"/>
          <w:sz w:val="24"/>
          <w:lang w:val="en-US" w:eastAsia="zh-CN"/>
        </w:rPr>
        <w:t>5</w:t>
      </w:r>
      <w:r>
        <w:rPr>
          <w:rFonts w:hint="eastAsia" w:hAnsi="宋体"/>
          <w:kern w:val="0"/>
          <w:sz w:val="24"/>
        </w:rPr>
        <w:t>。</w:t>
      </w:r>
    </w:p>
    <w:p>
      <w:pPr>
        <w:spacing w:beforeLines="50"/>
        <w:jc w:val="center"/>
        <w:rPr>
          <w:b/>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spacing w:beforeLines="50"/>
        <w:jc w:val="center"/>
        <w:rPr>
          <w:b/>
        </w:rPr>
      </w:pPr>
      <w:r>
        <w:rPr>
          <w:rFonts w:hint="eastAsia"/>
          <w:b/>
        </w:rPr>
        <w:t>表6.2-1</w:t>
      </w:r>
      <w:r>
        <w:rPr>
          <w:rFonts w:hint="eastAsia"/>
          <w:b/>
          <w:lang w:val="en-US" w:eastAsia="zh-CN"/>
        </w:rPr>
        <w:t>5</w:t>
      </w:r>
      <w:r>
        <w:rPr>
          <w:rFonts w:hint="eastAsia"/>
          <w:b/>
        </w:rPr>
        <w:t xml:space="preserve">  工业企业噪声源强调查清单</w:t>
      </w:r>
    </w:p>
    <w:tbl>
      <w:tblPr>
        <w:tblStyle w:val="4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06"/>
        <w:gridCol w:w="702"/>
        <w:gridCol w:w="1068"/>
        <w:gridCol w:w="709"/>
        <w:gridCol w:w="1134"/>
        <w:gridCol w:w="992"/>
        <w:gridCol w:w="1134"/>
        <w:gridCol w:w="993"/>
        <w:gridCol w:w="850"/>
        <w:gridCol w:w="851"/>
        <w:gridCol w:w="1021"/>
        <w:gridCol w:w="1001"/>
        <w:gridCol w:w="760"/>
        <w:gridCol w:w="850"/>
        <w:gridCol w:w="790"/>
        <w:gridCol w:w="71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6" w:type="dxa"/>
            <w:vMerge w:val="restart"/>
            <w:vAlign w:val="center"/>
          </w:tcPr>
          <w:p>
            <w:pPr>
              <w:jc w:val="center"/>
              <w:rPr>
                <w:rFonts w:eastAsiaTheme="minorEastAsia"/>
                <w:b/>
                <w:szCs w:val="21"/>
              </w:rPr>
            </w:pPr>
            <w:r>
              <w:rPr>
                <w:rFonts w:hAnsiTheme="minorEastAsia" w:eastAsiaTheme="minorEastAsia"/>
                <w:b/>
                <w:szCs w:val="21"/>
              </w:rPr>
              <w:t>序号</w:t>
            </w:r>
          </w:p>
        </w:tc>
        <w:tc>
          <w:tcPr>
            <w:tcW w:w="702" w:type="dxa"/>
            <w:vMerge w:val="restart"/>
            <w:vAlign w:val="center"/>
          </w:tcPr>
          <w:p>
            <w:pPr>
              <w:jc w:val="center"/>
              <w:rPr>
                <w:rFonts w:eastAsiaTheme="minorEastAsia"/>
                <w:b/>
                <w:szCs w:val="21"/>
              </w:rPr>
            </w:pPr>
            <w:r>
              <w:rPr>
                <w:rFonts w:hAnsiTheme="minorEastAsia" w:eastAsiaTheme="minorEastAsia"/>
                <w:b/>
                <w:szCs w:val="21"/>
              </w:rPr>
              <w:t>建筑物名称</w:t>
            </w:r>
          </w:p>
        </w:tc>
        <w:tc>
          <w:tcPr>
            <w:tcW w:w="1068" w:type="dxa"/>
            <w:vMerge w:val="restart"/>
            <w:vAlign w:val="center"/>
          </w:tcPr>
          <w:p>
            <w:pPr>
              <w:jc w:val="center"/>
              <w:rPr>
                <w:rFonts w:eastAsiaTheme="minorEastAsia"/>
                <w:b/>
                <w:szCs w:val="21"/>
              </w:rPr>
            </w:pPr>
            <w:r>
              <w:rPr>
                <w:rFonts w:hAnsiTheme="minorEastAsia" w:eastAsiaTheme="minorEastAsia"/>
                <w:b/>
                <w:szCs w:val="21"/>
              </w:rPr>
              <w:t>声源名称</w:t>
            </w:r>
          </w:p>
        </w:tc>
        <w:tc>
          <w:tcPr>
            <w:tcW w:w="709" w:type="dxa"/>
            <w:vMerge w:val="restart"/>
            <w:vAlign w:val="center"/>
          </w:tcPr>
          <w:p>
            <w:pPr>
              <w:jc w:val="center"/>
              <w:rPr>
                <w:rFonts w:eastAsiaTheme="minorEastAsia"/>
                <w:b/>
                <w:szCs w:val="21"/>
              </w:rPr>
            </w:pPr>
            <w:r>
              <w:rPr>
                <w:rFonts w:hAnsiTheme="minorEastAsia" w:eastAsiaTheme="minorEastAsia"/>
                <w:b/>
                <w:szCs w:val="21"/>
              </w:rPr>
              <w:t>型号</w:t>
            </w:r>
          </w:p>
        </w:tc>
        <w:tc>
          <w:tcPr>
            <w:tcW w:w="2126" w:type="dxa"/>
            <w:gridSpan w:val="2"/>
            <w:vAlign w:val="center"/>
          </w:tcPr>
          <w:p>
            <w:pPr>
              <w:jc w:val="center"/>
              <w:rPr>
                <w:rFonts w:eastAsiaTheme="minorEastAsia"/>
                <w:b/>
                <w:szCs w:val="21"/>
              </w:rPr>
            </w:pPr>
            <w:r>
              <w:rPr>
                <w:rFonts w:hAnsiTheme="minorEastAsia" w:eastAsiaTheme="minorEastAsia"/>
                <w:b/>
                <w:szCs w:val="21"/>
              </w:rPr>
              <w:t>声源源强（任选一种）</w:t>
            </w:r>
          </w:p>
        </w:tc>
        <w:tc>
          <w:tcPr>
            <w:tcW w:w="1134" w:type="dxa"/>
            <w:vMerge w:val="restart"/>
            <w:vAlign w:val="center"/>
          </w:tcPr>
          <w:p>
            <w:pPr>
              <w:jc w:val="center"/>
              <w:rPr>
                <w:rFonts w:eastAsiaTheme="minorEastAsia"/>
                <w:b/>
                <w:szCs w:val="21"/>
              </w:rPr>
            </w:pPr>
            <w:r>
              <w:rPr>
                <w:rFonts w:hAnsiTheme="minorEastAsia" w:eastAsiaTheme="minorEastAsia"/>
                <w:b/>
                <w:szCs w:val="21"/>
              </w:rPr>
              <w:t>声源控制措施</w:t>
            </w:r>
          </w:p>
        </w:tc>
        <w:tc>
          <w:tcPr>
            <w:tcW w:w="2694" w:type="dxa"/>
            <w:gridSpan w:val="3"/>
            <w:vAlign w:val="center"/>
          </w:tcPr>
          <w:p>
            <w:pPr>
              <w:jc w:val="center"/>
              <w:rPr>
                <w:rFonts w:eastAsiaTheme="minorEastAsia"/>
                <w:b/>
                <w:szCs w:val="21"/>
              </w:rPr>
            </w:pPr>
            <w:r>
              <w:rPr>
                <w:rFonts w:hAnsiTheme="minorEastAsia" w:eastAsiaTheme="minorEastAsia"/>
                <w:b/>
                <w:szCs w:val="21"/>
              </w:rPr>
              <w:t>空间相对位置</w:t>
            </w:r>
            <w:r>
              <w:rPr>
                <w:rFonts w:eastAsiaTheme="minorEastAsia"/>
                <w:b/>
                <w:szCs w:val="21"/>
              </w:rPr>
              <w:t>/m</w:t>
            </w:r>
          </w:p>
        </w:tc>
        <w:tc>
          <w:tcPr>
            <w:tcW w:w="1021" w:type="dxa"/>
            <w:vMerge w:val="restart"/>
            <w:vAlign w:val="center"/>
          </w:tcPr>
          <w:p>
            <w:pPr>
              <w:pStyle w:val="146"/>
              <w:jc w:val="center"/>
              <w:rPr>
                <w:rFonts w:ascii="Times New Roman" w:cs="Times New Roman" w:eastAsiaTheme="minorEastAsia"/>
                <w:b/>
                <w:sz w:val="21"/>
                <w:szCs w:val="21"/>
              </w:rPr>
            </w:pPr>
            <w:r>
              <w:rPr>
                <w:rFonts w:ascii="Times New Roman" w:cs="Times New Roman" w:hAnsiTheme="minorEastAsia" w:eastAsiaTheme="minorEastAsia"/>
                <w:b/>
                <w:sz w:val="21"/>
                <w:szCs w:val="21"/>
              </w:rPr>
              <w:t>距室内边界距离</w:t>
            </w:r>
            <w:r>
              <w:rPr>
                <w:rFonts w:ascii="Times New Roman" w:cs="Times New Roman" w:eastAsiaTheme="minorEastAsia"/>
                <w:b/>
                <w:sz w:val="21"/>
                <w:szCs w:val="21"/>
              </w:rPr>
              <w:t>/m</w:t>
            </w:r>
          </w:p>
        </w:tc>
        <w:tc>
          <w:tcPr>
            <w:tcW w:w="1001" w:type="dxa"/>
            <w:vMerge w:val="restart"/>
            <w:vAlign w:val="center"/>
          </w:tcPr>
          <w:p>
            <w:pPr>
              <w:pStyle w:val="146"/>
              <w:jc w:val="center"/>
              <w:rPr>
                <w:rFonts w:eastAsiaTheme="minorEastAsia"/>
                <w:b/>
                <w:szCs w:val="21"/>
              </w:rPr>
            </w:pPr>
            <w:r>
              <w:rPr>
                <w:rFonts w:ascii="Times New Roman" w:cs="Times New Roman" w:hAnsiTheme="minorEastAsia" w:eastAsiaTheme="minorEastAsia"/>
                <w:b/>
                <w:sz w:val="21"/>
                <w:szCs w:val="21"/>
              </w:rPr>
              <w:t>室内边界声级</w:t>
            </w:r>
            <w:r>
              <w:rPr>
                <w:rFonts w:ascii="Times New Roman" w:cs="Times New Roman" w:eastAsiaTheme="minorEastAsia"/>
                <w:b/>
                <w:sz w:val="21"/>
                <w:szCs w:val="21"/>
              </w:rPr>
              <w:t>/dB</w:t>
            </w:r>
            <w:r>
              <w:rPr>
                <w:rFonts w:ascii="Times New Roman" w:cs="Times New Roman" w:hAnsiTheme="minorEastAsia" w:eastAsiaTheme="minorEastAsia"/>
                <w:b/>
                <w:sz w:val="21"/>
                <w:szCs w:val="21"/>
              </w:rPr>
              <w:t>（</w:t>
            </w:r>
            <w:r>
              <w:rPr>
                <w:rFonts w:ascii="Times New Roman" w:cs="Times New Roman" w:eastAsiaTheme="minorEastAsia"/>
                <w:b/>
                <w:sz w:val="21"/>
                <w:szCs w:val="21"/>
              </w:rPr>
              <w:t>A</w:t>
            </w:r>
            <w:r>
              <w:rPr>
                <w:rFonts w:ascii="Times New Roman" w:cs="Times New Roman" w:hAnsiTheme="minorEastAsia" w:eastAsiaTheme="minorEastAsia"/>
                <w:b/>
                <w:sz w:val="21"/>
                <w:szCs w:val="21"/>
              </w:rPr>
              <w:t>）</w:t>
            </w:r>
          </w:p>
        </w:tc>
        <w:tc>
          <w:tcPr>
            <w:tcW w:w="760" w:type="dxa"/>
            <w:vMerge w:val="restart"/>
            <w:vAlign w:val="center"/>
          </w:tcPr>
          <w:p>
            <w:pPr>
              <w:pStyle w:val="146"/>
              <w:jc w:val="center"/>
              <w:rPr>
                <w:rFonts w:ascii="Times New Roman" w:cs="Times New Roman" w:eastAsiaTheme="minorEastAsia"/>
                <w:b/>
                <w:sz w:val="21"/>
                <w:szCs w:val="21"/>
              </w:rPr>
            </w:pPr>
            <w:r>
              <w:rPr>
                <w:rFonts w:ascii="Times New Roman" w:cs="Times New Roman" w:hAnsiTheme="minorEastAsia" w:eastAsiaTheme="minorEastAsia"/>
                <w:b/>
                <w:sz w:val="21"/>
                <w:szCs w:val="21"/>
              </w:rPr>
              <w:t>运行时段</w:t>
            </w:r>
          </w:p>
        </w:tc>
        <w:tc>
          <w:tcPr>
            <w:tcW w:w="850" w:type="dxa"/>
            <w:vMerge w:val="restart"/>
            <w:vAlign w:val="center"/>
          </w:tcPr>
          <w:p>
            <w:pPr>
              <w:jc w:val="center"/>
              <w:rPr>
                <w:rFonts w:eastAsiaTheme="minorEastAsia"/>
                <w:b/>
                <w:szCs w:val="21"/>
              </w:rPr>
            </w:pPr>
            <w:r>
              <w:rPr>
                <w:rFonts w:hAnsiTheme="minorEastAsia" w:eastAsiaTheme="minorEastAsia"/>
                <w:b/>
                <w:szCs w:val="21"/>
              </w:rPr>
              <w:t>建筑物插入损失</w:t>
            </w:r>
            <w:r>
              <w:rPr>
                <w:rFonts w:eastAsiaTheme="minorEastAsia"/>
                <w:b/>
                <w:szCs w:val="21"/>
              </w:rPr>
              <w:t>/dB</w:t>
            </w:r>
            <w:r>
              <w:rPr>
                <w:rFonts w:hAnsiTheme="minorEastAsia" w:eastAsiaTheme="minorEastAsia"/>
                <w:b/>
                <w:szCs w:val="21"/>
              </w:rPr>
              <w:t>（</w:t>
            </w:r>
            <w:r>
              <w:rPr>
                <w:rFonts w:eastAsiaTheme="minorEastAsia"/>
                <w:b/>
                <w:szCs w:val="21"/>
              </w:rPr>
              <w:t>A</w:t>
            </w:r>
            <w:r>
              <w:rPr>
                <w:rFonts w:hAnsiTheme="minorEastAsia" w:eastAsiaTheme="minorEastAsia"/>
                <w:b/>
                <w:szCs w:val="21"/>
              </w:rPr>
              <w:t>）</w:t>
            </w:r>
          </w:p>
        </w:tc>
        <w:tc>
          <w:tcPr>
            <w:tcW w:w="1503" w:type="dxa"/>
            <w:gridSpan w:val="2"/>
            <w:vAlign w:val="center"/>
          </w:tcPr>
          <w:p>
            <w:pPr>
              <w:jc w:val="center"/>
              <w:rPr>
                <w:rFonts w:eastAsiaTheme="minorEastAsia"/>
                <w:b/>
                <w:szCs w:val="21"/>
              </w:rPr>
            </w:pPr>
            <w:r>
              <w:rPr>
                <w:rFonts w:hAnsiTheme="minorEastAsia" w:eastAsiaTheme="minorEastAsia"/>
                <w:b/>
                <w:szCs w:val="21"/>
              </w:rPr>
              <w:t>建筑外噪声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6" w:type="dxa"/>
            <w:vMerge w:val="continue"/>
            <w:vAlign w:val="center"/>
          </w:tcPr>
          <w:p>
            <w:pPr>
              <w:jc w:val="center"/>
              <w:rPr>
                <w:rFonts w:eastAsiaTheme="minorEastAsia"/>
                <w:b/>
                <w:szCs w:val="21"/>
              </w:rPr>
            </w:pPr>
          </w:p>
        </w:tc>
        <w:tc>
          <w:tcPr>
            <w:tcW w:w="702" w:type="dxa"/>
            <w:vMerge w:val="continue"/>
            <w:vAlign w:val="center"/>
          </w:tcPr>
          <w:p>
            <w:pPr>
              <w:jc w:val="center"/>
              <w:rPr>
                <w:rFonts w:eastAsiaTheme="minorEastAsia"/>
                <w:b/>
                <w:szCs w:val="21"/>
              </w:rPr>
            </w:pPr>
          </w:p>
        </w:tc>
        <w:tc>
          <w:tcPr>
            <w:tcW w:w="1068" w:type="dxa"/>
            <w:vMerge w:val="continue"/>
            <w:vAlign w:val="center"/>
          </w:tcPr>
          <w:p>
            <w:pPr>
              <w:jc w:val="center"/>
              <w:rPr>
                <w:rFonts w:eastAsiaTheme="minorEastAsia"/>
                <w:b/>
                <w:szCs w:val="21"/>
              </w:rPr>
            </w:pPr>
          </w:p>
        </w:tc>
        <w:tc>
          <w:tcPr>
            <w:tcW w:w="709" w:type="dxa"/>
            <w:vMerge w:val="continue"/>
            <w:vAlign w:val="center"/>
          </w:tcPr>
          <w:p>
            <w:pPr>
              <w:jc w:val="center"/>
              <w:rPr>
                <w:rFonts w:eastAsiaTheme="minorEastAsia"/>
                <w:b/>
                <w:szCs w:val="21"/>
              </w:rPr>
            </w:pPr>
          </w:p>
        </w:tc>
        <w:tc>
          <w:tcPr>
            <w:tcW w:w="1134" w:type="dxa"/>
            <w:vAlign w:val="center"/>
          </w:tcPr>
          <w:p>
            <w:pPr>
              <w:pStyle w:val="146"/>
              <w:jc w:val="center"/>
              <w:rPr>
                <w:rFonts w:ascii="Times New Roman" w:cs="Times New Roman" w:eastAsiaTheme="minorEastAsia"/>
                <w:b/>
                <w:sz w:val="21"/>
                <w:szCs w:val="21"/>
              </w:rPr>
            </w:pPr>
            <w:r>
              <w:rPr>
                <w:rFonts w:ascii="Times New Roman" w:cs="Times New Roman" w:hAnsiTheme="minorEastAsia" w:eastAsiaTheme="minorEastAsia"/>
                <w:b/>
                <w:sz w:val="21"/>
                <w:szCs w:val="21"/>
              </w:rPr>
              <w:t>（声压级</w:t>
            </w:r>
            <w:r>
              <w:rPr>
                <w:rFonts w:ascii="Times New Roman" w:cs="Times New Roman" w:eastAsiaTheme="minorEastAsia"/>
                <w:b/>
                <w:sz w:val="21"/>
                <w:szCs w:val="21"/>
              </w:rPr>
              <w:t>/</w:t>
            </w:r>
            <w:r>
              <w:rPr>
                <w:rFonts w:ascii="Times New Roman" w:cs="Times New Roman" w:hAnsiTheme="minorEastAsia" w:eastAsiaTheme="minorEastAsia"/>
                <w:b/>
                <w:sz w:val="21"/>
                <w:szCs w:val="21"/>
              </w:rPr>
              <w:t>距声源距离）</w:t>
            </w:r>
            <w:r>
              <w:rPr>
                <w:rFonts w:ascii="Times New Roman" w:cs="Times New Roman" w:eastAsiaTheme="minorEastAsia"/>
                <w:b/>
                <w:sz w:val="21"/>
                <w:szCs w:val="21"/>
              </w:rPr>
              <w:t>/</w:t>
            </w:r>
            <w:r>
              <w:rPr>
                <w:rFonts w:ascii="Times New Roman" w:cs="Times New Roman" w:hAnsiTheme="minorEastAsia" w:eastAsiaTheme="minorEastAsia"/>
                <w:b/>
                <w:sz w:val="21"/>
                <w:szCs w:val="21"/>
              </w:rPr>
              <w:t>（</w:t>
            </w:r>
            <w:r>
              <w:rPr>
                <w:rFonts w:ascii="Times New Roman" w:cs="Times New Roman" w:eastAsiaTheme="minorEastAsia"/>
                <w:b/>
                <w:sz w:val="21"/>
                <w:szCs w:val="21"/>
              </w:rPr>
              <w:t>dB</w:t>
            </w:r>
            <w:r>
              <w:rPr>
                <w:rFonts w:ascii="Times New Roman" w:cs="Times New Roman" w:hAnsiTheme="minorEastAsia" w:eastAsiaTheme="minorEastAsia"/>
                <w:b/>
                <w:sz w:val="21"/>
                <w:szCs w:val="21"/>
              </w:rPr>
              <w:t>（</w:t>
            </w:r>
            <w:r>
              <w:rPr>
                <w:rFonts w:ascii="Times New Roman" w:cs="Times New Roman" w:eastAsiaTheme="minorEastAsia"/>
                <w:b/>
                <w:sz w:val="21"/>
                <w:szCs w:val="21"/>
              </w:rPr>
              <w:t>A</w:t>
            </w:r>
            <w:r>
              <w:rPr>
                <w:rFonts w:ascii="Times New Roman" w:cs="Times New Roman" w:hAnsiTheme="minorEastAsia" w:eastAsiaTheme="minorEastAsia"/>
                <w:b/>
                <w:sz w:val="21"/>
                <w:szCs w:val="21"/>
              </w:rPr>
              <w:t>）</w:t>
            </w:r>
            <w:r>
              <w:rPr>
                <w:rFonts w:ascii="Times New Roman" w:cs="Times New Roman" w:eastAsiaTheme="minorEastAsia"/>
                <w:b/>
                <w:sz w:val="21"/>
                <w:szCs w:val="21"/>
              </w:rPr>
              <w:t>/m</w:t>
            </w:r>
            <w:r>
              <w:rPr>
                <w:rFonts w:ascii="Times New Roman" w:cs="Times New Roman" w:hAnsiTheme="minorEastAsia" w:eastAsiaTheme="minorEastAsia"/>
                <w:b/>
                <w:sz w:val="21"/>
                <w:szCs w:val="21"/>
              </w:rPr>
              <w:t>）</w:t>
            </w:r>
          </w:p>
        </w:tc>
        <w:tc>
          <w:tcPr>
            <w:tcW w:w="992" w:type="dxa"/>
            <w:vAlign w:val="center"/>
          </w:tcPr>
          <w:p>
            <w:pPr>
              <w:pStyle w:val="146"/>
              <w:jc w:val="center"/>
              <w:rPr>
                <w:rFonts w:ascii="Times New Roman" w:cs="Times New Roman" w:eastAsiaTheme="minorEastAsia"/>
                <w:b/>
                <w:sz w:val="21"/>
                <w:szCs w:val="21"/>
              </w:rPr>
            </w:pPr>
            <w:r>
              <w:rPr>
                <w:rFonts w:ascii="Times New Roman" w:cs="Times New Roman" w:hAnsiTheme="minorEastAsia" w:eastAsiaTheme="minorEastAsia"/>
                <w:b/>
                <w:sz w:val="21"/>
                <w:szCs w:val="21"/>
              </w:rPr>
              <w:t>声功率级</w:t>
            </w:r>
            <w:r>
              <w:rPr>
                <w:rFonts w:ascii="Times New Roman" w:cs="Times New Roman" w:eastAsiaTheme="minorEastAsia"/>
                <w:b/>
                <w:sz w:val="21"/>
                <w:szCs w:val="21"/>
              </w:rPr>
              <w:t>/dB</w:t>
            </w:r>
            <w:r>
              <w:rPr>
                <w:rFonts w:ascii="Times New Roman" w:cs="Times New Roman" w:hAnsiTheme="minorEastAsia" w:eastAsiaTheme="minorEastAsia"/>
                <w:b/>
                <w:sz w:val="21"/>
                <w:szCs w:val="21"/>
              </w:rPr>
              <w:t>（</w:t>
            </w:r>
            <w:r>
              <w:rPr>
                <w:rFonts w:ascii="Times New Roman" w:cs="Times New Roman" w:eastAsiaTheme="minorEastAsia"/>
                <w:b/>
                <w:sz w:val="21"/>
                <w:szCs w:val="21"/>
              </w:rPr>
              <w:t>A</w:t>
            </w:r>
            <w:r>
              <w:rPr>
                <w:rFonts w:ascii="Times New Roman" w:cs="Times New Roman" w:hAnsiTheme="minorEastAsia" w:eastAsiaTheme="minorEastAsia"/>
                <w:b/>
                <w:sz w:val="21"/>
                <w:szCs w:val="21"/>
              </w:rPr>
              <w:t>）</w:t>
            </w:r>
          </w:p>
        </w:tc>
        <w:tc>
          <w:tcPr>
            <w:tcW w:w="1134" w:type="dxa"/>
            <w:vMerge w:val="continue"/>
            <w:vAlign w:val="center"/>
          </w:tcPr>
          <w:p>
            <w:pPr>
              <w:jc w:val="center"/>
              <w:rPr>
                <w:rFonts w:eastAsiaTheme="minorEastAsia"/>
                <w:b/>
                <w:szCs w:val="21"/>
              </w:rPr>
            </w:pPr>
          </w:p>
        </w:tc>
        <w:tc>
          <w:tcPr>
            <w:tcW w:w="993" w:type="dxa"/>
            <w:vAlign w:val="center"/>
          </w:tcPr>
          <w:p>
            <w:pPr>
              <w:jc w:val="center"/>
              <w:rPr>
                <w:rFonts w:eastAsiaTheme="minorEastAsia"/>
                <w:b/>
                <w:szCs w:val="21"/>
              </w:rPr>
            </w:pPr>
            <w:r>
              <w:rPr>
                <w:rFonts w:eastAsiaTheme="minorEastAsia"/>
                <w:b/>
                <w:szCs w:val="21"/>
              </w:rPr>
              <w:t>X</w:t>
            </w:r>
          </w:p>
        </w:tc>
        <w:tc>
          <w:tcPr>
            <w:tcW w:w="850" w:type="dxa"/>
            <w:vAlign w:val="center"/>
          </w:tcPr>
          <w:p>
            <w:pPr>
              <w:jc w:val="center"/>
              <w:rPr>
                <w:rFonts w:eastAsiaTheme="minorEastAsia"/>
                <w:b/>
                <w:szCs w:val="21"/>
              </w:rPr>
            </w:pPr>
            <w:r>
              <w:rPr>
                <w:rFonts w:eastAsiaTheme="minorEastAsia"/>
                <w:b/>
                <w:szCs w:val="21"/>
              </w:rPr>
              <w:t>Y</w:t>
            </w:r>
          </w:p>
        </w:tc>
        <w:tc>
          <w:tcPr>
            <w:tcW w:w="851" w:type="dxa"/>
            <w:vAlign w:val="center"/>
          </w:tcPr>
          <w:p>
            <w:pPr>
              <w:jc w:val="center"/>
              <w:rPr>
                <w:rFonts w:eastAsiaTheme="minorEastAsia"/>
                <w:b/>
                <w:szCs w:val="21"/>
              </w:rPr>
            </w:pPr>
            <w:r>
              <w:rPr>
                <w:rFonts w:eastAsiaTheme="minorEastAsia"/>
                <w:b/>
                <w:szCs w:val="21"/>
              </w:rPr>
              <w:t>Z</w:t>
            </w:r>
          </w:p>
        </w:tc>
        <w:tc>
          <w:tcPr>
            <w:tcW w:w="1021" w:type="dxa"/>
            <w:vMerge w:val="continue"/>
            <w:vAlign w:val="center"/>
          </w:tcPr>
          <w:p>
            <w:pPr>
              <w:pStyle w:val="146"/>
              <w:jc w:val="center"/>
              <w:rPr>
                <w:rFonts w:ascii="Times New Roman" w:cs="Times New Roman" w:eastAsiaTheme="minorEastAsia"/>
                <w:b/>
                <w:sz w:val="21"/>
                <w:szCs w:val="21"/>
              </w:rPr>
            </w:pPr>
          </w:p>
        </w:tc>
        <w:tc>
          <w:tcPr>
            <w:tcW w:w="1001" w:type="dxa"/>
            <w:vMerge w:val="continue"/>
            <w:vAlign w:val="center"/>
          </w:tcPr>
          <w:p>
            <w:pPr>
              <w:pStyle w:val="146"/>
              <w:jc w:val="center"/>
              <w:rPr>
                <w:rFonts w:ascii="Times New Roman" w:cs="Times New Roman" w:eastAsiaTheme="minorEastAsia"/>
                <w:b/>
                <w:sz w:val="21"/>
                <w:szCs w:val="21"/>
              </w:rPr>
            </w:pPr>
          </w:p>
        </w:tc>
        <w:tc>
          <w:tcPr>
            <w:tcW w:w="760" w:type="dxa"/>
            <w:vMerge w:val="continue"/>
            <w:vAlign w:val="center"/>
          </w:tcPr>
          <w:p>
            <w:pPr>
              <w:jc w:val="center"/>
              <w:rPr>
                <w:rFonts w:eastAsiaTheme="minorEastAsia"/>
                <w:b/>
                <w:szCs w:val="21"/>
              </w:rPr>
            </w:pPr>
          </w:p>
        </w:tc>
        <w:tc>
          <w:tcPr>
            <w:tcW w:w="850" w:type="dxa"/>
            <w:vMerge w:val="continue"/>
            <w:vAlign w:val="center"/>
          </w:tcPr>
          <w:p>
            <w:pPr>
              <w:jc w:val="center"/>
              <w:rPr>
                <w:rFonts w:eastAsiaTheme="minorEastAsia"/>
                <w:b/>
                <w:szCs w:val="21"/>
              </w:rPr>
            </w:pPr>
          </w:p>
        </w:tc>
        <w:tc>
          <w:tcPr>
            <w:tcW w:w="790" w:type="dxa"/>
            <w:vAlign w:val="center"/>
          </w:tcPr>
          <w:p>
            <w:pPr>
              <w:jc w:val="center"/>
              <w:rPr>
                <w:rFonts w:eastAsiaTheme="minorEastAsia"/>
                <w:b/>
                <w:szCs w:val="21"/>
              </w:rPr>
            </w:pPr>
            <w:r>
              <w:rPr>
                <w:rFonts w:hAnsiTheme="minorEastAsia" w:eastAsiaTheme="minorEastAsia"/>
                <w:b/>
                <w:szCs w:val="21"/>
              </w:rPr>
              <w:t>声压级</w:t>
            </w:r>
            <w:r>
              <w:rPr>
                <w:rFonts w:eastAsiaTheme="minorEastAsia"/>
                <w:b/>
                <w:szCs w:val="21"/>
              </w:rPr>
              <w:t>/dB</w:t>
            </w:r>
            <w:r>
              <w:rPr>
                <w:rFonts w:hAnsiTheme="minorEastAsia" w:eastAsiaTheme="minorEastAsia"/>
                <w:b/>
                <w:szCs w:val="21"/>
              </w:rPr>
              <w:t>（</w:t>
            </w:r>
            <w:r>
              <w:rPr>
                <w:rFonts w:eastAsiaTheme="minorEastAsia"/>
                <w:b/>
                <w:szCs w:val="21"/>
              </w:rPr>
              <w:t>A</w:t>
            </w:r>
            <w:r>
              <w:rPr>
                <w:rFonts w:hAnsiTheme="minorEastAsia" w:eastAsiaTheme="minorEastAsia"/>
                <w:b/>
                <w:szCs w:val="21"/>
              </w:rPr>
              <w:t>）</w:t>
            </w:r>
          </w:p>
        </w:tc>
        <w:tc>
          <w:tcPr>
            <w:tcW w:w="713" w:type="dxa"/>
            <w:vAlign w:val="center"/>
          </w:tcPr>
          <w:p>
            <w:pPr>
              <w:pStyle w:val="146"/>
              <w:jc w:val="center"/>
              <w:rPr>
                <w:rFonts w:ascii="Times New Roman" w:cs="Times New Roman" w:eastAsiaTheme="minorEastAsia"/>
                <w:b/>
                <w:sz w:val="21"/>
                <w:szCs w:val="21"/>
              </w:rPr>
            </w:pPr>
            <w:r>
              <w:rPr>
                <w:rFonts w:ascii="Times New Roman" w:cs="Times New Roman" w:hAnsiTheme="minorEastAsia" w:eastAsiaTheme="minorEastAsia"/>
                <w:b/>
                <w:sz w:val="21"/>
                <w:szCs w:val="21"/>
              </w:rPr>
              <w:t>建筑物外距离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6" w:type="dxa"/>
            <w:vAlign w:val="center"/>
          </w:tcPr>
          <w:p>
            <w:pPr>
              <w:jc w:val="center"/>
              <w:rPr>
                <w:rFonts w:eastAsiaTheme="minorEastAsia"/>
                <w:szCs w:val="21"/>
              </w:rPr>
            </w:pPr>
            <w:r>
              <w:rPr>
                <w:rFonts w:eastAsiaTheme="minorEastAsia"/>
                <w:szCs w:val="21"/>
              </w:rPr>
              <w:t>1</w:t>
            </w:r>
          </w:p>
        </w:tc>
        <w:tc>
          <w:tcPr>
            <w:tcW w:w="702" w:type="dxa"/>
            <w:vMerge w:val="restart"/>
            <w:vAlign w:val="center"/>
          </w:tcPr>
          <w:p>
            <w:pPr>
              <w:jc w:val="center"/>
              <w:rPr>
                <w:rFonts w:eastAsiaTheme="minorEastAsia"/>
                <w:szCs w:val="21"/>
              </w:rPr>
            </w:pPr>
            <w:r>
              <w:rPr>
                <w:rFonts w:hint="eastAsia" w:eastAsiaTheme="minorEastAsia"/>
                <w:szCs w:val="21"/>
                <w:lang w:val="en-US" w:eastAsia="zh-CN"/>
              </w:rPr>
              <w:t>南场</w:t>
            </w:r>
            <w:r>
              <w:rPr>
                <w:rFonts w:eastAsiaTheme="minorEastAsia"/>
                <w:szCs w:val="21"/>
              </w:rPr>
              <w:t>鸡舍</w:t>
            </w:r>
          </w:p>
        </w:tc>
        <w:tc>
          <w:tcPr>
            <w:tcW w:w="1068" w:type="dxa"/>
            <w:vAlign w:val="center"/>
          </w:tcPr>
          <w:p>
            <w:pPr>
              <w:jc w:val="center"/>
              <w:rPr>
                <w:szCs w:val="21"/>
              </w:rPr>
            </w:pPr>
            <w:r>
              <w:rPr>
                <w:szCs w:val="21"/>
              </w:rPr>
              <w:t>鸡群叫声</w:t>
            </w:r>
          </w:p>
        </w:tc>
        <w:tc>
          <w:tcPr>
            <w:tcW w:w="709" w:type="dxa"/>
            <w:vAlign w:val="center"/>
          </w:tcPr>
          <w:p>
            <w:pPr>
              <w:jc w:val="center"/>
              <w:rPr>
                <w:rFonts w:eastAsiaTheme="minorEastAsia"/>
                <w:szCs w:val="21"/>
              </w:rPr>
            </w:pPr>
            <w:r>
              <w:rPr>
                <w:rFonts w:eastAsiaTheme="minorEastAsia"/>
                <w:szCs w:val="21"/>
              </w:rPr>
              <w:t>/</w:t>
            </w:r>
          </w:p>
        </w:tc>
        <w:tc>
          <w:tcPr>
            <w:tcW w:w="1134" w:type="dxa"/>
            <w:vAlign w:val="center"/>
          </w:tcPr>
          <w:p>
            <w:pPr>
              <w:jc w:val="center"/>
              <w:rPr>
                <w:rFonts w:eastAsiaTheme="minorEastAsia"/>
                <w:szCs w:val="21"/>
              </w:rPr>
            </w:pPr>
            <w:r>
              <w:rPr>
                <w:rFonts w:eastAsiaTheme="minorEastAsia"/>
                <w:szCs w:val="21"/>
              </w:rPr>
              <w:t>/</w:t>
            </w:r>
          </w:p>
        </w:tc>
        <w:tc>
          <w:tcPr>
            <w:tcW w:w="992" w:type="dxa"/>
            <w:vAlign w:val="center"/>
          </w:tcPr>
          <w:p>
            <w:pPr>
              <w:jc w:val="center"/>
              <w:rPr>
                <w:szCs w:val="21"/>
              </w:rPr>
            </w:pPr>
            <w:r>
              <w:rPr>
                <w:rFonts w:hint="eastAsia"/>
                <w:szCs w:val="21"/>
              </w:rPr>
              <w:t>70</w:t>
            </w:r>
          </w:p>
        </w:tc>
        <w:tc>
          <w:tcPr>
            <w:tcW w:w="1134" w:type="dxa"/>
            <w:vAlign w:val="center"/>
          </w:tcPr>
          <w:p>
            <w:pPr>
              <w:jc w:val="center"/>
              <w:rPr>
                <w:rFonts w:hAnsiTheme="minorEastAsia" w:eastAsiaTheme="minorEastAsia"/>
                <w:szCs w:val="21"/>
              </w:rPr>
            </w:pPr>
            <w:r>
              <w:rPr>
                <w:rFonts w:hAnsiTheme="minorEastAsia" w:eastAsiaTheme="minorEastAsia"/>
                <w:szCs w:val="21"/>
              </w:rPr>
              <w:t>减振</w:t>
            </w:r>
          </w:p>
          <w:p>
            <w:pPr>
              <w:jc w:val="center"/>
              <w:rPr>
                <w:rFonts w:eastAsiaTheme="minorEastAsia"/>
                <w:szCs w:val="21"/>
              </w:rPr>
            </w:pPr>
            <w:r>
              <w:rPr>
                <w:rFonts w:hAnsiTheme="minorEastAsia" w:eastAsiaTheme="minorEastAsia"/>
                <w:szCs w:val="21"/>
              </w:rPr>
              <w:t>隔声</w:t>
            </w:r>
          </w:p>
        </w:tc>
        <w:tc>
          <w:tcPr>
            <w:tcW w:w="993" w:type="dxa"/>
            <w:vAlign w:val="center"/>
          </w:tcPr>
          <w:p>
            <w:pPr>
              <w:jc w:val="center"/>
              <w:rPr>
                <w:rFonts w:eastAsiaTheme="minorEastAsia"/>
                <w:szCs w:val="21"/>
              </w:rPr>
            </w:pPr>
            <w:r>
              <w:rPr>
                <w:rFonts w:eastAsiaTheme="minorEastAsia"/>
                <w:szCs w:val="21"/>
              </w:rPr>
              <w:t>-</w:t>
            </w:r>
            <w:r>
              <w:rPr>
                <w:rFonts w:hint="eastAsia" w:eastAsiaTheme="minorEastAsia"/>
                <w:szCs w:val="21"/>
              </w:rPr>
              <w:t>212.4</w:t>
            </w:r>
          </w:p>
        </w:tc>
        <w:tc>
          <w:tcPr>
            <w:tcW w:w="850" w:type="dxa"/>
            <w:vAlign w:val="center"/>
          </w:tcPr>
          <w:p>
            <w:pPr>
              <w:jc w:val="center"/>
              <w:rPr>
                <w:rFonts w:eastAsiaTheme="minorEastAsia"/>
                <w:szCs w:val="21"/>
              </w:rPr>
            </w:pPr>
            <w:r>
              <w:rPr>
                <w:rFonts w:hint="eastAsia" w:eastAsiaTheme="minorEastAsia"/>
                <w:szCs w:val="21"/>
              </w:rPr>
              <w:t>41.2</w:t>
            </w:r>
          </w:p>
        </w:tc>
        <w:tc>
          <w:tcPr>
            <w:tcW w:w="851" w:type="dxa"/>
            <w:vAlign w:val="center"/>
          </w:tcPr>
          <w:p>
            <w:pPr>
              <w:jc w:val="center"/>
              <w:rPr>
                <w:rFonts w:eastAsiaTheme="minorEastAsia"/>
                <w:szCs w:val="21"/>
              </w:rPr>
            </w:pPr>
            <w:r>
              <w:rPr>
                <w:rFonts w:hint="eastAsia" w:eastAsiaTheme="minorEastAsia"/>
                <w:szCs w:val="21"/>
              </w:rPr>
              <w:t>95.8</w:t>
            </w:r>
          </w:p>
        </w:tc>
        <w:tc>
          <w:tcPr>
            <w:tcW w:w="1021" w:type="dxa"/>
            <w:vAlign w:val="center"/>
          </w:tcPr>
          <w:p>
            <w:pPr>
              <w:jc w:val="center"/>
              <w:rPr>
                <w:rFonts w:eastAsiaTheme="minorEastAsia"/>
                <w:szCs w:val="21"/>
              </w:rPr>
            </w:pPr>
            <w:r>
              <w:rPr>
                <w:rFonts w:hint="eastAsia" w:eastAsiaTheme="minorEastAsia"/>
                <w:szCs w:val="21"/>
              </w:rPr>
              <w:t>1</w:t>
            </w:r>
          </w:p>
        </w:tc>
        <w:tc>
          <w:tcPr>
            <w:tcW w:w="1001" w:type="dxa"/>
            <w:vAlign w:val="center"/>
          </w:tcPr>
          <w:p>
            <w:pPr>
              <w:jc w:val="center"/>
              <w:rPr>
                <w:color w:val="000000"/>
                <w:szCs w:val="21"/>
              </w:rPr>
            </w:pPr>
            <w:r>
              <w:rPr>
                <w:color w:val="000000"/>
                <w:szCs w:val="21"/>
              </w:rPr>
              <w:t>70.00</w:t>
            </w:r>
          </w:p>
        </w:tc>
        <w:tc>
          <w:tcPr>
            <w:tcW w:w="760" w:type="dxa"/>
            <w:vAlign w:val="center"/>
          </w:tcPr>
          <w:p>
            <w:pPr>
              <w:jc w:val="center"/>
              <w:rPr>
                <w:rFonts w:eastAsiaTheme="minorEastAsia"/>
                <w:szCs w:val="21"/>
              </w:rPr>
            </w:pPr>
            <w:r>
              <w:rPr>
                <w:rFonts w:hAnsiTheme="minorEastAsia" w:eastAsiaTheme="minorEastAsia"/>
                <w:szCs w:val="21"/>
              </w:rPr>
              <w:t>无</w:t>
            </w:r>
          </w:p>
        </w:tc>
        <w:tc>
          <w:tcPr>
            <w:tcW w:w="850" w:type="dxa"/>
            <w:vAlign w:val="center"/>
          </w:tcPr>
          <w:p>
            <w:pPr>
              <w:jc w:val="center"/>
              <w:rPr>
                <w:rFonts w:eastAsiaTheme="minorEastAsia"/>
                <w:szCs w:val="21"/>
              </w:rPr>
            </w:pPr>
            <w:r>
              <w:rPr>
                <w:rFonts w:hint="eastAsia" w:eastAsiaTheme="minorEastAsia"/>
                <w:szCs w:val="21"/>
              </w:rPr>
              <w:t>35</w:t>
            </w:r>
          </w:p>
        </w:tc>
        <w:tc>
          <w:tcPr>
            <w:tcW w:w="790" w:type="dxa"/>
            <w:vAlign w:val="center"/>
          </w:tcPr>
          <w:p>
            <w:pPr>
              <w:jc w:val="center"/>
              <w:rPr>
                <w:rFonts w:ascii="宋体" w:hAnsi="宋体" w:cs="宋体"/>
                <w:color w:val="000000"/>
                <w:sz w:val="22"/>
                <w:szCs w:val="22"/>
              </w:rPr>
            </w:pPr>
            <w:r>
              <w:rPr>
                <w:rFonts w:hint="eastAsia"/>
                <w:color w:val="000000"/>
                <w:sz w:val="22"/>
                <w:szCs w:val="22"/>
              </w:rPr>
              <w:t>35</w:t>
            </w:r>
          </w:p>
        </w:tc>
        <w:tc>
          <w:tcPr>
            <w:tcW w:w="713" w:type="dxa"/>
            <w:vAlign w:val="center"/>
          </w:tcPr>
          <w:p>
            <w:pPr>
              <w:jc w:val="center"/>
              <w:rPr>
                <w:rFonts w:eastAsiaTheme="minorEastAsia"/>
                <w:szCs w:val="21"/>
              </w:rPr>
            </w:pPr>
            <w:r>
              <w:rPr>
                <w:rFonts w:hint="eastAsia"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6" w:type="dxa"/>
            <w:vAlign w:val="center"/>
          </w:tcPr>
          <w:p>
            <w:pPr>
              <w:jc w:val="center"/>
              <w:rPr>
                <w:rFonts w:eastAsiaTheme="minorEastAsia"/>
                <w:szCs w:val="21"/>
              </w:rPr>
            </w:pPr>
            <w:r>
              <w:rPr>
                <w:rFonts w:eastAsiaTheme="minorEastAsia"/>
                <w:szCs w:val="21"/>
              </w:rPr>
              <w:t>2</w:t>
            </w:r>
          </w:p>
        </w:tc>
        <w:tc>
          <w:tcPr>
            <w:tcW w:w="702" w:type="dxa"/>
            <w:vMerge w:val="continue"/>
            <w:vAlign w:val="center"/>
          </w:tcPr>
          <w:p>
            <w:pPr>
              <w:jc w:val="center"/>
              <w:rPr>
                <w:rFonts w:eastAsiaTheme="minorEastAsia"/>
                <w:szCs w:val="21"/>
              </w:rPr>
            </w:pPr>
          </w:p>
        </w:tc>
        <w:tc>
          <w:tcPr>
            <w:tcW w:w="1068" w:type="dxa"/>
            <w:vAlign w:val="center"/>
          </w:tcPr>
          <w:p>
            <w:pPr>
              <w:jc w:val="center"/>
              <w:rPr>
                <w:szCs w:val="21"/>
              </w:rPr>
            </w:pPr>
            <w:r>
              <w:rPr>
                <w:szCs w:val="21"/>
              </w:rPr>
              <w:t>送料设备</w:t>
            </w:r>
          </w:p>
        </w:tc>
        <w:tc>
          <w:tcPr>
            <w:tcW w:w="709" w:type="dxa"/>
            <w:vAlign w:val="center"/>
          </w:tcPr>
          <w:p>
            <w:pPr>
              <w:jc w:val="center"/>
              <w:rPr>
                <w:rFonts w:eastAsiaTheme="minorEastAsia"/>
                <w:szCs w:val="21"/>
              </w:rPr>
            </w:pPr>
            <w:r>
              <w:rPr>
                <w:rFonts w:eastAsiaTheme="minorEastAsia"/>
                <w:szCs w:val="21"/>
              </w:rPr>
              <w:t>/</w:t>
            </w:r>
          </w:p>
        </w:tc>
        <w:tc>
          <w:tcPr>
            <w:tcW w:w="1134" w:type="dxa"/>
            <w:vAlign w:val="center"/>
          </w:tcPr>
          <w:p>
            <w:pPr>
              <w:jc w:val="center"/>
              <w:rPr>
                <w:rFonts w:eastAsiaTheme="minorEastAsia"/>
                <w:szCs w:val="21"/>
              </w:rPr>
            </w:pPr>
            <w:r>
              <w:rPr>
                <w:rFonts w:eastAsiaTheme="minorEastAsia"/>
                <w:szCs w:val="21"/>
              </w:rPr>
              <w:t>/</w:t>
            </w:r>
          </w:p>
        </w:tc>
        <w:tc>
          <w:tcPr>
            <w:tcW w:w="992" w:type="dxa"/>
            <w:vAlign w:val="center"/>
          </w:tcPr>
          <w:p>
            <w:pPr>
              <w:jc w:val="center"/>
              <w:rPr>
                <w:szCs w:val="21"/>
              </w:rPr>
            </w:pPr>
            <w:r>
              <w:rPr>
                <w:rFonts w:hint="eastAsia"/>
                <w:szCs w:val="21"/>
              </w:rPr>
              <w:t>70</w:t>
            </w:r>
          </w:p>
        </w:tc>
        <w:tc>
          <w:tcPr>
            <w:tcW w:w="1134" w:type="dxa"/>
            <w:vAlign w:val="center"/>
          </w:tcPr>
          <w:p>
            <w:pPr>
              <w:jc w:val="center"/>
              <w:rPr>
                <w:rFonts w:hAnsiTheme="minorEastAsia"/>
                <w:szCs w:val="21"/>
              </w:rPr>
            </w:pPr>
            <w:r>
              <w:rPr>
                <w:rFonts w:hAnsiTheme="minorEastAsia" w:eastAsiaTheme="minorEastAsia"/>
                <w:szCs w:val="21"/>
              </w:rPr>
              <w:t>减振</w:t>
            </w:r>
          </w:p>
        </w:tc>
        <w:tc>
          <w:tcPr>
            <w:tcW w:w="993" w:type="dxa"/>
            <w:vAlign w:val="center"/>
          </w:tcPr>
          <w:p>
            <w:pPr>
              <w:jc w:val="center"/>
              <w:rPr>
                <w:rFonts w:eastAsiaTheme="minorEastAsia"/>
                <w:szCs w:val="21"/>
              </w:rPr>
            </w:pPr>
            <w:r>
              <w:rPr>
                <w:rFonts w:eastAsiaTheme="minorEastAsia"/>
                <w:szCs w:val="21"/>
              </w:rPr>
              <w:t>-</w:t>
            </w:r>
            <w:r>
              <w:rPr>
                <w:rFonts w:hint="eastAsia" w:eastAsiaTheme="minorEastAsia"/>
                <w:szCs w:val="21"/>
              </w:rPr>
              <w:t>270.9</w:t>
            </w:r>
          </w:p>
        </w:tc>
        <w:tc>
          <w:tcPr>
            <w:tcW w:w="850" w:type="dxa"/>
            <w:vAlign w:val="center"/>
          </w:tcPr>
          <w:p>
            <w:pPr>
              <w:jc w:val="center"/>
              <w:rPr>
                <w:rFonts w:eastAsiaTheme="minorEastAsia"/>
                <w:szCs w:val="21"/>
              </w:rPr>
            </w:pPr>
            <w:r>
              <w:rPr>
                <w:rFonts w:hint="eastAsia" w:eastAsiaTheme="minorEastAsia"/>
                <w:szCs w:val="21"/>
              </w:rPr>
              <w:t>40.4</w:t>
            </w:r>
          </w:p>
        </w:tc>
        <w:tc>
          <w:tcPr>
            <w:tcW w:w="851" w:type="dxa"/>
            <w:vAlign w:val="center"/>
          </w:tcPr>
          <w:p>
            <w:pPr>
              <w:jc w:val="center"/>
              <w:rPr>
                <w:rFonts w:eastAsiaTheme="minorEastAsia"/>
                <w:szCs w:val="21"/>
              </w:rPr>
            </w:pPr>
            <w:r>
              <w:rPr>
                <w:rFonts w:hint="eastAsia" w:eastAsiaTheme="minorEastAsia"/>
                <w:szCs w:val="21"/>
              </w:rPr>
              <w:t>96.7</w:t>
            </w:r>
          </w:p>
        </w:tc>
        <w:tc>
          <w:tcPr>
            <w:tcW w:w="1021" w:type="dxa"/>
            <w:vAlign w:val="center"/>
          </w:tcPr>
          <w:p>
            <w:pPr>
              <w:jc w:val="center"/>
              <w:rPr>
                <w:rFonts w:eastAsiaTheme="minorEastAsia"/>
                <w:szCs w:val="21"/>
              </w:rPr>
            </w:pPr>
            <w:r>
              <w:rPr>
                <w:rFonts w:hint="eastAsia" w:eastAsiaTheme="minorEastAsia"/>
                <w:szCs w:val="21"/>
              </w:rPr>
              <w:t>2</w:t>
            </w:r>
          </w:p>
        </w:tc>
        <w:tc>
          <w:tcPr>
            <w:tcW w:w="1001" w:type="dxa"/>
            <w:vAlign w:val="center"/>
          </w:tcPr>
          <w:p>
            <w:pPr>
              <w:jc w:val="center"/>
              <w:rPr>
                <w:color w:val="000000"/>
                <w:szCs w:val="21"/>
              </w:rPr>
            </w:pPr>
            <w:r>
              <w:rPr>
                <w:color w:val="000000"/>
                <w:szCs w:val="21"/>
              </w:rPr>
              <w:t>63.98</w:t>
            </w:r>
          </w:p>
        </w:tc>
        <w:tc>
          <w:tcPr>
            <w:tcW w:w="760" w:type="dxa"/>
            <w:vAlign w:val="center"/>
          </w:tcPr>
          <w:p>
            <w:pPr>
              <w:jc w:val="center"/>
              <w:rPr>
                <w:rFonts w:eastAsiaTheme="minorEastAsia"/>
                <w:szCs w:val="21"/>
              </w:rPr>
            </w:pPr>
            <w:r>
              <w:rPr>
                <w:rFonts w:hAnsiTheme="minorEastAsia" w:eastAsiaTheme="minorEastAsia"/>
                <w:szCs w:val="21"/>
              </w:rPr>
              <w:t>无</w:t>
            </w:r>
          </w:p>
        </w:tc>
        <w:tc>
          <w:tcPr>
            <w:tcW w:w="850" w:type="dxa"/>
            <w:vAlign w:val="center"/>
          </w:tcPr>
          <w:p>
            <w:pPr>
              <w:jc w:val="center"/>
              <w:rPr>
                <w:szCs w:val="21"/>
              </w:rPr>
            </w:pPr>
            <w:r>
              <w:rPr>
                <w:rFonts w:hint="eastAsia" w:eastAsiaTheme="minorEastAsia"/>
                <w:szCs w:val="21"/>
              </w:rPr>
              <w:t>35</w:t>
            </w:r>
          </w:p>
        </w:tc>
        <w:tc>
          <w:tcPr>
            <w:tcW w:w="790" w:type="dxa"/>
            <w:vAlign w:val="center"/>
          </w:tcPr>
          <w:p>
            <w:pPr>
              <w:jc w:val="center"/>
              <w:rPr>
                <w:rFonts w:ascii="宋体" w:hAnsi="宋体" w:cs="宋体"/>
                <w:color w:val="000000"/>
                <w:sz w:val="22"/>
                <w:szCs w:val="22"/>
              </w:rPr>
            </w:pPr>
            <w:r>
              <w:rPr>
                <w:rFonts w:hint="eastAsia"/>
                <w:color w:val="000000"/>
                <w:sz w:val="22"/>
                <w:szCs w:val="22"/>
              </w:rPr>
              <w:t>28.98</w:t>
            </w:r>
          </w:p>
        </w:tc>
        <w:tc>
          <w:tcPr>
            <w:tcW w:w="713" w:type="dxa"/>
            <w:vAlign w:val="center"/>
          </w:tcPr>
          <w:p>
            <w:pPr>
              <w:jc w:val="center"/>
              <w:rPr>
                <w:rFonts w:eastAsiaTheme="minorEastAsia"/>
                <w:szCs w:val="21"/>
              </w:rPr>
            </w:pPr>
            <w:r>
              <w:rPr>
                <w:rFonts w:hint="eastAsia"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6" w:type="dxa"/>
            <w:vAlign w:val="center"/>
          </w:tcPr>
          <w:p>
            <w:pPr>
              <w:jc w:val="center"/>
              <w:rPr>
                <w:rFonts w:eastAsiaTheme="minorEastAsia"/>
                <w:szCs w:val="21"/>
              </w:rPr>
            </w:pPr>
            <w:r>
              <w:rPr>
                <w:rFonts w:eastAsiaTheme="minorEastAsia"/>
                <w:szCs w:val="21"/>
              </w:rPr>
              <w:t>3</w:t>
            </w:r>
          </w:p>
        </w:tc>
        <w:tc>
          <w:tcPr>
            <w:tcW w:w="702" w:type="dxa"/>
            <w:vMerge w:val="continue"/>
            <w:vAlign w:val="center"/>
          </w:tcPr>
          <w:p>
            <w:pPr>
              <w:jc w:val="center"/>
              <w:rPr>
                <w:rFonts w:eastAsiaTheme="minorEastAsia"/>
                <w:szCs w:val="21"/>
              </w:rPr>
            </w:pPr>
          </w:p>
        </w:tc>
        <w:tc>
          <w:tcPr>
            <w:tcW w:w="1068" w:type="dxa"/>
            <w:vAlign w:val="center"/>
          </w:tcPr>
          <w:p>
            <w:pPr>
              <w:jc w:val="center"/>
              <w:rPr>
                <w:szCs w:val="21"/>
              </w:rPr>
            </w:pPr>
            <w:r>
              <w:rPr>
                <w:szCs w:val="21"/>
              </w:rPr>
              <w:t>清粪设备</w:t>
            </w:r>
          </w:p>
        </w:tc>
        <w:tc>
          <w:tcPr>
            <w:tcW w:w="709" w:type="dxa"/>
            <w:vAlign w:val="center"/>
          </w:tcPr>
          <w:p>
            <w:pPr>
              <w:jc w:val="center"/>
              <w:rPr>
                <w:rFonts w:eastAsiaTheme="minorEastAsia"/>
                <w:szCs w:val="21"/>
              </w:rPr>
            </w:pPr>
            <w:r>
              <w:rPr>
                <w:rFonts w:eastAsiaTheme="minorEastAsia"/>
                <w:szCs w:val="21"/>
              </w:rPr>
              <w:t>/</w:t>
            </w:r>
          </w:p>
        </w:tc>
        <w:tc>
          <w:tcPr>
            <w:tcW w:w="1134" w:type="dxa"/>
            <w:vAlign w:val="center"/>
          </w:tcPr>
          <w:p>
            <w:pPr>
              <w:jc w:val="center"/>
              <w:rPr>
                <w:rFonts w:eastAsiaTheme="minorEastAsia"/>
                <w:szCs w:val="21"/>
              </w:rPr>
            </w:pPr>
            <w:r>
              <w:rPr>
                <w:rFonts w:eastAsiaTheme="minorEastAsia"/>
                <w:szCs w:val="21"/>
              </w:rPr>
              <w:t>/</w:t>
            </w:r>
          </w:p>
        </w:tc>
        <w:tc>
          <w:tcPr>
            <w:tcW w:w="992" w:type="dxa"/>
            <w:vAlign w:val="center"/>
          </w:tcPr>
          <w:p>
            <w:pPr>
              <w:jc w:val="center"/>
              <w:rPr>
                <w:szCs w:val="21"/>
              </w:rPr>
            </w:pPr>
            <w:r>
              <w:rPr>
                <w:rFonts w:hint="eastAsia"/>
                <w:szCs w:val="21"/>
              </w:rPr>
              <w:t>70</w:t>
            </w:r>
          </w:p>
        </w:tc>
        <w:tc>
          <w:tcPr>
            <w:tcW w:w="1134" w:type="dxa"/>
            <w:vAlign w:val="center"/>
          </w:tcPr>
          <w:p>
            <w:pPr>
              <w:jc w:val="center"/>
              <w:rPr>
                <w:szCs w:val="21"/>
              </w:rPr>
            </w:pPr>
            <w:r>
              <w:rPr>
                <w:rFonts w:hAnsiTheme="minorEastAsia" w:eastAsiaTheme="minorEastAsia"/>
                <w:szCs w:val="21"/>
              </w:rPr>
              <w:t>隔声</w:t>
            </w:r>
          </w:p>
        </w:tc>
        <w:tc>
          <w:tcPr>
            <w:tcW w:w="993" w:type="dxa"/>
            <w:vAlign w:val="center"/>
          </w:tcPr>
          <w:p>
            <w:pPr>
              <w:jc w:val="center"/>
              <w:rPr>
                <w:rFonts w:eastAsiaTheme="minorEastAsia"/>
                <w:szCs w:val="21"/>
              </w:rPr>
            </w:pPr>
            <w:r>
              <w:rPr>
                <w:rFonts w:eastAsiaTheme="minorEastAsia"/>
                <w:szCs w:val="21"/>
              </w:rPr>
              <w:t>-</w:t>
            </w:r>
            <w:r>
              <w:rPr>
                <w:rFonts w:hint="eastAsia" w:eastAsiaTheme="minorEastAsia"/>
                <w:szCs w:val="21"/>
              </w:rPr>
              <w:t>202.1</w:t>
            </w:r>
          </w:p>
        </w:tc>
        <w:tc>
          <w:tcPr>
            <w:tcW w:w="850" w:type="dxa"/>
            <w:vAlign w:val="center"/>
          </w:tcPr>
          <w:p>
            <w:pPr>
              <w:jc w:val="center"/>
              <w:rPr>
                <w:rFonts w:eastAsiaTheme="minorEastAsia"/>
                <w:szCs w:val="21"/>
              </w:rPr>
            </w:pPr>
            <w:r>
              <w:rPr>
                <w:rFonts w:hint="eastAsia" w:eastAsiaTheme="minorEastAsia"/>
                <w:szCs w:val="21"/>
              </w:rPr>
              <w:t>106.3</w:t>
            </w:r>
          </w:p>
        </w:tc>
        <w:tc>
          <w:tcPr>
            <w:tcW w:w="851" w:type="dxa"/>
            <w:vAlign w:val="center"/>
          </w:tcPr>
          <w:p>
            <w:pPr>
              <w:jc w:val="center"/>
              <w:rPr>
                <w:rFonts w:eastAsiaTheme="minorEastAsia"/>
                <w:szCs w:val="21"/>
              </w:rPr>
            </w:pPr>
            <w:r>
              <w:rPr>
                <w:rFonts w:hint="eastAsia" w:eastAsiaTheme="minorEastAsia"/>
                <w:szCs w:val="21"/>
              </w:rPr>
              <w:t>94</w:t>
            </w:r>
          </w:p>
        </w:tc>
        <w:tc>
          <w:tcPr>
            <w:tcW w:w="1021" w:type="dxa"/>
            <w:vAlign w:val="center"/>
          </w:tcPr>
          <w:p>
            <w:pPr>
              <w:jc w:val="center"/>
              <w:rPr>
                <w:rFonts w:eastAsiaTheme="minorEastAsia"/>
                <w:szCs w:val="21"/>
              </w:rPr>
            </w:pPr>
            <w:r>
              <w:rPr>
                <w:rFonts w:hint="eastAsia" w:eastAsiaTheme="minorEastAsia"/>
                <w:szCs w:val="21"/>
              </w:rPr>
              <w:t>2</w:t>
            </w:r>
          </w:p>
        </w:tc>
        <w:tc>
          <w:tcPr>
            <w:tcW w:w="1001" w:type="dxa"/>
            <w:vAlign w:val="center"/>
          </w:tcPr>
          <w:p>
            <w:pPr>
              <w:jc w:val="center"/>
              <w:rPr>
                <w:color w:val="000000"/>
                <w:szCs w:val="21"/>
              </w:rPr>
            </w:pPr>
            <w:r>
              <w:rPr>
                <w:color w:val="000000"/>
                <w:szCs w:val="21"/>
              </w:rPr>
              <w:t>63.98</w:t>
            </w:r>
          </w:p>
        </w:tc>
        <w:tc>
          <w:tcPr>
            <w:tcW w:w="760" w:type="dxa"/>
            <w:vAlign w:val="center"/>
          </w:tcPr>
          <w:p>
            <w:pPr>
              <w:jc w:val="center"/>
              <w:rPr>
                <w:rFonts w:eastAsiaTheme="minorEastAsia"/>
                <w:szCs w:val="21"/>
              </w:rPr>
            </w:pPr>
            <w:r>
              <w:rPr>
                <w:rFonts w:hAnsiTheme="minorEastAsia" w:eastAsiaTheme="minorEastAsia"/>
                <w:szCs w:val="21"/>
              </w:rPr>
              <w:t>无</w:t>
            </w:r>
          </w:p>
        </w:tc>
        <w:tc>
          <w:tcPr>
            <w:tcW w:w="850" w:type="dxa"/>
            <w:vAlign w:val="center"/>
          </w:tcPr>
          <w:p>
            <w:pPr>
              <w:jc w:val="center"/>
              <w:rPr>
                <w:szCs w:val="21"/>
              </w:rPr>
            </w:pPr>
            <w:r>
              <w:rPr>
                <w:rFonts w:hint="eastAsia" w:eastAsiaTheme="minorEastAsia"/>
                <w:szCs w:val="21"/>
              </w:rPr>
              <w:t>35</w:t>
            </w:r>
          </w:p>
        </w:tc>
        <w:tc>
          <w:tcPr>
            <w:tcW w:w="790" w:type="dxa"/>
            <w:vAlign w:val="center"/>
          </w:tcPr>
          <w:p>
            <w:pPr>
              <w:jc w:val="center"/>
              <w:rPr>
                <w:rFonts w:ascii="宋体" w:hAnsi="宋体" w:cs="宋体"/>
                <w:color w:val="000000"/>
                <w:sz w:val="22"/>
                <w:szCs w:val="22"/>
              </w:rPr>
            </w:pPr>
            <w:r>
              <w:rPr>
                <w:rFonts w:hint="eastAsia"/>
                <w:color w:val="000000"/>
                <w:sz w:val="22"/>
                <w:szCs w:val="22"/>
              </w:rPr>
              <w:t>28.98</w:t>
            </w:r>
          </w:p>
        </w:tc>
        <w:tc>
          <w:tcPr>
            <w:tcW w:w="713" w:type="dxa"/>
            <w:vAlign w:val="center"/>
          </w:tcPr>
          <w:p>
            <w:pPr>
              <w:jc w:val="center"/>
              <w:rPr>
                <w:rFonts w:eastAsiaTheme="minorEastAsia"/>
                <w:szCs w:val="21"/>
              </w:rPr>
            </w:pPr>
            <w:r>
              <w:rPr>
                <w:rFonts w:hint="eastAsia"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6" w:type="dxa"/>
            <w:vAlign w:val="center"/>
          </w:tcPr>
          <w:p>
            <w:pPr>
              <w:jc w:val="center"/>
              <w:rPr>
                <w:rFonts w:eastAsiaTheme="minorEastAsia"/>
                <w:szCs w:val="21"/>
              </w:rPr>
            </w:pPr>
            <w:r>
              <w:rPr>
                <w:rFonts w:eastAsiaTheme="minorEastAsia"/>
                <w:szCs w:val="21"/>
              </w:rPr>
              <w:t>4</w:t>
            </w:r>
          </w:p>
        </w:tc>
        <w:tc>
          <w:tcPr>
            <w:tcW w:w="702" w:type="dxa"/>
            <w:vMerge w:val="continue"/>
            <w:vAlign w:val="center"/>
          </w:tcPr>
          <w:p>
            <w:pPr>
              <w:jc w:val="center"/>
              <w:rPr>
                <w:rFonts w:eastAsiaTheme="minorEastAsia"/>
                <w:szCs w:val="21"/>
              </w:rPr>
            </w:pPr>
          </w:p>
        </w:tc>
        <w:tc>
          <w:tcPr>
            <w:tcW w:w="1068" w:type="dxa"/>
            <w:vAlign w:val="center"/>
          </w:tcPr>
          <w:p>
            <w:pPr>
              <w:jc w:val="center"/>
              <w:rPr>
                <w:szCs w:val="21"/>
              </w:rPr>
            </w:pPr>
            <w:r>
              <w:rPr>
                <w:szCs w:val="21"/>
              </w:rPr>
              <w:t>风机</w:t>
            </w:r>
          </w:p>
        </w:tc>
        <w:tc>
          <w:tcPr>
            <w:tcW w:w="709" w:type="dxa"/>
            <w:vAlign w:val="center"/>
          </w:tcPr>
          <w:p>
            <w:pPr>
              <w:jc w:val="center"/>
              <w:rPr>
                <w:rFonts w:eastAsiaTheme="minorEastAsia"/>
                <w:szCs w:val="21"/>
              </w:rPr>
            </w:pPr>
            <w:r>
              <w:rPr>
                <w:rFonts w:eastAsiaTheme="minorEastAsia"/>
                <w:szCs w:val="21"/>
              </w:rPr>
              <w:t>/</w:t>
            </w:r>
          </w:p>
        </w:tc>
        <w:tc>
          <w:tcPr>
            <w:tcW w:w="1134" w:type="dxa"/>
            <w:vAlign w:val="center"/>
          </w:tcPr>
          <w:p>
            <w:pPr>
              <w:jc w:val="center"/>
              <w:rPr>
                <w:rFonts w:eastAsiaTheme="minorEastAsia"/>
                <w:szCs w:val="21"/>
              </w:rPr>
            </w:pPr>
            <w:r>
              <w:rPr>
                <w:rFonts w:eastAsiaTheme="minorEastAsia"/>
                <w:szCs w:val="21"/>
              </w:rPr>
              <w:t>/</w:t>
            </w:r>
          </w:p>
        </w:tc>
        <w:tc>
          <w:tcPr>
            <w:tcW w:w="992" w:type="dxa"/>
            <w:vAlign w:val="center"/>
          </w:tcPr>
          <w:p>
            <w:pPr>
              <w:jc w:val="center"/>
              <w:rPr>
                <w:szCs w:val="21"/>
              </w:rPr>
            </w:pPr>
            <w:r>
              <w:rPr>
                <w:rFonts w:hint="eastAsia"/>
                <w:szCs w:val="21"/>
              </w:rPr>
              <w:t>80</w:t>
            </w:r>
          </w:p>
        </w:tc>
        <w:tc>
          <w:tcPr>
            <w:tcW w:w="1134" w:type="dxa"/>
            <w:vAlign w:val="center"/>
          </w:tcPr>
          <w:p>
            <w:pPr>
              <w:jc w:val="center"/>
              <w:rPr>
                <w:rFonts w:hAnsiTheme="minorEastAsia"/>
                <w:szCs w:val="21"/>
              </w:rPr>
            </w:pPr>
            <w:r>
              <w:rPr>
                <w:rFonts w:hAnsiTheme="minorEastAsia" w:eastAsiaTheme="minorEastAsia"/>
                <w:szCs w:val="21"/>
              </w:rPr>
              <w:t>减振</w:t>
            </w:r>
          </w:p>
        </w:tc>
        <w:tc>
          <w:tcPr>
            <w:tcW w:w="993" w:type="dxa"/>
            <w:vAlign w:val="center"/>
          </w:tcPr>
          <w:p>
            <w:pPr>
              <w:jc w:val="center"/>
              <w:rPr>
                <w:rFonts w:eastAsiaTheme="minorEastAsia"/>
                <w:szCs w:val="21"/>
              </w:rPr>
            </w:pPr>
            <w:r>
              <w:rPr>
                <w:rFonts w:eastAsiaTheme="minorEastAsia"/>
                <w:szCs w:val="21"/>
              </w:rPr>
              <w:t>-</w:t>
            </w:r>
            <w:r>
              <w:rPr>
                <w:rFonts w:hint="eastAsia" w:eastAsiaTheme="minorEastAsia"/>
                <w:szCs w:val="21"/>
              </w:rPr>
              <w:t>186.6</w:t>
            </w:r>
          </w:p>
        </w:tc>
        <w:tc>
          <w:tcPr>
            <w:tcW w:w="850" w:type="dxa"/>
            <w:vAlign w:val="center"/>
          </w:tcPr>
          <w:p>
            <w:pPr>
              <w:jc w:val="center"/>
              <w:rPr>
                <w:rFonts w:eastAsiaTheme="minorEastAsia"/>
                <w:szCs w:val="21"/>
              </w:rPr>
            </w:pPr>
            <w:r>
              <w:rPr>
                <w:rFonts w:hint="eastAsia" w:eastAsiaTheme="minorEastAsia"/>
                <w:szCs w:val="21"/>
              </w:rPr>
              <w:t>84.3</w:t>
            </w:r>
          </w:p>
        </w:tc>
        <w:tc>
          <w:tcPr>
            <w:tcW w:w="851" w:type="dxa"/>
            <w:vAlign w:val="center"/>
          </w:tcPr>
          <w:p>
            <w:pPr>
              <w:jc w:val="center"/>
              <w:rPr>
                <w:rFonts w:eastAsiaTheme="minorEastAsia"/>
                <w:szCs w:val="21"/>
              </w:rPr>
            </w:pPr>
            <w:r>
              <w:rPr>
                <w:rFonts w:hint="eastAsia" w:eastAsiaTheme="minorEastAsia"/>
                <w:szCs w:val="21"/>
              </w:rPr>
              <w:t>97.5</w:t>
            </w:r>
          </w:p>
        </w:tc>
        <w:tc>
          <w:tcPr>
            <w:tcW w:w="1021" w:type="dxa"/>
            <w:vAlign w:val="center"/>
          </w:tcPr>
          <w:p>
            <w:pPr>
              <w:jc w:val="center"/>
              <w:rPr>
                <w:rFonts w:eastAsiaTheme="minorEastAsia"/>
                <w:szCs w:val="21"/>
              </w:rPr>
            </w:pPr>
            <w:r>
              <w:rPr>
                <w:rFonts w:hint="eastAsia" w:eastAsiaTheme="minorEastAsia"/>
                <w:szCs w:val="21"/>
              </w:rPr>
              <w:t>1</w:t>
            </w:r>
          </w:p>
        </w:tc>
        <w:tc>
          <w:tcPr>
            <w:tcW w:w="1001" w:type="dxa"/>
            <w:vAlign w:val="center"/>
          </w:tcPr>
          <w:p>
            <w:pPr>
              <w:jc w:val="center"/>
              <w:rPr>
                <w:color w:val="000000"/>
                <w:szCs w:val="21"/>
              </w:rPr>
            </w:pPr>
            <w:r>
              <w:rPr>
                <w:color w:val="000000"/>
                <w:szCs w:val="21"/>
              </w:rPr>
              <w:t>80.00</w:t>
            </w:r>
          </w:p>
        </w:tc>
        <w:tc>
          <w:tcPr>
            <w:tcW w:w="760" w:type="dxa"/>
            <w:vAlign w:val="center"/>
          </w:tcPr>
          <w:p>
            <w:pPr>
              <w:jc w:val="center"/>
              <w:rPr>
                <w:rFonts w:eastAsiaTheme="minorEastAsia"/>
                <w:szCs w:val="21"/>
              </w:rPr>
            </w:pPr>
            <w:r>
              <w:rPr>
                <w:rFonts w:hAnsiTheme="minorEastAsia" w:eastAsiaTheme="minorEastAsia"/>
                <w:szCs w:val="21"/>
              </w:rPr>
              <w:t>无</w:t>
            </w:r>
          </w:p>
        </w:tc>
        <w:tc>
          <w:tcPr>
            <w:tcW w:w="850" w:type="dxa"/>
            <w:vAlign w:val="center"/>
          </w:tcPr>
          <w:p>
            <w:pPr>
              <w:jc w:val="center"/>
              <w:rPr>
                <w:szCs w:val="21"/>
              </w:rPr>
            </w:pPr>
            <w:r>
              <w:rPr>
                <w:rFonts w:hint="eastAsia" w:eastAsiaTheme="minorEastAsia"/>
                <w:szCs w:val="21"/>
              </w:rPr>
              <w:t>35</w:t>
            </w:r>
          </w:p>
        </w:tc>
        <w:tc>
          <w:tcPr>
            <w:tcW w:w="790" w:type="dxa"/>
            <w:vAlign w:val="center"/>
          </w:tcPr>
          <w:p>
            <w:pPr>
              <w:jc w:val="center"/>
              <w:rPr>
                <w:rFonts w:ascii="宋体" w:hAnsi="宋体" w:cs="宋体"/>
                <w:color w:val="000000"/>
                <w:sz w:val="22"/>
                <w:szCs w:val="22"/>
              </w:rPr>
            </w:pPr>
            <w:r>
              <w:rPr>
                <w:rFonts w:hint="eastAsia"/>
                <w:color w:val="000000"/>
                <w:sz w:val="22"/>
                <w:szCs w:val="22"/>
              </w:rPr>
              <w:t>45</w:t>
            </w:r>
          </w:p>
        </w:tc>
        <w:tc>
          <w:tcPr>
            <w:tcW w:w="713" w:type="dxa"/>
            <w:vAlign w:val="center"/>
          </w:tcPr>
          <w:p>
            <w:pPr>
              <w:jc w:val="center"/>
              <w:rPr>
                <w:rFonts w:eastAsiaTheme="minorEastAsia"/>
                <w:szCs w:val="21"/>
              </w:rPr>
            </w:pPr>
            <w:r>
              <w:rPr>
                <w:rFonts w:hint="eastAsia"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606" w:type="dxa"/>
            <w:vAlign w:val="center"/>
          </w:tcPr>
          <w:p>
            <w:pPr>
              <w:jc w:val="center"/>
              <w:rPr>
                <w:rFonts w:eastAsiaTheme="minorEastAsia"/>
                <w:szCs w:val="21"/>
              </w:rPr>
            </w:pPr>
            <w:r>
              <w:rPr>
                <w:rFonts w:hint="eastAsia" w:eastAsiaTheme="minorEastAsia"/>
                <w:szCs w:val="21"/>
              </w:rPr>
              <w:t>5</w:t>
            </w:r>
          </w:p>
        </w:tc>
        <w:tc>
          <w:tcPr>
            <w:tcW w:w="702" w:type="dxa"/>
            <w:vMerge w:val="restart"/>
            <w:vAlign w:val="center"/>
          </w:tcPr>
          <w:p>
            <w:pPr>
              <w:jc w:val="center"/>
              <w:rPr>
                <w:rFonts w:eastAsiaTheme="minorEastAsia"/>
                <w:szCs w:val="21"/>
              </w:rPr>
            </w:pPr>
            <w:r>
              <w:rPr>
                <w:rFonts w:eastAsiaTheme="minorEastAsia"/>
                <w:szCs w:val="21"/>
              </w:rPr>
              <w:t>中央集蛋舍</w:t>
            </w:r>
          </w:p>
        </w:tc>
        <w:tc>
          <w:tcPr>
            <w:tcW w:w="1068" w:type="dxa"/>
            <w:vAlign w:val="center"/>
          </w:tcPr>
          <w:p>
            <w:pPr>
              <w:jc w:val="center"/>
              <w:rPr>
                <w:szCs w:val="21"/>
              </w:rPr>
            </w:pPr>
            <w:r>
              <w:rPr>
                <w:szCs w:val="21"/>
              </w:rPr>
              <w:t>鸡蛋清洗线</w:t>
            </w:r>
          </w:p>
        </w:tc>
        <w:tc>
          <w:tcPr>
            <w:tcW w:w="709" w:type="dxa"/>
            <w:vAlign w:val="center"/>
          </w:tcPr>
          <w:p>
            <w:pPr>
              <w:jc w:val="center"/>
              <w:rPr>
                <w:rFonts w:eastAsiaTheme="minorEastAsia"/>
                <w:szCs w:val="21"/>
              </w:rPr>
            </w:pPr>
            <w:r>
              <w:rPr>
                <w:rFonts w:eastAsiaTheme="minorEastAsia"/>
                <w:szCs w:val="21"/>
              </w:rPr>
              <w:t>/</w:t>
            </w:r>
          </w:p>
        </w:tc>
        <w:tc>
          <w:tcPr>
            <w:tcW w:w="1134" w:type="dxa"/>
            <w:vAlign w:val="center"/>
          </w:tcPr>
          <w:p>
            <w:pPr>
              <w:jc w:val="center"/>
              <w:rPr>
                <w:rFonts w:eastAsiaTheme="minorEastAsia"/>
                <w:szCs w:val="21"/>
              </w:rPr>
            </w:pPr>
            <w:r>
              <w:rPr>
                <w:rFonts w:eastAsiaTheme="minorEastAsia"/>
                <w:szCs w:val="21"/>
              </w:rPr>
              <w:t>/</w:t>
            </w:r>
          </w:p>
        </w:tc>
        <w:tc>
          <w:tcPr>
            <w:tcW w:w="992" w:type="dxa"/>
            <w:vAlign w:val="center"/>
          </w:tcPr>
          <w:p>
            <w:pPr>
              <w:jc w:val="center"/>
              <w:rPr>
                <w:rFonts w:eastAsiaTheme="minorEastAsia"/>
                <w:szCs w:val="21"/>
              </w:rPr>
            </w:pPr>
            <w:r>
              <w:rPr>
                <w:rFonts w:hint="eastAsia" w:eastAsiaTheme="minorEastAsia"/>
                <w:szCs w:val="21"/>
              </w:rPr>
              <w:t>70</w:t>
            </w:r>
          </w:p>
        </w:tc>
        <w:tc>
          <w:tcPr>
            <w:tcW w:w="1134" w:type="dxa"/>
            <w:vAlign w:val="center"/>
          </w:tcPr>
          <w:p>
            <w:pPr>
              <w:jc w:val="center"/>
              <w:rPr>
                <w:rFonts w:hAnsiTheme="minorEastAsia"/>
                <w:szCs w:val="21"/>
              </w:rPr>
            </w:pPr>
            <w:r>
              <w:rPr>
                <w:rFonts w:hAnsiTheme="minorEastAsia" w:eastAsiaTheme="minorEastAsia"/>
                <w:szCs w:val="21"/>
              </w:rPr>
              <w:t>减振</w:t>
            </w:r>
          </w:p>
        </w:tc>
        <w:tc>
          <w:tcPr>
            <w:tcW w:w="993" w:type="dxa"/>
            <w:vAlign w:val="center"/>
          </w:tcPr>
          <w:p>
            <w:pPr>
              <w:jc w:val="center"/>
              <w:rPr>
                <w:rFonts w:eastAsiaTheme="minorEastAsia"/>
                <w:szCs w:val="21"/>
              </w:rPr>
            </w:pPr>
            <w:r>
              <w:rPr>
                <w:rFonts w:eastAsiaTheme="minorEastAsia"/>
                <w:szCs w:val="21"/>
              </w:rPr>
              <w:t>-</w:t>
            </w:r>
            <w:r>
              <w:rPr>
                <w:rFonts w:hint="eastAsia" w:eastAsiaTheme="minorEastAsia"/>
                <w:szCs w:val="21"/>
              </w:rPr>
              <w:t>22.3</w:t>
            </w:r>
          </w:p>
        </w:tc>
        <w:tc>
          <w:tcPr>
            <w:tcW w:w="850" w:type="dxa"/>
            <w:vAlign w:val="center"/>
          </w:tcPr>
          <w:p>
            <w:pPr>
              <w:jc w:val="center"/>
              <w:rPr>
                <w:rFonts w:eastAsiaTheme="minorEastAsia"/>
                <w:szCs w:val="21"/>
              </w:rPr>
            </w:pPr>
            <w:r>
              <w:rPr>
                <w:rFonts w:hint="eastAsia" w:eastAsiaTheme="minorEastAsia"/>
                <w:szCs w:val="21"/>
              </w:rPr>
              <w:t>79.8</w:t>
            </w:r>
          </w:p>
        </w:tc>
        <w:tc>
          <w:tcPr>
            <w:tcW w:w="851" w:type="dxa"/>
            <w:vAlign w:val="center"/>
          </w:tcPr>
          <w:p>
            <w:pPr>
              <w:jc w:val="center"/>
              <w:rPr>
                <w:rFonts w:eastAsiaTheme="minorEastAsia"/>
                <w:szCs w:val="21"/>
              </w:rPr>
            </w:pPr>
            <w:r>
              <w:rPr>
                <w:rFonts w:hint="eastAsia" w:eastAsiaTheme="minorEastAsia"/>
                <w:szCs w:val="21"/>
              </w:rPr>
              <w:t>95.9</w:t>
            </w:r>
          </w:p>
        </w:tc>
        <w:tc>
          <w:tcPr>
            <w:tcW w:w="1021" w:type="dxa"/>
            <w:vAlign w:val="center"/>
          </w:tcPr>
          <w:p>
            <w:pPr>
              <w:jc w:val="center"/>
              <w:rPr>
                <w:rFonts w:eastAsiaTheme="minorEastAsia"/>
                <w:szCs w:val="21"/>
              </w:rPr>
            </w:pPr>
            <w:r>
              <w:rPr>
                <w:rFonts w:hint="eastAsia" w:eastAsiaTheme="minorEastAsia"/>
                <w:szCs w:val="21"/>
              </w:rPr>
              <w:t>5</w:t>
            </w:r>
          </w:p>
        </w:tc>
        <w:tc>
          <w:tcPr>
            <w:tcW w:w="1001" w:type="dxa"/>
            <w:vAlign w:val="center"/>
          </w:tcPr>
          <w:p>
            <w:pPr>
              <w:jc w:val="center"/>
              <w:rPr>
                <w:color w:val="000000"/>
                <w:szCs w:val="21"/>
              </w:rPr>
            </w:pPr>
            <w:r>
              <w:rPr>
                <w:color w:val="000000"/>
                <w:szCs w:val="21"/>
              </w:rPr>
              <w:t>56.02</w:t>
            </w:r>
          </w:p>
        </w:tc>
        <w:tc>
          <w:tcPr>
            <w:tcW w:w="760" w:type="dxa"/>
            <w:vAlign w:val="center"/>
          </w:tcPr>
          <w:p>
            <w:pPr>
              <w:jc w:val="center"/>
              <w:rPr>
                <w:rFonts w:eastAsiaTheme="minorEastAsia"/>
                <w:szCs w:val="21"/>
              </w:rPr>
            </w:pPr>
            <w:r>
              <w:rPr>
                <w:rFonts w:hAnsiTheme="minorEastAsia" w:eastAsiaTheme="minorEastAsia"/>
                <w:szCs w:val="21"/>
              </w:rPr>
              <w:t>无</w:t>
            </w:r>
          </w:p>
        </w:tc>
        <w:tc>
          <w:tcPr>
            <w:tcW w:w="850" w:type="dxa"/>
            <w:vAlign w:val="center"/>
          </w:tcPr>
          <w:p>
            <w:pPr>
              <w:jc w:val="center"/>
              <w:rPr>
                <w:szCs w:val="21"/>
              </w:rPr>
            </w:pPr>
            <w:r>
              <w:rPr>
                <w:rFonts w:hint="eastAsia" w:eastAsiaTheme="minorEastAsia"/>
                <w:szCs w:val="21"/>
              </w:rPr>
              <w:t>35</w:t>
            </w:r>
          </w:p>
        </w:tc>
        <w:tc>
          <w:tcPr>
            <w:tcW w:w="790" w:type="dxa"/>
            <w:vAlign w:val="center"/>
          </w:tcPr>
          <w:p>
            <w:pPr>
              <w:jc w:val="center"/>
              <w:rPr>
                <w:rFonts w:ascii="宋体" w:hAnsi="宋体" w:cs="宋体"/>
                <w:color w:val="000000"/>
                <w:sz w:val="22"/>
                <w:szCs w:val="22"/>
              </w:rPr>
            </w:pPr>
            <w:r>
              <w:rPr>
                <w:rFonts w:hint="eastAsia"/>
                <w:color w:val="000000"/>
                <w:sz w:val="22"/>
                <w:szCs w:val="22"/>
              </w:rPr>
              <w:t>21.02</w:t>
            </w:r>
          </w:p>
        </w:tc>
        <w:tc>
          <w:tcPr>
            <w:tcW w:w="713" w:type="dxa"/>
            <w:vAlign w:val="center"/>
          </w:tcPr>
          <w:p>
            <w:pPr>
              <w:jc w:val="center"/>
              <w:rPr>
                <w:rFonts w:eastAsiaTheme="minorEastAsia"/>
                <w:szCs w:val="21"/>
              </w:rPr>
            </w:pPr>
            <w:r>
              <w:rPr>
                <w:rFonts w:hint="eastAsia"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6" w:type="dxa"/>
            <w:vAlign w:val="center"/>
          </w:tcPr>
          <w:p>
            <w:pPr>
              <w:jc w:val="center"/>
              <w:rPr>
                <w:rFonts w:eastAsiaTheme="minorEastAsia"/>
                <w:szCs w:val="21"/>
              </w:rPr>
            </w:pPr>
            <w:r>
              <w:rPr>
                <w:rFonts w:hint="eastAsia" w:eastAsiaTheme="minorEastAsia"/>
                <w:szCs w:val="21"/>
              </w:rPr>
              <w:t>6</w:t>
            </w:r>
          </w:p>
        </w:tc>
        <w:tc>
          <w:tcPr>
            <w:tcW w:w="702" w:type="dxa"/>
            <w:vMerge w:val="continue"/>
            <w:vAlign w:val="center"/>
          </w:tcPr>
          <w:p>
            <w:pPr>
              <w:jc w:val="center"/>
              <w:rPr>
                <w:rFonts w:eastAsiaTheme="minorEastAsia"/>
                <w:szCs w:val="21"/>
              </w:rPr>
            </w:pPr>
          </w:p>
        </w:tc>
        <w:tc>
          <w:tcPr>
            <w:tcW w:w="1068" w:type="dxa"/>
            <w:vAlign w:val="center"/>
          </w:tcPr>
          <w:p>
            <w:pPr>
              <w:jc w:val="center"/>
              <w:rPr>
                <w:szCs w:val="21"/>
              </w:rPr>
            </w:pPr>
            <w:r>
              <w:rPr>
                <w:szCs w:val="21"/>
              </w:rPr>
              <w:t>鸡蛋分选设备</w:t>
            </w:r>
          </w:p>
        </w:tc>
        <w:tc>
          <w:tcPr>
            <w:tcW w:w="709" w:type="dxa"/>
            <w:vAlign w:val="center"/>
          </w:tcPr>
          <w:p>
            <w:pPr>
              <w:jc w:val="center"/>
              <w:rPr>
                <w:rFonts w:eastAsiaTheme="minorEastAsia"/>
                <w:szCs w:val="21"/>
              </w:rPr>
            </w:pPr>
            <w:r>
              <w:rPr>
                <w:rFonts w:eastAsiaTheme="minorEastAsia"/>
                <w:szCs w:val="21"/>
              </w:rPr>
              <w:t>/</w:t>
            </w:r>
          </w:p>
        </w:tc>
        <w:tc>
          <w:tcPr>
            <w:tcW w:w="1134" w:type="dxa"/>
            <w:vAlign w:val="center"/>
          </w:tcPr>
          <w:p>
            <w:pPr>
              <w:jc w:val="center"/>
              <w:rPr>
                <w:rFonts w:eastAsiaTheme="minorEastAsia"/>
                <w:szCs w:val="21"/>
              </w:rPr>
            </w:pPr>
            <w:r>
              <w:rPr>
                <w:rFonts w:eastAsiaTheme="minorEastAsia"/>
                <w:szCs w:val="21"/>
              </w:rPr>
              <w:t>/</w:t>
            </w:r>
          </w:p>
        </w:tc>
        <w:tc>
          <w:tcPr>
            <w:tcW w:w="992" w:type="dxa"/>
            <w:vAlign w:val="center"/>
          </w:tcPr>
          <w:p>
            <w:pPr>
              <w:jc w:val="center"/>
              <w:rPr>
                <w:rFonts w:eastAsiaTheme="minorEastAsia"/>
                <w:szCs w:val="21"/>
              </w:rPr>
            </w:pPr>
            <w:r>
              <w:rPr>
                <w:rFonts w:hint="eastAsia" w:eastAsiaTheme="minorEastAsia"/>
                <w:szCs w:val="21"/>
              </w:rPr>
              <w:t>70</w:t>
            </w:r>
          </w:p>
        </w:tc>
        <w:tc>
          <w:tcPr>
            <w:tcW w:w="1134" w:type="dxa"/>
            <w:vAlign w:val="center"/>
          </w:tcPr>
          <w:p>
            <w:pPr>
              <w:jc w:val="center"/>
              <w:rPr>
                <w:szCs w:val="21"/>
              </w:rPr>
            </w:pPr>
            <w:r>
              <w:rPr>
                <w:rFonts w:hAnsiTheme="minorEastAsia" w:eastAsiaTheme="minorEastAsia"/>
                <w:szCs w:val="21"/>
              </w:rPr>
              <w:t>隔声</w:t>
            </w:r>
          </w:p>
        </w:tc>
        <w:tc>
          <w:tcPr>
            <w:tcW w:w="993" w:type="dxa"/>
            <w:vAlign w:val="center"/>
          </w:tcPr>
          <w:p>
            <w:pPr>
              <w:jc w:val="center"/>
              <w:rPr>
                <w:rFonts w:eastAsiaTheme="minorEastAsia"/>
                <w:szCs w:val="21"/>
              </w:rPr>
            </w:pPr>
            <w:r>
              <w:rPr>
                <w:rFonts w:hint="eastAsia" w:eastAsiaTheme="minorEastAsia"/>
                <w:szCs w:val="21"/>
              </w:rPr>
              <w:t>0.3</w:t>
            </w:r>
          </w:p>
        </w:tc>
        <w:tc>
          <w:tcPr>
            <w:tcW w:w="850" w:type="dxa"/>
            <w:vAlign w:val="center"/>
          </w:tcPr>
          <w:p>
            <w:pPr>
              <w:jc w:val="center"/>
              <w:rPr>
                <w:rFonts w:eastAsiaTheme="minorEastAsia"/>
                <w:szCs w:val="21"/>
              </w:rPr>
            </w:pPr>
            <w:r>
              <w:rPr>
                <w:rFonts w:hint="eastAsia" w:eastAsiaTheme="minorEastAsia"/>
                <w:szCs w:val="21"/>
              </w:rPr>
              <w:t>71.5</w:t>
            </w:r>
          </w:p>
        </w:tc>
        <w:tc>
          <w:tcPr>
            <w:tcW w:w="851" w:type="dxa"/>
            <w:vAlign w:val="center"/>
          </w:tcPr>
          <w:p>
            <w:pPr>
              <w:jc w:val="center"/>
              <w:rPr>
                <w:rFonts w:eastAsiaTheme="minorEastAsia"/>
                <w:szCs w:val="21"/>
              </w:rPr>
            </w:pPr>
            <w:r>
              <w:rPr>
                <w:rFonts w:hint="eastAsia" w:eastAsiaTheme="minorEastAsia"/>
                <w:szCs w:val="21"/>
              </w:rPr>
              <w:t>93.7</w:t>
            </w:r>
          </w:p>
        </w:tc>
        <w:tc>
          <w:tcPr>
            <w:tcW w:w="1021" w:type="dxa"/>
            <w:vAlign w:val="center"/>
          </w:tcPr>
          <w:p>
            <w:pPr>
              <w:jc w:val="center"/>
              <w:rPr>
                <w:rFonts w:eastAsiaTheme="minorEastAsia"/>
                <w:szCs w:val="21"/>
              </w:rPr>
            </w:pPr>
            <w:r>
              <w:rPr>
                <w:rFonts w:hint="eastAsia" w:eastAsiaTheme="minorEastAsia"/>
                <w:szCs w:val="21"/>
              </w:rPr>
              <w:t>5</w:t>
            </w:r>
          </w:p>
        </w:tc>
        <w:tc>
          <w:tcPr>
            <w:tcW w:w="1001" w:type="dxa"/>
            <w:vAlign w:val="center"/>
          </w:tcPr>
          <w:p>
            <w:pPr>
              <w:jc w:val="center"/>
              <w:rPr>
                <w:color w:val="000000"/>
                <w:szCs w:val="21"/>
              </w:rPr>
            </w:pPr>
            <w:r>
              <w:rPr>
                <w:color w:val="000000"/>
                <w:szCs w:val="21"/>
              </w:rPr>
              <w:t>56.02</w:t>
            </w:r>
          </w:p>
        </w:tc>
        <w:tc>
          <w:tcPr>
            <w:tcW w:w="760" w:type="dxa"/>
            <w:vAlign w:val="center"/>
          </w:tcPr>
          <w:p>
            <w:pPr>
              <w:jc w:val="center"/>
              <w:rPr>
                <w:rFonts w:eastAsiaTheme="minorEastAsia"/>
                <w:szCs w:val="21"/>
              </w:rPr>
            </w:pPr>
            <w:r>
              <w:rPr>
                <w:rFonts w:hAnsiTheme="minorEastAsia" w:eastAsiaTheme="minorEastAsia"/>
                <w:szCs w:val="21"/>
              </w:rPr>
              <w:t>无</w:t>
            </w:r>
          </w:p>
        </w:tc>
        <w:tc>
          <w:tcPr>
            <w:tcW w:w="850" w:type="dxa"/>
            <w:vAlign w:val="center"/>
          </w:tcPr>
          <w:p>
            <w:pPr>
              <w:jc w:val="center"/>
              <w:rPr>
                <w:szCs w:val="21"/>
              </w:rPr>
            </w:pPr>
            <w:r>
              <w:rPr>
                <w:rFonts w:hint="eastAsia" w:eastAsiaTheme="minorEastAsia"/>
                <w:szCs w:val="21"/>
              </w:rPr>
              <w:t>35</w:t>
            </w:r>
          </w:p>
        </w:tc>
        <w:tc>
          <w:tcPr>
            <w:tcW w:w="790" w:type="dxa"/>
            <w:vAlign w:val="center"/>
          </w:tcPr>
          <w:p>
            <w:pPr>
              <w:jc w:val="center"/>
              <w:rPr>
                <w:rFonts w:ascii="宋体" w:hAnsi="宋体" w:cs="宋体"/>
                <w:color w:val="000000"/>
                <w:sz w:val="22"/>
                <w:szCs w:val="22"/>
              </w:rPr>
            </w:pPr>
            <w:r>
              <w:rPr>
                <w:rFonts w:hint="eastAsia"/>
                <w:color w:val="000000"/>
                <w:sz w:val="22"/>
                <w:szCs w:val="22"/>
              </w:rPr>
              <w:t>21.02</w:t>
            </w:r>
          </w:p>
        </w:tc>
        <w:tc>
          <w:tcPr>
            <w:tcW w:w="713" w:type="dxa"/>
            <w:vAlign w:val="center"/>
          </w:tcPr>
          <w:p>
            <w:pPr>
              <w:jc w:val="center"/>
              <w:rPr>
                <w:rFonts w:eastAsiaTheme="minorEastAsia"/>
                <w:szCs w:val="21"/>
              </w:rPr>
            </w:pPr>
            <w:r>
              <w:rPr>
                <w:rFonts w:hint="eastAsia"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606" w:type="dxa"/>
            <w:vAlign w:val="center"/>
          </w:tcPr>
          <w:p>
            <w:pPr>
              <w:jc w:val="center"/>
              <w:rPr>
                <w:rFonts w:eastAsiaTheme="minorEastAsia"/>
                <w:szCs w:val="21"/>
              </w:rPr>
            </w:pPr>
            <w:r>
              <w:rPr>
                <w:rFonts w:hint="eastAsia" w:eastAsiaTheme="minorEastAsia"/>
                <w:szCs w:val="21"/>
              </w:rPr>
              <w:t>7</w:t>
            </w:r>
          </w:p>
        </w:tc>
        <w:tc>
          <w:tcPr>
            <w:tcW w:w="702" w:type="dxa"/>
            <w:vMerge w:val="restart"/>
            <w:vAlign w:val="center"/>
          </w:tcPr>
          <w:p>
            <w:pPr>
              <w:jc w:val="center"/>
              <w:rPr>
                <w:rFonts w:eastAsiaTheme="minorEastAsia"/>
                <w:szCs w:val="21"/>
              </w:rPr>
            </w:pPr>
            <w:r>
              <w:rPr>
                <w:rFonts w:eastAsiaTheme="minorEastAsia"/>
                <w:szCs w:val="21"/>
              </w:rPr>
              <w:t>东</w:t>
            </w:r>
            <w:r>
              <w:rPr>
                <w:rFonts w:hint="eastAsia" w:eastAsiaTheme="minorEastAsia"/>
                <w:szCs w:val="21"/>
                <w:lang w:val="en-US" w:eastAsia="zh-CN"/>
              </w:rPr>
              <w:t>场</w:t>
            </w:r>
            <w:r>
              <w:rPr>
                <w:rFonts w:eastAsiaTheme="minorEastAsia"/>
                <w:szCs w:val="21"/>
              </w:rPr>
              <w:t>鸡舍</w:t>
            </w:r>
          </w:p>
        </w:tc>
        <w:tc>
          <w:tcPr>
            <w:tcW w:w="1068" w:type="dxa"/>
            <w:vAlign w:val="center"/>
          </w:tcPr>
          <w:p>
            <w:pPr>
              <w:jc w:val="center"/>
              <w:rPr>
                <w:szCs w:val="21"/>
              </w:rPr>
            </w:pPr>
            <w:r>
              <w:rPr>
                <w:szCs w:val="21"/>
              </w:rPr>
              <w:t>鸡群叫声</w:t>
            </w:r>
          </w:p>
        </w:tc>
        <w:tc>
          <w:tcPr>
            <w:tcW w:w="709" w:type="dxa"/>
            <w:vAlign w:val="center"/>
          </w:tcPr>
          <w:p>
            <w:pPr>
              <w:jc w:val="center"/>
              <w:rPr>
                <w:rFonts w:eastAsiaTheme="minorEastAsia"/>
                <w:szCs w:val="21"/>
              </w:rPr>
            </w:pPr>
            <w:r>
              <w:rPr>
                <w:rFonts w:eastAsiaTheme="minorEastAsia"/>
                <w:szCs w:val="21"/>
              </w:rPr>
              <w:t>/</w:t>
            </w:r>
          </w:p>
        </w:tc>
        <w:tc>
          <w:tcPr>
            <w:tcW w:w="1134" w:type="dxa"/>
            <w:vAlign w:val="center"/>
          </w:tcPr>
          <w:p>
            <w:pPr>
              <w:jc w:val="center"/>
              <w:rPr>
                <w:rFonts w:eastAsiaTheme="minorEastAsia"/>
                <w:szCs w:val="21"/>
              </w:rPr>
            </w:pPr>
            <w:r>
              <w:rPr>
                <w:rFonts w:eastAsiaTheme="minorEastAsia"/>
                <w:szCs w:val="21"/>
              </w:rPr>
              <w:t>/</w:t>
            </w:r>
          </w:p>
        </w:tc>
        <w:tc>
          <w:tcPr>
            <w:tcW w:w="992" w:type="dxa"/>
            <w:vAlign w:val="center"/>
          </w:tcPr>
          <w:p>
            <w:pPr>
              <w:jc w:val="center"/>
              <w:rPr>
                <w:szCs w:val="21"/>
              </w:rPr>
            </w:pPr>
            <w:r>
              <w:rPr>
                <w:rFonts w:hint="eastAsia"/>
                <w:szCs w:val="21"/>
              </w:rPr>
              <w:t>70</w:t>
            </w:r>
          </w:p>
        </w:tc>
        <w:tc>
          <w:tcPr>
            <w:tcW w:w="1134" w:type="dxa"/>
            <w:vAlign w:val="center"/>
          </w:tcPr>
          <w:p>
            <w:pPr>
              <w:jc w:val="center"/>
              <w:rPr>
                <w:rFonts w:hAnsiTheme="minorEastAsia"/>
                <w:szCs w:val="21"/>
              </w:rPr>
            </w:pPr>
            <w:r>
              <w:rPr>
                <w:rFonts w:hAnsiTheme="minorEastAsia" w:eastAsiaTheme="minorEastAsia"/>
                <w:szCs w:val="21"/>
              </w:rPr>
              <w:t>减振</w:t>
            </w:r>
          </w:p>
        </w:tc>
        <w:tc>
          <w:tcPr>
            <w:tcW w:w="993" w:type="dxa"/>
            <w:vAlign w:val="center"/>
          </w:tcPr>
          <w:p>
            <w:pPr>
              <w:jc w:val="center"/>
              <w:rPr>
                <w:rFonts w:eastAsiaTheme="minorEastAsia"/>
                <w:szCs w:val="21"/>
              </w:rPr>
            </w:pPr>
            <w:r>
              <w:rPr>
                <w:rFonts w:hint="eastAsia" w:eastAsiaTheme="minorEastAsia"/>
                <w:szCs w:val="21"/>
              </w:rPr>
              <w:t>249.9</w:t>
            </w:r>
          </w:p>
        </w:tc>
        <w:tc>
          <w:tcPr>
            <w:tcW w:w="850" w:type="dxa"/>
            <w:vAlign w:val="center"/>
          </w:tcPr>
          <w:p>
            <w:pPr>
              <w:jc w:val="center"/>
              <w:rPr>
                <w:rFonts w:eastAsiaTheme="minorEastAsia"/>
                <w:szCs w:val="21"/>
              </w:rPr>
            </w:pPr>
            <w:r>
              <w:rPr>
                <w:rFonts w:hint="eastAsia" w:eastAsiaTheme="minorEastAsia"/>
                <w:szCs w:val="21"/>
              </w:rPr>
              <w:t>12.8</w:t>
            </w:r>
          </w:p>
        </w:tc>
        <w:tc>
          <w:tcPr>
            <w:tcW w:w="851" w:type="dxa"/>
            <w:vAlign w:val="center"/>
          </w:tcPr>
          <w:p>
            <w:pPr>
              <w:jc w:val="center"/>
              <w:rPr>
                <w:rFonts w:eastAsiaTheme="minorEastAsia"/>
                <w:szCs w:val="21"/>
              </w:rPr>
            </w:pPr>
            <w:r>
              <w:rPr>
                <w:rFonts w:hint="eastAsia" w:eastAsiaTheme="minorEastAsia"/>
                <w:szCs w:val="21"/>
              </w:rPr>
              <w:t>88.9</w:t>
            </w:r>
          </w:p>
        </w:tc>
        <w:tc>
          <w:tcPr>
            <w:tcW w:w="1021" w:type="dxa"/>
            <w:vAlign w:val="center"/>
          </w:tcPr>
          <w:p>
            <w:pPr>
              <w:jc w:val="center"/>
              <w:rPr>
                <w:rFonts w:eastAsiaTheme="minorEastAsia"/>
                <w:szCs w:val="21"/>
              </w:rPr>
            </w:pPr>
            <w:r>
              <w:rPr>
                <w:rFonts w:hint="eastAsia" w:eastAsiaTheme="minorEastAsia"/>
                <w:szCs w:val="21"/>
              </w:rPr>
              <w:t>1</w:t>
            </w:r>
          </w:p>
        </w:tc>
        <w:tc>
          <w:tcPr>
            <w:tcW w:w="1001" w:type="dxa"/>
            <w:vAlign w:val="center"/>
          </w:tcPr>
          <w:p>
            <w:pPr>
              <w:jc w:val="center"/>
              <w:rPr>
                <w:color w:val="000000"/>
                <w:szCs w:val="21"/>
              </w:rPr>
            </w:pPr>
            <w:r>
              <w:rPr>
                <w:color w:val="000000"/>
                <w:szCs w:val="21"/>
              </w:rPr>
              <w:t>70.00</w:t>
            </w:r>
          </w:p>
        </w:tc>
        <w:tc>
          <w:tcPr>
            <w:tcW w:w="760" w:type="dxa"/>
            <w:vAlign w:val="center"/>
          </w:tcPr>
          <w:p>
            <w:pPr>
              <w:jc w:val="center"/>
              <w:rPr>
                <w:rFonts w:eastAsiaTheme="minorEastAsia"/>
                <w:szCs w:val="21"/>
              </w:rPr>
            </w:pPr>
            <w:r>
              <w:rPr>
                <w:rFonts w:hAnsiTheme="minorEastAsia" w:eastAsiaTheme="minorEastAsia"/>
                <w:szCs w:val="21"/>
              </w:rPr>
              <w:t>无</w:t>
            </w:r>
          </w:p>
        </w:tc>
        <w:tc>
          <w:tcPr>
            <w:tcW w:w="850" w:type="dxa"/>
            <w:vAlign w:val="center"/>
          </w:tcPr>
          <w:p>
            <w:pPr>
              <w:jc w:val="center"/>
              <w:rPr>
                <w:szCs w:val="21"/>
              </w:rPr>
            </w:pPr>
            <w:r>
              <w:rPr>
                <w:rFonts w:hint="eastAsia" w:eastAsiaTheme="minorEastAsia"/>
                <w:szCs w:val="21"/>
              </w:rPr>
              <w:t>35</w:t>
            </w:r>
          </w:p>
        </w:tc>
        <w:tc>
          <w:tcPr>
            <w:tcW w:w="790" w:type="dxa"/>
            <w:vAlign w:val="center"/>
          </w:tcPr>
          <w:p>
            <w:pPr>
              <w:jc w:val="center"/>
              <w:rPr>
                <w:rFonts w:ascii="宋体" w:hAnsi="宋体" w:cs="宋体"/>
                <w:color w:val="000000"/>
                <w:sz w:val="22"/>
                <w:szCs w:val="22"/>
              </w:rPr>
            </w:pPr>
            <w:r>
              <w:rPr>
                <w:rFonts w:hint="eastAsia"/>
                <w:color w:val="000000"/>
                <w:sz w:val="22"/>
                <w:szCs w:val="22"/>
              </w:rPr>
              <w:t>35</w:t>
            </w:r>
          </w:p>
        </w:tc>
        <w:tc>
          <w:tcPr>
            <w:tcW w:w="713" w:type="dxa"/>
            <w:vAlign w:val="center"/>
          </w:tcPr>
          <w:p>
            <w:pPr>
              <w:jc w:val="center"/>
              <w:rPr>
                <w:rFonts w:eastAsiaTheme="minorEastAsia"/>
                <w:szCs w:val="21"/>
              </w:rPr>
            </w:pPr>
            <w:r>
              <w:rPr>
                <w:rFonts w:hint="eastAsia"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6" w:type="dxa"/>
            <w:vAlign w:val="center"/>
          </w:tcPr>
          <w:p>
            <w:pPr>
              <w:jc w:val="center"/>
              <w:rPr>
                <w:rFonts w:eastAsiaTheme="minorEastAsia"/>
                <w:szCs w:val="21"/>
              </w:rPr>
            </w:pPr>
            <w:r>
              <w:rPr>
                <w:rFonts w:hint="eastAsia" w:eastAsiaTheme="minorEastAsia"/>
                <w:szCs w:val="21"/>
              </w:rPr>
              <w:t>8</w:t>
            </w:r>
          </w:p>
        </w:tc>
        <w:tc>
          <w:tcPr>
            <w:tcW w:w="702" w:type="dxa"/>
            <w:vMerge w:val="continue"/>
            <w:vAlign w:val="center"/>
          </w:tcPr>
          <w:p>
            <w:pPr>
              <w:jc w:val="center"/>
              <w:rPr>
                <w:rFonts w:eastAsiaTheme="minorEastAsia"/>
                <w:szCs w:val="21"/>
              </w:rPr>
            </w:pPr>
          </w:p>
        </w:tc>
        <w:tc>
          <w:tcPr>
            <w:tcW w:w="1068" w:type="dxa"/>
            <w:vAlign w:val="center"/>
          </w:tcPr>
          <w:p>
            <w:pPr>
              <w:jc w:val="center"/>
              <w:rPr>
                <w:szCs w:val="21"/>
              </w:rPr>
            </w:pPr>
            <w:r>
              <w:rPr>
                <w:szCs w:val="21"/>
              </w:rPr>
              <w:t>送料设备</w:t>
            </w:r>
          </w:p>
        </w:tc>
        <w:tc>
          <w:tcPr>
            <w:tcW w:w="709" w:type="dxa"/>
            <w:vAlign w:val="center"/>
          </w:tcPr>
          <w:p>
            <w:pPr>
              <w:jc w:val="center"/>
              <w:rPr>
                <w:rFonts w:eastAsiaTheme="minorEastAsia"/>
                <w:szCs w:val="21"/>
              </w:rPr>
            </w:pPr>
            <w:r>
              <w:rPr>
                <w:rFonts w:eastAsiaTheme="minorEastAsia"/>
                <w:szCs w:val="21"/>
              </w:rPr>
              <w:t>/</w:t>
            </w:r>
          </w:p>
        </w:tc>
        <w:tc>
          <w:tcPr>
            <w:tcW w:w="1134" w:type="dxa"/>
            <w:vAlign w:val="center"/>
          </w:tcPr>
          <w:p>
            <w:pPr>
              <w:jc w:val="center"/>
              <w:rPr>
                <w:rFonts w:eastAsiaTheme="minorEastAsia"/>
                <w:szCs w:val="21"/>
              </w:rPr>
            </w:pPr>
            <w:r>
              <w:rPr>
                <w:rFonts w:eastAsiaTheme="minorEastAsia"/>
                <w:szCs w:val="21"/>
              </w:rPr>
              <w:t>/</w:t>
            </w:r>
          </w:p>
        </w:tc>
        <w:tc>
          <w:tcPr>
            <w:tcW w:w="992" w:type="dxa"/>
            <w:vAlign w:val="center"/>
          </w:tcPr>
          <w:p>
            <w:pPr>
              <w:jc w:val="center"/>
              <w:rPr>
                <w:szCs w:val="21"/>
              </w:rPr>
            </w:pPr>
            <w:r>
              <w:rPr>
                <w:rFonts w:hint="eastAsia"/>
                <w:szCs w:val="21"/>
              </w:rPr>
              <w:t>70</w:t>
            </w:r>
          </w:p>
        </w:tc>
        <w:tc>
          <w:tcPr>
            <w:tcW w:w="1134" w:type="dxa"/>
            <w:vAlign w:val="center"/>
          </w:tcPr>
          <w:p>
            <w:pPr>
              <w:jc w:val="center"/>
              <w:rPr>
                <w:szCs w:val="21"/>
              </w:rPr>
            </w:pPr>
            <w:r>
              <w:rPr>
                <w:rFonts w:hAnsiTheme="minorEastAsia" w:eastAsiaTheme="minorEastAsia"/>
                <w:szCs w:val="21"/>
              </w:rPr>
              <w:t>隔声</w:t>
            </w:r>
          </w:p>
        </w:tc>
        <w:tc>
          <w:tcPr>
            <w:tcW w:w="993" w:type="dxa"/>
            <w:vAlign w:val="center"/>
          </w:tcPr>
          <w:p>
            <w:pPr>
              <w:jc w:val="center"/>
              <w:rPr>
                <w:rFonts w:eastAsiaTheme="minorEastAsia"/>
                <w:szCs w:val="21"/>
              </w:rPr>
            </w:pPr>
            <w:r>
              <w:rPr>
                <w:rFonts w:hint="eastAsia" w:eastAsiaTheme="minorEastAsia"/>
                <w:szCs w:val="21"/>
              </w:rPr>
              <w:t>260.8</w:t>
            </w:r>
          </w:p>
        </w:tc>
        <w:tc>
          <w:tcPr>
            <w:tcW w:w="850" w:type="dxa"/>
            <w:vAlign w:val="center"/>
          </w:tcPr>
          <w:p>
            <w:pPr>
              <w:jc w:val="center"/>
              <w:rPr>
                <w:rFonts w:eastAsiaTheme="minorEastAsia"/>
                <w:szCs w:val="21"/>
              </w:rPr>
            </w:pPr>
            <w:r>
              <w:rPr>
                <w:rFonts w:eastAsiaTheme="minorEastAsia"/>
                <w:szCs w:val="21"/>
              </w:rPr>
              <w:t>-</w:t>
            </w:r>
            <w:r>
              <w:rPr>
                <w:rFonts w:hint="eastAsia" w:eastAsiaTheme="minorEastAsia"/>
                <w:szCs w:val="21"/>
              </w:rPr>
              <w:t>43.6</w:t>
            </w:r>
          </w:p>
        </w:tc>
        <w:tc>
          <w:tcPr>
            <w:tcW w:w="851" w:type="dxa"/>
            <w:vAlign w:val="center"/>
          </w:tcPr>
          <w:p>
            <w:pPr>
              <w:jc w:val="center"/>
              <w:rPr>
                <w:rFonts w:eastAsiaTheme="minorEastAsia"/>
                <w:szCs w:val="21"/>
              </w:rPr>
            </w:pPr>
            <w:r>
              <w:rPr>
                <w:rFonts w:hint="eastAsia" w:eastAsiaTheme="minorEastAsia"/>
                <w:szCs w:val="21"/>
              </w:rPr>
              <w:t>86.9</w:t>
            </w:r>
          </w:p>
        </w:tc>
        <w:tc>
          <w:tcPr>
            <w:tcW w:w="1021" w:type="dxa"/>
            <w:vAlign w:val="center"/>
          </w:tcPr>
          <w:p>
            <w:pPr>
              <w:jc w:val="center"/>
              <w:rPr>
                <w:rFonts w:eastAsiaTheme="minorEastAsia"/>
                <w:szCs w:val="21"/>
              </w:rPr>
            </w:pPr>
            <w:r>
              <w:rPr>
                <w:rFonts w:hint="eastAsia" w:eastAsiaTheme="minorEastAsia"/>
                <w:szCs w:val="21"/>
              </w:rPr>
              <w:t>2</w:t>
            </w:r>
          </w:p>
        </w:tc>
        <w:tc>
          <w:tcPr>
            <w:tcW w:w="1001" w:type="dxa"/>
            <w:vAlign w:val="center"/>
          </w:tcPr>
          <w:p>
            <w:pPr>
              <w:jc w:val="center"/>
              <w:rPr>
                <w:color w:val="000000"/>
                <w:szCs w:val="21"/>
              </w:rPr>
            </w:pPr>
            <w:r>
              <w:rPr>
                <w:color w:val="000000"/>
                <w:szCs w:val="21"/>
              </w:rPr>
              <w:t>63.98</w:t>
            </w:r>
          </w:p>
        </w:tc>
        <w:tc>
          <w:tcPr>
            <w:tcW w:w="760" w:type="dxa"/>
            <w:vAlign w:val="center"/>
          </w:tcPr>
          <w:p>
            <w:pPr>
              <w:jc w:val="center"/>
              <w:rPr>
                <w:rFonts w:eastAsiaTheme="minorEastAsia"/>
                <w:szCs w:val="21"/>
              </w:rPr>
            </w:pPr>
            <w:r>
              <w:rPr>
                <w:rFonts w:hAnsiTheme="minorEastAsia" w:eastAsiaTheme="minorEastAsia"/>
                <w:szCs w:val="21"/>
              </w:rPr>
              <w:t>无</w:t>
            </w:r>
          </w:p>
        </w:tc>
        <w:tc>
          <w:tcPr>
            <w:tcW w:w="850" w:type="dxa"/>
            <w:vAlign w:val="center"/>
          </w:tcPr>
          <w:p>
            <w:pPr>
              <w:jc w:val="center"/>
              <w:rPr>
                <w:szCs w:val="21"/>
              </w:rPr>
            </w:pPr>
            <w:r>
              <w:rPr>
                <w:rFonts w:hint="eastAsia" w:eastAsiaTheme="minorEastAsia"/>
                <w:szCs w:val="21"/>
              </w:rPr>
              <w:t>35</w:t>
            </w:r>
          </w:p>
        </w:tc>
        <w:tc>
          <w:tcPr>
            <w:tcW w:w="790" w:type="dxa"/>
            <w:vAlign w:val="center"/>
          </w:tcPr>
          <w:p>
            <w:pPr>
              <w:jc w:val="center"/>
              <w:rPr>
                <w:rFonts w:ascii="宋体" w:hAnsi="宋体" w:cs="宋体"/>
                <w:color w:val="000000"/>
                <w:sz w:val="22"/>
                <w:szCs w:val="22"/>
              </w:rPr>
            </w:pPr>
            <w:r>
              <w:rPr>
                <w:rFonts w:hint="eastAsia"/>
                <w:color w:val="000000"/>
                <w:sz w:val="22"/>
                <w:szCs w:val="22"/>
              </w:rPr>
              <w:t>28.98</w:t>
            </w:r>
          </w:p>
        </w:tc>
        <w:tc>
          <w:tcPr>
            <w:tcW w:w="713" w:type="dxa"/>
            <w:vAlign w:val="center"/>
          </w:tcPr>
          <w:p>
            <w:pPr>
              <w:jc w:val="center"/>
              <w:rPr>
                <w:rFonts w:eastAsiaTheme="minorEastAsia"/>
                <w:szCs w:val="21"/>
              </w:rPr>
            </w:pPr>
            <w:r>
              <w:rPr>
                <w:rFonts w:hint="eastAsia"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6" w:type="dxa"/>
            <w:vAlign w:val="center"/>
          </w:tcPr>
          <w:p>
            <w:pPr>
              <w:jc w:val="center"/>
              <w:rPr>
                <w:rFonts w:eastAsiaTheme="minorEastAsia"/>
                <w:szCs w:val="21"/>
              </w:rPr>
            </w:pPr>
            <w:r>
              <w:rPr>
                <w:rFonts w:hint="eastAsia" w:eastAsiaTheme="minorEastAsia"/>
                <w:szCs w:val="21"/>
              </w:rPr>
              <w:t>9</w:t>
            </w:r>
          </w:p>
        </w:tc>
        <w:tc>
          <w:tcPr>
            <w:tcW w:w="702" w:type="dxa"/>
            <w:vMerge w:val="continue"/>
            <w:vAlign w:val="center"/>
          </w:tcPr>
          <w:p>
            <w:pPr>
              <w:jc w:val="center"/>
              <w:rPr>
                <w:rFonts w:eastAsiaTheme="minorEastAsia"/>
                <w:szCs w:val="21"/>
              </w:rPr>
            </w:pPr>
          </w:p>
        </w:tc>
        <w:tc>
          <w:tcPr>
            <w:tcW w:w="1068" w:type="dxa"/>
            <w:vAlign w:val="center"/>
          </w:tcPr>
          <w:p>
            <w:pPr>
              <w:jc w:val="center"/>
              <w:rPr>
                <w:szCs w:val="21"/>
              </w:rPr>
            </w:pPr>
            <w:r>
              <w:rPr>
                <w:szCs w:val="21"/>
              </w:rPr>
              <w:t>清粪设备</w:t>
            </w:r>
          </w:p>
        </w:tc>
        <w:tc>
          <w:tcPr>
            <w:tcW w:w="709" w:type="dxa"/>
            <w:vAlign w:val="center"/>
          </w:tcPr>
          <w:p>
            <w:pPr>
              <w:jc w:val="center"/>
              <w:rPr>
                <w:rFonts w:eastAsiaTheme="minorEastAsia"/>
                <w:szCs w:val="21"/>
              </w:rPr>
            </w:pPr>
            <w:r>
              <w:rPr>
                <w:rFonts w:eastAsiaTheme="minorEastAsia"/>
                <w:szCs w:val="21"/>
              </w:rPr>
              <w:t>/</w:t>
            </w:r>
          </w:p>
        </w:tc>
        <w:tc>
          <w:tcPr>
            <w:tcW w:w="1134" w:type="dxa"/>
            <w:vAlign w:val="center"/>
          </w:tcPr>
          <w:p>
            <w:pPr>
              <w:jc w:val="center"/>
              <w:rPr>
                <w:rFonts w:eastAsiaTheme="minorEastAsia"/>
                <w:szCs w:val="21"/>
              </w:rPr>
            </w:pPr>
            <w:r>
              <w:rPr>
                <w:rFonts w:eastAsiaTheme="minorEastAsia"/>
                <w:szCs w:val="21"/>
              </w:rPr>
              <w:t>/</w:t>
            </w:r>
          </w:p>
        </w:tc>
        <w:tc>
          <w:tcPr>
            <w:tcW w:w="992" w:type="dxa"/>
            <w:vAlign w:val="center"/>
          </w:tcPr>
          <w:p>
            <w:pPr>
              <w:jc w:val="center"/>
              <w:rPr>
                <w:szCs w:val="21"/>
              </w:rPr>
            </w:pPr>
            <w:r>
              <w:rPr>
                <w:rFonts w:hint="eastAsia"/>
                <w:szCs w:val="21"/>
              </w:rPr>
              <w:t>70</w:t>
            </w:r>
          </w:p>
        </w:tc>
        <w:tc>
          <w:tcPr>
            <w:tcW w:w="1134" w:type="dxa"/>
            <w:vAlign w:val="center"/>
          </w:tcPr>
          <w:p>
            <w:pPr>
              <w:jc w:val="center"/>
              <w:rPr>
                <w:rFonts w:hAnsiTheme="minorEastAsia"/>
                <w:szCs w:val="21"/>
              </w:rPr>
            </w:pPr>
            <w:r>
              <w:rPr>
                <w:rFonts w:hAnsiTheme="minorEastAsia" w:eastAsiaTheme="minorEastAsia"/>
                <w:szCs w:val="21"/>
              </w:rPr>
              <w:t>减振</w:t>
            </w:r>
          </w:p>
        </w:tc>
        <w:tc>
          <w:tcPr>
            <w:tcW w:w="993" w:type="dxa"/>
            <w:vAlign w:val="center"/>
          </w:tcPr>
          <w:p>
            <w:pPr>
              <w:jc w:val="center"/>
              <w:rPr>
                <w:rFonts w:eastAsiaTheme="minorEastAsia"/>
                <w:szCs w:val="21"/>
              </w:rPr>
            </w:pPr>
            <w:r>
              <w:rPr>
                <w:rFonts w:hint="eastAsia" w:eastAsiaTheme="minorEastAsia"/>
                <w:szCs w:val="21"/>
              </w:rPr>
              <w:t>226.5</w:t>
            </w:r>
          </w:p>
        </w:tc>
        <w:tc>
          <w:tcPr>
            <w:tcW w:w="850" w:type="dxa"/>
            <w:vAlign w:val="center"/>
          </w:tcPr>
          <w:p>
            <w:pPr>
              <w:jc w:val="center"/>
              <w:rPr>
                <w:rFonts w:eastAsiaTheme="minorEastAsia"/>
                <w:szCs w:val="21"/>
              </w:rPr>
            </w:pPr>
            <w:r>
              <w:rPr>
                <w:rFonts w:hint="eastAsia" w:eastAsiaTheme="minorEastAsia"/>
                <w:szCs w:val="21"/>
              </w:rPr>
              <w:t>40.4</w:t>
            </w:r>
          </w:p>
        </w:tc>
        <w:tc>
          <w:tcPr>
            <w:tcW w:w="851" w:type="dxa"/>
            <w:vAlign w:val="center"/>
          </w:tcPr>
          <w:p>
            <w:pPr>
              <w:jc w:val="center"/>
              <w:rPr>
                <w:rFonts w:eastAsiaTheme="minorEastAsia"/>
                <w:szCs w:val="21"/>
              </w:rPr>
            </w:pPr>
            <w:r>
              <w:rPr>
                <w:rFonts w:hint="eastAsia" w:eastAsiaTheme="minorEastAsia"/>
                <w:szCs w:val="21"/>
              </w:rPr>
              <w:t>92.0</w:t>
            </w:r>
          </w:p>
        </w:tc>
        <w:tc>
          <w:tcPr>
            <w:tcW w:w="1021" w:type="dxa"/>
            <w:vAlign w:val="center"/>
          </w:tcPr>
          <w:p>
            <w:pPr>
              <w:jc w:val="center"/>
              <w:rPr>
                <w:rFonts w:eastAsiaTheme="minorEastAsia"/>
                <w:szCs w:val="21"/>
              </w:rPr>
            </w:pPr>
            <w:r>
              <w:rPr>
                <w:rFonts w:hint="eastAsia" w:eastAsiaTheme="minorEastAsia"/>
                <w:szCs w:val="21"/>
              </w:rPr>
              <w:t>2</w:t>
            </w:r>
          </w:p>
        </w:tc>
        <w:tc>
          <w:tcPr>
            <w:tcW w:w="1001" w:type="dxa"/>
            <w:vAlign w:val="center"/>
          </w:tcPr>
          <w:p>
            <w:pPr>
              <w:jc w:val="center"/>
              <w:rPr>
                <w:color w:val="000000"/>
                <w:szCs w:val="21"/>
              </w:rPr>
            </w:pPr>
            <w:r>
              <w:rPr>
                <w:color w:val="000000"/>
                <w:szCs w:val="21"/>
              </w:rPr>
              <w:t>63.98</w:t>
            </w:r>
          </w:p>
        </w:tc>
        <w:tc>
          <w:tcPr>
            <w:tcW w:w="760" w:type="dxa"/>
            <w:vAlign w:val="center"/>
          </w:tcPr>
          <w:p>
            <w:pPr>
              <w:jc w:val="center"/>
              <w:rPr>
                <w:rFonts w:eastAsiaTheme="minorEastAsia"/>
                <w:szCs w:val="21"/>
              </w:rPr>
            </w:pPr>
            <w:r>
              <w:rPr>
                <w:rFonts w:hAnsiTheme="minorEastAsia" w:eastAsiaTheme="minorEastAsia"/>
                <w:szCs w:val="21"/>
              </w:rPr>
              <w:t>无</w:t>
            </w:r>
          </w:p>
        </w:tc>
        <w:tc>
          <w:tcPr>
            <w:tcW w:w="850" w:type="dxa"/>
            <w:vAlign w:val="center"/>
          </w:tcPr>
          <w:p>
            <w:pPr>
              <w:jc w:val="center"/>
              <w:rPr>
                <w:szCs w:val="21"/>
              </w:rPr>
            </w:pPr>
            <w:r>
              <w:rPr>
                <w:rFonts w:hint="eastAsia" w:eastAsiaTheme="minorEastAsia"/>
                <w:szCs w:val="21"/>
              </w:rPr>
              <w:t>35</w:t>
            </w:r>
          </w:p>
        </w:tc>
        <w:tc>
          <w:tcPr>
            <w:tcW w:w="790" w:type="dxa"/>
            <w:vAlign w:val="center"/>
          </w:tcPr>
          <w:p>
            <w:pPr>
              <w:jc w:val="center"/>
              <w:rPr>
                <w:rFonts w:ascii="宋体" w:hAnsi="宋体" w:cs="宋体"/>
                <w:color w:val="000000"/>
                <w:sz w:val="22"/>
                <w:szCs w:val="22"/>
              </w:rPr>
            </w:pPr>
            <w:r>
              <w:rPr>
                <w:rFonts w:hint="eastAsia"/>
                <w:color w:val="000000"/>
                <w:sz w:val="22"/>
                <w:szCs w:val="22"/>
              </w:rPr>
              <w:t>28.98</w:t>
            </w:r>
          </w:p>
        </w:tc>
        <w:tc>
          <w:tcPr>
            <w:tcW w:w="713" w:type="dxa"/>
            <w:vAlign w:val="center"/>
          </w:tcPr>
          <w:p>
            <w:pPr>
              <w:jc w:val="center"/>
              <w:rPr>
                <w:rFonts w:eastAsiaTheme="minorEastAsia"/>
                <w:szCs w:val="21"/>
              </w:rPr>
            </w:pPr>
            <w:r>
              <w:rPr>
                <w:rFonts w:hint="eastAsia"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6" w:type="dxa"/>
            <w:vAlign w:val="center"/>
          </w:tcPr>
          <w:p>
            <w:pPr>
              <w:jc w:val="center"/>
              <w:rPr>
                <w:rFonts w:eastAsiaTheme="minorEastAsia"/>
                <w:szCs w:val="21"/>
              </w:rPr>
            </w:pPr>
            <w:r>
              <w:rPr>
                <w:rFonts w:hint="eastAsia" w:eastAsiaTheme="minorEastAsia"/>
                <w:szCs w:val="21"/>
              </w:rPr>
              <w:t>10</w:t>
            </w:r>
          </w:p>
        </w:tc>
        <w:tc>
          <w:tcPr>
            <w:tcW w:w="702" w:type="dxa"/>
            <w:vMerge w:val="continue"/>
            <w:vAlign w:val="center"/>
          </w:tcPr>
          <w:p>
            <w:pPr>
              <w:jc w:val="center"/>
              <w:rPr>
                <w:rFonts w:eastAsiaTheme="minorEastAsia"/>
                <w:szCs w:val="21"/>
              </w:rPr>
            </w:pPr>
          </w:p>
        </w:tc>
        <w:tc>
          <w:tcPr>
            <w:tcW w:w="1068" w:type="dxa"/>
            <w:vAlign w:val="center"/>
          </w:tcPr>
          <w:p>
            <w:pPr>
              <w:jc w:val="center"/>
              <w:rPr>
                <w:szCs w:val="21"/>
              </w:rPr>
            </w:pPr>
            <w:r>
              <w:rPr>
                <w:szCs w:val="21"/>
              </w:rPr>
              <w:t>风机</w:t>
            </w:r>
          </w:p>
        </w:tc>
        <w:tc>
          <w:tcPr>
            <w:tcW w:w="709" w:type="dxa"/>
            <w:vAlign w:val="center"/>
          </w:tcPr>
          <w:p>
            <w:pPr>
              <w:jc w:val="center"/>
              <w:rPr>
                <w:rFonts w:eastAsiaTheme="minorEastAsia"/>
                <w:szCs w:val="21"/>
              </w:rPr>
            </w:pPr>
            <w:r>
              <w:rPr>
                <w:rFonts w:eastAsiaTheme="minorEastAsia"/>
                <w:szCs w:val="21"/>
              </w:rPr>
              <w:t>/</w:t>
            </w:r>
          </w:p>
        </w:tc>
        <w:tc>
          <w:tcPr>
            <w:tcW w:w="1134" w:type="dxa"/>
            <w:vAlign w:val="center"/>
          </w:tcPr>
          <w:p>
            <w:pPr>
              <w:jc w:val="center"/>
              <w:rPr>
                <w:rFonts w:eastAsiaTheme="minorEastAsia"/>
                <w:szCs w:val="21"/>
              </w:rPr>
            </w:pPr>
            <w:r>
              <w:rPr>
                <w:rFonts w:eastAsiaTheme="minorEastAsia"/>
                <w:szCs w:val="21"/>
              </w:rPr>
              <w:t>/</w:t>
            </w:r>
          </w:p>
        </w:tc>
        <w:tc>
          <w:tcPr>
            <w:tcW w:w="992" w:type="dxa"/>
            <w:vAlign w:val="center"/>
          </w:tcPr>
          <w:p>
            <w:pPr>
              <w:jc w:val="center"/>
              <w:rPr>
                <w:szCs w:val="21"/>
              </w:rPr>
            </w:pPr>
            <w:r>
              <w:rPr>
                <w:rFonts w:hint="eastAsia"/>
                <w:szCs w:val="21"/>
              </w:rPr>
              <w:t>80</w:t>
            </w:r>
          </w:p>
        </w:tc>
        <w:tc>
          <w:tcPr>
            <w:tcW w:w="1134" w:type="dxa"/>
            <w:vAlign w:val="center"/>
          </w:tcPr>
          <w:p>
            <w:pPr>
              <w:jc w:val="center"/>
              <w:rPr>
                <w:szCs w:val="21"/>
              </w:rPr>
            </w:pPr>
            <w:r>
              <w:rPr>
                <w:rFonts w:hAnsiTheme="minorEastAsia" w:eastAsiaTheme="minorEastAsia"/>
                <w:szCs w:val="21"/>
              </w:rPr>
              <w:t>隔声</w:t>
            </w:r>
          </w:p>
        </w:tc>
        <w:tc>
          <w:tcPr>
            <w:tcW w:w="993" w:type="dxa"/>
            <w:vAlign w:val="center"/>
          </w:tcPr>
          <w:p>
            <w:pPr>
              <w:jc w:val="center"/>
              <w:rPr>
                <w:rFonts w:eastAsiaTheme="minorEastAsia"/>
                <w:szCs w:val="21"/>
              </w:rPr>
            </w:pPr>
            <w:r>
              <w:rPr>
                <w:rFonts w:hint="eastAsia" w:eastAsiaTheme="minorEastAsia"/>
                <w:szCs w:val="21"/>
              </w:rPr>
              <w:t>201.8</w:t>
            </w:r>
          </w:p>
        </w:tc>
        <w:tc>
          <w:tcPr>
            <w:tcW w:w="850" w:type="dxa"/>
            <w:vAlign w:val="center"/>
          </w:tcPr>
          <w:p>
            <w:pPr>
              <w:jc w:val="center"/>
              <w:rPr>
                <w:rFonts w:eastAsiaTheme="minorEastAsia"/>
                <w:szCs w:val="21"/>
              </w:rPr>
            </w:pPr>
            <w:r>
              <w:rPr>
                <w:rFonts w:hint="eastAsia" w:eastAsiaTheme="minorEastAsia"/>
                <w:szCs w:val="21"/>
              </w:rPr>
              <w:t>39.1</w:t>
            </w:r>
          </w:p>
        </w:tc>
        <w:tc>
          <w:tcPr>
            <w:tcW w:w="851" w:type="dxa"/>
            <w:vAlign w:val="center"/>
          </w:tcPr>
          <w:p>
            <w:pPr>
              <w:jc w:val="center"/>
              <w:rPr>
                <w:rFonts w:eastAsiaTheme="minorEastAsia"/>
                <w:szCs w:val="21"/>
              </w:rPr>
            </w:pPr>
            <w:r>
              <w:rPr>
                <w:rFonts w:hint="eastAsia" w:eastAsiaTheme="minorEastAsia"/>
                <w:szCs w:val="21"/>
              </w:rPr>
              <w:t>94.9</w:t>
            </w:r>
          </w:p>
        </w:tc>
        <w:tc>
          <w:tcPr>
            <w:tcW w:w="1021" w:type="dxa"/>
            <w:vAlign w:val="center"/>
          </w:tcPr>
          <w:p>
            <w:pPr>
              <w:jc w:val="center"/>
              <w:rPr>
                <w:rFonts w:eastAsiaTheme="minorEastAsia"/>
                <w:szCs w:val="21"/>
              </w:rPr>
            </w:pPr>
            <w:r>
              <w:rPr>
                <w:rFonts w:hint="eastAsia" w:eastAsiaTheme="minorEastAsia"/>
                <w:szCs w:val="21"/>
              </w:rPr>
              <w:t>1</w:t>
            </w:r>
          </w:p>
        </w:tc>
        <w:tc>
          <w:tcPr>
            <w:tcW w:w="1001" w:type="dxa"/>
            <w:vAlign w:val="center"/>
          </w:tcPr>
          <w:p>
            <w:pPr>
              <w:jc w:val="center"/>
              <w:rPr>
                <w:color w:val="000000"/>
                <w:szCs w:val="21"/>
              </w:rPr>
            </w:pPr>
            <w:r>
              <w:rPr>
                <w:color w:val="000000"/>
                <w:szCs w:val="21"/>
              </w:rPr>
              <w:t>80.00</w:t>
            </w:r>
          </w:p>
        </w:tc>
        <w:tc>
          <w:tcPr>
            <w:tcW w:w="760" w:type="dxa"/>
            <w:vAlign w:val="center"/>
          </w:tcPr>
          <w:p>
            <w:pPr>
              <w:jc w:val="center"/>
              <w:rPr>
                <w:rFonts w:eastAsiaTheme="minorEastAsia"/>
                <w:szCs w:val="21"/>
              </w:rPr>
            </w:pPr>
            <w:r>
              <w:rPr>
                <w:rFonts w:hAnsiTheme="minorEastAsia" w:eastAsiaTheme="minorEastAsia"/>
                <w:szCs w:val="21"/>
              </w:rPr>
              <w:t>无</w:t>
            </w:r>
          </w:p>
        </w:tc>
        <w:tc>
          <w:tcPr>
            <w:tcW w:w="850" w:type="dxa"/>
            <w:vAlign w:val="center"/>
          </w:tcPr>
          <w:p>
            <w:pPr>
              <w:jc w:val="center"/>
              <w:rPr>
                <w:szCs w:val="21"/>
              </w:rPr>
            </w:pPr>
            <w:r>
              <w:rPr>
                <w:rFonts w:hint="eastAsia" w:eastAsiaTheme="minorEastAsia"/>
                <w:szCs w:val="21"/>
              </w:rPr>
              <w:t>35</w:t>
            </w:r>
          </w:p>
        </w:tc>
        <w:tc>
          <w:tcPr>
            <w:tcW w:w="790" w:type="dxa"/>
            <w:vAlign w:val="center"/>
          </w:tcPr>
          <w:p>
            <w:pPr>
              <w:jc w:val="center"/>
              <w:rPr>
                <w:rFonts w:ascii="宋体" w:hAnsi="宋体" w:cs="宋体"/>
                <w:color w:val="000000"/>
                <w:sz w:val="22"/>
                <w:szCs w:val="22"/>
              </w:rPr>
            </w:pPr>
            <w:r>
              <w:rPr>
                <w:rFonts w:hint="eastAsia"/>
                <w:color w:val="000000"/>
                <w:sz w:val="22"/>
                <w:szCs w:val="22"/>
              </w:rPr>
              <w:t>45</w:t>
            </w:r>
          </w:p>
        </w:tc>
        <w:tc>
          <w:tcPr>
            <w:tcW w:w="713" w:type="dxa"/>
            <w:vAlign w:val="center"/>
          </w:tcPr>
          <w:p>
            <w:pPr>
              <w:jc w:val="center"/>
              <w:rPr>
                <w:rFonts w:eastAsiaTheme="minorEastAsia"/>
                <w:szCs w:val="21"/>
              </w:rPr>
            </w:pPr>
            <w:r>
              <w:rPr>
                <w:rFonts w:hint="eastAsia"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06" w:type="dxa"/>
            <w:vAlign w:val="center"/>
          </w:tcPr>
          <w:p>
            <w:pPr>
              <w:jc w:val="center"/>
              <w:rPr>
                <w:rFonts w:eastAsiaTheme="minorEastAsia"/>
                <w:szCs w:val="21"/>
              </w:rPr>
            </w:pPr>
            <w:r>
              <w:rPr>
                <w:rFonts w:hint="eastAsia" w:eastAsiaTheme="minorEastAsia"/>
                <w:szCs w:val="21"/>
              </w:rPr>
              <w:t>11</w:t>
            </w:r>
          </w:p>
        </w:tc>
        <w:tc>
          <w:tcPr>
            <w:tcW w:w="702" w:type="dxa"/>
            <w:vAlign w:val="center"/>
          </w:tcPr>
          <w:p>
            <w:pPr>
              <w:jc w:val="center"/>
              <w:rPr>
                <w:rFonts w:eastAsiaTheme="minorEastAsia"/>
                <w:szCs w:val="21"/>
              </w:rPr>
            </w:pPr>
            <w:r>
              <w:rPr>
                <w:rFonts w:eastAsiaTheme="minorEastAsia"/>
                <w:szCs w:val="21"/>
              </w:rPr>
              <w:t>泵房</w:t>
            </w:r>
          </w:p>
        </w:tc>
        <w:tc>
          <w:tcPr>
            <w:tcW w:w="1068" w:type="dxa"/>
            <w:vAlign w:val="center"/>
          </w:tcPr>
          <w:p>
            <w:pPr>
              <w:jc w:val="center"/>
              <w:rPr>
                <w:szCs w:val="21"/>
              </w:rPr>
            </w:pPr>
            <w:r>
              <w:rPr>
                <w:szCs w:val="21"/>
              </w:rPr>
              <w:t>水泵</w:t>
            </w:r>
          </w:p>
        </w:tc>
        <w:tc>
          <w:tcPr>
            <w:tcW w:w="709" w:type="dxa"/>
            <w:vAlign w:val="center"/>
          </w:tcPr>
          <w:p>
            <w:pPr>
              <w:jc w:val="center"/>
              <w:rPr>
                <w:rFonts w:eastAsiaTheme="minorEastAsia"/>
                <w:szCs w:val="21"/>
              </w:rPr>
            </w:pPr>
            <w:r>
              <w:rPr>
                <w:rFonts w:eastAsiaTheme="minorEastAsia"/>
                <w:szCs w:val="21"/>
              </w:rPr>
              <w:t>/</w:t>
            </w:r>
          </w:p>
        </w:tc>
        <w:tc>
          <w:tcPr>
            <w:tcW w:w="1134" w:type="dxa"/>
            <w:vAlign w:val="center"/>
          </w:tcPr>
          <w:p>
            <w:pPr>
              <w:jc w:val="center"/>
              <w:rPr>
                <w:rFonts w:eastAsiaTheme="minorEastAsia"/>
                <w:szCs w:val="21"/>
              </w:rPr>
            </w:pPr>
            <w:r>
              <w:rPr>
                <w:rFonts w:eastAsiaTheme="minorEastAsia"/>
                <w:szCs w:val="21"/>
              </w:rPr>
              <w:t>/</w:t>
            </w:r>
          </w:p>
        </w:tc>
        <w:tc>
          <w:tcPr>
            <w:tcW w:w="992" w:type="dxa"/>
            <w:vAlign w:val="center"/>
          </w:tcPr>
          <w:p>
            <w:pPr>
              <w:jc w:val="center"/>
              <w:rPr>
                <w:szCs w:val="21"/>
              </w:rPr>
            </w:pPr>
            <w:r>
              <w:rPr>
                <w:rFonts w:hint="eastAsia"/>
                <w:szCs w:val="21"/>
              </w:rPr>
              <w:t>80</w:t>
            </w:r>
          </w:p>
        </w:tc>
        <w:tc>
          <w:tcPr>
            <w:tcW w:w="1134" w:type="dxa"/>
            <w:vAlign w:val="center"/>
          </w:tcPr>
          <w:p>
            <w:pPr>
              <w:jc w:val="center"/>
              <w:rPr>
                <w:szCs w:val="21"/>
              </w:rPr>
            </w:pPr>
            <w:r>
              <w:rPr>
                <w:rFonts w:hAnsiTheme="minorEastAsia" w:eastAsiaTheme="minorEastAsia"/>
                <w:szCs w:val="21"/>
              </w:rPr>
              <w:t>隔声</w:t>
            </w:r>
          </w:p>
        </w:tc>
        <w:tc>
          <w:tcPr>
            <w:tcW w:w="993" w:type="dxa"/>
            <w:vAlign w:val="center"/>
          </w:tcPr>
          <w:p>
            <w:pPr>
              <w:jc w:val="center"/>
              <w:rPr>
                <w:rFonts w:eastAsiaTheme="minorEastAsia"/>
                <w:szCs w:val="21"/>
              </w:rPr>
            </w:pPr>
            <w:r>
              <w:rPr>
                <w:rFonts w:hint="eastAsia" w:eastAsiaTheme="minorEastAsia"/>
                <w:szCs w:val="21"/>
              </w:rPr>
              <w:t>54.0</w:t>
            </w:r>
          </w:p>
        </w:tc>
        <w:tc>
          <w:tcPr>
            <w:tcW w:w="850" w:type="dxa"/>
            <w:vAlign w:val="center"/>
          </w:tcPr>
          <w:p>
            <w:pPr>
              <w:jc w:val="center"/>
              <w:rPr>
                <w:rFonts w:eastAsiaTheme="minorEastAsia"/>
                <w:szCs w:val="21"/>
              </w:rPr>
            </w:pPr>
            <w:r>
              <w:rPr>
                <w:rFonts w:hint="eastAsia" w:eastAsiaTheme="minorEastAsia"/>
                <w:szCs w:val="21"/>
              </w:rPr>
              <w:t>36.2</w:t>
            </w:r>
          </w:p>
        </w:tc>
        <w:tc>
          <w:tcPr>
            <w:tcW w:w="851" w:type="dxa"/>
            <w:vAlign w:val="center"/>
          </w:tcPr>
          <w:p>
            <w:pPr>
              <w:jc w:val="center"/>
              <w:rPr>
                <w:rFonts w:eastAsiaTheme="minorEastAsia"/>
                <w:szCs w:val="21"/>
              </w:rPr>
            </w:pPr>
            <w:r>
              <w:rPr>
                <w:rFonts w:hint="eastAsia" w:eastAsiaTheme="minorEastAsia"/>
                <w:szCs w:val="21"/>
              </w:rPr>
              <w:t>96.6</w:t>
            </w:r>
          </w:p>
        </w:tc>
        <w:tc>
          <w:tcPr>
            <w:tcW w:w="1021" w:type="dxa"/>
            <w:vAlign w:val="center"/>
          </w:tcPr>
          <w:p>
            <w:pPr>
              <w:jc w:val="center"/>
              <w:rPr>
                <w:rFonts w:eastAsiaTheme="minorEastAsia"/>
                <w:szCs w:val="21"/>
              </w:rPr>
            </w:pPr>
            <w:r>
              <w:rPr>
                <w:rFonts w:hint="eastAsia" w:eastAsiaTheme="minorEastAsia"/>
                <w:szCs w:val="21"/>
              </w:rPr>
              <w:t>2</w:t>
            </w:r>
          </w:p>
        </w:tc>
        <w:tc>
          <w:tcPr>
            <w:tcW w:w="1001" w:type="dxa"/>
            <w:vAlign w:val="center"/>
          </w:tcPr>
          <w:p>
            <w:pPr>
              <w:jc w:val="center"/>
              <w:rPr>
                <w:color w:val="000000"/>
                <w:szCs w:val="21"/>
              </w:rPr>
            </w:pPr>
            <w:r>
              <w:rPr>
                <w:rFonts w:hint="eastAsia"/>
                <w:color w:val="000000"/>
                <w:szCs w:val="21"/>
              </w:rPr>
              <w:t>73.98</w:t>
            </w:r>
          </w:p>
        </w:tc>
        <w:tc>
          <w:tcPr>
            <w:tcW w:w="760" w:type="dxa"/>
            <w:vAlign w:val="center"/>
          </w:tcPr>
          <w:p>
            <w:pPr>
              <w:jc w:val="center"/>
              <w:rPr>
                <w:rFonts w:eastAsiaTheme="minorEastAsia"/>
                <w:szCs w:val="21"/>
              </w:rPr>
            </w:pPr>
            <w:r>
              <w:rPr>
                <w:rFonts w:hAnsiTheme="minorEastAsia" w:eastAsiaTheme="minorEastAsia"/>
                <w:szCs w:val="21"/>
              </w:rPr>
              <w:t>无</w:t>
            </w:r>
          </w:p>
        </w:tc>
        <w:tc>
          <w:tcPr>
            <w:tcW w:w="850" w:type="dxa"/>
            <w:vAlign w:val="center"/>
          </w:tcPr>
          <w:p>
            <w:pPr>
              <w:jc w:val="center"/>
              <w:rPr>
                <w:szCs w:val="21"/>
              </w:rPr>
            </w:pPr>
            <w:r>
              <w:rPr>
                <w:rFonts w:hint="eastAsia" w:eastAsiaTheme="minorEastAsia"/>
                <w:szCs w:val="21"/>
              </w:rPr>
              <w:t>35</w:t>
            </w:r>
          </w:p>
        </w:tc>
        <w:tc>
          <w:tcPr>
            <w:tcW w:w="790" w:type="dxa"/>
            <w:vAlign w:val="center"/>
          </w:tcPr>
          <w:p>
            <w:pPr>
              <w:jc w:val="center"/>
              <w:rPr>
                <w:rFonts w:ascii="宋体" w:hAnsi="宋体" w:cs="宋体"/>
                <w:color w:val="000000"/>
                <w:sz w:val="22"/>
                <w:szCs w:val="22"/>
              </w:rPr>
            </w:pPr>
            <w:r>
              <w:rPr>
                <w:rFonts w:hint="eastAsia"/>
                <w:color w:val="000000"/>
                <w:sz w:val="22"/>
                <w:szCs w:val="22"/>
              </w:rPr>
              <w:t>38.98</w:t>
            </w:r>
          </w:p>
        </w:tc>
        <w:tc>
          <w:tcPr>
            <w:tcW w:w="713" w:type="dxa"/>
            <w:vAlign w:val="center"/>
          </w:tcPr>
          <w:p>
            <w:pPr>
              <w:jc w:val="center"/>
              <w:rPr>
                <w:rFonts w:eastAsiaTheme="minorEastAsia"/>
                <w:szCs w:val="21"/>
              </w:rPr>
            </w:pPr>
            <w:r>
              <w:rPr>
                <w:rFonts w:hint="eastAsia" w:eastAsiaTheme="minorEastAsia"/>
                <w:szCs w:val="21"/>
              </w:rPr>
              <w:t>10</w:t>
            </w:r>
          </w:p>
        </w:tc>
      </w:tr>
    </w:tbl>
    <w:p>
      <w:pPr>
        <w:spacing w:beforeLines="50"/>
        <w:jc w:val="center"/>
        <w:rPr>
          <w:b/>
        </w:rPr>
      </w:pPr>
    </w:p>
    <w:p>
      <w:pPr>
        <w:spacing w:beforeLines="50"/>
        <w:jc w:val="center"/>
        <w:rPr>
          <w:b/>
        </w:rPr>
      </w:pPr>
    </w:p>
    <w:p>
      <w:pPr>
        <w:spacing w:line="360" w:lineRule="auto"/>
        <w:ind w:firstLine="480" w:firstLineChars="200"/>
        <w:rPr>
          <w:rFonts w:hAnsi="宋体"/>
          <w:kern w:val="0"/>
          <w:sz w:val="24"/>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12" w:charSpace="0"/>
        </w:sectPr>
      </w:pPr>
    </w:p>
    <w:p>
      <w:pPr>
        <w:spacing w:line="360" w:lineRule="auto"/>
        <w:ind w:firstLine="480" w:firstLineChars="200"/>
        <w:rPr>
          <w:rFonts w:hAnsi="宋体"/>
          <w:kern w:val="0"/>
          <w:sz w:val="24"/>
        </w:rPr>
      </w:pPr>
      <w:r>
        <w:rPr>
          <w:rFonts w:hint="eastAsia" w:hAnsi="宋体"/>
          <w:kern w:val="0"/>
          <w:sz w:val="24"/>
        </w:rPr>
        <w:t>（2）基础数据</w:t>
      </w:r>
    </w:p>
    <w:p>
      <w:pPr>
        <w:spacing w:line="360" w:lineRule="auto"/>
        <w:ind w:firstLine="480" w:firstLineChars="200"/>
        <w:rPr>
          <w:rFonts w:hAnsi="宋体"/>
          <w:kern w:val="0"/>
          <w:sz w:val="24"/>
        </w:rPr>
      </w:pPr>
      <w:r>
        <w:rPr>
          <w:rFonts w:hint="eastAsia" w:hAnsi="宋体"/>
          <w:kern w:val="0"/>
          <w:sz w:val="24"/>
        </w:rPr>
        <w:t>项目噪声环境影响预测基础数据见表6.2-1</w:t>
      </w:r>
      <w:r>
        <w:rPr>
          <w:rFonts w:hint="eastAsia" w:hAnsi="宋体"/>
          <w:kern w:val="0"/>
          <w:sz w:val="24"/>
          <w:lang w:val="en-US" w:eastAsia="zh-CN"/>
        </w:rPr>
        <w:t>6</w:t>
      </w:r>
      <w:r>
        <w:rPr>
          <w:rFonts w:hint="eastAsia" w:hAnsi="宋体"/>
          <w:kern w:val="0"/>
          <w:sz w:val="24"/>
        </w:rPr>
        <w:t>。</w:t>
      </w:r>
    </w:p>
    <w:p>
      <w:pPr>
        <w:pStyle w:val="17"/>
        <w:spacing w:beforeLines="50"/>
        <w:rPr>
          <w:rFonts w:ascii="Times New Roman" w:hAnsi="Times New Roman" w:cs="Times New Roman"/>
          <w:color w:val="auto"/>
          <w:sz w:val="21"/>
        </w:rPr>
      </w:pPr>
      <w:r>
        <w:rPr>
          <w:rFonts w:ascii="Times New Roman" w:hAnsi="Times New Roman" w:cs="Times New Roman"/>
          <w:color w:val="auto"/>
          <w:sz w:val="21"/>
        </w:rPr>
        <w:t>表6.2-</w:t>
      </w:r>
      <w:r>
        <w:rPr>
          <w:rFonts w:hint="eastAsia" w:ascii="Times New Roman" w:hAnsi="Times New Roman" w:cs="Times New Roman"/>
          <w:color w:val="auto"/>
          <w:sz w:val="21"/>
        </w:rPr>
        <w:t>1</w:t>
      </w:r>
      <w:r>
        <w:rPr>
          <w:rFonts w:hint="eastAsia" w:ascii="Times New Roman" w:hAnsi="Times New Roman" w:cs="Times New Roman"/>
          <w:color w:val="auto"/>
          <w:sz w:val="21"/>
          <w:lang w:val="en-US" w:eastAsia="zh-CN"/>
        </w:rPr>
        <w:t xml:space="preserve">6 </w:t>
      </w:r>
      <w:r>
        <w:rPr>
          <w:rFonts w:hint="eastAsia" w:ascii="Times New Roman" w:hAnsi="Times New Roman" w:cs="Times New Roman"/>
          <w:color w:val="auto"/>
          <w:sz w:val="21"/>
        </w:rPr>
        <w:t xml:space="preserve"> 项目噪声环境影响预测基础数据表</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32"/>
        <w:gridCol w:w="2137"/>
        <w:gridCol w:w="2130"/>
        <w:gridCol w:w="212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1250" w:type="pct"/>
            <w:vAlign w:val="center"/>
          </w:tcPr>
          <w:p>
            <w:pPr>
              <w:overflowPunct w:val="0"/>
              <w:snapToGrid w:val="0"/>
              <w:jc w:val="center"/>
              <w:rPr>
                <w:rFonts w:eastAsiaTheme="minorEastAsia"/>
                <w:b/>
                <w:szCs w:val="21"/>
              </w:rPr>
            </w:pPr>
            <w:r>
              <w:rPr>
                <w:rFonts w:eastAsiaTheme="minorEastAsia"/>
                <w:b/>
                <w:szCs w:val="21"/>
              </w:rPr>
              <w:t>序号</w:t>
            </w:r>
          </w:p>
        </w:tc>
        <w:tc>
          <w:tcPr>
            <w:tcW w:w="1253" w:type="pct"/>
            <w:vAlign w:val="center"/>
          </w:tcPr>
          <w:p>
            <w:pPr>
              <w:overflowPunct w:val="0"/>
              <w:snapToGrid w:val="0"/>
              <w:jc w:val="center"/>
              <w:rPr>
                <w:rFonts w:eastAsiaTheme="minorEastAsia"/>
                <w:b/>
                <w:szCs w:val="21"/>
              </w:rPr>
            </w:pPr>
            <w:r>
              <w:rPr>
                <w:rFonts w:eastAsiaTheme="minorEastAsia"/>
                <w:b/>
                <w:szCs w:val="21"/>
              </w:rPr>
              <w:t>名称</w:t>
            </w:r>
          </w:p>
        </w:tc>
        <w:tc>
          <w:tcPr>
            <w:tcW w:w="1249" w:type="pct"/>
            <w:vAlign w:val="center"/>
          </w:tcPr>
          <w:p>
            <w:pPr>
              <w:overflowPunct w:val="0"/>
              <w:snapToGrid w:val="0"/>
              <w:jc w:val="center"/>
              <w:rPr>
                <w:rFonts w:eastAsiaTheme="minorEastAsia"/>
                <w:b/>
                <w:szCs w:val="21"/>
              </w:rPr>
            </w:pPr>
            <w:r>
              <w:rPr>
                <w:rFonts w:eastAsiaTheme="minorEastAsia"/>
                <w:b/>
                <w:szCs w:val="21"/>
              </w:rPr>
              <w:t>单位</w:t>
            </w:r>
          </w:p>
        </w:tc>
        <w:tc>
          <w:tcPr>
            <w:tcW w:w="1248" w:type="pct"/>
            <w:vAlign w:val="center"/>
          </w:tcPr>
          <w:p>
            <w:pPr>
              <w:overflowPunct w:val="0"/>
              <w:snapToGrid w:val="0"/>
              <w:jc w:val="center"/>
              <w:rPr>
                <w:rFonts w:eastAsiaTheme="minorEastAsia"/>
                <w:b/>
                <w:szCs w:val="21"/>
              </w:rPr>
            </w:pPr>
            <w:r>
              <w:rPr>
                <w:rFonts w:eastAsiaTheme="minorEastAsia"/>
                <w:b/>
                <w:szCs w:val="21"/>
              </w:rPr>
              <w:t>数据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pPr>
              <w:overflowPunct w:val="0"/>
              <w:snapToGrid w:val="0"/>
              <w:jc w:val="center"/>
              <w:rPr>
                <w:rFonts w:eastAsiaTheme="minorEastAsia"/>
                <w:szCs w:val="21"/>
              </w:rPr>
            </w:pPr>
            <w:r>
              <w:rPr>
                <w:rFonts w:hint="eastAsia" w:eastAsiaTheme="minorEastAsia"/>
                <w:szCs w:val="21"/>
              </w:rPr>
              <w:t>1</w:t>
            </w:r>
          </w:p>
        </w:tc>
        <w:tc>
          <w:tcPr>
            <w:tcW w:w="1253" w:type="pct"/>
            <w:vAlign w:val="center"/>
          </w:tcPr>
          <w:p>
            <w:pPr>
              <w:overflowPunct w:val="0"/>
              <w:snapToGrid w:val="0"/>
              <w:jc w:val="center"/>
              <w:rPr>
                <w:rFonts w:eastAsiaTheme="minorEastAsia"/>
                <w:szCs w:val="21"/>
              </w:rPr>
            </w:pPr>
            <w:r>
              <w:rPr>
                <w:rFonts w:hint="eastAsia" w:eastAsiaTheme="minorEastAsia"/>
                <w:szCs w:val="21"/>
              </w:rPr>
              <w:t>年平均风速</w:t>
            </w:r>
          </w:p>
        </w:tc>
        <w:tc>
          <w:tcPr>
            <w:tcW w:w="1249" w:type="pct"/>
            <w:vAlign w:val="center"/>
          </w:tcPr>
          <w:p>
            <w:pPr>
              <w:overflowPunct w:val="0"/>
              <w:snapToGrid w:val="0"/>
              <w:jc w:val="center"/>
              <w:rPr>
                <w:rFonts w:eastAsiaTheme="minorEastAsia"/>
                <w:szCs w:val="21"/>
              </w:rPr>
            </w:pPr>
            <w:r>
              <w:rPr>
                <w:rFonts w:hint="eastAsia" w:eastAsiaTheme="minorEastAsia"/>
                <w:szCs w:val="21"/>
              </w:rPr>
              <w:t>m/s</w:t>
            </w:r>
          </w:p>
        </w:tc>
        <w:tc>
          <w:tcPr>
            <w:tcW w:w="1248" w:type="pct"/>
            <w:vAlign w:val="center"/>
          </w:tcPr>
          <w:p>
            <w:pPr>
              <w:overflowPunct w:val="0"/>
              <w:snapToGrid w:val="0"/>
              <w:jc w:val="center"/>
              <w:rPr>
                <w:rFonts w:hint="default" w:eastAsiaTheme="minorEastAsia"/>
                <w:szCs w:val="21"/>
                <w:lang w:val="en-US" w:eastAsia="zh-CN"/>
              </w:rPr>
            </w:pPr>
            <w:r>
              <w:rPr>
                <w:rFonts w:hint="eastAsia" w:eastAsiaTheme="minorEastAsia"/>
                <w:szCs w:val="21"/>
                <w:lang w:val="en-US" w:eastAsia="zh-CN"/>
              </w:rPr>
              <w:t>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pPr>
              <w:jc w:val="center"/>
              <w:rPr>
                <w:rFonts w:eastAsiaTheme="minorEastAsia"/>
                <w:color w:val="000000"/>
                <w:szCs w:val="21"/>
              </w:rPr>
            </w:pPr>
            <w:r>
              <w:rPr>
                <w:rFonts w:hint="eastAsia" w:eastAsiaTheme="minorEastAsia"/>
                <w:color w:val="000000"/>
                <w:szCs w:val="21"/>
              </w:rPr>
              <w:t>2</w:t>
            </w:r>
          </w:p>
        </w:tc>
        <w:tc>
          <w:tcPr>
            <w:tcW w:w="1253" w:type="pct"/>
            <w:vAlign w:val="center"/>
          </w:tcPr>
          <w:p>
            <w:pPr>
              <w:overflowPunct w:val="0"/>
              <w:snapToGrid w:val="0"/>
              <w:jc w:val="center"/>
              <w:rPr>
                <w:rFonts w:eastAsiaTheme="minorEastAsia"/>
                <w:szCs w:val="21"/>
              </w:rPr>
            </w:pPr>
            <w:r>
              <w:rPr>
                <w:rFonts w:eastAsiaTheme="minorEastAsia"/>
                <w:szCs w:val="21"/>
              </w:rPr>
              <w:t>主导风向</w:t>
            </w:r>
          </w:p>
        </w:tc>
        <w:tc>
          <w:tcPr>
            <w:tcW w:w="1249" w:type="pct"/>
            <w:vAlign w:val="center"/>
          </w:tcPr>
          <w:p>
            <w:pPr>
              <w:overflowPunct w:val="0"/>
              <w:snapToGrid w:val="0"/>
              <w:jc w:val="center"/>
              <w:rPr>
                <w:rFonts w:eastAsiaTheme="minorEastAsia"/>
                <w:szCs w:val="21"/>
              </w:rPr>
            </w:pPr>
            <w:r>
              <w:rPr>
                <w:rFonts w:hint="eastAsia" w:eastAsiaTheme="minorEastAsia"/>
                <w:szCs w:val="21"/>
              </w:rPr>
              <w:t>/</w:t>
            </w:r>
          </w:p>
        </w:tc>
        <w:tc>
          <w:tcPr>
            <w:tcW w:w="1248" w:type="pct"/>
            <w:vAlign w:val="center"/>
          </w:tcPr>
          <w:p>
            <w:pPr>
              <w:overflowPunct w:val="0"/>
              <w:snapToGrid w:val="0"/>
              <w:jc w:val="center"/>
              <w:rPr>
                <w:rFonts w:eastAsiaTheme="minorEastAsia"/>
                <w:szCs w:val="21"/>
              </w:rPr>
            </w:pPr>
            <w:r>
              <w:rPr>
                <w:rFonts w:eastAsiaTheme="minorEastAsia"/>
                <w:szCs w:val="21"/>
              </w:rPr>
              <w:t>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pPr>
              <w:jc w:val="center"/>
              <w:rPr>
                <w:rFonts w:eastAsiaTheme="minorEastAsia"/>
                <w:color w:val="000000"/>
                <w:szCs w:val="21"/>
              </w:rPr>
            </w:pPr>
            <w:r>
              <w:rPr>
                <w:rFonts w:hint="eastAsia" w:eastAsiaTheme="minorEastAsia"/>
                <w:color w:val="000000"/>
                <w:szCs w:val="21"/>
              </w:rPr>
              <w:t>3</w:t>
            </w:r>
          </w:p>
        </w:tc>
        <w:tc>
          <w:tcPr>
            <w:tcW w:w="1253" w:type="pct"/>
            <w:vAlign w:val="center"/>
          </w:tcPr>
          <w:p>
            <w:pPr>
              <w:overflowPunct w:val="0"/>
              <w:snapToGrid w:val="0"/>
              <w:jc w:val="center"/>
              <w:rPr>
                <w:rFonts w:eastAsiaTheme="minorEastAsia"/>
                <w:szCs w:val="21"/>
              </w:rPr>
            </w:pPr>
            <w:r>
              <w:rPr>
                <w:rFonts w:eastAsiaTheme="minorEastAsia"/>
                <w:szCs w:val="21"/>
              </w:rPr>
              <w:t>年平均气温</w:t>
            </w:r>
          </w:p>
        </w:tc>
        <w:tc>
          <w:tcPr>
            <w:tcW w:w="1249" w:type="pct"/>
            <w:vAlign w:val="center"/>
          </w:tcPr>
          <w:p>
            <w:pPr>
              <w:overflowPunct w:val="0"/>
              <w:snapToGrid w:val="0"/>
              <w:jc w:val="center"/>
              <w:rPr>
                <w:rFonts w:eastAsiaTheme="minorEastAsia"/>
                <w:szCs w:val="21"/>
              </w:rPr>
            </w:pPr>
            <w:r>
              <w:rPr>
                <w:rFonts w:eastAsiaTheme="minorEastAsia"/>
                <w:szCs w:val="21"/>
              </w:rPr>
              <w:t>℃</w:t>
            </w:r>
          </w:p>
        </w:tc>
        <w:tc>
          <w:tcPr>
            <w:tcW w:w="1248" w:type="pct"/>
            <w:vAlign w:val="center"/>
          </w:tcPr>
          <w:p>
            <w:pPr>
              <w:overflowPunct w:val="0"/>
              <w:snapToGrid w:val="0"/>
              <w:jc w:val="center"/>
              <w:rPr>
                <w:rFonts w:eastAsiaTheme="minorEastAsia"/>
                <w:szCs w:val="21"/>
              </w:rPr>
            </w:pPr>
            <w:r>
              <w:rPr>
                <w:rFonts w:hint="eastAsia" w:eastAsiaTheme="minorEastAsia"/>
                <w:szCs w:val="21"/>
              </w:rPr>
              <w:t>17.8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pPr>
              <w:jc w:val="center"/>
              <w:rPr>
                <w:rFonts w:eastAsiaTheme="minorEastAsia"/>
                <w:color w:val="000000"/>
                <w:szCs w:val="21"/>
              </w:rPr>
            </w:pPr>
            <w:r>
              <w:rPr>
                <w:rFonts w:hint="eastAsia" w:eastAsiaTheme="minorEastAsia"/>
                <w:color w:val="000000"/>
                <w:szCs w:val="21"/>
              </w:rPr>
              <w:t>4</w:t>
            </w:r>
          </w:p>
        </w:tc>
        <w:tc>
          <w:tcPr>
            <w:tcW w:w="1253" w:type="pct"/>
            <w:vAlign w:val="center"/>
          </w:tcPr>
          <w:p>
            <w:pPr>
              <w:overflowPunct w:val="0"/>
              <w:snapToGrid w:val="0"/>
              <w:jc w:val="center"/>
              <w:rPr>
                <w:rFonts w:eastAsiaTheme="minorEastAsia"/>
                <w:szCs w:val="21"/>
              </w:rPr>
            </w:pPr>
            <w:r>
              <w:rPr>
                <w:rFonts w:eastAsiaTheme="minorEastAsia"/>
                <w:szCs w:val="21"/>
              </w:rPr>
              <w:t>年平均相对湿度</w:t>
            </w:r>
          </w:p>
        </w:tc>
        <w:tc>
          <w:tcPr>
            <w:tcW w:w="1249" w:type="pct"/>
            <w:vAlign w:val="center"/>
          </w:tcPr>
          <w:p>
            <w:pPr>
              <w:overflowPunct w:val="0"/>
              <w:snapToGrid w:val="0"/>
              <w:jc w:val="center"/>
              <w:rPr>
                <w:rFonts w:eastAsiaTheme="minorEastAsia"/>
                <w:szCs w:val="21"/>
              </w:rPr>
            </w:pPr>
            <w:r>
              <w:rPr>
                <w:rFonts w:eastAsiaTheme="minorEastAsia"/>
                <w:szCs w:val="21"/>
              </w:rPr>
              <w:t>%</w:t>
            </w:r>
          </w:p>
        </w:tc>
        <w:tc>
          <w:tcPr>
            <w:tcW w:w="1248" w:type="pct"/>
            <w:vAlign w:val="center"/>
          </w:tcPr>
          <w:p>
            <w:pPr>
              <w:overflowPunct w:val="0"/>
              <w:snapToGrid w:val="0"/>
              <w:jc w:val="center"/>
              <w:rPr>
                <w:rFonts w:eastAsiaTheme="minorEastAsia"/>
                <w:szCs w:val="21"/>
              </w:rPr>
            </w:pPr>
            <w:r>
              <w:rPr>
                <w:rFonts w:hint="eastAsia" w:eastAsiaTheme="minorEastAsia"/>
                <w:szCs w:val="21"/>
              </w:rPr>
              <w:t>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50" w:type="pct"/>
            <w:vAlign w:val="center"/>
          </w:tcPr>
          <w:p>
            <w:pPr>
              <w:jc w:val="center"/>
              <w:rPr>
                <w:rFonts w:eastAsiaTheme="minorEastAsia"/>
                <w:color w:val="000000"/>
                <w:szCs w:val="21"/>
              </w:rPr>
            </w:pPr>
            <w:r>
              <w:rPr>
                <w:rFonts w:hint="eastAsia" w:eastAsiaTheme="minorEastAsia"/>
                <w:color w:val="000000"/>
                <w:szCs w:val="21"/>
              </w:rPr>
              <w:t>5</w:t>
            </w:r>
          </w:p>
        </w:tc>
        <w:tc>
          <w:tcPr>
            <w:tcW w:w="1253" w:type="pct"/>
            <w:vAlign w:val="center"/>
          </w:tcPr>
          <w:p>
            <w:pPr>
              <w:overflowPunct w:val="0"/>
              <w:snapToGrid w:val="0"/>
              <w:jc w:val="center"/>
              <w:rPr>
                <w:rFonts w:eastAsiaTheme="minorEastAsia"/>
                <w:szCs w:val="21"/>
              </w:rPr>
            </w:pPr>
            <w:r>
              <w:rPr>
                <w:rFonts w:eastAsiaTheme="minorEastAsia"/>
                <w:szCs w:val="21"/>
              </w:rPr>
              <w:t>大气压强</w:t>
            </w:r>
          </w:p>
        </w:tc>
        <w:tc>
          <w:tcPr>
            <w:tcW w:w="1249" w:type="pct"/>
            <w:vAlign w:val="center"/>
          </w:tcPr>
          <w:p>
            <w:pPr>
              <w:overflowPunct w:val="0"/>
              <w:snapToGrid w:val="0"/>
              <w:jc w:val="center"/>
              <w:rPr>
                <w:rFonts w:eastAsiaTheme="minorEastAsia"/>
                <w:szCs w:val="21"/>
              </w:rPr>
            </w:pPr>
            <w:r>
              <w:rPr>
                <w:rFonts w:hint="eastAsia" w:eastAsiaTheme="minorEastAsia"/>
                <w:szCs w:val="21"/>
              </w:rPr>
              <w:t>atm</w:t>
            </w:r>
          </w:p>
        </w:tc>
        <w:tc>
          <w:tcPr>
            <w:tcW w:w="1248" w:type="pct"/>
            <w:vAlign w:val="center"/>
          </w:tcPr>
          <w:p>
            <w:pPr>
              <w:overflowPunct w:val="0"/>
              <w:snapToGrid w:val="0"/>
              <w:jc w:val="center"/>
              <w:rPr>
                <w:rFonts w:eastAsiaTheme="minorEastAsia"/>
                <w:szCs w:val="21"/>
              </w:rPr>
            </w:pPr>
            <w:r>
              <w:rPr>
                <w:rFonts w:hint="eastAsia" w:eastAsiaTheme="minorEastAsia"/>
                <w:szCs w:val="21"/>
              </w:rPr>
              <w:t>1</w:t>
            </w:r>
          </w:p>
        </w:tc>
      </w:tr>
    </w:tbl>
    <w:p>
      <w:pPr>
        <w:spacing w:line="360" w:lineRule="auto"/>
        <w:ind w:firstLine="480" w:firstLineChars="200"/>
        <w:rPr>
          <w:sz w:val="24"/>
        </w:rPr>
      </w:pPr>
      <w:r>
        <w:rPr>
          <w:rFonts w:hint="eastAsia"/>
          <w:sz w:val="24"/>
        </w:rPr>
        <w:t>声源和预测点间的地形、高差、障碍物、树林、灌木等的分布情况以及地面覆盖情况（如草地、水面、水泥地面、土质地面等）根据现场踏勘、项目总平图等，并结合卫星图片地理信息数据确定，数据精度为</w:t>
      </w:r>
      <w:r>
        <w:rPr>
          <w:sz w:val="24"/>
        </w:rPr>
        <w:t>10m</w:t>
      </w:r>
      <w:r>
        <w:rPr>
          <w:rFonts w:hint="eastAsia"/>
          <w:sz w:val="24"/>
        </w:rPr>
        <w:t>。</w:t>
      </w:r>
    </w:p>
    <w:p>
      <w:pPr>
        <w:spacing w:line="360" w:lineRule="auto"/>
        <w:ind w:firstLine="482" w:firstLineChars="200"/>
        <w:rPr>
          <w:rFonts w:eastAsiaTheme="minorEastAsia"/>
          <w:b/>
          <w:sz w:val="24"/>
        </w:rPr>
      </w:pPr>
      <w:r>
        <w:rPr>
          <w:rFonts w:hint="eastAsia" w:eastAsiaTheme="minorEastAsia"/>
          <w:b/>
          <w:sz w:val="24"/>
        </w:rPr>
        <w:t>3、预测结果</w:t>
      </w:r>
    </w:p>
    <w:p>
      <w:pPr>
        <w:spacing w:line="360" w:lineRule="auto"/>
        <w:ind w:firstLine="480" w:firstLineChars="200"/>
        <w:rPr>
          <w:rFonts w:eastAsiaTheme="minorEastAsia"/>
          <w:sz w:val="24"/>
        </w:rPr>
      </w:pPr>
      <w:r>
        <w:rPr>
          <w:rFonts w:hint="eastAsia"/>
          <w:sz w:val="24"/>
        </w:rPr>
        <w:t>根据噪声预测公式，预测点的昼间、夜间噪声的预测结果见表6.2-</w:t>
      </w:r>
      <w:r>
        <w:rPr>
          <w:rFonts w:hint="eastAsia"/>
          <w:sz w:val="24"/>
          <w:lang w:val="en-US" w:eastAsia="zh-CN"/>
        </w:rPr>
        <w:t>17</w:t>
      </w:r>
      <w:r>
        <w:rPr>
          <w:rFonts w:hint="eastAsia" w:eastAsiaTheme="minorEastAsia"/>
          <w:sz w:val="24"/>
        </w:rPr>
        <w:t>。</w:t>
      </w:r>
    </w:p>
    <w:p>
      <w:pPr>
        <w:pStyle w:val="17"/>
        <w:spacing w:beforeLines="50"/>
        <w:rPr>
          <w:rFonts w:ascii="Times New Roman" w:hAnsi="Times New Roman" w:cs="Times New Roman"/>
          <w:color w:val="auto"/>
          <w:sz w:val="21"/>
        </w:rPr>
      </w:pPr>
      <w:r>
        <w:rPr>
          <w:rFonts w:ascii="Times New Roman" w:hAnsi="Times New Roman" w:cs="Times New Roman"/>
          <w:color w:val="auto"/>
          <w:sz w:val="21"/>
        </w:rPr>
        <w:t>表6.2-</w:t>
      </w:r>
      <w:r>
        <w:rPr>
          <w:rFonts w:hint="eastAsia" w:ascii="Times New Roman" w:hAnsi="Times New Roman" w:cs="Times New Roman"/>
          <w:color w:val="auto"/>
          <w:sz w:val="21"/>
          <w:lang w:val="en-US" w:eastAsia="zh-CN"/>
        </w:rPr>
        <w:t>17</w:t>
      </w:r>
      <w:r>
        <w:rPr>
          <w:rFonts w:ascii="Times New Roman" w:hAnsi="Times New Roman" w:cs="Times New Roman"/>
          <w:color w:val="auto"/>
          <w:sz w:val="21"/>
        </w:rPr>
        <w:t xml:space="preserve"> </w:t>
      </w:r>
      <w:r>
        <w:rPr>
          <w:rFonts w:hint="eastAsia" w:ascii="Times New Roman" w:hAnsi="Times New Roman" w:cs="Times New Roman"/>
          <w:color w:val="auto"/>
          <w:sz w:val="21"/>
        </w:rPr>
        <w:t xml:space="preserve">  </w:t>
      </w:r>
      <w:r>
        <w:rPr>
          <w:rFonts w:ascii="Times New Roman" w:hAnsi="Times New Roman" w:cs="Times New Roman"/>
          <w:color w:val="auto"/>
          <w:sz w:val="21"/>
        </w:rPr>
        <w:t>项目厂界噪声预测结果  单位：dB（</w:t>
      </w:r>
      <w:r>
        <w:rPr>
          <w:rFonts w:hint="eastAsia" w:ascii="Times New Roman" w:hAnsi="Times New Roman" w:cs="Times New Roman"/>
          <w:color w:val="auto"/>
          <w:sz w:val="21"/>
        </w:rPr>
        <w:t>A</w:t>
      </w:r>
      <w:r>
        <w:rPr>
          <w:rFonts w:ascii="Times New Roman" w:hAnsi="Times New Roman" w:cs="Times New Roman"/>
          <w:color w:val="auto"/>
          <w:sz w:val="21"/>
        </w:rPr>
        <w:t>）</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4"/>
        <w:gridCol w:w="854"/>
        <w:gridCol w:w="853"/>
        <w:gridCol w:w="856"/>
        <w:gridCol w:w="853"/>
        <w:gridCol w:w="853"/>
        <w:gridCol w:w="853"/>
        <w:gridCol w:w="853"/>
        <w:gridCol w:w="853"/>
        <w:gridCol w:w="8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trPr>
        <w:tc>
          <w:tcPr>
            <w:tcW w:w="501" w:type="pct"/>
            <w:vMerge w:val="restart"/>
            <w:vAlign w:val="center"/>
          </w:tcPr>
          <w:p>
            <w:pPr>
              <w:overflowPunct w:val="0"/>
              <w:snapToGrid w:val="0"/>
              <w:jc w:val="center"/>
              <w:rPr>
                <w:rFonts w:eastAsiaTheme="minorEastAsia"/>
                <w:b/>
                <w:szCs w:val="21"/>
              </w:rPr>
            </w:pPr>
            <w:r>
              <w:rPr>
                <w:rFonts w:eastAsiaTheme="minorEastAsia"/>
                <w:b/>
                <w:szCs w:val="21"/>
              </w:rPr>
              <w:t>预测方位</w:t>
            </w:r>
          </w:p>
        </w:tc>
        <w:tc>
          <w:tcPr>
            <w:tcW w:w="1503" w:type="pct"/>
            <w:gridSpan w:val="3"/>
            <w:vAlign w:val="center"/>
          </w:tcPr>
          <w:p>
            <w:pPr>
              <w:overflowPunct w:val="0"/>
              <w:snapToGrid w:val="0"/>
              <w:jc w:val="center"/>
              <w:rPr>
                <w:rFonts w:eastAsiaTheme="minorEastAsia"/>
                <w:b/>
                <w:szCs w:val="21"/>
              </w:rPr>
            </w:pPr>
            <w:r>
              <w:rPr>
                <w:rFonts w:hAnsiTheme="minorEastAsia" w:eastAsiaTheme="minorEastAsia"/>
                <w:b/>
                <w:szCs w:val="21"/>
              </w:rPr>
              <w:t>空间相对位置</w:t>
            </w:r>
            <w:r>
              <w:rPr>
                <w:rFonts w:eastAsiaTheme="minorEastAsia"/>
                <w:b/>
                <w:szCs w:val="21"/>
              </w:rPr>
              <w:t>/m</w:t>
            </w:r>
          </w:p>
        </w:tc>
        <w:tc>
          <w:tcPr>
            <w:tcW w:w="500" w:type="pct"/>
            <w:vMerge w:val="restart"/>
            <w:vAlign w:val="center"/>
          </w:tcPr>
          <w:p>
            <w:pPr>
              <w:overflowPunct w:val="0"/>
              <w:snapToGrid w:val="0"/>
              <w:jc w:val="center"/>
              <w:rPr>
                <w:rFonts w:eastAsiaTheme="minorEastAsia"/>
                <w:b/>
                <w:szCs w:val="21"/>
              </w:rPr>
            </w:pPr>
            <w:r>
              <w:rPr>
                <w:rFonts w:eastAsiaTheme="minorEastAsia"/>
                <w:b/>
                <w:szCs w:val="21"/>
              </w:rPr>
              <w:t>时段</w:t>
            </w:r>
          </w:p>
        </w:tc>
        <w:tc>
          <w:tcPr>
            <w:tcW w:w="500" w:type="pct"/>
            <w:vMerge w:val="restart"/>
            <w:vAlign w:val="center"/>
          </w:tcPr>
          <w:p>
            <w:pPr>
              <w:overflowPunct w:val="0"/>
              <w:snapToGrid w:val="0"/>
              <w:jc w:val="center"/>
              <w:rPr>
                <w:rFonts w:eastAsiaTheme="minorEastAsia"/>
                <w:b/>
                <w:szCs w:val="21"/>
              </w:rPr>
            </w:pPr>
            <w:r>
              <w:rPr>
                <w:rFonts w:eastAsiaTheme="minorEastAsia"/>
                <w:b/>
                <w:szCs w:val="21"/>
              </w:rPr>
              <w:t>贡献值</w:t>
            </w:r>
          </w:p>
        </w:tc>
        <w:tc>
          <w:tcPr>
            <w:tcW w:w="500" w:type="pct"/>
            <w:vMerge w:val="restart"/>
            <w:vAlign w:val="center"/>
          </w:tcPr>
          <w:p>
            <w:pPr>
              <w:overflowPunct w:val="0"/>
              <w:snapToGrid w:val="0"/>
              <w:jc w:val="center"/>
              <w:rPr>
                <w:rFonts w:eastAsiaTheme="minorEastAsia"/>
                <w:b/>
                <w:szCs w:val="21"/>
              </w:rPr>
            </w:pPr>
            <w:r>
              <w:rPr>
                <w:rFonts w:eastAsiaTheme="minorEastAsia"/>
                <w:b/>
                <w:szCs w:val="21"/>
              </w:rPr>
              <w:t>背景值</w:t>
            </w:r>
          </w:p>
        </w:tc>
        <w:tc>
          <w:tcPr>
            <w:tcW w:w="500" w:type="pct"/>
            <w:vMerge w:val="restart"/>
            <w:vAlign w:val="center"/>
          </w:tcPr>
          <w:p>
            <w:pPr>
              <w:overflowPunct w:val="0"/>
              <w:snapToGrid w:val="0"/>
              <w:jc w:val="center"/>
              <w:rPr>
                <w:rFonts w:eastAsiaTheme="minorEastAsia"/>
                <w:b/>
                <w:szCs w:val="21"/>
              </w:rPr>
            </w:pPr>
            <w:r>
              <w:rPr>
                <w:rFonts w:eastAsiaTheme="minorEastAsia"/>
                <w:b/>
                <w:szCs w:val="21"/>
              </w:rPr>
              <w:t>预测值</w:t>
            </w:r>
          </w:p>
        </w:tc>
        <w:tc>
          <w:tcPr>
            <w:tcW w:w="500" w:type="pct"/>
            <w:vMerge w:val="restart"/>
            <w:vAlign w:val="center"/>
          </w:tcPr>
          <w:p>
            <w:pPr>
              <w:overflowPunct w:val="0"/>
              <w:snapToGrid w:val="0"/>
              <w:jc w:val="center"/>
              <w:rPr>
                <w:rFonts w:eastAsiaTheme="minorEastAsia"/>
                <w:b/>
                <w:szCs w:val="21"/>
              </w:rPr>
            </w:pPr>
            <w:r>
              <w:rPr>
                <w:rFonts w:eastAsiaTheme="minorEastAsia"/>
                <w:b/>
                <w:szCs w:val="21"/>
              </w:rPr>
              <w:t>标准值</w:t>
            </w:r>
          </w:p>
        </w:tc>
        <w:tc>
          <w:tcPr>
            <w:tcW w:w="496" w:type="pct"/>
            <w:vMerge w:val="restart"/>
            <w:vAlign w:val="center"/>
          </w:tcPr>
          <w:p>
            <w:pPr>
              <w:overflowPunct w:val="0"/>
              <w:snapToGrid w:val="0"/>
              <w:jc w:val="center"/>
              <w:rPr>
                <w:rFonts w:eastAsiaTheme="minorEastAsia"/>
                <w:b/>
                <w:szCs w:val="21"/>
              </w:rPr>
            </w:pPr>
            <w:r>
              <w:rPr>
                <w:rFonts w:eastAsiaTheme="minorEastAsia"/>
                <w:b/>
                <w:szCs w:val="21"/>
              </w:rPr>
              <w:t>达标情况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1" w:type="pct"/>
            <w:vMerge w:val="continue"/>
            <w:vAlign w:val="center"/>
          </w:tcPr>
          <w:p>
            <w:pPr>
              <w:overflowPunct w:val="0"/>
              <w:snapToGrid w:val="0"/>
              <w:jc w:val="center"/>
              <w:rPr>
                <w:rFonts w:eastAsiaTheme="minorEastAsia"/>
                <w:szCs w:val="21"/>
              </w:rPr>
            </w:pPr>
          </w:p>
        </w:tc>
        <w:tc>
          <w:tcPr>
            <w:tcW w:w="501" w:type="pct"/>
            <w:vAlign w:val="center"/>
          </w:tcPr>
          <w:p>
            <w:pPr>
              <w:jc w:val="center"/>
              <w:rPr>
                <w:rFonts w:eastAsiaTheme="minorEastAsia"/>
                <w:b/>
                <w:szCs w:val="21"/>
              </w:rPr>
            </w:pPr>
            <w:r>
              <w:rPr>
                <w:rFonts w:eastAsiaTheme="minorEastAsia"/>
                <w:b/>
                <w:szCs w:val="21"/>
              </w:rPr>
              <w:t>X</w:t>
            </w:r>
          </w:p>
        </w:tc>
        <w:tc>
          <w:tcPr>
            <w:tcW w:w="500" w:type="pct"/>
            <w:vAlign w:val="center"/>
          </w:tcPr>
          <w:p>
            <w:pPr>
              <w:jc w:val="center"/>
              <w:rPr>
                <w:rFonts w:eastAsiaTheme="minorEastAsia"/>
                <w:b/>
                <w:szCs w:val="21"/>
              </w:rPr>
            </w:pPr>
            <w:r>
              <w:rPr>
                <w:rFonts w:eastAsiaTheme="minorEastAsia"/>
                <w:b/>
                <w:szCs w:val="21"/>
              </w:rPr>
              <w:t>Y</w:t>
            </w:r>
          </w:p>
        </w:tc>
        <w:tc>
          <w:tcPr>
            <w:tcW w:w="502" w:type="pct"/>
            <w:vAlign w:val="center"/>
          </w:tcPr>
          <w:p>
            <w:pPr>
              <w:jc w:val="center"/>
              <w:rPr>
                <w:rFonts w:eastAsiaTheme="minorEastAsia"/>
                <w:b/>
                <w:szCs w:val="21"/>
              </w:rPr>
            </w:pPr>
            <w:r>
              <w:rPr>
                <w:rFonts w:eastAsiaTheme="minorEastAsia"/>
                <w:b/>
                <w:szCs w:val="21"/>
              </w:rPr>
              <w:t>Z</w:t>
            </w:r>
          </w:p>
        </w:tc>
        <w:tc>
          <w:tcPr>
            <w:tcW w:w="500" w:type="pct"/>
            <w:vMerge w:val="continue"/>
            <w:vAlign w:val="center"/>
          </w:tcPr>
          <w:p>
            <w:pPr>
              <w:overflowPunct w:val="0"/>
              <w:snapToGrid w:val="0"/>
              <w:jc w:val="center"/>
              <w:rPr>
                <w:rFonts w:eastAsiaTheme="minorEastAsia"/>
                <w:szCs w:val="21"/>
              </w:rPr>
            </w:pPr>
          </w:p>
        </w:tc>
        <w:tc>
          <w:tcPr>
            <w:tcW w:w="500" w:type="pct"/>
            <w:vMerge w:val="continue"/>
            <w:vAlign w:val="center"/>
          </w:tcPr>
          <w:p>
            <w:pPr>
              <w:overflowPunct w:val="0"/>
              <w:snapToGrid w:val="0"/>
              <w:jc w:val="center"/>
              <w:rPr>
                <w:rFonts w:eastAsiaTheme="minorEastAsia"/>
                <w:szCs w:val="21"/>
              </w:rPr>
            </w:pPr>
          </w:p>
        </w:tc>
        <w:tc>
          <w:tcPr>
            <w:tcW w:w="500" w:type="pct"/>
            <w:vMerge w:val="continue"/>
            <w:vAlign w:val="center"/>
          </w:tcPr>
          <w:p>
            <w:pPr>
              <w:overflowPunct w:val="0"/>
              <w:snapToGrid w:val="0"/>
              <w:jc w:val="center"/>
              <w:rPr>
                <w:rFonts w:eastAsiaTheme="minorEastAsia"/>
                <w:szCs w:val="21"/>
              </w:rPr>
            </w:pPr>
          </w:p>
        </w:tc>
        <w:tc>
          <w:tcPr>
            <w:tcW w:w="500" w:type="pct"/>
            <w:vMerge w:val="continue"/>
            <w:vAlign w:val="center"/>
          </w:tcPr>
          <w:p>
            <w:pPr>
              <w:overflowPunct w:val="0"/>
              <w:snapToGrid w:val="0"/>
              <w:jc w:val="center"/>
              <w:rPr>
                <w:rFonts w:eastAsiaTheme="minorEastAsia"/>
                <w:szCs w:val="21"/>
              </w:rPr>
            </w:pPr>
          </w:p>
        </w:tc>
        <w:tc>
          <w:tcPr>
            <w:tcW w:w="500" w:type="pct"/>
            <w:vMerge w:val="continue"/>
            <w:vAlign w:val="center"/>
          </w:tcPr>
          <w:p>
            <w:pPr>
              <w:overflowPunct w:val="0"/>
              <w:snapToGrid w:val="0"/>
              <w:jc w:val="center"/>
              <w:rPr>
                <w:rFonts w:eastAsiaTheme="minorEastAsia"/>
                <w:szCs w:val="21"/>
              </w:rPr>
            </w:pPr>
          </w:p>
        </w:tc>
        <w:tc>
          <w:tcPr>
            <w:tcW w:w="496" w:type="pct"/>
            <w:vMerge w:val="continue"/>
            <w:vAlign w:val="center"/>
          </w:tcPr>
          <w:p>
            <w:pPr>
              <w:overflowPunct w:val="0"/>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1" w:type="pct"/>
            <w:vMerge w:val="restart"/>
            <w:vAlign w:val="center"/>
          </w:tcPr>
          <w:p>
            <w:pPr>
              <w:overflowPunct w:val="0"/>
              <w:snapToGrid w:val="0"/>
              <w:jc w:val="center"/>
              <w:rPr>
                <w:rFonts w:eastAsiaTheme="minorEastAsia"/>
                <w:szCs w:val="21"/>
              </w:rPr>
            </w:pPr>
            <w:r>
              <w:rPr>
                <w:rFonts w:eastAsiaTheme="minorEastAsia"/>
                <w:szCs w:val="21"/>
              </w:rPr>
              <w:t>东厂界</w:t>
            </w:r>
          </w:p>
        </w:tc>
        <w:tc>
          <w:tcPr>
            <w:tcW w:w="501" w:type="pct"/>
            <w:vMerge w:val="restart"/>
            <w:vAlign w:val="center"/>
          </w:tcPr>
          <w:p>
            <w:pPr>
              <w:jc w:val="center"/>
              <w:rPr>
                <w:rFonts w:eastAsiaTheme="minorEastAsia"/>
                <w:color w:val="000000"/>
                <w:szCs w:val="21"/>
              </w:rPr>
            </w:pPr>
            <w:r>
              <w:rPr>
                <w:rFonts w:hint="eastAsia" w:eastAsiaTheme="minorEastAsia"/>
                <w:color w:val="000000"/>
                <w:szCs w:val="21"/>
              </w:rPr>
              <w:t>342.4</w:t>
            </w:r>
          </w:p>
        </w:tc>
        <w:tc>
          <w:tcPr>
            <w:tcW w:w="500" w:type="pct"/>
            <w:vMerge w:val="restart"/>
            <w:vAlign w:val="center"/>
          </w:tcPr>
          <w:p>
            <w:pPr>
              <w:jc w:val="center"/>
              <w:rPr>
                <w:rFonts w:eastAsiaTheme="minorEastAsia"/>
                <w:color w:val="000000"/>
                <w:szCs w:val="21"/>
              </w:rPr>
            </w:pPr>
            <w:r>
              <w:rPr>
                <w:rFonts w:eastAsiaTheme="minorEastAsia"/>
                <w:color w:val="000000"/>
                <w:szCs w:val="21"/>
              </w:rPr>
              <w:t>-</w:t>
            </w:r>
            <w:r>
              <w:rPr>
                <w:rFonts w:hint="eastAsia" w:eastAsiaTheme="minorEastAsia"/>
                <w:color w:val="000000"/>
                <w:szCs w:val="21"/>
              </w:rPr>
              <w:t>63.8</w:t>
            </w:r>
          </w:p>
        </w:tc>
        <w:tc>
          <w:tcPr>
            <w:tcW w:w="502" w:type="pct"/>
            <w:vMerge w:val="restart"/>
            <w:vAlign w:val="center"/>
          </w:tcPr>
          <w:p>
            <w:pPr>
              <w:jc w:val="center"/>
              <w:rPr>
                <w:rFonts w:eastAsiaTheme="minorEastAsia"/>
                <w:color w:val="000000"/>
                <w:szCs w:val="21"/>
              </w:rPr>
            </w:pPr>
            <w:r>
              <w:rPr>
                <w:rFonts w:hint="eastAsia" w:eastAsiaTheme="minorEastAsia"/>
                <w:color w:val="000000"/>
                <w:szCs w:val="21"/>
              </w:rPr>
              <w:t>87.9</w:t>
            </w:r>
          </w:p>
        </w:tc>
        <w:tc>
          <w:tcPr>
            <w:tcW w:w="500" w:type="pct"/>
            <w:vAlign w:val="center"/>
          </w:tcPr>
          <w:p>
            <w:pPr>
              <w:overflowPunct w:val="0"/>
              <w:snapToGrid w:val="0"/>
              <w:jc w:val="center"/>
              <w:rPr>
                <w:rFonts w:eastAsiaTheme="minorEastAsia"/>
                <w:szCs w:val="21"/>
              </w:rPr>
            </w:pPr>
            <w:r>
              <w:rPr>
                <w:rFonts w:eastAsiaTheme="minorEastAsia"/>
                <w:szCs w:val="21"/>
              </w:rPr>
              <w:t>昼间</w:t>
            </w:r>
          </w:p>
        </w:tc>
        <w:tc>
          <w:tcPr>
            <w:tcW w:w="500" w:type="pct"/>
            <w:vAlign w:val="center"/>
          </w:tcPr>
          <w:p>
            <w:pPr>
              <w:jc w:val="center"/>
              <w:rPr>
                <w:rFonts w:eastAsiaTheme="minorEastAsia"/>
                <w:color w:val="000000"/>
                <w:szCs w:val="21"/>
              </w:rPr>
            </w:pPr>
            <w:r>
              <w:rPr>
                <w:rFonts w:hint="eastAsia" w:eastAsiaTheme="minorEastAsia"/>
                <w:color w:val="000000"/>
                <w:szCs w:val="21"/>
              </w:rPr>
              <w:t>20.5</w:t>
            </w:r>
          </w:p>
        </w:tc>
        <w:tc>
          <w:tcPr>
            <w:tcW w:w="500" w:type="pct"/>
            <w:vAlign w:val="center"/>
          </w:tcPr>
          <w:p>
            <w:pPr>
              <w:jc w:val="center"/>
              <w:rPr>
                <w:rFonts w:eastAsiaTheme="minorEastAsia"/>
                <w:color w:val="000000"/>
                <w:szCs w:val="21"/>
              </w:rPr>
            </w:pPr>
            <w:r>
              <w:rPr>
                <w:rFonts w:hint="eastAsia" w:eastAsiaTheme="minorEastAsia"/>
                <w:color w:val="000000"/>
                <w:szCs w:val="21"/>
              </w:rPr>
              <w:t>/</w:t>
            </w:r>
          </w:p>
        </w:tc>
        <w:tc>
          <w:tcPr>
            <w:tcW w:w="500" w:type="pct"/>
            <w:vAlign w:val="center"/>
          </w:tcPr>
          <w:p>
            <w:pPr>
              <w:jc w:val="center"/>
              <w:rPr>
                <w:rFonts w:eastAsiaTheme="minorEastAsia"/>
                <w:color w:val="000000"/>
                <w:szCs w:val="21"/>
              </w:rPr>
            </w:pPr>
            <w:r>
              <w:rPr>
                <w:rFonts w:hint="eastAsia" w:eastAsiaTheme="minorEastAsia"/>
                <w:color w:val="000000"/>
                <w:szCs w:val="21"/>
              </w:rPr>
              <w:t>/</w:t>
            </w:r>
          </w:p>
        </w:tc>
        <w:tc>
          <w:tcPr>
            <w:tcW w:w="500" w:type="pct"/>
            <w:vAlign w:val="center"/>
          </w:tcPr>
          <w:p>
            <w:pPr>
              <w:jc w:val="center"/>
              <w:rPr>
                <w:rFonts w:eastAsiaTheme="minorEastAsia"/>
                <w:color w:val="000000"/>
                <w:szCs w:val="21"/>
              </w:rPr>
            </w:pPr>
            <w:r>
              <w:rPr>
                <w:rFonts w:hint="eastAsia" w:eastAsiaTheme="minorEastAsia"/>
                <w:color w:val="000000"/>
                <w:szCs w:val="21"/>
              </w:rPr>
              <w:t>60</w:t>
            </w:r>
          </w:p>
        </w:tc>
        <w:tc>
          <w:tcPr>
            <w:tcW w:w="496" w:type="pct"/>
            <w:vAlign w:val="center"/>
          </w:tcPr>
          <w:p>
            <w:pPr>
              <w:jc w:val="center"/>
              <w:rPr>
                <w:rFonts w:eastAsiaTheme="minorEastAsia"/>
                <w:color w:val="000000"/>
                <w:szCs w:val="21"/>
              </w:rPr>
            </w:pPr>
            <w:r>
              <w:rPr>
                <w:rFonts w:eastAsiaTheme="minorEastAsia"/>
                <w:color w:val="000000"/>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1" w:type="pct"/>
            <w:vMerge w:val="continue"/>
            <w:vAlign w:val="center"/>
          </w:tcPr>
          <w:p>
            <w:pPr>
              <w:jc w:val="center"/>
              <w:rPr>
                <w:rFonts w:eastAsiaTheme="minorEastAsia"/>
                <w:color w:val="000000"/>
                <w:szCs w:val="21"/>
              </w:rPr>
            </w:pPr>
          </w:p>
        </w:tc>
        <w:tc>
          <w:tcPr>
            <w:tcW w:w="501" w:type="pct"/>
            <w:vMerge w:val="continue"/>
            <w:vAlign w:val="center"/>
          </w:tcPr>
          <w:p>
            <w:pPr>
              <w:jc w:val="center"/>
              <w:rPr>
                <w:rFonts w:eastAsiaTheme="minorEastAsia"/>
                <w:color w:val="000000"/>
                <w:szCs w:val="21"/>
              </w:rPr>
            </w:pPr>
          </w:p>
        </w:tc>
        <w:tc>
          <w:tcPr>
            <w:tcW w:w="500" w:type="pct"/>
            <w:vMerge w:val="continue"/>
            <w:vAlign w:val="center"/>
          </w:tcPr>
          <w:p>
            <w:pPr>
              <w:jc w:val="center"/>
              <w:rPr>
                <w:rFonts w:eastAsiaTheme="minorEastAsia"/>
                <w:color w:val="000000"/>
                <w:szCs w:val="21"/>
              </w:rPr>
            </w:pPr>
          </w:p>
        </w:tc>
        <w:tc>
          <w:tcPr>
            <w:tcW w:w="502" w:type="pct"/>
            <w:vMerge w:val="continue"/>
            <w:vAlign w:val="center"/>
          </w:tcPr>
          <w:p>
            <w:pPr>
              <w:jc w:val="center"/>
              <w:rPr>
                <w:rFonts w:eastAsiaTheme="minorEastAsia"/>
                <w:color w:val="000000"/>
                <w:szCs w:val="21"/>
              </w:rPr>
            </w:pPr>
          </w:p>
        </w:tc>
        <w:tc>
          <w:tcPr>
            <w:tcW w:w="500" w:type="pct"/>
            <w:vAlign w:val="center"/>
          </w:tcPr>
          <w:p>
            <w:pPr>
              <w:jc w:val="center"/>
              <w:rPr>
                <w:rFonts w:eastAsiaTheme="minorEastAsia"/>
                <w:color w:val="000000"/>
                <w:szCs w:val="21"/>
              </w:rPr>
            </w:pPr>
            <w:r>
              <w:rPr>
                <w:rFonts w:eastAsiaTheme="minorEastAsia"/>
                <w:color w:val="000000"/>
                <w:szCs w:val="21"/>
              </w:rPr>
              <w:t>夜间</w:t>
            </w:r>
          </w:p>
        </w:tc>
        <w:tc>
          <w:tcPr>
            <w:tcW w:w="500" w:type="pct"/>
            <w:vAlign w:val="center"/>
          </w:tcPr>
          <w:p>
            <w:pPr>
              <w:jc w:val="center"/>
              <w:rPr>
                <w:rFonts w:eastAsiaTheme="minorEastAsia"/>
                <w:color w:val="000000"/>
                <w:szCs w:val="21"/>
              </w:rPr>
            </w:pPr>
            <w:r>
              <w:rPr>
                <w:rFonts w:hint="eastAsia" w:eastAsiaTheme="minorEastAsia"/>
                <w:color w:val="000000"/>
                <w:szCs w:val="21"/>
              </w:rPr>
              <w:t>20.5</w:t>
            </w:r>
          </w:p>
        </w:tc>
        <w:tc>
          <w:tcPr>
            <w:tcW w:w="500" w:type="pct"/>
            <w:vAlign w:val="center"/>
          </w:tcPr>
          <w:p>
            <w:pPr>
              <w:jc w:val="center"/>
              <w:rPr>
                <w:rFonts w:eastAsiaTheme="minorEastAsia"/>
                <w:color w:val="000000"/>
                <w:szCs w:val="21"/>
              </w:rPr>
            </w:pPr>
            <w:r>
              <w:rPr>
                <w:rFonts w:hint="eastAsia" w:eastAsiaTheme="minorEastAsia"/>
                <w:color w:val="000000"/>
                <w:szCs w:val="21"/>
              </w:rPr>
              <w:t>/</w:t>
            </w:r>
          </w:p>
        </w:tc>
        <w:tc>
          <w:tcPr>
            <w:tcW w:w="500" w:type="pct"/>
            <w:vAlign w:val="center"/>
          </w:tcPr>
          <w:p>
            <w:pPr>
              <w:jc w:val="center"/>
              <w:rPr>
                <w:rFonts w:eastAsiaTheme="minorEastAsia"/>
                <w:color w:val="000000"/>
                <w:szCs w:val="21"/>
              </w:rPr>
            </w:pPr>
            <w:r>
              <w:rPr>
                <w:rFonts w:hint="eastAsia" w:eastAsiaTheme="minorEastAsia"/>
                <w:color w:val="000000"/>
                <w:szCs w:val="21"/>
              </w:rPr>
              <w:t>/</w:t>
            </w:r>
          </w:p>
        </w:tc>
        <w:tc>
          <w:tcPr>
            <w:tcW w:w="500" w:type="pct"/>
            <w:vAlign w:val="center"/>
          </w:tcPr>
          <w:p>
            <w:pPr>
              <w:jc w:val="center"/>
              <w:rPr>
                <w:rFonts w:eastAsiaTheme="minorEastAsia"/>
                <w:color w:val="000000"/>
                <w:szCs w:val="21"/>
              </w:rPr>
            </w:pPr>
            <w:r>
              <w:rPr>
                <w:rFonts w:hint="eastAsia" w:eastAsiaTheme="minorEastAsia"/>
                <w:color w:val="000000"/>
                <w:szCs w:val="21"/>
              </w:rPr>
              <w:t>50</w:t>
            </w:r>
          </w:p>
        </w:tc>
        <w:tc>
          <w:tcPr>
            <w:tcW w:w="496" w:type="pct"/>
            <w:vAlign w:val="center"/>
          </w:tcPr>
          <w:p>
            <w:pPr>
              <w:jc w:val="center"/>
              <w:rPr>
                <w:rFonts w:eastAsiaTheme="minorEastAsia"/>
                <w:color w:val="000000"/>
                <w:szCs w:val="21"/>
              </w:rPr>
            </w:pPr>
            <w:r>
              <w:rPr>
                <w:rFonts w:eastAsiaTheme="minorEastAsia"/>
                <w:color w:val="000000"/>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1" w:type="pct"/>
            <w:vMerge w:val="restart"/>
            <w:vAlign w:val="center"/>
          </w:tcPr>
          <w:p>
            <w:pPr>
              <w:jc w:val="center"/>
              <w:rPr>
                <w:rFonts w:eastAsiaTheme="minorEastAsia"/>
                <w:color w:val="000000"/>
                <w:szCs w:val="21"/>
              </w:rPr>
            </w:pPr>
            <w:r>
              <w:rPr>
                <w:rFonts w:eastAsiaTheme="minorEastAsia"/>
                <w:szCs w:val="21"/>
              </w:rPr>
              <w:t>南厂界</w:t>
            </w:r>
          </w:p>
        </w:tc>
        <w:tc>
          <w:tcPr>
            <w:tcW w:w="501" w:type="pct"/>
            <w:vMerge w:val="restart"/>
            <w:vAlign w:val="center"/>
          </w:tcPr>
          <w:p>
            <w:pPr>
              <w:jc w:val="center"/>
              <w:rPr>
                <w:rFonts w:eastAsiaTheme="minorEastAsia"/>
                <w:color w:val="000000"/>
                <w:szCs w:val="21"/>
              </w:rPr>
            </w:pPr>
            <w:r>
              <w:rPr>
                <w:rFonts w:eastAsiaTheme="minorEastAsia"/>
                <w:color w:val="000000"/>
                <w:szCs w:val="21"/>
              </w:rPr>
              <w:t>-</w:t>
            </w:r>
            <w:r>
              <w:rPr>
                <w:rFonts w:hint="eastAsia" w:eastAsiaTheme="minorEastAsia"/>
                <w:color w:val="000000"/>
                <w:szCs w:val="21"/>
              </w:rPr>
              <w:t>29.5</w:t>
            </w:r>
          </w:p>
        </w:tc>
        <w:tc>
          <w:tcPr>
            <w:tcW w:w="500" w:type="pct"/>
            <w:vMerge w:val="restart"/>
            <w:vAlign w:val="center"/>
          </w:tcPr>
          <w:p>
            <w:pPr>
              <w:jc w:val="center"/>
              <w:rPr>
                <w:rFonts w:eastAsiaTheme="minorEastAsia"/>
                <w:color w:val="000000"/>
                <w:szCs w:val="21"/>
              </w:rPr>
            </w:pPr>
            <w:r>
              <w:rPr>
                <w:rFonts w:hint="eastAsia" w:eastAsiaTheme="minorEastAsia"/>
                <w:color w:val="000000"/>
                <w:szCs w:val="21"/>
              </w:rPr>
              <w:t>0.3</w:t>
            </w:r>
          </w:p>
        </w:tc>
        <w:tc>
          <w:tcPr>
            <w:tcW w:w="502" w:type="pct"/>
            <w:vMerge w:val="restart"/>
            <w:vAlign w:val="center"/>
          </w:tcPr>
          <w:p>
            <w:pPr>
              <w:jc w:val="center"/>
              <w:rPr>
                <w:rFonts w:eastAsiaTheme="minorEastAsia"/>
                <w:color w:val="000000"/>
                <w:szCs w:val="21"/>
              </w:rPr>
            </w:pPr>
            <w:r>
              <w:rPr>
                <w:rFonts w:hint="eastAsia" w:eastAsiaTheme="minorEastAsia"/>
                <w:color w:val="000000"/>
                <w:szCs w:val="21"/>
              </w:rPr>
              <w:t>92.1</w:t>
            </w:r>
          </w:p>
        </w:tc>
        <w:tc>
          <w:tcPr>
            <w:tcW w:w="500" w:type="pct"/>
            <w:vAlign w:val="center"/>
          </w:tcPr>
          <w:p>
            <w:pPr>
              <w:overflowPunct w:val="0"/>
              <w:snapToGrid w:val="0"/>
              <w:jc w:val="center"/>
              <w:rPr>
                <w:rFonts w:eastAsiaTheme="minorEastAsia"/>
                <w:szCs w:val="21"/>
              </w:rPr>
            </w:pPr>
            <w:r>
              <w:rPr>
                <w:rFonts w:eastAsiaTheme="minorEastAsia"/>
                <w:szCs w:val="21"/>
              </w:rPr>
              <w:t>昼间</w:t>
            </w:r>
          </w:p>
        </w:tc>
        <w:tc>
          <w:tcPr>
            <w:tcW w:w="500" w:type="pct"/>
            <w:vAlign w:val="center"/>
          </w:tcPr>
          <w:p>
            <w:pPr>
              <w:jc w:val="center"/>
              <w:rPr>
                <w:rFonts w:eastAsiaTheme="minorEastAsia"/>
                <w:color w:val="000000"/>
                <w:szCs w:val="21"/>
              </w:rPr>
            </w:pPr>
            <w:r>
              <w:rPr>
                <w:rFonts w:hint="eastAsia" w:eastAsiaTheme="minorEastAsia"/>
                <w:color w:val="000000"/>
                <w:szCs w:val="21"/>
              </w:rPr>
              <w:t>28.8</w:t>
            </w:r>
          </w:p>
        </w:tc>
        <w:tc>
          <w:tcPr>
            <w:tcW w:w="500" w:type="pct"/>
            <w:vAlign w:val="center"/>
          </w:tcPr>
          <w:p>
            <w:pPr>
              <w:jc w:val="center"/>
              <w:rPr>
                <w:rFonts w:eastAsiaTheme="minorEastAsia"/>
                <w:color w:val="000000"/>
                <w:szCs w:val="21"/>
              </w:rPr>
            </w:pPr>
            <w:r>
              <w:rPr>
                <w:rFonts w:hint="eastAsia" w:eastAsiaTheme="minorEastAsia"/>
                <w:color w:val="000000"/>
                <w:szCs w:val="21"/>
              </w:rPr>
              <w:t>/</w:t>
            </w:r>
          </w:p>
        </w:tc>
        <w:tc>
          <w:tcPr>
            <w:tcW w:w="500" w:type="pct"/>
            <w:vAlign w:val="center"/>
          </w:tcPr>
          <w:p>
            <w:pPr>
              <w:jc w:val="center"/>
              <w:rPr>
                <w:rFonts w:eastAsiaTheme="minorEastAsia"/>
                <w:color w:val="000000"/>
                <w:szCs w:val="21"/>
              </w:rPr>
            </w:pPr>
            <w:r>
              <w:rPr>
                <w:rFonts w:hint="eastAsia" w:eastAsiaTheme="minorEastAsia"/>
                <w:color w:val="000000"/>
                <w:szCs w:val="21"/>
              </w:rPr>
              <w:t>/</w:t>
            </w:r>
          </w:p>
        </w:tc>
        <w:tc>
          <w:tcPr>
            <w:tcW w:w="500" w:type="pct"/>
            <w:vAlign w:val="center"/>
          </w:tcPr>
          <w:p>
            <w:pPr>
              <w:jc w:val="center"/>
              <w:rPr>
                <w:rFonts w:eastAsiaTheme="minorEastAsia"/>
                <w:color w:val="000000"/>
                <w:szCs w:val="21"/>
              </w:rPr>
            </w:pPr>
            <w:r>
              <w:rPr>
                <w:rFonts w:hint="eastAsia" w:eastAsiaTheme="minorEastAsia"/>
                <w:color w:val="000000"/>
                <w:szCs w:val="21"/>
              </w:rPr>
              <w:t>60</w:t>
            </w:r>
          </w:p>
        </w:tc>
        <w:tc>
          <w:tcPr>
            <w:tcW w:w="496" w:type="pct"/>
            <w:vAlign w:val="center"/>
          </w:tcPr>
          <w:p>
            <w:pPr>
              <w:jc w:val="center"/>
              <w:rPr>
                <w:rFonts w:eastAsiaTheme="minorEastAsia"/>
                <w:color w:val="000000"/>
                <w:szCs w:val="21"/>
              </w:rPr>
            </w:pPr>
            <w:r>
              <w:rPr>
                <w:rFonts w:eastAsiaTheme="minorEastAsia"/>
                <w:color w:val="000000"/>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1" w:type="pct"/>
            <w:vMerge w:val="continue"/>
            <w:vAlign w:val="center"/>
          </w:tcPr>
          <w:p>
            <w:pPr>
              <w:jc w:val="center"/>
              <w:rPr>
                <w:rFonts w:eastAsiaTheme="minorEastAsia"/>
                <w:color w:val="000000"/>
                <w:szCs w:val="21"/>
              </w:rPr>
            </w:pPr>
          </w:p>
        </w:tc>
        <w:tc>
          <w:tcPr>
            <w:tcW w:w="501" w:type="pct"/>
            <w:vMerge w:val="continue"/>
            <w:vAlign w:val="center"/>
          </w:tcPr>
          <w:p>
            <w:pPr>
              <w:jc w:val="center"/>
              <w:rPr>
                <w:rFonts w:eastAsiaTheme="minorEastAsia"/>
                <w:color w:val="000000"/>
                <w:szCs w:val="21"/>
              </w:rPr>
            </w:pPr>
          </w:p>
        </w:tc>
        <w:tc>
          <w:tcPr>
            <w:tcW w:w="500" w:type="pct"/>
            <w:vMerge w:val="continue"/>
            <w:vAlign w:val="center"/>
          </w:tcPr>
          <w:p>
            <w:pPr>
              <w:jc w:val="center"/>
              <w:rPr>
                <w:rFonts w:eastAsiaTheme="minorEastAsia"/>
                <w:color w:val="000000"/>
                <w:szCs w:val="21"/>
              </w:rPr>
            </w:pPr>
          </w:p>
        </w:tc>
        <w:tc>
          <w:tcPr>
            <w:tcW w:w="502" w:type="pct"/>
            <w:vMerge w:val="continue"/>
            <w:vAlign w:val="center"/>
          </w:tcPr>
          <w:p>
            <w:pPr>
              <w:jc w:val="center"/>
              <w:rPr>
                <w:rFonts w:eastAsiaTheme="minorEastAsia"/>
                <w:color w:val="000000"/>
                <w:szCs w:val="21"/>
              </w:rPr>
            </w:pPr>
          </w:p>
        </w:tc>
        <w:tc>
          <w:tcPr>
            <w:tcW w:w="500" w:type="pct"/>
            <w:vAlign w:val="center"/>
          </w:tcPr>
          <w:p>
            <w:pPr>
              <w:jc w:val="center"/>
              <w:rPr>
                <w:rFonts w:eastAsiaTheme="minorEastAsia"/>
                <w:color w:val="000000"/>
                <w:szCs w:val="21"/>
              </w:rPr>
            </w:pPr>
            <w:r>
              <w:rPr>
                <w:rFonts w:eastAsiaTheme="minorEastAsia"/>
                <w:color w:val="000000"/>
                <w:szCs w:val="21"/>
              </w:rPr>
              <w:t>夜间</w:t>
            </w:r>
          </w:p>
        </w:tc>
        <w:tc>
          <w:tcPr>
            <w:tcW w:w="500" w:type="pct"/>
            <w:vAlign w:val="center"/>
          </w:tcPr>
          <w:p>
            <w:pPr>
              <w:jc w:val="center"/>
              <w:rPr>
                <w:rFonts w:eastAsiaTheme="minorEastAsia"/>
                <w:color w:val="000000"/>
                <w:szCs w:val="21"/>
              </w:rPr>
            </w:pPr>
            <w:r>
              <w:rPr>
                <w:rFonts w:hint="eastAsia" w:eastAsiaTheme="minorEastAsia"/>
                <w:color w:val="000000"/>
                <w:szCs w:val="21"/>
              </w:rPr>
              <w:t>28.8</w:t>
            </w:r>
          </w:p>
        </w:tc>
        <w:tc>
          <w:tcPr>
            <w:tcW w:w="500" w:type="pct"/>
            <w:vAlign w:val="center"/>
          </w:tcPr>
          <w:p>
            <w:pPr>
              <w:jc w:val="center"/>
              <w:rPr>
                <w:rFonts w:eastAsiaTheme="minorEastAsia"/>
                <w:color w:val="000000"/>
                <w:szCs w:val="21"/>
              </w:rPr>
            </w:pPr>
            <w:r>
              <w:rPr>
                <w:rFonts w:hint="eastAsia" w:eastAsiaTheme="minorEastAsia"/>
                <w:color w:val="000000"/>
                <w:szCs w:val="21"/>
              </w:rPr>
              <w:t>/</w:t>
            </w:r>
          </w:p>
        </w:tc>
        <w:tc>
          <w:tcPr>
            <w:tcW w:w="500" w:type="pct"/>
            <w:vAlign w:val="center"/>
          </w:tcPr>
          <w:p>
            <w:pPr>
              <w:jc w:val="center"/>
              <w:rPr>
                <w:rFonts w:eastAsiaTheme="minorEastAsia"/>
                <w:color w:val="000000"/>
                <w:szCs w:val="21"/>
              </w:rPr>
            </w:pPr>
            <w:r>
              <w:rPr>
                <w:rFonts w:hint="eastAsia" w:eastAsiaTheme="minorEastAsia"/>
                <w:color w:val="000000"/>
                <w:szCs w:val="21"/>
              </w:rPr>
              <w:t>/</w:t>
            </w:r>
          </w:p>
        </w:tc>
        <w:tc>
          <w:tcPr>
            <w:tcW w:w="500" w:type="pct"/>
            <w:vAlign w:val="center"/>
          </w:tcPr>
          <w:p>
            <w:pPr>
              <w:jc w:val="center"/>
              <w:rPr>
                <w:rFonts w:eastAsiaTheme="minorEastAsia"/>
                <w:color w:val="000000"/>
                <w:szCs w:val="21"/>
              </w:rPr>
            </w:pPr>
            <w:r>
              <w:rPr>
                <w:rFonts w:hint="eastAsia" w:eastAsiaTheme="minorEastAsia"/>
                <w:color w:val="000000"/>
                <w:szCs w:val="21"/>
              </w:rPr>
              <w:t>50</w:t>
            </w:r>
          </w:p>
        </w:tc>
        <w:tc>
          <w:tcPr>
            <w:tcW w:w="496" w:type="pct"/>
            <w:vAlign w:val="center"/>
          </w:tcPr>
          <w:p>
            <w:pPr>
              <w:jc w:val="center"/>
              <w:rPr>
                <w:rFonts w:eastAsiaTheme="minorEastAsia"/>
                <w:color w:val="000000"/>
                <w:szCs w:val="21"/>
              </w:rPr>
            </w:pPr>
            <w:r>
              <w:rPr>
                <w:rFonts w:eastAsiaTheme="minorEastAsia"/>
                <w:color w:val="000000"/>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1" w:type="pct"/>
            <w:vMerge w:val="restart"/>
            <w:vAlign w:val="center"/>
          </w:tcPr>
          <w:p>
            <w:pPr>
              <w:jc w:val="center"/>
              <w:rPr>
                <w:rFonts w:eastAsiaTheme="minorEastAsia"/>
                <w:color w:val="000000"/>
                <w:szCs w:val="21"/>
              </w:rPr>
            </w:pPr>
            <w:r>
              <w:rPr>
                <w:rFonts w:eastAsiaTheme="minorEastAsia"/>
                <w:szCs w:val="21"/>
              </w:rPr>
              <w:t>西厂界</w:t>
            </w:r>
          </w:p>
        </w:tc>
        <w:tc>
          <w:tcPr>
            <w:tcW w:w="501" w:type="pct"/>
            <w:vMerge w:val="restart"/>
            <w:vAlign w:val="center"/>
          </w:tcPr>
          <w:p>
            <w:pPr>
              <w:jc w:val="center"/>
              <w:rPr>
                <w:rFonts w:eastAsiaTheme="minorEastAsia"/>
                <w:color w:val="000000"/>
                <w:szCs w:val="21"/>
              </w:rPr>
            </w:pPr>
            <w:r>
              <w:rPr>
                <w:rFonts w:eastAsiaTheme="minorEastAsia"/>
                <w:color w:val="000000"/>
                <w:szCs w:val="21"/>
              </w:rPr>
              <w:t>-</w:t>
            </w:r>
            <w:r>
              <w:rPr>
                <w:rFonts w:hint="eastAsia" w:eastAsiaTheme="minorEastAsia"/>
                <w:color w:val="000000"/>
                <w:szCs w:val="21"/>
              </w:rPr>
              <w:t>386</w:t>
            </w:r>
          </w:p>
        </w:tc>
        <w:tc>
          <w:tcPr>
            <w:tcW w:w="500" w:type="pct"/>
            <w:vMerge w:val="restart"/>
            <w:vAlign w:val="center"/>
          </w:tcPr>
          <w:p>
            <w:pPr>
              <w:jc w:val="center"/>
              <w:rPr>
                <w:rFonts w:eastAsiaTheme="minorEastAsia"/>
                <w:color w:val="000000"/>
                <w:szCs w:val="21"/>
              </w:rPr>
            </w:pPr>
            <w:r>
              <w:rPr>
                <w:rFonts w:hint="eastAsia" w:eastAsiaTheme="minorEastAsia"/>
                <w:color w:val="000000"/>
                <w:szCs w:val="21"/>
              </w:rPr>
              <w:t>17.3</w:t>
            </w:r>
          </w:p>
        </w:tc>
        <w:tc>
          <w:tcPr>
            <w:tcW w:w="502" w:type="pct"/>
            <w:vMerge w:val="restart"/>
            <w:vAlign w:val="center"/>
          </w:tcPr>
          <w:p>
            <w:pPr>
              <w:jc w:val="center"/>
              <w:rPr>
                <w:rFonts w:eastAsiaTheme="minorEastAsia"/>
                <w:color w:val="000000"/>
                <w:szCs w:val="21"/>
              </w:rPr>
            </w:pPr>
            <w:r>
              <w:rPr>
                <w:rFonts w:hint="eastAsia" w:eastAsiaTheme="minorEastAsia"/>
                <w:color w:val="000000"/>
                <w:szCs w:val="21"/>
              </w:rPr>
              <w:t>94.3</w:t>
            </w:r>
          </w:p>
        </w:tc>
        <w:tc>
          <w:tcPr>
            <w:tcW w:w="500" w:type="pct"/>
            <w:vAlign w:val="center"/>
          </w:tcPr>
          <w:p>
            <w:pPr>
              <w:overflowPunct w:val="0"/>
              <w:snapToGrid w:val="0"/>
              <w:jc w:val="center"/>
              <w:rPr>
                <w:rFonts w:eastAsiaTheme="minorEastAsia"/>
                <w:szCs w:val="21"/>
              </w:rPr>
            </w:pPr>
            <w:r>
              <w:rPr>
                <w:rFonts w:eastAsiaTheme="minorEastAsia"/>
                <w:szCs w:val="21"/>
              </w:rPr>
              <w:t>昼间</w:t>
            </w:r>
          </w:p>
        </w:tc>
        <w:tc>
          <w:tcPr>
            <w:tcW w:w="500" w:type="pct"/>
            <w:vAlign w:val="center"/>
          </w:tcPr>
          <w:p>
            <w:pPr>
              <w:jc w:val="center"/>
              <w:rPr>
                <w:rFonts w:eastAsiaTheme="minorEastAsia"/>
                <w:color w:val="000000"/>
                <w:szCs w:val="21"/>
              </w:rPr>
            </w:pPr>
            <w:r>
              <w:rPr>
                <w:rFonts w:hint="eastAsia" w:eastAsiaTheme="minorEastAsia"/>
                <w:color w:val="000000"/>
                <w:szCs w:val="21"/>
              </w:rPr>
              <w:t>32.6</w:t>
            </w:r>
          </w:p>
        </w:tc>
        <w:tc>
          <w:tcPr>
            <w:tcW w:w="500" w:type="pct"/>
            <w:vAlign w:val="center"/>
          </w:tcPr>
          <w:p>
            <w:pPr>
              <w:jc w:val="center"/>
              <w:rPr>
                <w:rFonts w:eastAsiaTheme="minorEastAsia"/>
                <w:color w:val="000000"/>
                <w:szCs w:val="21"/>
              </w:rPr>
            </w:pPr>
            <w:r>
              <w:rPr>
                <w:rFonts w:hint="eastAsia" w:eastAsiaTheme="minorEastAsia"/>
                <w:color w:val="000000"/>
                <w:szCs w:val="21"/>
              </w:rPr>
              <w:t>/</w:t>
            </w:r>
          </w:p>
        </w:tc>
        <w:tc>
          <w:tcPr>
            <w:tcW w:w="500" w:type="pct"/>
            <w:vAlign w:val="center"/>
          </w:tcPr>
          <w:p>
            <w:pPr>
              <w:jc w:val="center"/>
              <w:rPr>
                <w:rFonts w:eastAsiaTheme="minorEastAsia"/>
                <w:color w:val="000000"/>
                <w:szCs w:val="21"/>
              </w:rPr>
            </w:pPr>
            <w:r>
              <w:rPr>
                <w:rFonts w:hint="eastAsia" w:eastAsiaTheme="minorEastAsia"/>
                <w:color w:val="000000"/>
                <w:szCs w:val="21"/>
              </w:rPr>
              <w:t>/</w:t>
            </w:r>
          </w:p>
        </w:tc>
        <w:tc>
          <w:tcPr>
            <w:tcW w:w="500" w:type="pct"/>
            <w:vAlign w:val="center"/>
          </w:tcPr>
          <w:p>
            <w:pPr>
              <w:jc w:val="center"/>
              <w:rPr>
                <w:rFonts w:eastAsiaTheme="minorEastAsia"/>
                <w:color w:val="000000"/>
                <w:szCs w:val="21"/>
              </w:rPr>
            </w:pPr>
            <w:r>
              <w:rPr>
                <w:rFonts w:hint="eastAsia" w:eastAsiaTheme="minorEastAsia"/>
                <w:color w:val="000000"/>
                <w:szCs w:val="21"/>
              </w:rPr>
              <w:t>60</w:t>
            </w:r>
          </w:p>
        </w:tc>
        <w:tc>
          <w:tcPr>
            <w:tcW w:w="496" w:type="pct"/>
            <w:vAlign w:val="center"/>
          </w:tcPr>
          <w:p>
            <w:pPr>
              <w:jc w:val="center"/>
              <w:rPr>
                <w:rFonts w:eastAsiaTheme="minorEastAsia"/>
                <w:color w:val="000000"/>
                <w:szCs w:val="21"/>
              </w:rPr>
            </w:pPr>
            <w:r>
              <w:rPr>
                <w:rFonts w:eastAsiaTheme="minorEastAsia"/>
                <w:color w:val="000000"/>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1" w:type="pct"/>
            <w:vMerge w:val="continue"/>
            <w:vAlign w:val="center"/>
          </w:tcPr>
          <w:p>
            <w:pPr>
              <w:overflowPunct w:val="0"/>
              <w:snapToGrid w:val="0"/>
              <w:jc w:val="center"/>
              <w:rPr>
                <w:rFonts w:eastAsiaTheme="minorEastAsia"/>
                <w:szCs w:val="21"/>
              </w:rPr>
            </w:pPr>
          </w:p>
        </w:tc>
        <w:tc>
          <w:tcPr>
            <w:tcW w:w="501" w:type="pct"/>
            <w:vMerge w:val="continue"/>
            <w:vAlign w:val="center"/>
          </w:tcPr>
          <w:p>
            <w:pPr>
              <w:overflowPunct w:val="0"/>
              <w:snapToGrid w:val="0"/>
              <w:jc w:val="center"/>
              <w:rPr>
                <w:rFonts w:eastAsiaTheme="minorEastAsia"/>
                <w:szCs w:val="21"/>
              </w:rPr>
            </w:pPr>
          </w:p>
        </w:tc>
        <w:tc>
          <w:tcPr>
            <w:tcW w:w="500" w:type="pct"/>
            <w:vMerge w:val="continue"/>
            <w:vAlign w:val="center"/>
          </w:tcPr>
          <w:p>
            <w:pPr>
              <w:overflowPunct w:val="0"/>
              <w:snapToGrid w:val="0"/>
              <w:jc w:val="center"/>
              <w:rPr>
                <w:rFonts w:eastAsiaTheme="minorEastAsia"/>
                <w:szCs w:val="21"/>
              </w:rPr>
            </w:pPr>
          </w:p>
        </w:tc>
        <w:tc>
          <w:tcPr>
            <w:tcW w:w="502" w:type="pct"/>
            <w:vMerge w:val="continue"/>
            <w:vAlign w:val="center"/>
          </w:tcPr>
          <w:p>
            <w:pPr>
              <w:overflowPunct w:val="0"/>
              <w:snapToGrid w:val="0"/>
              <w:jc w:val="center"/>
              <w:rPr>
                <w:rFonts w:eastAsiaTheme="minorEastAsia"/>
                <w:szCs w:val="21"/>
              </w:rPr>
            </w:pPr>
          </w:p>
        </w:tc>
        <w:tc>
          <w:tcPr>
            <w:tcW w:w="500" w:type="pct"/>
            <w:vAlign w:val="center"/>
          </w:tcPr>
          <w:p>
            <w:pPr>
              <w:jc w:val="center"/>
              <w:rPr>
                <w:rFonts w:eastAsiaTheme="minorEastAsia"/>
                <w:color w:val="000000"/>
                <w:szCs w:val="21"/>
              </w:rPr>
            </w:pPr>
            <w:r>
              <w:rPr>
                <w:rFonts w:eastAsiaTheme="minorEastAsia"/>
                <w:color w:val="000000"/>
                <w:szCs w:val="21"/>
              </w:rPr>
              <w:t>夜间</w:t>
            </w:r>
          </w:p>
        </w:tc>
        <w:tc>
          <w:tcPr>
            <w:tcW w:w="500" w:type="pct"/>
            <w:vAlign w:val="center"/>
          </w:tcPr>
          <w:p>
            <w:pPr>
              <w:overflowPunct w:val="0"/>
              <w:snapToGrid w:val="0"/>
              <w:jc w:val="center"/>
              <w:rPr>
                <w:rFonts w:eastAsiaTheme="minorEastAsia"/>
                <w:szCs w:val="21"/>
              </w:rPr>
            </w:pPr>
            <w:r>
              <w:rPr>
                <w:rFonts w:hint="eastAsia" w:eastAsiaTheme="minorEastAsia"/>
                <w:szCs w:val="21"/>
              </w:rPr>
              <w:t>32.6</w:t>
            </w:r>
          </w:p>
        </w:tc>
        <w:tc>
          <w:tcPr>
            <w:tcW w:w="500" w:type="pct"/>
            <w:vAlign w:val="center"/>
          </w:tcPr>
          <w:p>
            <w:pPr>
              <w:jc w:val="center"/>
              <w:rPr>
                <w:rFonts w:eastAsiaTheme="minorEastAsia"/>
                <w:color w:val="000000"/>
                <w:szCs w:val="21"/>
              </w:rPr>
            </w:pPr>
            <w:r>
              <w:rPr>
                <w:rFonts w:hint="eastAsia" w:eastAsiaTheme="minorEastAsia"/>
                <w:color w:val="000000"/>
                <w:szCs w:val="21"/>
              </w:rPr>
              <w:t>/</w:t>
            </w:r>
          </w:p>
        </w:tc>
        <w:tc>
          <w:tcPr>
            <w:tcW w:w="500" w:type="pct"/>
            <w:vAlign w:val="center"/>
          </w:tcPr>
          <w:p>
            <w:pPr>
              <w:jc w:val="center"/>
              <w:rPr>
                <w:rFonts w:eastAsiaTheme="minorEastAsia"/>
                <w:color w:val="000000"/>
                <w:szCs w:val="21"/>
              </w:rPr>
            </w:pPr>
            <w:r>
              <w:rPr>
                <w:rFonts w:hint="eastAsia" w:eastAsiaTheme="minorEastAsia"/>
                <w:color w:val="000000"/>
                <w:szCs w:val="21"/>
              </w:rPr>
              <w:t>/</w:t>
            </w:r>
          </w:p>
        </w:tc>
        <w:tc>
          <w:tcPr>
            <w:tcW w:w="500" w:type="pct"/>
            <w:vAlign w:val="center"/>
          </w:tcPr>
          <w:p>
            <w:pPr>
              <w:jc w:val="center"/>
              <w:rPr>
                <w:rFonts w:eastAsiaTheme="minorEastAsia"/>
                <w:color w:val="000000"/>
                <w:szCs w:val="21"/>
              </w:rPr>
            </w:pPr>
            <w:r>
              <w:rPr>
                <w:rFonts w:hint="eastAsia" w:eastAsiaTheme="minorEastAsia"/>
                <w:color w:val="000000"/>
                <w:szCs w:val="21"/>
              </w:rPr>
              <w:t>50</w:t>
            </w:r>
          </w:p>
        </w:tc>
        <w:tc>
          <w:tcPr>
            <w:tcW w:w="496" w:type="pct"/>
            <w:vAlign w:val="center"/>
          </w:tcPr>
          <w:p>
            <w:pPr>
              <w:jc w:val="center"/>
              <w:rPr>
                <w:rFonts w:eastAsiaTheme="minorEastAsia"/>
                <w:color w:val="000000"/>
                <w:szCs w:val="21"/>
              </w:rPr>
            </w:pPr>
            <w:r>
              <w:rPr>
                <w:rFonts w:eastAsiaTheme="minorEastAsia"/>
                <w:color w:val="000000"/>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1" w:type="pct"/>
            <w:vMerge w:val="restart"/>
            <w:vAlign w:val="center"/>
          </w:tcPr>
          <w:p>
            <w:pPr>
              <w:overflowPunct w:val="0"/>
              <w:snapToGrid w:val="0"/>
              <w:jc w:val="center"/>
              <w:rPr>
                <w:rFonts w:eastAsiaTheme="minorEastAsia"/>
                <w:szCs w:val="21"/>
              </w:rPr>
            </w:pPr>
            <w:r>
              <w:rPr>
                <w:rFonts w:eastAsiaTheme="minorEastAsia"/>
                <w:szCs w:val="21"/>
              </w:rPr>
              <w:t>北厂界</w:t>
            </w:r>
          </w:p>
        </w:tc>
        <w:tc>
          <w:tcPr>
            <w:tcW w:w="501" w:type="pct"/>
            <w:vMerge w:val="restart"/>
            <w:vAlign w:val="center"/>
          </w:tcPr>
          <w:p>
            <w:pPr>
              <w:overflowPunct w:val="0"/>
              <w:snapToGrid w:val="0"/>
              <w:jc w:val="center"/>
              <w:rPr>
                <w:rFonts w:eastAsiaTheme="minorEastAsia"/>
                <w:szCs w:val="21"/>
              </w:rPr>
            </w:pPr>
            <w:r>
              <w:rPr>
                <w:rFonts w:hint="eastAsia" w:eastAsiaTheme="minorEastAsia"/>
                <w:szCs w:val="21"/>
              </w:rPr>
              <w:t>31.6</w:t>
            </w:r>
          </w:p>
        </w:tc>
        <w:tc>
          <w:tcPr>
            <w:tcW w:w="500" w:type="pct"/>
            <w:vMerge w:val="restart"/>
            <w:vAlign w:val="center"/>
          </w:tcPr>
          <w:p>
            <w:pPr>
              <w:overflowPunct w:val="0"/>
              <w:snapToGrid w:val="0"/>
              <w:jc w:val="center"/>
              <w:rPr>
                <w:rFonts w:eastAsiaTheme="minorEastAsia"/>
                <w:szCs w:val="21"/>
              </w:rPr>
            </w:pPr>
            <w:r>
              <w:rPr>
                <w:rFonts w:hint="eastAsia" w:eastAsiaTheme="minorEastAsia"/>
                <w:szCs w:val="21"/>
              </w:rPr>
              <w:t>115.1</w:t>
            </w:r>
          </w:p>
        </w:tc>
        <w:tc>
          <w:tcPr>
            <w:tcW w:w="502" w:type="pct"/>
            <w:vMerge w:val="restart"/>
            <w:vAlign w:val="center"/>
          </w:tcPr>
          <w:p>
            <w:pPr>
              <w:overflowPunct w:val="0"/>
              <w:snapToGrid w:val="0"/>
              <w:jc w:val="center"/>
              <w:rPr>
                <w:rFonts w:eastAsiaTheme="minorEastAsia"/>
                <w:szCs w:val="21"/>
              </w:rPr>
            </w:pPr>
            <w:r>
              <w:rPr>
                <w:rFonts w:hint="eastAsia" w:eastAsiaTheme="minorEastAsia"/>
                <w:szCs w:val="21"/>
              </w:rPr>
              <w:t>86.7</w:t>
            </w:r>
          </w:p>
        </w:tc>
        <w:tc>
          <w:tcPr>
            <w:tcW w:w="500" w:type="pct"/>
            <w:vAlign w:val="center"/>
          </w:tcPr>
          <w:p>
            <w:pPr>
              <w:overflowPunct w:val="0"/>
              <w:snapToGrid w:val="0"/>
              <w:jc w:val="center"/>
              <w:rPr>
                <w:rFonts w:eastAsiaTheme="minorEastAsia"/>
                <w:szCs w:val="21"/>
              </w:rPr>
            </w:pPr>
            <w:r>
              <w:rPr>
                <w:rFonts w:eastAsiaTheme="minorEastAsia"/>
                <w:szCs w:val="21"/>
              </w:rPr>
              <w:t>昼间</w:t>
            </w:r>
          </w:p>
        </w:tc>
        <w:tc>
          <w:tcPr>
            <w:tcW w:w="500" w:type="pct"/>
            <w:vAlign w:val="center"/>
          </w:tcPr>
          <w:p>
            <w:pPr>
              <w:overflowPunct w:val="0"/>
              <w:snapToGrid w:val="0"/>
              <w:jc w:val="center"/>
              <w:rPr>
                <w:rFonts w:eastAsiaTheme="minorEastAsia"/>
                <w:szCs w:val="21"/>
              </w:rPr>
            </w:pPr>
            <w:r>
              <w:rPr>
                <w:rFonts w:hint="eastAsia" w:eastAsiaTheme="minorEastAsia"/>
                <w:szCs w:val="21"/>
              </w:rPr>
              <w:t>30.7</w:t>
            </w:r>
          </w:p>
        </w:tc>
        <w:tc>
          <w:tcPr>
            <w:tcW w:w="500" w:type="pct"/>
            <w:vAlign w:val="center"/>
          </w:tcPr>
          <w:p>
            <w:pPr>
              <w:jc w:val="center"/>
              <w:rPr>
                <w:rFonts w:eastAsiaTheme="minorEastAsia"/>
                <w:color w:val="000000"/>
                <w:szCs w:val="21"/>
              </w:rPr>
            </w:pPr>
            <w:r>
              <w:rPr>
                <w:rFonts w:hint="eastAsia" w:eastAsiaTheme="minorEastAsia"/>
                <w:color w:val="000000"/>
                <w:szCs w:val="21"/>
              </w:rPr>
              <w:t>/</w:t>
            </w:r>
          </w:p>
        </w:tc>
        <w:tc>
          <w:tcPr>
            <w:tcW w:w="500" w:type="pct"/>
            <w:vAlign w:val="center"/>
          </w:tcPr>
          <w:p>
            <w:pPr>
              <w:jc w:val="center"/>
              <w:rPr>
                <w:rFonts w:eastAsiaTheme="minorEastAsia"/>
                <w:color w:val="000000"/>
                <w:szCs w:val="21"/>
              </w:rPr>
            </w:pPr>
            <w:r>
              <w:rPr>
                <w:rFonts w:hint="eastAsia" w:eastAsiaTheme="minorEastAsia"/>
                <w:color w:val="000000"/>
                <w:szCs w:val="21"/>
              </w:rPr>
              <w:t>/</w:t>
            </w:r>
          </w:p>
        </w:tc>
        <w:tc>
          <w:tcPr>
            <w:tcW w:w="500" w:type="pct"/>
            <w:vAlign w:val="center"/>
          </w:tcPr>
          <w:p>
            <w:pPr>
              <w:jc w:val="center"/>
              <w:rPr>
                <w:rFonts w:eastAsiaTheme="minorEastAsia"/>
                <w:color w:val="000000"/>
                <w:szCs w:val="21"/>
              </w:rPr>
            </w:pPr>
            <w:r>
              <w:rPr>
                <w:rFonts w:hint="eastAsia" w:eastAsiaTheme="minorEastAsia"/>
                <w:color w:val="000000"/>
                <w:szCs w:val="21"/>
              </w:rPr>
              <w:t>60</w:t>
            </w:r>
          </w:p>
        </w:tc>
        <w:tc>
          <w:tcPr>
            <w:tcW w:w="496" w:type="pct"/>
            <w:vAlign w:val="center"/>
          </w:tcPr>
          <w:p>
            <w:pPr>
              <w:jc w:val="center"/>
              <w:rPr>
                <w:rFonts w:eastAsiaTheme="minorEastAsia"/>
                <w:color w:val="000000"/>
                <w:szCs w:val="21"/>
              </w:rPr>
            </w:pPr>
            <w:r>
              <w:rPr>
                <w:rFonts w:eastAsiaTheme="minorEastAsia"/>
                <w:color w:val="000000"/>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1" w:type="pct"/>
            <w:vMerge w:val="continue"/>
            <w:vAlign w:val="center"/>
          </w:tcPr>
          <w:p>
            <w:pPr>
              <w:overflowPunct w:val="0"/>
              <w:snapToGrid w:val="0"/>
              <w:jc w:val="center"/>
              <w:rPr>
                <w:rFonts w:eastAsiaTheme="minorEastAsia"/>
                <w:szCs w:val="21"/>
              </w:rPr>
            </w:pPr>
          </w:p>
        </w:tc>
        <w:tc>
          <w:tcPr>
            <w:tcW w:w="501" w:type="pct"/>
            <w:vMerge w:val="continue"/>
            <w:vAlign w:val="center"/>
          </w:tcPr>
          <w:p>
            <w:pPr>
              <w:overflowPunct w:val="0"/>
              <w:snapToGrid w:val="0"/>
              <w:jc w:val="center"/>
              <w:rPr>
                <w:rFonts w:eastAsiaTheme="minorEastAsia"/>
                <w:szCs w:val="21"/>
              </w:rPr>
            </w:pPr>
          </w:p>
        </w:tc>
        <w:tc>
          <w:tcPr>
            <w:tcW w:w="500" w:type="pct"/>
            <w:vMerge w:val="continue"/>
            <w:vAlign w:val="center"/>
          </w:tcPr>
          <w:p>
            <w:pPr>
              <w:overflowPunct w:val="0"/>
              <w:snapToGrid w:val="0"/>
              <w:jc w:val="center"/>
              <w:rPr>
                <w:rFonts w:eastAsiaTheme="minorEastAsia"/>
                <w:szCs w:val="21"/>
              </w:rPr>
            </w:pPr>
          </w:p>
        </w:tc>
        <w:tc>
          <w:tcPr>
            <w:tcW w:w="502" w:type="pct"/>
            <w:vMerge w:val="continue"/>
            <w:vAlign w:val="center"/>
          </w:tcPr>
          <w:p>
            <w:pPr>
              <w:overflowPunct w:val="0"/>
              <w:snapToGrid w:val="0"/>
              <w:jc w:val="center"/>
              <w:rPr>
                <w:rFonts w:eastAsiaTheme="minorEastAsia"/>
                <w:szCs w:val="21"/>
              </w:rPr>
            </w:pPr>
          </w:p>
        </w:tc>
        <w:tc>
          <w:tcPr>
            <w:tcW w:w="500" w:type="pct"/>
            <w:vAlign w:val="center"/>
          </w:tcPr>
          <w:p>
            <w:pPr>
              <w:jc w:val="center"/>
              <w:rPr>
                <w:rFonts w:eastAsiaTheme="minorEastAsia"/>
                <w:color w:val="000000"/>
                <w:szCs w:val="21"/>
              </w:rPr>
            </w:pPr>
            <w:r>
              <w:rPr>
                <w:rFonts w:eastAsiaTheme="minorEastAsia"/>
                <w:color w:val="000000"/>
                <w:szCs w:val="21"/>
              </w:rPr>
              <w:t>夜间</w:t>
            </w:r>
          </w:p>
        </w:tc>
        <w:tc>
          <w:tcPr>
            <w:tcW w:w="500" w:type="pct"/>
            <w:vAlign w:val="center"/>
          </w:tcPr>
          <w:p>
            <w:pPr>
              <w:overflowPunct w:val="0"/>
              <w:snapToGrid w:val="0"/>
              <w:jc w:val="center"/>
              <w:rPr>
                <w:rFonts w:eastAsiaTheme="minorEastAsia"/>
                <w:szCs w:val="21"/>
              </w:rPr>
            </w:pPr>
            <w:r>
              <w:rPr>
                <w:rFonts w:hint="eastAsia" w:eastAsiaTheme="minorEastAsia"/>
                <w:szCs w:val="21"/>
              </w:rPr>
              <w:t>30.7</w:t>
            </w:r>
          </w:p>
        </w:tc>
        <w:tc>
          <w:tcPr>
            <w:tcW w:w="500" w:type="pct"/>
            <w:vAlign w:val="center"/>
          </w:tcPr>
          <w:p>
            <w:pPr>
              <w:jc w:val="center"/>
              <w:rPr>
                <w:rFonts w:eastAsiaTheme="minorEastAsia"/>
                <w:color w:val="000000"/>
                <w:szCs w:val="21"/>
              </w:rPr>
            </w:pPr>
            <w:r>
              <w:rPr>
                <w:rFonts w:hint="eastAsia" w:eastAsiaTheme="minorEastAsia"/>
                <w:color w:val="000000"/>
                <w:szCs w:val="21"/>
              </w:rPr>
              <w:t>/</w:t>
            </w:r>
          </w:p>
        </w:tc>
        <w:tc>
          <w:tcPr>
            <w:tcW w:w="500" w:type="pct"/>
            <w:vAlign w:val="center"/>
          </w:tcPr>
          <w:p>
            <w:pPr>
              <w:jc w:val="center"/>
              <w:rPr>
                <w:rFonts w:eastAsiaTheme="minorEastAsia"/>
                <w:color w:val="000000"/>
                <w:szCs w:val="21"/>
              </w:rPr>
            </w:pPr>
            <w:r>
              <w:rPr>
                <w:rFonts w:hint="eastAsia" w:eastAsiaTheme="minorEastAsia"/>
                <w:color w:val="000000"/>
                <w:szCs w:val="21"/>
              </w:rPr>
              <w:t>/</w:t>
            </w:r>
          </w:p>
        </w:tc>
        <w:tc>
          <w:tcPr>
            <w:tcW w:w="500" w:type="pct"/>
            <w:vAlign w:val="center"/>
          </w:tcPr>
          <w:p>
            <w:pPr>
              <w:jc w:val="center"/>
              <w:rPr>
                <w:rFonts w:eastAsiaTheme="minorEastAsia"/>
                <w:color w:val="000000"/>
                <w:szCs w:val="21"/>
              </w:rPr>
            </w:pPr>
            <w:r>
              <w:rPr>
                <w:rFonts w:hint="eastAsia" w:eastAsiaTheme="minorEastAsia"/>
                <w:color w:val="000000"/>
                <w:szCs w:val="21"/>
              </w:rPr>
              <w:t>50</w:t>
            </w:r>
          </w:p>
        </w:tc>
        <w:tc>
          <w:tcPr>
            <w:tcW w:w="496" w:type="pct"/>
            <w:vAlign w:val="center"/>
          </w:tcPr>
          <w:p>
            <w:pPr>
              <w:jc w:val="center"/>
              <w:rPr>
                <w:rFonts w:eastAsiaTheme="minorEastAsia"/>
                <w:color w:val="000000"/>
                <w:szCs w:val="21"/>
              </w:rPr>
            </w:pPr>
            <w:r>
              <w:rPr>
                <w:rFonts w:eastAsiaTheme="minorEastAsia"/>
                <w:color w:val="000000"/>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1" w:type="pct"/>
            <w:vMerge w:val="restart"/>
            <w:vAlign w:val="center"/>
          </w:tcPr>
          <w:p>
            <w:pPr>
              <w:overflowPunct w:val="0"/>
              <w:snapToGrid w:val="0"/>
              <w:jc w:val="center"/>
              <w:rPr>
                <w:rFonts w:eastAsiaTheme="minorEastAsia"/>
                <w:szCs w:val="21"/>
              </w:rPr>
            </w:pPr>
            <w:r>
              <w:rPr>
                <w:rFonts w:eastAsiaTheme="minorEastAsia"/>
                <w:szCs w:val="21"/>
              </w:rPr>
              <w:t>南侧敏感点</w:t>
            </w:r>
          </w:p>
        </w:tc>
        <w:tc>
          <w:tcPr>
            <w:tcW w:w="501" w:type="pct"/>
            <w:vMerge w:val="restart"/>
            <w:vAlign w:val="center"/>
          </w:tcPr>
          <w:p>
            <w:pPr>
              <w:overflowPunct w:val="0"/>
              <w:snapToGrid w:val="0"/>
              <w:jc w:val="center"/>
              <w:rPr>
                <w:rFonts w:eastAsiaTheme="minorEastAsia"/>
                <w:szCs w:val="21"/>
              </w:rPr>
            </w:pPr>
            <w:r>
              <w:rPr>
                <w:rFonts w:hint="eastAsia" w:eastAsiaTheme="minorEastAsia"/>
                <w:szCs w:val="21"/>
              </w:rPr>
              <w:t>92</w:t>
            </w:r>
          </w:p>
        </w:tc>
        <w:tc>
          <w:tcPr>
            <w:tcW w:w="500" w:type="pct"/>
            <w:vMerge w:val="restart"/>
            <w:vAlign w:val="center"/>
          </w:tcPr>
          <w:p>
            <w:pPr>
              <w:overflowPunct w:val="0"/>
              <w:snapToGrid w:val="0"/>
              <w:jc w:val="center"/>
              <w:rPr>
                <w:rFonts w:eastAsiaTheme="minorEastAsia"/>
                <w:szCs w:val="21"/>
              </w:rPr>
            </w:pPr>
            <w:r>
              <w:rPr>
                <w:rFonts w:hint="eastAsia" w:eastAsiaTheme="minorEastAsia"/>
                <w:szCs w:val="21"/>
              </w:rPr>
              <w:t>23.9</w:t>
            </w:r>
          </w:p>
        </w:tc>
        <w:tc>
          <w:tcPr>
            <w:tcW w:w="502" w:type="pct"/>
            <w:vMerge w:val="restart"/>
            <w:vAlign w:val="center"/>
          </w:tcPr>
          <w:p>
            <w:pPr>
              <w:overflowPunct w:val="0"/>
              <w:snapToGrid w:val="0"/>
              <w:jc w:val="center"/>
              <w:rPr>
                <w:rFonts w:eastAsiaTheme="minorEastAsia"/>
                <w:szCs w:val="21"/>
              </w:rPr>
            </w:pPr>
            <w:r>
              <w:rPr>
                <w:rFonts w:hint="eastAsia" w:eastAsiaTheme="minorEastAsia"/>
                <w:szCs w:val="21"/>
              </w:rPr>
              <w:t>97.0</w:t>
            </w:r>
          </w:p>
        </w:tc>
        <w:tc>
          <w:tcPr>
            <w:tcW w:w="500" w:type="pct"/>
            <w:vAlign w:val="center"/>
          </w:tcPr>
          <w:p>
            <w:pPr>
              <w:overflowPunct w:val="0"/>
              <w:snapToGrid w:val="0"/>
              <w:jc w:val="center"/>
              <w:rPr>
                <w:rFonts w:eastAsiaTheme="minorEastAsia"/>
                <w:szCs w:val="21"/>
              </w:rPr>
            </w:pPr>
            <w:r>
              <w:rPr>
                <w:rFonts w:eastAsiaTheme="minorEastAsia"/>
                <w:szCs w:val="21"/>
              </w:rPr>
              <w:t>昼间</w:t>
            </w:r>
          </w:p>
        </w:tc>
        <w:tc>
          <w:tcPr>
            <w:tcW w:w="500" w:type="pct"/>
            <w:vAlign w:val="center"/>
          </w:tcPr>
          <w:p>
            <w:pPr>
              <w:overflowPunct w:val="0"/>
              <w:snapToGrid w:val="0"/>
              <w:jc w:val="center"/>
              <w:rPr>
                <w:rFonts w:eastAsiaTheme="minorEastAsia"/>
                <w:szCs w:val="21"/>
              </w:rPr>
            </w:pPr>
            <w:r>
              <w:rPr>
                <w:rFonts w:hint="eastAsia" w:eastAsiaTheme="minorEastAsia"/>
                <w:szCs w:val="21"/>
              </w:rPr>
              <w:t>27.2</w:t>
            </w:r>
          </w:p>
        </w:tc>
        <w:tc>
          <w:tcPr>
            <w:tcW w:w="500" w:type="pct"/>
            <w:vAlign w:val="center"/>
          </w:tcPr>
          <w:p>
            <w:pPr>
              <w:jc w:val="center"/>
              <w:rPr>
                <w:rFonts w:eastAsiaTheme="minorEastAsia"/>
                <w:color w:val="000000"/>
                <w:szCs w:val="21"/>
              </w:rPr>
            </w:pPr>
            <w:r>
              <w:rPr>
                <w:rFonts w:hint="eastAsia" w:eastAsiaTheme="minorEastAsia"/>
                <w:color w:val="000000"/>
                <w:szCs w:val="21"/>
              </w:rPr>
              <w:t>54</w:t>
            </w:r>
          </w:p>
        </w:tc>
        <w:tc>
          <w:tcPr>
            <w:tcW w:w="500" w:type="pct"/>
            <w:vAlign w:val="center"/>
          </w:tcPr>
          <w:p>
            <w:pPr>
              <w:jc w:val="center"/>
              <w:rPr>
                <w:rFonts w:eastAsiaTheme="minorEastAsia"/>
                <w:color w:val="000000"/>
                <w:szCs w:val="21"/>
              </w:rPr>
            </w:pPr>
            <w:r>
              <w:rPr>
                <w:rFonts w:hint="eastAsia" w:eastAsiaTheme="minorEastAsia"/>
                <w:color w:val="000000"/>
                <w:szCs w:val="21"/>
              </w:rPr>
              <w:t>54.0</w:t>
            </w:r>
          </w:p>
        </w:tc>
        <w:tc>
          <w:tcPr>
            <w:tcW w:w="500" w:type="pct"/>
            <w:vAlign w:val="center"/>
          </w:tcPr>
          <w:p>
            <w:pPr>
              <w:jc w:val="center"/>
              <w:rPr>
                <w:rFonts w:eastAsiaTheme="minorEastAsia"/>
                <w:color w:val="000000"/>
                <w:szCs w:val="21"/>
              </w:rPr>
            </w:pPr>
            <w:r>
              <w:rPr>
                <w:rFonts w:hint="eastAsia" w:eastAsiaTheme="minorEastAsia"/>
                <w:color w:val="000000"/>
                <w:szCs w:val="21"/>
              </w:rPr>
              <w:t>60</w:t>
            </w:r>
          </w:p>
        </w:tc>
        <w:tc>
          <w:tcPr>
            <w:tcW w:w="496" w:type="pct"/>
            <w:vAlign w:val="center"/>
          </w:tcPr>
          <w:p>
            <w:pPr>
              <w:jc w:val="center"/>
              <w:rPr>
                <w:rFonts w:eastAsiaTheme="minorEastAsia"/>
                <w:color w:val="000000"/>
                <w:szCs w:val="21"/>
              </w:rPr>
            </w:pPr>
            <w:r>
              <w:rPr>
                <w:rFonts w:eastAsiaTheme="minorEastAsia"/>
                <w:color w:val="000000"/>
                <w:szCs w:val="21"/>
              </w:rPr>
              <w:t>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501" w:type="pct"/>
            <w:vMerge w:val="continue"/>
            <w:vAlign w:val="center"/>
          </w:tcPr>
          <w:p>
            <w:pPr>
              <w:overflowPunct w:val="0"/>
              <w:snapToGrid w:val="0"/>
              <w:jc w:val="center"/>
              <w:rPr>
                <w:rFonts w:eastAsiaTheme="minorEastAsia"/>
                <w:szCs w:val="21"/>
              </w:rPr>
            </w:pPr>
          </w:p>
        </w:tc>
        <w:tc>
          <w:tcPr>
            <w:tcW w:w="501" w:type="pct"/>
            <w:vMerge w:val="continue"/>
            <w:vAlign w:val="center"/>
          </w:tcPr>
          <w:p>
            <w:pPr>
              <w:overflowPunct w:val="0"/>
              <w:snapToGrid w:val="0"/>
              <w:jc w:val="center"/>
              <w:rPr>
                <w:rFonts w:eastAsiaTheme="minorEastAsia"/>
                <w:szCs w:val="21"/>
              </w:rPr>
            </w:pPr>
          </w:p>
        </w:tc>
        <w:tc>
          <w:tcPr>
            <w:tcW w:w="500" w:type="pct"/>
            <w:vMerge w:val="continue"/>
            <w:vAlign w:val="center"/>
          </w:tcPr>
          <w:p>
            <w:pPr>
              <w:overflowPunct w:val="0"/>
              <w:snapToGrid w:val="0"/>
              <w:jc w:val="center"/>
              <w:rPr>
                <w:rFonts w:eastAsiaTheme="minorEastAsia"/>
                <w:szCs w:val="21"/>
              </w:rPr>
            </w:pPr>
          </w:p>
        </w:tc>
        <w:tc>
          <w:tcPr>
            <w:tcW w:w="502" w:type="pct"/>
            <w:vMerge w:val="continue"/>
            <w:vAlign w:val="center"/>
          </w:tcPr>
          <w:p>
            <w:pPr>
              <w:overflowPunct w:val="0"/>
              <w:snapToGrid w:val="0"/>
              <w:jc w:val="center"/>
              <w:rPr>
                <w:rFonts w:eastAsiaTheme="minorEastAsia"/>
                <w:szCs w:val="21"/>
              </w:rPr>
            </w:pPr>
          </w:p>
        </w:tc>
        <w:tc>
          <w:tcPr>
            <w:tcW w:w="500" w:type="pct"/>
            <w:vAlign w:val="center"/>
          </w:tcPr>
          <w:p>
            <w:pPr>
              <w:jc w:val="center"/>
              <w:rPr>
                <w:rFonts w:eastAsiaTheme="minorEastAsia"/>
                <w:color w:val="000000"/>
                <w:szCs w:val="21"/>
              </w:rPr>
            </w:pPr>
            <w:r>
              <w:rPr>
                <w:rFonts w:eastAsiaTheme="minorEastAsia"/>
                <w:color w:val="000000"/>
                <w:szCs w:val="21"/>
              </w:rPr>
              <w:t>夜间</w:t>
            </w:r>
          </w:p>
        </w:tc>
        <w:tc>
          <w:tcPr>
            <w:tcW w:w="500" w:type="pct"/>
            <w:vAlign w:val="center"/>
          </w:tcPr>
          <w:p>
            <w:pPr>
              <w:overflowPunct w:val="0"/>
              <w:snapToGrid w:val="0"/>
              <w:jc w:val="center"/>
              <w:rPr>
                <w:rFonts w:eastAsiaTheme="minorEastAsia"/>
                <w:szCs w:val="21"/>
              </w:rPr>
            </w:pPr>
            <w:r>
              <w:rPr>
                <w:rFonts w:hint="eastAsia" w:eastAsiaTheme="minorEastAsia"/>
                <w:szCs w:val="21"/>
              </w:rPr>
              <w:t>27.2</w:t>
            </w:r>
          </w:p>
        </w:tc>
        <w:tc>
          <w:tcPr>
            <w:tcW w:w="500" w:type="pct"/>
            <w:vAlign w:val="center"/>
          </w:tcPr>
          <w:p>
            <w:pPr>
              <w:jc w:val="center"/>
              <w:rPr>
                <w:rFonts w:eastAsiaTheme="minorEastAsia"/>
                <w:color w:val="000000"/>
                <w:szCs w:val="21"/>
              </w:rPr>
            </w:pPr>
            <w:r>
              <w:rPr>
                <w:rFonts w:hint="eastAsia" w:eastAsiaTheme="minorEastAsia"/>
                <w:color w:val="000000"/>
                <w:szCs w:val="21"/>
              </w:rPr>
              <w:t>43</w:t>
            </w:r>
          </w:p>
        </w:tc>
        <w:tc>
          <w:tcPr>
            <w:tcW w:w="500" w:type="pct"/>
            <w:vAlign w:val="center"/>
          </w:tcPr>
          <w:p>
            <w:pPr>
              <w:jc w:val="center"/>
              <w:rPr>
                <w:rFonts w:eastAsiaTheme="minorEastAsia"/>
                <w:color w:val="000000"/>
                <w:szCs w:val="21"/>
              </w:rPr>
            </w:pPr>
            <w:r>
              <w:rPr>
                <w:rFonts w:hint="eastAsia" w:eastAsiaTheme="minorEastAsia"/>
                <w:color w:val="000000"/>
                <w:szCs w:val="21"/>
              </w:rPr>
              <w:t>43.2</w:t>
            </w:r>
          </w:p>
        </w:tc>
        <w:tc>
          <w:tcPr>
            <w:tcW w:w="500" w:type="pct"/>
            <w:vAlign w:val="center"/>
          </w:tcPr>
          <w:p>
            <w:pPr>
              <w:jc w:val="center"/>
              <w:rPr>
                <w:rFonts w:eastAsiaTheme="minorEastAsia"/>
                <w:color w:val="000000"/>
                <w:szCs w:val="21"/>
              </w:rPr>
            </w:pPr>
            <w:r>
              <w:rPr>
                <w:rFonts w:hint="eastAsia" w:eastAsiaTheme="minorEastAsia"/>
                <w:color w:val="000000"/>
                <w:szCs w:val="21"/>
              </w:rPr>
              <w:t>50</w:t>
            </w:r>
          </w:p>
        </w:tc>
        <w:tc>
          <w:tcPr>
            <w:tcW w:w="496" w:type="pct"/>
            <w:vAlign w:val="center"/>
          </w:tcPr>
          <w:p>
            <w:pPr>
              <w:jc w:val="center"/>
              <w:rPr>
                <w:rFonts w:eastAsiaTheme="minorEastAsia"/>
                <w:color w:val="000000"/>
                <w:szCs w:val="21"/>
              </w:rPr>
            </w:pPr>
            <w:r>
              <w:rPr>
                <w:rFonts w:eastAsiaTheme="minorEastAsia"/>
                <w:color w:val="000000"/>
                <w:szCs w:val="21"/>
              </w:rPr>
              <w:t>达标</w:t>
            </w:r>
          </w:p>
        </w:tc>
      </w:tr>
    </w:tbl>
    <w:p>
      <w:pPr>
        <w:spacing w:line="360" w:lineRule="auto"/>
        <w:rPr>
          <w:kern w:val="0"/>
          <w:sz w:val="24"/>
          <w:szCs w:val="20"/>
        </w:rPr>
      </w:pPr>
      <w:r>
        <w:rPr>
          <w:kern w:val="0"/>
          <w:sz w:val="24"/>
          <w:szCs w:val="20"/>
        </w:rPr>
        <w:drawing>
          <wp:inline distT="0" distB="0" distL="0" distR="0">
            <wp:extent cx="5278120" cy="3597910"/>
            <wp:effectExtent l="1905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40" cstate="print"/>
                    <a:srcRect/>
                    <a:stretch>
                      <a:fillRect/>
                    </a:stretch>
                  </pic:blipFill>
                  <pic:spPr>
                    <a:xfrm>
                      <a:off x="0" y="0"/>
                      <a:ext cx="5278120" cy="3597960"/>
                    </a:xfrm>
                    <a:prstGeom prst="rect">
                      <a:avLst/>
                    </a:prstGeom>
                    <a:noFill/>
                    <a:ln w="9525">
                      <a:noFill/>
                      <a:miter lim="800000"/>
                      <a:headEnd/>
                      <a:tailEnd/>
                    </a:ln>
                  </pic:spPr>
                </pic:pic>
              </a:graphicData>
            </a:graphic>
          </wp:inline>
        </w:drawing>
      </w:r>
    </w:p>
    <w:p>
      <w:pPr>
        <w:spacing w:afterLines="50"/>
        <w:jc w:val="center"/>
        <w:rPr>
          <w:rFonts w:hAnsiTheme="majorEastAsia" w:eastAsiaTheme="majorEastAsia"/>
          <w:b/>
          <w:kern w:val="0"/>
          <w:szCs w:val="21"/>
        </w:rPr>
      </w:pPr>
      <w:r>
        <w:rPr>
          <w:rFonts w:hAnsiTheme="majorEastAsia" w:eastAsiaTheme="majorEastAsia"/>
          <w:b/>
          <w:kern w:val="0"/>
          <w:szCs w:val="21"/>
        </w:rPr>
        <w:t>图</w:t>
      </w:r>
      <w:r>
        <w:rPr>
          <w:rFonts w:hint="eastAsia" w:eastAsiaTheme="majorEastAsia"/>
          <w:b/>
          <w:bCs/>
          <w:kern w:val="0"/>
          <w:szCs w:val="21"/>
        </w:rPr>
        <w:t>6.2-</w:t>
      </w:r>
      <w:r>
        <w:rPr>
          <w:rFonts w:hint="eastAsia" w:eastAsiaTheme="majorEastAsia"/>
          <w:b/>
          <w:bCs/>
          <w:kern w:val="0"/>
          <w:szCs w:val="21"/>
          <w:lang w:val="en-US" w:eastAsia="zh-CN"/>
        </w:rPr>
        <w:t>4</w:t>
      </w:r>
      <w:r>
        <w:rPr>
          <w:rFonts w:eastAsiaTheme="majorEastAsia"/>
          <w:b/>
          <w:bCs/>
          <w:kern w:val="0"/>
          <w:szCs w:val="21"/>
        </w:rPr>
        <w:t xml:space="preserve"> </w:t>
      </w:r>
      <w:r>
        <w:rPr>
          <w:rFonts w:hint="eastAsia" w:eastAsiaTheme="majorEastAsia"/>
          <w:b/>
          <w:bCs/>
          <w:kern w:val="0"/>
          <w:szCs w:val="21"/>
        </w:rPr>
        <w:t xml:space="preserve"> </w:t>
      </w:r>
      <w:r>
        <w:rPr>
          <w:rFonts w:hAnsiTheme="majorEastAsia" w:eastAsiaTheme="majorEastAsia"/>
          <w:b/>
          <w:kern w:val="0"/>
          <w:szCs w:val="21"/>
        </w:rPr>
        <w:t>厂界噪声预测等值线图</w:t>
      </w:r>
    </w:p>
    <w:p>
      <w:pPr>
        <w:spacing w:line="360" w:lineRule="auto"/>
        <w:ind w:firstLine="482" w:firstLineChars="200"/>
        <w:rPr>
          <w:b/>
          <w:sz w:val="24"/>
        </w:rPr>
      </w:pPr>
      <w:r>
        <w:rPr>
          <w:rFonts w:hint="eastAsia"/>
          <w:b/>
          <w:sz w:val="24"/>
        </w:rPr>
        <w:t>4、噪声环境影响预测评价</w:t>
      </w:r>
    </w:p>
    <w:p>
      <w:pPr>
        <w:spacing w:line="360" w:lineRule="auto"/>
        <w:ind w:firstLine="480" w:firstLineChars="200"/>
        <w:rPr>
          <w:sz w:val="24"/>
        </w:rPr>
      </w:pPr>
      <w:r>
        <w:rPr>
          <w:rFonts w:hint="eastAsia"/>
          <w:sz w:val="24"/>
        </w:rPr>
        <w:t>由上分析可知，本项目昼间对厂界噪声的影响贡献值在21.4~26.4dB（A）之间。从表5.4-4来看，项目厂界昼间四个评价点均符合《工业企业厂界环境噪声排放标准》（GB12348-2008）中2类标准要求，敏感点噪声预测值满足《声环境质量标准》（GB3096-2008）中2类标准限值。</w:t>
      </w:r>
    </w:p>
    <w:p>
      <w:pPr>
        <w:spacing w:line="360" w:lineRule="auto"/>
        <w:ind w:firstLine="480" w:firstLineChars="200"/>
        <w:rPr>
          <w:sz w:val="24"/>
        </w:rPr>
      </w:pPr>
      <w:r>
        <w:rPr>
          <w:rFonts w:hint="eastAsia"/>
          <w:sz w:val="24"/>
        </w:rPr>
        <w:t>为保证厂界噪声值长期稳定达标，建设单位仍应严格执行本评价中提出的噪声治理措施，首先应选择低噪型设备、合理布局，将高噪声设备置于室内并尽可能远离厂界，其次需要采取适当的隔声降噪措施，特别是对距厂界较近的泵类采取一定的降噪措施，如将泵类置于室内并保证其密闭性（如房间采用双层隔声门窗或内壁设置吸收材料）或建隔声罩。</w:t>
      </w:r>
    </w:p>
    <w:p>
      <w:pPr>
        <w:pStyle w:val="7"/>
        <w:adjustRightInd w:val="0"/>
        <w:snapToGrid w:val="0"/>
        <w:spacing w:before="0" w:after="0" w:line="360" w:lineRule="auto"/>
        <w:jc w:val="left"/>
        <w:rPr>
          <w:sz w:val="24"/>
          <w:szCs w:val="24"/>
        </w:rPr>
      </w:pPr>
      <w:r>
        <w:rPr>
          <w:rFonts w:hint="eastAsia"/>
          <w:sz w:val="24"/>
          <w:szCs w:val="24"/>
        </w:rPr>
        <w:t>6.2.5 固体废物环境影响分析</w:t>
      </w:r>
    </w:p>
    <w:p>
      <w:pPr>
        <w:spacing w:line="360" w:lineRule="auto"/>
        <w:ind w:firstLine="482" w:firstLineChars="200"/>
        <w:rPr>
          <w:b/>
          <w:sz w:val="24"/>
        </w:rPr>
      </w:pPr>
      <w:r>
        <w:rPr>
          <w:rFonts w:hint="eastAsia"/>
          <w:b/>
          <w:sz w:val="24"/>
        </w:rPr>
        <w:t>1、固废处置方案</w:t>
      </w:r>
    </w:p>
    <w:p>
      <w:pPr>
        <w:spacing w:line="360" w:lineRule="auto"/>
        <w:ind w:firstLine="480" w:firstLineChars="200"/>
        <w:rPr>
          <w:sz w:val="24"/>
        </w:rPr>
      </w:pPr>
      <w:r>
        <w:rPr>
          <w:rFonts w:hint="eastAsia"/>
          <w:sz w:val="24"/>
        </w:rPr>
        <w:t>项目固体废物主要包括鸡粪、病死鸡、废包装物料、不合格蛋、饲料渣及脱落的羽毛、医疗废物和员工办公生活垃圾等</w:t>
      </w:r>
      <w:r>
        <w:rPr>
          <w:sz w:val="24"/>
        </w:rPr>
        <w:t>。各固体废弃物产生及处置情况如表</w:t>
      </w:r>
      <w:r>
        <w:rPr>
          <w:rFonts w:hint="eastAsia"/>
          <w:sz w:val="24"/>
        </w:rPr>
        <w:t>6.2-</w:t>
      </w:r>
      <w:r>
        <w:rPr>
          <w:rFonts w:hint="eastAsia"/>
          <w:sz w:val="24"/>
          <w:lang w:val="en-US" w:eastAsia="zh-CN"/>
        </w:rPr>
        <w:t>18</w:t>
      </w:r>
      <w:r>
        <w:rPr>
          <w:sz w:val="24"/>
        </w:rPr>
        <w:t>所示。</w:t>
      </w:r>
    </w:p>
    <w:p>
      <w:pPr>
        <w:adjustRightInd w:val="0"/>
        <w:snapToGrid w:val="0"/>
        <w:spacing w:beforeLines="50"/>
        <w:jc w:val="center"/>
        <w:rPr>
          <w:b/>
          <w:kern w:val="0"/>
          <w:szCs w:val="21"/>
        </w:rPr>
      </w:pPr>
      <w:r>
        <w:rPr>
          <w:b/>
          <w:kern w:val="0"/>
          <w:szCs w:val="21"/>
        </w:rPr>
        <w:t>表</w:t>
      </w:r>
      <w:r>
        <w:rPr>
          <w:rFonts w:hint="eastAsia"/>
          <w:b/>
          <w:kern w:val="0"/>
          <w:szCs w:val="21"/>
        </w:rPr>
        <w:t>6.2-</w:t>
      </w:r>
      <w:r>
        <w:rPr>
          <w:rFonts w:hint="eastAsia"/>
          <w:b/>
          <w:kern w:val="0"/>
          <w:szCs w:val="21"/>
          <w:lang w:val="en-US" w:eastAsia="zh-CN"/>
        </w:rPr>
        <w:t>18</w:t>
      </w:r>
      <w:r>
        <w:rPr>
          <w:rFonts w:hint="eastAsia"/>
          <w:b/>
          <w:kern w:val="0"/>
          <w:szCs w:val="21"/>
        </w:rPr>
        <w:t xml:space="preserve">  运营期固体废物产生及处置情况一览表</w:t>
      </w:r>
    </w:p>
    <w:tbl>
      <w:tblPr>
        <w:tblStyle w:val="47"/>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14"/>
        <w:gridCol w:w="1277"/>
        <w:gridCol w:w="1560"/>
        <w:gridCol w:w="1133"/>
        <w:gridCol w:w="2865"/>
        <w:gridCol w:w="879"/>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77" w:type="pct"/>
            <w:vAlign w:val="center"/>
          </w:tcPr>
          <w:p>
            <w:pPr>
              <w:jc w:val="center"/>
              <w:rPr>
                <w:rFonts w:eastAsiaTheme="minorEastAsia"/>
                <w:b/>
                <w:szCs w:val="21"/>
              </w:rPr>
            </w:pPr>
            <w:r>
              <w:rPr>
                <w:rFonts w:eastAsiaTheme="minorEastAsia"/>
                <w:b/>
                <w:szCs w:val="21"/>
              </w:rPr>
              <w:t>序号</w:t>
            </w:r>
          </w:p>
        </w:tc>
        <w:tc>
          <w:tcPr>
            <w:tcW w:w="748" w:type="pct"/>
            <w:vAlign w:val="center"/>
          </w:tcPr>
          <w:p>
            <w:pPr>
              <w:jc w:val="center"/>
              <w:rPr>
                <w:rFonts w:eastAsiaTheme="minorEastAsia"/>
                <w:b/>
                <w:szCs w:val="21"/>
              </w:rPr>
            </w:pPr>
            <w:r>
              <w:rPr>
                <w:rFonts w:eastAsiaTheme="minorEastAsia"/>
                <w:b/>
                <w:szCs w:val="21"/>
              </w:rPr>
              <w:t>固废来源</w:t>
            </w:r>
          </w:p>
        </w:tc>
        <w:tc>
          <w:tcPr>
            <w:tcW w:w="914" w:type="pct"/>
            <w:vAlign w:val="center"/>
          </w:tcPr>
          <w:p>
            <w:pPr>
              <w:jc w:val="center"/>
              <w:rPr>
                <w:rFonts w:hAnsiTheme="minorEastAsia" w:eastAsiaTheme="minorEastAsia"/>
                <w:b/>
                <w:szCs w:val="21"/>
              </w:rPr>
            </w:pPr>
            <w:r>
              <w:rPr>
                <w:rFonts w:hAnsiTheme="minorEastAsia" w:eastAsiaTheme="minorEastAsia"/>
                <w:b/>
                <w:szCs w:val="21"/>
              </w:rPr>
              <w:t>固废性质</w:t>
            </w:r>
          </w:p>
        </w:tc>
        <w:tc>
          <w:tcPr>
            <w:tcW w:w="664" w:type="pct"/>
            <w:vAlign w:val="center"/>
          </w:tcPr>
          <w:p>
            <w:pPr>
              <w:jc w:val="center"/>
              <w:rPr>
                <w:rFonts w:eastAsiaTheme="minorEastAsia"/>
                <w:b/>
                <w:szCs w:val="21"/>
              </w:rPr>
            </w:pPr>
            <w:r>
              <w:rPr>
                <w:rFonts w:eastAsiaTheme="minorEastAsia"/>
                <w:b/>
                <w:szCs w:val="21"/>
              </w:rPr>
              <w:t>产生量（</w:t>
            </w:r>
            <w:r>
              <w:rPr>
                <w:rFonts w:hint="eastAsia" w:eastAsiaTheme="minorEastAsia"/>
                <w:b/>
                <w:szCs w:val="21"/>
              </w:rPr>
              <w:t>t/a</w:t>
            </w:r>
            <w:r>
              <w:rPr>
                <w:rFonts w:eastAsiaTheme="minorEastAsia"/>
                <w:b/>
                <w:szCs w:val="21"/>
              </w:rPr>
              <w:t>）</w:t>
            </w:r>
          </w:p>
        </w:tc>
        <w:tc>
          <w:tcPr>
            <w:tcW w:w="1679" w:type="pct"/>
            <w:vAlign w:val="center"/>
          </w:tcPr>
          <w:p>
            <w:pPr>
              <w:jc w:val="center"/>
              <w:rPr>
                <w:rFonts w:hAnsiTheme="minorEastAsia" w:eastAsiaTheme="minorEastAsia"/>
                <w:b/>
                <w:szCs w:val="21"/>
              </w:rPr>
            </w:pPr>
            <w:r>
              <w:rPr>
                <w:rFonts w:hAnsiTheme="minorEastAsia" w:eastAsiaTheme="minorEastAsia"/>
                <w:b/>
                <w:szCs w:val="21"/>
              </w:rPr>
              <w:t>处置措施</w:t>
            </w:r>
          </w:p>
        </w:tc>
        <w:tc>
          <w:tcPr>
            <w:tcW w:w="515" w:type="pct"/>
            <w:vAlign w:val="center"/>
          </w:tcPr>
          <w:p>
            <w:pPr>
              <w:jc w:val="center"/>
              <w:rPr>
                <w:rFonts w:hAnsiTheme="minorEastAsia" w:eastAsiaTheme="minorEastAsia"/>
                <w:b/>
                <w:szCs w:val="21"/>
              </w:rPr>
            </w:pPr>
            <w:r>
              <w:rPr>
                <w:rFonts w:eastAsiaTheme="minorEastAsia"/>
                <w:b/>
                <w:szCs w:val="21"/>
              </w:rPr>
              <w:t>排放量（</w:t>
            </w:r>
            <w:r>
              <w:rPr>
                <w:rFonts w:hint="eastAsia" w:eastAsiaTheme="minorEastAsia"/>
                <w:b/>
                <w:szCs w:val="21"/>
              </w:rPr>
              <w:t>t/a</w:t>
            </w:r>
            <w:r>
              <w:rPr>
                <w:rFonts w:eastAsiaTheme="minorEastAsia"/>
                <w:b/>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77" w:type="pct"/>
            <w:vAlign w:val="center"/>
          </w:tcPr>
          <w:p>
            <w:pPr>
              <w:jc w:val="center"/>
              <w:rPr>
                <w:rFonts w:eastAsiaTheme="minorEastAsia"/>
                <w:szCs w:val="21"/>
              </w:rPr>
            </w:pPr>
            <w:r>
              <w:rPr>
                <w:rFonts w:hint="eastAsia" w:eastAsiaTheme="minorEastAsia"/>
                <w:szCs w:val="21"/>
              </w:rPr>
              <w:t>1</w:t>
            </w:r>
          </w:p>
        </w:tc>
        <w:tc>
          <w:tcPr>
            <w:tcW w:w="748" w:type="pct"/>
            <w:vAlign w:val="center"/>
          </w:tcPr>
          <w:p>
            <w:pPr>
              <w:jc w:val="center"/>
              <w:rPr>
                <w:rFonts w:eastAsiaTheme="minorEastAsia"/>
                <w:szCs w:val="21"/>
              </w:rPr>
            </w:pPr>
            <w:r>
              <w:rPr>
                <w:rFonts w:hAnsiTheme="minorEastAsia" w:eastAsiaTheme="minorEastAsia"/>
                <w:szCs w:val="21"/>
              </w:rPr>
              <w:t>鸡粪</w:t>
            </w:r>
          </w:p>
        </w:tc>
        <w:tc>
          <w:tcPr>
            <w:tcW w:w="914" w:type="pct"/>
            <w:vAlign w:val="center"/>
          </w:tcPr>
          <w:p>
            <w:pPr>
              <w:jc w:val="center"/>
              <w:rPr>
                <w:szCs w:val="21"/>
              </w:rPr>
            </w:pPr>
            <w:r>
              <w:rPr>
                <w:szCs w:val="21"/>
              </w:rPr>
              <w:t>一般固废</w:t>
            </w:r>
          </w:p>
        </w:tc>
        <w:tc>
          <w:tcPr>
            <w:tcW w:w="664" w:type="pct"/>
            <w:vAlign w:val="center"/>
          </w:tcPr>
          <w:p>
            <w:pPr>
              <w:jc w:val="center"/>
              <w:rPr>
                <w:szCs w:val="21"/>
              </w:rPr>
            </w:pPr>
            <w:r>
              <w:rPr>
                <w:rFonts w:hint="eastAsia"/>
                <w:szCs w:val="21"/>
              </w:rPr>
              <w:t>28470</w:t>
            </w:r>
          </w:p>
        </w:tc>
        <w:tc>
          <w:tcPr>
            <w:tcW w:w="1679" w:type="pct"/>
            <w:vAlign w:val="center"/>
          </w:tcPr>
          <w:p>
            <w:pPr>
              <w:jc w:val="center"/>
              <w:rPr>
                <w:szCs w:val="21"/>
              </w:rPr>
            </w:pPr>
            <w:r>
              <w:rPr>
                <w:rFonts w:hint="eastAsia"/>
                <w:szCs w:val="21"/>
              </w:rPr>
              <w:t>部分直接拉走依托台源蛋鸡养殖一场好氧发酵罐制有机肥；剩余部分则直接拉走外售衡阳县沛科生态科技有限责任公司制有机肥</w:t>
            </w:r>
          </w:p>
        </w:tc>
        <w:tc>
          <w:tcPr>
            <w:tcW w:w="515" w:type="pct"/>
            <w:vAlign w:val="center"/>
          </w:tcPr>
          <w:p>
            <w:pPr>
              <w:jc w:val="center"/>
              <w:rPr>
                <w:szCs w:val="21"/>
              </w:rPr>
            </w:pPr>
            <w:r>
              <w:rPr>
                <w:rFonts w:hint="eastAsia"/>
                <w:szCs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77" w:type="pct"/>
            <w:vAlign w:val="center"/>
          </w:tcPr>
          <w:p>
            <w:pPr>
              <w:jc w:val="center"/>
              <w:rPr>
                <w:rFonts w:eastAsiaTheme="minorEastAsia"/>
                <w:szCs w:val="21"/>
              </w:rPr>
            </w:pPr>
            <w:r>
              <w:rPr>
                <w:rFonts w:hint="eastAsia" w:eastAsiaTheme="minorEastAsia"/>
                <w:szCs w:val="21"/>
              </w:rPr>
              <w:t>2</w:t>
            </w:r>
          </w:p>
        </w:tc>
        <w:tc>
          <w:tcPr>
            <w:tcW w:w="748" w:type="pct"/>
            <w:vAlign w:val="center"/>
          </w:tcPr>
          <w:p>
            <w:pPr>
              <w:jc w:val="center"/>
              <w:rPr>
                <w:rFonts w:eastAsiaTheme="minorEastAsia"/>
                <w:szCs w:val="21"/>
              </w:rPr>
            </w:pPr>
            <w:r>
              <w:rPr>
                <w:rFonts w:hAnsiTheme="minorEastAsia" w:eastAsiaTheme="minorEastAsia"/>
                <w:szCs w:val="21"/>
              </w:rPr>
              <w:t>病死鸡</w:t>
            </w:r>
          </w:p>
        </w:tc>
        <w:tc>
          <w:tcPr>
            <w:tcW w:w="914" w:type="pct"/>
            <w:vAlign w:val="center"/>
          </w:tcPr>
          <w:p>
            <w:pPr>
              <w:jc w:val="center"/>
              <w:rPr>
                <w:szCs w:val="21"/>
              </w:rPr>
            </w:pPr>
            <w:r>
              <w:rPr>
                <w:szCs w:val="21"/>
              </w:rPr>
              <w:t>一般固废</w:t>
            </w:r>
          </w:p>
        </w:tc>
        <w:tc>
          <w:tcPr>
            <w:tcW w:w="664" w:type="pct"/>
            <w:vAlign w:val="center"/>
          </w:tcPr>
          <w:p>
            <w:pPr>
              <w:jc w:val="center"/>
              <w:rPr>
                <w:rFonts w:eastAsiaTheme="minorEastAsia"/>
                <w:szCs w:val="21"/>
              </w:rPr>
            </w:pPr>
            <w:r>
              <w:rPr>
                <w:rFonts w:hint="eastAsia" w:eastAsiaTheme="minorEastAsia"/>
                <w:szCs w:val="21"/>
              </w:rPr>
              <w:t>64.8</w:t>
            </w:r>
          </w:p>
        </w:tc>
        <w:tc>
          <w:tcPr>
            <w:tcW w:w="1679" w:type="pct"/>
            <w:vAlign w:val="center"/>
          </w:tcPr>
          <w:p>
            <w:pPr>
              <w:jc w:val="center"/>
              <w:rPr>
                <w:szCs w:val="21"/>
              </w:rPr>
            </w:pPr>
            <w:r>
              <w:rPr>
                <w:rFonts w:hint="eastAsia"/>
                <w:szCs w:val="21"/>
              </w:rPr>
              <w:t>冷柜暂存后定期交由病死畜禽无害化单位处理</w:t>
            </w:r>
          </w:p>
        </w:tc>
        <w:tc>
          <w:tcPr>
            <w:tcW w:w="515" w:type="pct"/>
            <w:vAlign w:val="center"/>
          </w:tcPr>
          <w:p>
            <w:pPr>
              <w:jc w:val="center"/>
              <w:rPr>
                <w:szCs w:val="21"/>
              </w:rPr>
            </w:pPr>
            <w:r>
              <w:rPr>
                <w:rFonts w:hint="eastAsia"/>
                <w:szCs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77" w:type="pct"/>
            <w:vAlign w:val="center"/>
          </w:tcPr>
          <w:p>
            <w:pPr>
              <w:jc w:val="center"/>
              <w:rPr>
                <w:rFonts w:eastAsiaTheme="minorEastAsia"/>
                <w:szCs w:val="21"/>
              </w:rPr>
            </w:pPr>
            <w:r>
              <w:rPr>
                <w:rFonts w:hint="eastAsia" w:eastAsiaTheme="minorEastAsia"/>
                <w:szCs w:val="21"/>
              </w:rPr>
              <w:t>3</w:t>
            </w:r>
          </w:p>
        </w:tc>
        <w:tc>
          <w:tcPr>
            <w:tcW w:w="748" w:type="pct"/>
            <w:vAlign w:val="center"/>
          </w:tcPr>
          <w:p>
            <w:pPr>
              <w:jc w:val="center"/>
              <w:rPr>
                <w:rFonts w:eastAsiaTheme="minorEastAsia"/>
                <w:szCs w:val="21"/>
              </w:rPr>
            </w:pPr>
            <w:r>
              <w:rPr>
                <w:rFonts w:hAnsiTheme="minorEastAsia" w:eastAsiaTheme="minorEastAsia"/>
                <w:szCs w:val="21"/>
              </w:rPr>
              <w:t>废包装袋</w:t>
            </w:r>
          </w:p>
        </w:tc>
        <w:tc>
          <w:tcPr>
            <w:tcW w:w="914" w:type="pct"/>
            <w:vAlign w:val="center"/>
          </w:tcPr>
          <w:p>
            <w:pPr>
              <w:jc w:val="center"/>
              <w:rPr>
                <w:szCs w:val="21"/>
              </w:rPr>
            </w:pPr>
            <w:r>
              <w:rPr>
                <w:szCs w:val="21"/>
              </w:rPr>
              <w:t>一般固废</w:t>
            </w:r>
          </w:p>
        </w:tc>
        <w:tc>
          <w:tcPr>
            <w:tcW w:w="664" w:type="pct"/>
            <w:vAlign w:val="center"/>
          </w:tcPr>
          <w:p>
            <w:pPr>
              <w:jc w:val="center"/>
              <w:rPr>
                <w:rFonts w:eastAsiaTheme="minorEastAsia"/>
                <w:szCs w:val="21"/>
              </w:rPr>
            </w:pPr>
            <w:r>
              <w:rPr>
                <w:rFonts w:hint="eastAsia" w:eastAsiaTheme="minorEastAsia"/>
                <w:szCs w:val="21"/>
              </w:rPr>
              <w:t>1.0</w:t>
            </w:r>
          </w:p>
        </w:tc>
        <w:tc>
          <w:tcPr>
            <w:tcW w:w="1679" w:type="pct"/>
            <w:vAlign w:val="center"/>
          </w:tcPr>
          <w:p>
            <w:pPr>
              <w:jc w:val="center"/>
              <w:rPr>
                <w:szCs w:val="21"/>
              </w:rPr>
            </w:pPr>
            <w:r>
              <w:rPr>
                <w:rFonts w:hint="eastAsia"/>
                <w:szCs w:val="21"/>
              </w:rPr>
              <w:t>外售废品回收站</w:t>
            </w:r>
          </w:p>
        </w:tc>
        <w:tc>
          <w:tcPr>
            <w:tcW w:w="515" w:type="pct"/>
            <w:vAlign w:val="center"/>
          </w:tcPr>
          <w:p>
            <w:pPr>
              <w:jc w:val="center"/>
              <w:rPr>
                <w:szCs w:val="21"/>
              </w:rPr>
            </w:pPr>
            <w:r>
              <w:rPr>
                <w:rFonts w:hint="eastAsia"/>
                <w:szCs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77" w:type="pct"/>
            <w:vAlign w:val="center"/>
          </w:tcPr>
          <w:p>
            <w:pPr>
              <w:jc w:val="center"/>
              <w:rPr>
                <w:rFonts w:eastAsiaTheme="minorEastAsia"/>
                <w:szCs w:val="21"/>
              </w:rPr>
            </w:pPr>
            <w:r>
              <w:rPr>
                <w:rFonts w:hint="eastAsia" w:eastAsiaTheme="minorEastAsia"/>
                <w:szCs w:val="21"/>
              </w:rPr>
              <w:t>4</w:t>
            </w:r>
          </w:p>
        </w:tc>
        <w:tc>
          <w:tcPr>
            <w:tcW w:w="748" w:type="pct"/>
            <w:vAlign w:val="center"/>
          </w:tcPr>
          <w:p>
            <w:pPr>
              <w:jc w:val="center"/>
              <w:rPr>
                <w:rFonts w:eastAsiaTheme="minorEastAsia"/>
                <w:szCs w:val="21"/>
              </w:rPr>
            </w:pPr>
            <w:r>
              <w:rPr>
                <w:rFonts w:eastAsiaTheme="minorEastAsia"/>
                <w:szCs w:val="21"/>
              </w:rPr>
              <w:t>不合格蛋</w:t>
            </w:r>
          </w:p>
        </w:tc>
        <w:tc>
          <w:tcPr>
            <w:tcW w:w="914" w:type="pct"/>
            <w:vAlign w:val="center"/>
          </w:tcPr>
          <w:p>
            <w:pPr>
              <w:jc w:val="center"/>
              <w:rPr>
                <w:szCs w:val="21"/>
              </w:rPr>
            </w:pPr>
            <w:r>
              <w:rPr>
                <w:szCs w:val="21"/>
              </w:rPr>
              <w:t>一般固废</w:t>
            </w:r>
          </w:p>
        </w:tc>
        <w:tc>
          <w:tcPr>
            <w:tcW w:w="664" w:type="pct"/>
            <w:vAlign w:val="center"/>
          </w:tcPr>
          <w:p>
            <w:pPr>
              <w:jc w:val="center"/>
              <w:rPr>
                <w:rFonts w:eastAsiaTheme="minorEastAsia"/>
                <w:szCs w:val="21"/>
              </w:rPr>
            </w:pPr>
            <w:r>
              <w:rPr>
                <w:rFonts w:hint="eastAsia" w:eastAsiaTheme="minorEastAsia"/>
                <w:szCs w:val="21"/>
              </w:rPr>
              <w:t>115.80</w:t>
            </w:r>
          </w:p>
        </w:tc>
        <w:tc>
          <w:tcPr>
            <w:tcW w:w="1679" w:type="pct"/>
            <w:vAlign w:val="center"/>
          </w:tcPr>
          <w:p>
            <w:pPr>
              <w:jc w:val="center"/>
              <w:rPr>
                <w:szCs w:val="21"/>
              </w:rPr>
            </w:pPr>
            <w:r>
              <w:rPr>
                <w:rFonts w:hint="eastAsia"/>
                <w:szCs w:val="21"/>
              </w:rPr>
              <w:t>用作企业自养甲鱼饲料</w:t>
            </w:r>
          </w:p>
        </w:tc>
        <w:tc>
          <w:tcPr>
            <w:tcW w:w="515" w:type="pct"/>
            <w:vAlign w:val="center"/>
          </w:tcPr>
          <w:p>
            <w:pPr>
              <w:jc w:val="center"/>
              <w:rPr>
                <w:szCs w:val="21"/>
              </w:rPr>
            </w:pPr>
            <w:r>
              <w:rPr>
                <w:rFonts w:hint="eastAsia"/>
                <w:szCs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77" w:type="pct"/>
            <w:vAlign w:val="center"/>
          </w:tcPr>
          <w:p>
            <w:pPr>
              <w:jc w:val="center"/>
              <w:rPr>
                <w:rFonts w:eastAsiaTheme="minorEastAsia"/>
                <w:szCs w:val="21"/>
              </w:rPr>
            </w:pPr>
            <w:r>
              <w:rPr>
                <w:rFonts w:hint="eastAsia" w:eastAsiaTheme="minorEastAsia"/>
                <w:szCs w:val="21"/>
              </w:rPr>
              <w:t>5</w:t>
            </w:r>
          </w:p>
        </w:tc>
        <w:tc>
          <w:tcPr>
            <w:tcW w:w="748" w:type="pct"/>
            <w:vAlign w:val="center"/>
          </w:tcPr>
          <w:p>
            <w:pPr>
              <w:jc w:val="center"/>
              <w:rPr>
                <w:rFonts w:eastAsiaTheme="minorEastAsia"/>
                <w:szCs w:val="21"/>
              </w:rPr>
            </w:pPr>
            <w:r>
              <w:rPr>
                <w:rFonts w:hint="eastAsia" w:eastAsiaTheme="minorEastAsia"/>
                <w:szCs w:val="21"/>
              </w:rPr>
              <w:t>饲料渣和脱落的羽毛</w:t>
            </w:r>
          </w:p>
        </w:tc>
        <w:tc>
          <w:tcPr>
            <w:tcW w:w="914" w:type="pct"/>
            <w:vAlign w:val="center"/>
          </w:tcPr>
          <w:p>
            <w:pPr>
              <w:jc w:val="center"/>
              <w:rPr>
                <w:szCs w:val="21"/>
              </w:rPr>
            </w:pPr>
            <w:r>
              <w:rPr>
                <w:szCs w:val="21"/>
              </w:rPr>
              <w:t>一般固废</w:t>
            </w:r>
          </w:p>
        </w:tc>
        <w:tc>
          <w:tcPr>
            <w:tcW w:w="664" w:type="pct"/>
            <w:vAlign w:val="center"/>
          </w:tcPr>
          <w:p>
            <w:pPr>
              <w:jc w:val="center"/>
              <w:rPr>
                <w:rFonts w:eastAsiaTheme="minorEastAsia"/>
                <w:szCs w:val="21"/>
              </w:rPr>
            </w:pPr>
            <w:r>
              <w:rPr>
                <w:rFonts w:hint="eastAsia" w:eastAsiaTheme="minorEastAsia"/>
                <w:szCs w:val="21"/>
              </w:rPr>
              <w:t>3.285</w:t>
            </w:r>
          </w:p>
        </w:tc>
        <w:tc>
          <w:tcPr>
            <w:tcW w:w="1679" w:type="pct"/>
            <w:vAlign w:val="center"/>
          </w:tcPr>
          <w:p>
            <w:pPr>
              <w:jc w:val="center"/>
              <w:rPr>
                <w:szCs w:val="21"/>
              </w:rPr>
            </w:pPr>
            <w:r>
              <w:rPr>
                <w:rFonts w:hint="eastAsia"/>
                <w:szCs w:val="21"/>
              </w:rPr>
              <w:t>经收集后交由当地环卫部门处理</w:t>
            </w:r>
          </w:p>
        </w:tc>
        <w:tc>
          <w:tcPr>
            <w:tcW w:w="515" w:type="pct"/>
            <w:vAlign w:val="center"/>
          </w:tcPr>
          <w:p>
            <w:pPr>
              <w:jc w:val="center"/>
              <w:rPr>
                <w:szCs w:val="21"/>
              </w:rPr>
            </w:pPr>
            <w:r>
              <w:rPr>
                <w:rFonts w:hint="eastAsia"/>
                <w:szCs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77" w:type="pct"/>
            <w:vAlign w:val="center"/>
          </w:tcPr>
          <w:p>
            <w:pPr>
              <w:jc w:val="center"/>
              <w:rPr>
                <w:rFonts w:eastAsiaTheme="minorEastAsia"/>
                <w:szCs w:val="21"/>
              </w:rPr>
            </w:pPr>
            <w:r>
              <w:rPr>
                <w:rFonts w:hint="eastAsia" w:eastAsiaTheme="minorEastAsia"/>
                <w:szCs w:val="21"/>
              </w:rPr>
              <w:t>6</w:t>
            </w:r>
          </w:p>
        </w:tc>
        <w:tc>
          <w:tcPr>
            <w:tcW w:w="748" w:type="pct"/>
            <w:vAlign w:val="center"/>
          </w:tcPr>
          <w:p>
            <w:pPr>
              <w:jc w:val="center"/>
              <w:rPr>
                <w:rFonts w:eastAsiaTheme="minorEastAsia"/>
                <w:szCs w:val="21"/>
              </w:rPr>
            </w:pPr>
            <w:r>
              <w:rPr>
                <w:rFonts w:hAnsiTheme="minorEastAsia" w:eastAsiaTheme="minorEastAsia"/>
                <w:szCs w:val="21"/>
              </w:rPr>
              <w:t>医疗废物</w:t>
            </w:r>
          </w:p>
        </w:tc>
        <w:tc>
          <w:tcPr>
            <w:tcW w:w="914" w:type="pct"/>
            <w:vAlign w:val="center"/>
          </w:tcPr>
          <w:p>
            <w:pPr>
              <w:jc w:val="center"/>
              <w:rPr>
                <w:szCs w:val="21"/>
              </w:rPr>
            </w:pPr>
            <w:r>
              <w:rPr>
                <w:szCs w:val="21"/>
              </w:rPr>
              <w:t>危险废物</w:t>
            </w:r>
          </w:p>
        </w:tc>
        <w:tc>
          <w:tcPr>
            <w:tcW w:w="664" w:type="pct"/>
            <w:vAlign w:val="center"/>
          </w:tcPr>
          <w:p>
            <w:pPr>
              <w:jc w:val="center"/>
              <w:rPr>
                <w:rFonts w:eastAsiaTheme="minorEastAsia"/>
                <w:szCs w:val="21"/>
              </w:rPr>
            </w:pPr>
            <w:r>
              <w:rPr>
                <w:rFonts w:eastAsiaTheme="minorEastAsia"/>
                <w:szCs w:val="21"/>
              </w:rPr>
              <w:t>0.2</w:t>
            </w:r>
          </w:p>
        </w:tc>
        <w:tc>
          <w:tcPr>
            <w:tcW w:w="1679" w:type="pct"/>
            <w:vAlign w:val="center"/>
          </w:tcPr>
          <w:p>
            <w:pPr>
              <w:jc w:val="center"/>
              <w:rPr>
                <w:szCs w:val="21"/>
              </w:rPr>
            </w:pPr>
            <w:r>
              <w:rPr>
                <w:rFonts w:hint="eastAsia"/>
                <w:szCs w:val="21"/>
              </w:rPr>
              <w:t>委托有处理资质的单位代为处置</w:t>
            </w:r>
          </w:p>
        </w:tc>
        <w:tc>
          <w:tcPr>
            <w:tcW w:w="515" w:type="pct"/>
            <w:vAlign w:val="center"/>
          </w:tcPr>
          <w:p>
            <w:pPr>
              <w:jc w:val="center"/>
              <w:rPr>
                <w:szCs w:val="21"/>
              </w:rPr>
            </w:pPr>
            <w:r>
              <w:rPr>
                <w:rFonts w:hint="eastAsia"/>
                <w:szCs w:val="21"/>
              </w:rPr>
              <w:t>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397" w:hRule="atLeast"/>
          <w:jc w:val="center"/>
        </w:trPr>
        <w:tc>
          <w:tcPr>
            <w:tcW w:w="477" w:type="pct"/>
            <w:vAlign w:val="center"/>
          </w:tcPr>
          <w:p>
            <w:pPr>
              <w:jc w:val="center"/>
              <w:rPr>
                <w:rFonts w:eastAsiaTheme="minorEastAsia"/>
                <w:szCs w:val="21"/>
              </w:rPr>
            </w:pPr>
            <w:r>
              <w:rPr>
                <w:rFonts w:hint="eastAsia" w:eastAsiaTheme="minorEastAsia"/>
                <w:szCs w:val="21"/>
              </w:rPr>
              <w:t>7</w:t>
            </w:r>
          </w:p>
        </w:tc>
        <w:tc>
          <w:tcPr>
            <w:tcW w:w="748" w:type="pct"/>
            <w:vAlign w:val="center"/>
          </w:tcPr>
          <w:p>
            <w:pPr>
              <w:jc w:val="center"/>
              <w:rPr>
                <w:rFonts w:eastAsiaTheme="minorEastAsia"/>
                <w:szCs w:val="21"/>
              </w:rPr>
            </w:pPr>
            <w:r>
              <w:rPr>
                <w:rFonts w:hAnsiTheme="minorEastAsia" w:eastAsiaTheme="minorEastAsia"/>
                <w:szCs w:val="21"/>
              </w:rPr>
              <w:t>生活垃圾</w:t>
            </w:r>
          </w:p>
        </w:tc>
        <w:tc>
          <w:tcPr>
            <w:tcW w:w="914" w:type="pct"/>
            <w:vAlign w:val="center"/>
          </w:tcPr>
          <w:p>
            <w:pPr>
              <w:jc w:val="center"/>
              <w:rPr>
                <w:szCs w:val="21"/>
              </w:rPr>
            </w:pPr>
            <w:r>
              <w:rPr>
                <w:szCs w:val="21"/>
              </w:rPr>
              <w:t>生活垃圾</w:t>
            </w:r>
          </w:p>
        </w:tc>
        <w:tc>
          <w:tcPr>
            <w:tcW w:w="664" w:type="pct"/>
            <w:vAlign w:val="center"/>
          </w:tcPr>
          <w:p>
            <w:pPr>
              <w:jc w:val="center"/>
              <w:rPr>
                <w:szCs w:val="21"/>
              </w:rPr>
            </w:pPr>
            <w:r>
              <w:rPr>
                <w:rFonts w:hint="eastAsia"/>
                <w:szCs w:val="21"/>
              </w:rPr>
              <w:t>14.6</w:t>
            </w:r>
          </w:p>
        </w:tc>
        <w:tc>
          <w:tcPr>
            <w:tcW w:w="1679" w:type="pct"/>
            <w:vAlign w:val="center"/>
          </w:tcPr>
          <w:p>
            <w:pPr>
              <w:jc w:val="center"/>
              <w:rPr>
                <w:szCs w:val="21"/>
              </w:rPr>
            </w:pPr>
            <w:r>
              <w:rPr>
                <w:rFonts w:hint="eastAsia"/>
                <w:sz w:val="21"/>
                <w:szCs w:val="21"/>
              </w:rPr>
              <w:t>集中收集后委托当地环卫部门清运处理</w:t>
            </w:r>
          </w:p>
        </w:tc>
        <w:tc>
          <w:tcPr>
            <w:tcW w:w="515" w:type="pct"/>
            <w:vAlign w:val="center"/>
          </w:tcPr>
          <w:p>
            <w:pPr>
              <w:jc w:val="center"/>
              <w:rPr>
                <w:szCs w:val="21"/>
              </w:rPr>
            </w:pPr>
            <w:r>
              <w:rPr>
                <w:rFonts w:hint="eastAsia"/>
                <w:szCs w:val="21"/>
              </w:rPr>
              <w:t>0</w:t>
            </w:r>
          </w:p>
        </w:tc>
      </w:tr>
    </w:tbl>
    <w:p>
      <w:pPr>
        <w:spacing w:line="360" w:lineRule="auto"/>
        <w:ind w:firstLine="482" w:firstLineChars="200"/>
        <w:rPr>
          <w:rFonts w:hAnsiTheme="majorEastAsia" w:eastAsiaTheme="majorEastAsia"/>
          <w:b/>
          <w:kern w:val="0"/>
          <w:sz w:val="24"/>
        </w:rPr>
      </w:pPr>
      <w:r>
        <w:rPr>
          <w:rFonts w:hint="eastAsia" w:hAnsiTheme="majorEastAsia" w:eastAsiaTheme="majorEastAsia"/>
          <w:b/>
          <w:kern w:val="0"/>
          <w:sz w:val="24"/>
        </w:rPr>
        <w:t>2、固体废弃物环境影响分析</w:t>
      </w:r>
    </w:p>
    <w:p>
      <w:pPr>
        <w:spacing w:line="360" w:lineRule="auto"/>
        <w:ind w:firstLine="480" w:firstLineChars="200"/>
        <w:rPr>
          <w:rFonts w:hAnsiTheme="majorEastAsia" w:eastAsiaTheme="majorEastAsia"/>
          <w:kern w:val="0"/>
          <w:sz w:val="24"/>
        </w:rPr>
      </w:pPr>
      <w:r>
        <w:rPr>
          <w:rFonts w:hint="eastAsia" w:hAnsiTheme="majorEastAsia" w:eastAsiaTheme="majorEastAsia"/>
          <w:kern w:val="0"/>
          <w:sz w:val="24"/>
        </w:rPr>
        <w:t>（1）固废废物贮存场所环境影响分析</w:t>
      </w:r>
    </w:p>
    <w:p>
      <w:pPr>
        <w:spacing w:line="360" w:lineRule="auto"/>
        <w:ind w:firstLine="480" w:firstLineChars="200"/>
        <w:rPr>
          <w:rFonts w:hAnsiTheme="majorEastAsia" w:eastAsiaTheme="majorEastAsia"/>
          <w:kern w:val="0"/>
          <w:sz w:val="24"/>
        </w:rPr>
      </w:pPr>
      <w:r>
        <w:rPr>
          <w:rFonts w:hint="eastAsia" w:hAnsiTheme="majorEastAsia" w:eastAsiaTheme="majorEastAsia"/>
          <w:kern w:val="0"/>
          <w:sz w:val="24"/>
        </w:rPr>
        <w:t>①本项目一般固废暂存区和危险废物暂存区按《一般工业固体废物贮存、处置场污染控制标准》（GB18599-2001）及修改单（环保部2013年第36号公告）、《危险废物贮存污染控制标准》（GB18597-20</w:t>
      </w:r>
      <w:r>
        <w:rPr>
          <w:rFonts w:hint="eastAsia" w:hAnsiTheme="majorEastAsia" w:eastAsiaTheme="majorEastAsia"/>
          <w:kern w:val="0"/>
          <w:sz w:val="24"/>
          <w:lang w:val="en-US" w:eastAsia="zh-CN"/>
        </w:rPr>
        <w:t>23</w:t>
      </w:r>
      <w:r>
        <w:rPr>
          <w:rFonts w:hint="eastAsia" w:hAnsiTheme="majorEastAsia" w:eastAsiaTheme="majorEastAsia"/>
          <w:kern w:val="0"/>
          <w:sz w:val="24"/>
        </w:rPr>
        <w:t>）的要求规范建设和维护使用，采取防雨、防风、防渗、防漏等措施，防止废液泄漏而污染到土壤甚至地下水。</w:t>
      </w:r>
    </w:p>
    <w:p>
      <w:pPr>
        <w:spacing w:line="360" w:lineRule="auto"/>
        <w:ind w:firstLine="480" w:firstLineChars="200"/>
        <w:rPr>
          <w:rFonts w:hAnsiTheme="majorEastAsia" w:eastAsiaTheme="majorEastAsia"/>
          <w:kern w:val="0"/>
          <w:sz w:val="24"/>
        </w:rPr>
      </w:pPr>
      <w:r>
        <w:rPr>
          <w:rFonts w:hint="eastAsia" w:hAnsiTheme="majorEastAsia" w:eastAsiaTheme="majorEastAsia"/>
          <w:kern w:val="0"/>
          <w:sz w:val="24"/>
        </w:rPr>
        <w:t>②本项目设有危废暂存库1</w:t>
      </w:r>
      <w:r>
        <w:rPr>
          <w:rFonts w:hAnsiTheme="majorEastAsia" w:eastAsiaTheme="majorEastAsia"/>
          <w:kern w:val="0"/>
          <w:sz w:val="24"/>
        </w:rPr>
        <w:t>0m</w:t>
      </w:r>
      <w:r>
        <w:rPr>
          <w:rFonts w:hAnsiTheme="majorEastAsia" w:eastAsiaTheme="majorEastAsia"/>
          <w:kern w:val="0"/>
          <w:sz w:val="24"/>
          <w:vertAlign w:val="superscript"/>
        </w:rPr>
        <w:t>2</w:t>
      </w:r>
      <w:r>
        <w:rPr>
          <w:rFonts w:hint="eastAsia" w:hAnsiTheme="majorEastAsia" w:eastAsiaTheme="majorEastAsia"/>
          <w:kern w:val="0"/>
          <w:sz w:val="24"/>
        </w:rPr>
        <w:t>，位于宿舍楼一楼。</w:t>
      </w:r>
    </w:p>
    <w:p>
      <w:pPr>
        <w:spacing w:line="360" w:lineRule="auto"/>
        <w:ind w:firstLine="480" w:firstLineChars="200"/>
        <w:rPr>
          <w:rFonts w:hAnsiTheme="majorEastAsia" w:eastAsiaTheme="majorEastAsia"/>
          <w:kern w:val="0"/>
          <w:sz w:val="24"/>
        </w:rPr>
      </w:pPr>
      <w:r>
        <w:rPr>
          <w:rFonts w:hint="eastAsia" w:hAnsiTheme="majorEastAsia" w:eastAsiaTheme="majorEastAsia"/>
          <w:kern w:val="0"/>
          <w:sz w:val="24"/>
        </w:rPr>
        <w:t>本项目危险废物暂存周期为6个月，则暂存量为0.1t，本项目设置的10m</w:t>
      </w:r>
      <w:r>
        <w:rPr>
          <w:rFonts w:hint="eastAsia" w:hAnsiTheme="majorEastAsia" w:eastAsiaTheme="majorEastAsia"/>
          <w:kern w:val="0"/>
          <w:sz w:val="24"/>
          <w:vertAlign w:val="superscript"/>
        </w:rPr>
        <w:t>2</w:t>
      </w:r>
      <w:r>
        <w:rPr>
          <w:rFonts w:hint="eastAsia" w:hAnsiTheme="majorEastAsia" w:eastAsiaTheme="majorEastAsia"/>
          <w:kern w:val="0"/>
          <w:sz w:val="24"/>
        </w:rPr>
        <w:t>危废暂存库，可容纳1t的废物，满足危险废物暂存的需求</w:t>
      </w:r>
    </w:p>
    <w:p>
      <w:pPr>
        <w:spacing w:line="360" w:lineRule="auto"/>
        <w:ind w:firstLine="480" w:firstLineChars="200"/>
        <w:rPr>
          <w:rFonts w:hAnsiTheme="majorEastAsia" w:eastAsiaTheme="majorEastAsia"/>
          <w:kern w:val="0"/>
          <w:sz w:val="24"/>
        </w:rPr>
      </w:pPr>
      <w:r>
        <w:rPr>
          <w:rFonts w:hint="eastAsia" w:hAnsiTheme="majorEastAsia" w:eastAsiaTheme="majorEastAsia"/>
          <w:kern w:val="0"/>
          <w:sz w:val="24"/>
        </w:rPr>
        <w:t>③本项目产生的固体废物分类收集、分类贮存，不将危险废物与一般固废混合贮存，危险废物与一般固废分开贮存，避免互相污染，甚至造成环境二次污染。</w:t>
      </w:r>
    </w:p>
    <w:p>
      <w:pPr>
        <w:spacing w:line="360" w:lineRule="auto"/>
        <w:ind w:firstLine="480" w:firstLineChars="200"/>
        <w:rPr>
          <w:rFonts w:hAnsiTheme="majorEastAsia" w:eastAsiaTheme="majorEastAsia"/>
          <w:kern w:val="0"/>
          <w:sz w:val="24"/>
        </w:rPr>
      </w:pPr>
      <w:r>
        <w:rPr>
          <w:rFonts w:hint="eastAsia" w:hAnsiTheme="majorEastAsia" w:eastAsiaTheme="majorEastAsia"/>
          <w:kern w:val="0"/>
          <w:sz w:val="24"/>
        </w:rPr>
        <w:t>（</w:t>
      </w:r>
      <w:r>
        <w:rPr>
          <w:rFonts w:hAnsiTheme="majorEastAsia" w:eastAsiaTheme="majorEastAsia"/>
          <w:kern w:val="0"/>
          <w:sz w:val="24"/>
        </w:rPr>
        <w:t>2</w:t>
      </w:r>
      <w:r>
        <w:rPr>
          <w:rFonts w:hint="eastAsia" w:hAnsiTheme="majorEastAsia" w:eastAsiaTheme="majorEastAsia"/>
          <w:kern w:val="0"/>
          <w:sz w:val="24"/>
        </w:rPr>
        <w:t>）运输过程环境影响分析</w:t>
      </w:r>
    </w:p>
    <w:p>
      <w:pPr>
        <w:spacing w:line="360" w:lineRule="auto"/>
        <w:ind w:firstLine="480" w:firstLineChars="200"/>
        <w:rPr>
          <w:rFonts w:hAnsiTheme="majorEastAsia" w:eastAsiaTheme="majorEastAsia"/>
          <w:kern w:val="0"/>
          <w:sz w:val="24"/>
        </w:rPr>
      </w:pPr>
      <w:r>
        <w:rPr>
          <w:rFonts w:hint="eastAsia" w:hAnsiTheme="majorEastAsia" w:eastAsiaTheme="majorEastAsia"/>
          <w:kern w:val="0"/>
          <w:sz w:val="24"/>
        </w:rPr>
        <w:t>本项目产生的固体废物的包装、运输过程中严格管理，事前检查包装是否完好、是否存在发生跑冒滴漏的潜在风险。医疗废物袋装后贮存于危废暂存库；生活垃圾袋装收集并暂存于厂内垃圾间内。</w:t>
      </w:r>
    </w:p>
    <w:p>
      <w:pPr>
        <w:spacing w:line="360" w:lineRule="auto"/>
        <w:ind w:firstLine="480" w:firstLineChars="200"/>
        <w:rPr>
          <w:rFonts w:hAnsiTheme="majorEastAsia" w:eastAsiaTheme="majorEastAsia"/>
          <w:kern w:val="0"/>
          <w:sz w:val="24"/>
        </w:rPr>
      </w:pPr>
      <w:r>
        <w:rPr>
          <w:rFonts w:hint="eastAsia" w:hAnsiTheme="majorEastAsia" w:eastAsiaTheme="majorEastAsia"/>
          <w:kern w:val="0"/>
          <w:sz w:val="24"/>
        </w:rPr>
        <w:t>本项目产生的危险废物的外运处置由相应的协议资质单位负责运输环节。运输过程中安全管理和处置均由相关资质单位统一负责，运输车辆、驾驶员、押运人员等危险废物运输人员均由相关资质单位统一委派。避免运输中有洒落、泄漏，若处理不当，会造成大气环境污染并危害到土壤甚至地下水。</w:t>
      </w:r>
    </w:p>
    <w:p>
      <w:pPr>
        <w:spacing w:line="360" w:lineRule="auto"/>
        <w:ind w:firstLine="480" w:firstLineChars="200"/>
        <w:rPr>
          <w:rFonts w:hAnsiTheme="majorEastAsia" w:eastAsiaTheme="majorEastAsia"/>
          <w:kern w:val="0"/>
          <w:sz w:val="24"/>
        </w:rPr>
      </w:pPr>
      <w:r>
        <w:rPr>
          <w:rFonts w:hint="eastAsia" w:hAnsiTheme="majorEastAsia" w:eastAsiaTheme="majorEastAsia"/>
          <w:kern w:val="0"/>
          <w:sz w:val="24"/>
        </w:rPr>
        <w:t>（</w:t>
      </w:r>
      <w:r>
        <w:rPr>
          <w:rFonts w:hAnsiTheme="majorEastAsia" w:eastAsiaTheme="majorEastAsia"/>
          <w:kern w:val="0"/>
          <w:sz w:val="24"/>
        </w:rPr>
        <w:t>3</w:t>
      </w:r>
      <w:r>
        <w:rPr>
          <w:rFonts w:hint="eastAsia" w:hAnsiTheme="majorEastAsia" w:eastAsiaTheme="majorEastAsia"/>
          <w:kern w:val="0"/>
          <w:sz w:val="24"/>
        </w:rPr>
        <w:t>）委托处置可行性影响分析</w:t>
      </w:r>
    </w:p>
    <w:p>
      <w:pPr>
        <w:spacing w:line="360" w:lineRule="auto"/>
        <w:ind w:firstLine="480" w:firstLineChars="200"/>
        <w:rPr>
          <w:rFonts w:hAnsiTheme="majorEastAsia" w:eastAsiaTheme="majorEastAsia"/>
          <w:kern w:val="0"/>
          <w:sz w:val="24"/>
        </w:rPr>
      </w:pPr>
      <w:r>
        <w:rPr>
          <w:rFonts w:hint="eastAsia" w:hAnsiTheme="majorEastAsia" w:eastAsiaTheme="majorEastAsia"/>
          <w:kern w:val="0"/>
          <w:sz w:val="24"/>
        </w:rPr>
        <w:t>本项目危险废物为医疗废物，危废类别为HW01，建设单位尚未暂未委托利用或者处置单位，本次评价根据衡阳市区域内危险废物处置单位的分布情况、处置能力、资质类别等，给出建设项目产生危险废物的委托利用或处置途径建议。</w:t>
      </w:r>
    </w:p>
    <w:p>
      <w:pPr>
        <w:spacing w:line="360" w:lineRule="auto"/>
        <w:ind w:firstLine="480" w:firstLineChars="200"/>
        <w:rPr>
          <w:rFonts w:hAnsiTheme="majorEastAsia" w:eastAsiaTheme="majorEastAsia"/>
          <w:kern w:val="0"/>
          <w:sz w:val="24"/>
        </w:rPr>
      </w:pPr>
      <w:r>
        <w:rPr>
          <w:rFonts w:hint="eastAsia" w:hAnsiTheme="majorEastAsia" w:eastAsiaTheme="majorEastAsia"/>
          <w:kern w:val="0"/>
          <w:sz w:val="24"/>
        </w:rPr>
        <w:t>根据调查，衡阳市区域内具有多家危险废物处置单位，其中具备HW01类别处置资质的有湖南衡兴环保科技开发有限公司</w:t>
      </w:r>
      <w:r>
        <w:rPr>
          <w:rFonts w:hAnsiTheme="majorEastAsia" w:eastAsiaTheme="majorEastAsia"/>
          <w:kern w:val="0"/>
          <w:sz w:val="24"/>
        </w:rPr>
        <w:t>。</w:t>
      </w:r>
    </w:p>
    <w:p>
      <w:pPr>
        <w:spacing w:line="360" w:lineRule="auto"/>
        <w:ind w:firstLine="480" w:firstLineChars="200"/>
        <w:rPr>
          <w:rFonts w:hAnsiTheme="majorEastAsia" w:eastAsiaTheme="majorEastAsia"/>
          <w:kern w:val="0"/>
          <w:sz w:val="24"/>
        </w:rPr>
      </w:pPr>
      <w:r>
        <w:rPr>
          <w:rFonts w:hint="eastAsia" w:hAnsiTheme="majorEastAsia" w:eastAsiaTheme="majorEastAsia"/>
          <w:kern w:val="0"/>
          <w:sz w:val="24"/>
        </w:rPr>
        <w:t>湖南衡兴环保科技开发有限公司位于衡阳市衡南县，是湖南省集焚烧、填埋、物化、高温蒸煮的大型现代化工业危废和医废专业处理机构，可处置危险废物类别有：医疗废物HW01（831-001-01 831-002-01 831-003-01 831-004-01 831-005-01 900-001-01）；医疗废物HW02；废药物药品HW03；农药废物HW04；木材防腐剂废物HW05；废有机溶剂及含有机溶剂废物HW06；热处理含氰废物HW07；废矿物油和含矿物油废物HW08；油</w:t>
      </w:r>
      <w:r>
        <w:rPr>
          <w:rFonts w:hAnsiTheme="majorEastAsia" w:eastAsiaTheme="majorEastAsia"/>
          <w:kern w:val="0"/>
          <w:sz w:val="24"/>
        </w:rPr>
        <w:t>/</w:t>
      </w:r>
      <w:r>
        <w:rPr>
          <w:rFonts w:hint="eastAsia" w:hAnsiTheme="majorEastAsia" w:eastAsiaTheme="majorEastAsia"/>
          <w:kern w:val="0"/>
          <w:sz w:val="24"/>
        </w:rPr>
        <w:t>水、烃</w:t>
      </w:r>
      <w:r>
        <w:rPr>
          <w:rFonts w:hAnsiTheme="majorEastAsia" w:eastAsiaTheme="majorEastAsia"/>
          <w:kern w:val="0"/>
          <w:sz w:val="24"/>
        </w:rPr>
        <w:t>/</w:t>
      </w:r>
      <w:r>
        <w:rPr>
          <w:rFonts w:hint="eastAsia" w:hAnsiTheme="majorEastAsia" w:eastAsiaTheme="majorEastAsia"/>
          <w:kern w:val="0"/>
          <w:sz w:val="24"/>
        </w:rPr>
        <w:t>水混合物或乳化液HW09；精（蒸）馏残渣HW11；染料、涂料废料HW12；有机树脂类废物HW13、新化学物质废物HW14、感光材料废物HW16、表面处理废物HW17； HW18；HW19；HW21；HW22；HW23；HW24；HW25；HW26；HW27；HW28；HW31；HW32； HW33；HW34；HW35；HW36；HW37；HW38；HW39；HW40；HW45；HW46；HW47；HW48；HW49；HW50。</w:t>
      </w:r>
    </w:p>
    <w:p>
      <w:pPr>
        <w:overflowPunct w:val="0"/>
        <w:adjustRightInd w:val="0"/>
        <w:snapToGrid w:val="0"/>
        <w:spacing w:line="360" w:lineRule="auto"/>
        <w:ind w:firstLine="480" w:firstLineChars="200"/>
        <w:rPr>
          <w:kern w:val="0"/>
          <w:sz w:val="24"/>
          <w:szCs w:val="22"/>
          <w:lang w:bidi="en-US"/>
        </w:rPr>
      </w:pPr>
      <w:r>
        <w:rPr>
          <w:rFonts w:hint="eastAsia"/>
          <w:kern w:val="0"/>
          <w:sz w:val="24"/>
          <w:szCs w:val="22"/>
          <w:lang w:bidi="en-US"/>
        </w:rPr>
        <w:t>湖南衡兴环保科技开发有限公司医疗废物处置方式为高温蒸煮，经营规模为16t/d，本项目医疗废物产生量为</w:t>
      </w:r>
      <w:r>
        <w:rPr>
          <w:kern w:val="0"/>
          <w:sz w:val="24"/>
          <w:szCs w:val="22"/>
          <w:lang w:bidi="en-US"/>
        </w:rPr>
        <w:t>0.2t/a</w:t>
      </w:r>
      <w:r>
        <w:rPr>
          <w:rFonts w:hint="eastAsia"/>
          <w:kern w:val="0"/>
          <w:sz w:val="24"/>
          <w:szCs w:val="22"/>
          <w:lang w:bidi="en-US"/>
        </w:rPr>
        <w:t>，产生量较小，湖南衡兴环保科技开发有限公司完全有能力处理本项目产生危险废物。</w:t>
      </w:r>
    </w:p>
    <w:p>
      <w:pPr>
        <w:overflowPunct w:val="0"/>
        <w:adjustRightInd w:val="0"/>
        <w:snapToGrid w:val="0"/>
        <w:spacing w:line="360" w:lineRule="auto"/>
        <w:ind w:firstLine="480" w:firstLineChars="200"/>
        <w:rPr>
          <w:kern w:val="0"/>
          <w:sz w:val="24"/>
          <w:szCs w:val="22"/>
          <w:lang w:bidi="en-US"/>
        </w:rPr>
      </w:pPr>
      <w:r>
        <w:rPr>
          <w:rFonts w:hint="eastAsia"/>
          <w:kern w:val="0"/>
          <w:sz w:val="24"/>
          <w:szCs w:val="22"/>
          <w:lang w:bidi="en-US"/>
        </w:rPr>
        <w:t>因此，建设单位可与湖南衡兴环保科技开发有限公司签订危废处理协议，保证本项目危险废物得到合理处理处置。</w:t>
      </w:r>
    </w:p>
    <w:p>
      <w:pPr>
        <w:overflowPunct w:val="0"/>
        <w:adjustRightInd w:val="0"/>
        <w:snapToGrid w:val="0"/>
        <w:spacing w:line="360" w:lineRule="auto"/>
        <w:ind w:firstLine="480" w:firstLineChars="200"/>
        <w:rPr>
          <w:kern w:val="0"/>
          <w:sz w:val="24"/>
          <w:szCs w:val="22"/>
          <w:lang w:bidi="en-US"/>
        </w:rPr>
      </w:pPr>
      <w:r>
        <w:rPr>
          <w:rFonts w:hint="eastAsia"/>
          <w:kern w:val="0"/>
          <w:sz w:val="24"/>
          <w:szCs w:val="22"/>
          <w:lang w:bidi="en-US"/>
        </w:rPr>
        <w:t>综上所述，在建设单位委托合适的危废处置单位前提下，项目所产生的所有固体废弃物均得到合理处理处置，实现零排放，对周围环境不会产生二次污染。</w:t>
      </w:r>
    </w:p>
    <w:p>
      <w:pPr>
        <w:pStyle w:val="7"/>
        <w:adjustRightInd w:val="0"/>
        <w:snapToGrid w:val="0"/>
        <w:spacing w:before="0" w:after="0" w:line="360" w:lineRule="auto"/>
        <w:jc w:val="left"/>
        <w:rPr>
          <w:sz w:val="24"/>
          <w:szCs w:val="24"/>
        </w:rPr>
      </w:pPr>
      <w:r>
        <w:rPr>
          <w:sz w:val="24"/>
          <w:szCs w:val="24"/>
        </w:rPr>
        <w:t>6.2.6 土壤环境影响分析</w:t>
      </w:r>
    </w:p>
    <w:p>
      <w:pPr>
        <w:overflowPunct w:val="0"/>
        <w:adjustRightInd w:val="0"/>
        <w:snapToGrid w:val="0"/>
        <w:spacing w:line="360" w:lineRule="auto"/>
        <w:ind w:firstLine="480" w:firstLineChars="200"/>
        <w:rPr>
          <w:kern w:val="0"/>
          <w:sz w:val="24"/>
          <w:szCs w:val="22"/>
          <w:lang w:bidi="en-US"/>
        </w:rPr>
      </w:pPr>
      <w:r>
        <w:rPr>
          <w:rFonts w:hint="eastAsia"/>
          <w:kern w:val="0"/>
          <w:sz w:val="24"/>
          <w:szCs w:val="22"/>
          <w:lang w:bidi="en-US"/>
        </w:rPr>
        <w:t>对植被及动物的影响分析：项目所在地周围以农业生态环境、农田为主，建成后植被、植物种类和群落分布以及动物区系的基本组成和性质不会发生变化，主要原因如下：</w:t>
      </w:r>
    </w:p>
    <w:p>
      <w:pPr>
        <w:overflowPunct w:val="0"/>
        <w:adjustRightInd w:val="0"/>
        <w:snapToGrid w:val="0"/>
        <w:spacing w:line="360" w:lineRule="auto"/>
        <w:ind w:firstLine="480" w:firstLineChars="200"/>
        <w:rPr>
          <w:kern w:val="0"/>
          <w:sz w:val="24"/>
          <w:szCs w:val="22"/>
          <w:lang w:bidi="en-US"/>
        </w:rPr>
      </w:pPr>
      <w:r>
        <w:rPr>
          <w:rFonts w:hint="eastAsia"/>
          <w:kern w:val="0"/>
          <w:sz w:val="24"/>
          <w:szCs w:val="22"/>
          <w:lang w:bidi="en-US"/>
        </w:rPr>
        <w:t>（1）评价区主要生态过程过去、现在和将来都将以人为控制为主。自然植被、村庄、农田、经济林和保护林等景观格局也不会发生明显改变。</w:t>
      </w:r>
    </w:p>
    <w:p>
      <w:pPr>
        <w:overflowPunct w:val="0"/>
        <w:adjustRightInd w:val="0"/>
        <w:snapToGrid w:val="0"/>
        <w:spacing w:line="360" w:lineRule="auto"/>
        <w:ind w:firstLine="480" w:firstLineChars="200"/>
        <w:rPr>
          <w:kern w:val="0"/>
          <w:sz w:val="24"/>
          <w:szCs w:val="22"/>
          <w:lang w:bidi="en-US"/>
        </w:rPr>
      </w:pPr>
      <w:r>
        <w:rPr>
          <w:rFonts w:hint="eastAsia"/>
          <w:kern w:val="0"/>
          <w:sz w:val="24"/>
          <w:szCs w:val="22"/>
          <w:lang w:bidi="en-US"/>
        </w:rPr>
        <w:t>（2）运营期外排废气等各项污染物的排放在严格的控制措施下，排放浓度达到了相应标准限值的要求。</w:t>
      </w:r>
    </w:p>
    <w:p>
      <w:pPr>
        <w:overflowPunct w:val="0"/>
        <w:adjustRightInd w:val="0"/>
        <w:snapToGrid w:val="0"/>
        <w:spacing w:line="360" w:lineRule="auto"/>
        <w:ind w:firstLine="480" w:firstLineChars="200"/>
        <w:rPr>
          <w:kern w:val="0"/>
          <w:sz w:val="24"/>
          <w:szCs w:val="22"/>
          <w:lang w:bidi="en-US"/>
        </w:rPr>
      </w:pPr>
      <w:r>
        <w:rPr>
          <w:rFonts w:hint="eastAsia"/>
          <w:kern w:val="0"/>
          <w:sz w:val="24"/>
          <w:szCs w:val="22"/>
          <w:lang w:bidi="en-US"/>
        </w:rPr>
        <w:t>（3）根据本评价各环境要素的污染预测结果，各项污染物排放均达到了环境保护相应规定的要求，对区域污染的贡献值较小。</w:t>
      </w:r>
    </w:p>
    <w:p>
      <w:pPr>
        <w:overflowPunct w:val="0"/>
        <w:adjustRightInd w:val="0"/>
        <w:snapToGrid w:val="0"/>
        <w:spacing w:line="360" w:lineRule="auto"/>
        <w:ind w:firstLine="480" w:firstLineChars="200"/>
        <w:rPr>
          <w:kern w:val="0"/>
          <w:sz w:val="24"/>
          <w:szCs w:val="22"/>
          <w:lang w:bidi="en-US"/>
        </w:rPr>
      </w:pPr>
      <w:r>
        <w:rPr>
          <w:rFonts w:hint="eastAsia"/>
          <w:kern w:val="0"/>
          <w:sz w:val="24"/>
          <w:szCs w:val="22"/>
          <w:lang w:bidi="en-US"/>
        </w:rPr>
        <w:t>污水土地消纳生态影响分析：养殖废水中含有比较丰富的有机物质，在一定条件下</w:t>
      </w:r>
      <w:r>
        <w:rPr>
          <w:rFonts w:hint="eastAsia" w:ascii="宋体" w:cs="宋体" w:hAnsiTheme="minorHAnsi"/>
          <w:kern w:val="0"/>
          <w:sz w:val="24"/>
        </w:rPr>
        <w:t>分解后，能为植物提供可利用的氮、磷等多种养分。</w:t>
      </w:r>
    </w:p>
    <w:p>
      <w:pPr>
        <w:overflowPunct w:val="0"/>
        <w:adjustRightInd w:val="0"/>
        <w:snapToGrid w:val="0"/>
        <w:spacing w:line="360" w:lineRule="auto"/>
        <w:ind w:firstLine="482" w:firstLineChars="200"/>
        <w:rPr>
          <w:b/>
          <w:sz w:val="24"/>
        </w:rPr>
      </w:pPr>
      <w:r>
        <w:rPr>
          <w:rFonts w:hint="eastAsia"/>
          <w:b/>
          <w:sz w:val="24"/>
        </w:rPr>
        <w:t>1、土地消纳区土壤影响分析</w:t>
      </w:r>
    </w:p>
    <w:p>
      <w:pPr>
        <w:autoSpaceDE w:val="0"/>
        <w:autoSpaceDN w:val="0"/>
        <w:adjustRightInd w:val="0"/>
        <w:snapToGrid w:val="0"/>
        <w:spacing w:line="360" w:lineRule="auto"/>
        <w:ind w:firstLine="480" w:firstLineChars="200"/>
        <w:rPr>
          <w:kern w:val="0"/>
          <w:sz w:val="24"/>
        </w:rPr>
      </w:pPr>
      <w:r>
        <w:rPr>
          <w:rFonts w:hint="eastAsia"/>
          <w:kern w:val="0"/>
          <w:sz w:val="24"/>
        </w:rPr>
        <w:t>处理后的废水含有丰富的氨、磷、钾等元素，具有改良土壤的作用，利用土壤团粒结构的形成，改善土壤水、肥、气热状况。</w:t>
      </w:r>
    </w:p>
    <w:p>
      <w:pPr>
        <w:autoSpaceDE w:val="0"/>
        <w:autoSpaceDN w:val="0"/>
        <w:adjustRightInd w:val="0"/>
        <w:snapToGrid w:val="0"/>
        <w:spacing w:line="360" w:lineRule="auto"/>
        <w:ind w:firstLine="480" w:firstLineChars="200"/>
        <w:rPr>
          <w:kern w:val="0"/>
          <w:sz w:val="24"/>
        </w:rPr>
      </w:pPr>
      <w:r>
        <w:rPr>
          <w:rFonts w:hint="eastAsia"/>
          <w:kern w:val="0"/>
          <w:sz w:val="24"/>
        </w:rPr>
        <w:t>项目废水发酵后作为液体肥回用于种植基地后，养分物质通过四个途径在土壤中转移：（1）通过土壤的自净作用消减；（2）因土壤的吸附等作用而留存在土层中；（3）被植物吸收；（4）随水下渗进入含水层。</w:t>
      </w:r>
    </w:p>
    <w:p>
      <w:pPr>
        <w:autoSpaceDE w:val="0"/>
        <w:autoSpaceDN w:val="0"/>
        <w:adjustRightInd w:val="0"/>
        <w:snapToGrid w:val="0"/>
        <w:spacing w:line="360" w:lineRule="auto"/>
        <w:ind w:firstLine="480" w:firstLineChars="200"/>
        <w:rPr>
          <w:kern w:val="0"/>
          <w:sz w:val="24"/>
        </w:rPr>
      </w:pPr>
      <w:r>
        <w:rPr>
          <w:rFonts w:hint="eastAsia"/>
          <w:kern w:val="0"/>
          <w:sz w:val="24"/>
        </w:rPr>
        <w:t>根据《不同有机肥料中氮素的矿化特性研究》（赵明等），养殖废水氮素主要以有机态存在，一般都要经过矿化将有机氮转化为无机氮NO</w:t>
      </w:r>
      <w:r>
        <w:rPr>
          <w:rFonts w:hint="eastAsia"/>
          <w:kern w:val="0"/>
          <w:sz w:val="24"/>
          <w:vertAlign w:val="subscript"/>
        </w:rPr>
        <w:t>3</w:t>
      </w:r>
      <w:r>
        <w:rPr>
          <w:rFonts w:hint="eastAsia"/>
          <w:kern w:val="0"/>
          <w:sz w:val="24"/>
        </w:rPr>
        <w:t>-N或NH</w:t>
      </w:r>
      <w:r>
        <w:rPr>
          <w:rFonts w:hint="eastAsia"/>
          <w:kern w:val="0"/>
          <w:sz w:val="24"/>
          <w:vertAlign w:val="subscript"/>
        </w:rPr>
        <w:t>4</w:t>
      </w:r>
      <w:r>
        <w:rPr>
          <w:rFonts w:hint="eastAsia"/>
          <w:kern w:val="0"/>
          <w:sz w:val="24"/>
        </w:rPr>
        <w:t>-N后植被才能吸收。</w:t>
      </w:r>
    </w:p>
    <w:p>
      <w:pPr>
        <w:autoSpaceDE w:val="0"/>
        <w:autoSpaceDN w:val="0"/>
        <w:adjustRightInd w:val="0"/>
        <w:snapToGrid w:val="0"/>
        <w:spacing w:line="360" w:lineRule="auto"/>
        <w:ind w:firstLine="480" w:firstLineChars="200"/>
        <w:rPr>
          <w:rFonts w:hAnsi="宋体"/>
          <w:sz w:val="24"/>
        </w:rPr>
      </w:pPr>
      <w:r>
        <w:rPr>
          <w:rFonts w:hint="eastAsia"/>
          <w:kern w:val="0"/>
          <w:sz w:val="24"/>
        </w:rPr>
        <w:t>经试验研究表明，养殖废水在处理过程中，由于微生物作用使一部分易分解的有机物转化成相对稳定的腐殖酸，使其矿化速率降低，从而增加了有机肥的稳定性，对施肥后减少土壤NO</w:t>
      </w:r>
      <w:r>
        <w:rPr>
          <w:rFonts w:hint="eastAsia"/>
          <w:kern w:val="0"/>
          <w:sz w:val="24"/>
          <w:vertAlign w:val="subscript"/>
        </w:rPr>
        <w:t>3</w:t>
      </w:r>
      <w:r>
        <w:rPr>
          <w:rFonts w:hint="eastAsia"/>
          <w:kern w:val="0"/>
          <w:sz w:val="24"/>
        </w:rPr>
        <w:t>-N流失和提高肥料氮素利用率具有积极的作用，且施肥促进土壤微生物快速繁殖，使肥料和土壤中原有有机质矿化出的NH</w:t>
      </w:r>
      <w:r>
        <w:rPr>
          <w:rFonts w:hint="eastAsia"/>
          <w:kern w:val="0"/>
          <w:sz w:val="24"/>
          <w:vertAlign w:val="subscript"/>
        </w:rPr>
        <w:t>4</w:t>
      </w:r>
      <w:r>
        <w:rPr>
          <w:rFonts w:hint="eastAsia"/>
          <w:kern w:val="0"/>
          <w:sz w:val="24"/>
        </w:rPr>
        <w:t>-N被微生物固定，土壤NH</w:t>
      </w:r>
      <w:r>
        <w:rPr>
          <w:rFonts w:hint="eastAsia"/>
          <w:kern w:val="0"/>
          <w:sz w:val="24"/>
          <w:vertAlign w:val="subscript"/>
        </w:rPr>
        <w:t>4</w:t>
      </w:r>
      <w:r>
        <w:rPr>
          <w:rFonts w:hint="eastAsia"/>
          <w:kern w:val="0"/>
          <w:sz w:val="24"/>
        </w:rPr>
        <w:t>-N含量降低，甚至低于不施肥的土壤。</w:t>
      </w:r>
      <w:r>
        <w:rPr>
          <w:rFonts w:hint="eastAsia" w:hAnsi="宋体"/>
          <w:sz w:val="24"/>
        </w:rPr>
        <w:t>。</w:t>
      </w:r>
    </w:p>
    <w:p>
      <w:pPr>
        <w:autoSpaceDE w:val="0"/>
        <w:autoSpaceDN w:val="0"/>
        <w:adjustRightInd w:val="0"/>
        <w:spacing w:line="360" w:lineRule="auto"/>
        <w:ind w:firstLine="480" w:firstLineChars="200"/>
        <w:rPr>
          <w:rFonts w:hAnsi="宋体"/>
          <w:sz w:val="24"/>
        </w:rPr>
      </w:pPr>
      <w:r>
        <w:rPr>
          <w:rFonts w:hint="eastAsia" w:hAnsi="宋体"/>
          <w:sz w:val="24"/>
        </w:rPr>
        <w:t>养殖废水发酵后的液体肥料中磷除部分被植被吸收利用和因化学反应产生难溶性磷酸盐外，其他磷则被土壤团粒和胶粒所吸收。这些被吸附磷与土壤溶液中磷处于吸附平衡状态，并制约着土壤溶液磷的浓度。根据《生物有机肥对土壤中磷的吸附和解析特性的影响》（张迪等），土壤在长期施用无机磷有强烈的吸附和固定作用，在pH小于6的酸性土壤中，磷素和土壤中的铁、铝化合物生成难溶性的磷酸铁、磷酸铝，在pH小于6的酸性土壤中，磷素和土壤中的铁、铝化合物生成难溶性的磷酸铁、磷酸铝，在pH大于7.5的碱性土壤中，磷和钙易结合成难溶性磷酸钙，而施入液体有机肥，由于有机肥中含有腐殖酸，能够提高土壤的缓冲性能（即维持土壤酸碱反应的相对稳定能力）维持土壤pH在6~7.5，可以降低土壤对磷的吸附量，从而减少对磷的固定，提高施肥的有效性。</w:t>
      </w:r>
    </w:p>
    <w:p>
      <w:pPr>
        <w:autoSpaceDE w:val="0"/>
        <w:autoSpaceDN w:val="0"/>
        <w:adjustRightInd w:val="0"/>
        <w:spacing w:line="360" w:lineRule="auto"/>
        <w:ind w:firstLine="480" w:firstLineChars="200"/>
        <w:rPr>
          <w:rFonts w:hAnsi="宋体"/>
          <w:sz w:val="24"/>
        </w:rPr>
      </w:pPr>
      <w:r>
        <w:rPr>
          <w:rFonts w:hint="eastAsia" w:hAnsi="宋体"/>
          <w:sz w:val="24"/>
        </w:rPr>
        <w:t>该液体肥料有生理夺氧和运动去脂作用，而且由于含有较高浓度的铵离子，铵离子具有杀菌作用，能防治病虫害，医治根腐病。液体肥料中含有丰富的活性菌体持效时间长，它所释放的异味能驱除金鬼子盲蝽蟓等害虫。</w:t>
      </w:r>
    </w:p>
    <w:p>
      <w:pPr>
        <w:autoSpaceDE w:val="0"/>
        <w:autoSpaceDN w:val="0"/>
        <w:adjustRightInd w:val="0"/>
        <w:spacing w:line="360" w:lineRule="auto"/>
        <w:ind w:firstLine="480" w:firstLineChars="200"/>
        <w:rPr>
          <w:rFonts w:hAnsi="宋体"/>
          <w:sz w:val="24"/>
        </w:rPr>
      </w:pPr>
      <w:r>
        <w:rPr>
          <w:rFonts w:hint="eastAsia" w:hAnsi="宋体"/>
          <w:sz w:val="24"/>
        </w:rPr>
        <w:t>综合以上分析可知，只要建设单位能够综合考虑该液体肥料的组分成分N、P、K养分的有效性和在土壤中的迁移规律、作物对该液体肥料的吸收能力，做到合理还田，则采用养殖废水发酵后的液体肥料对果园进行施肥，能改善土壤的理化性质，增强土壤的保肥性，提高土壤的生态肥力，预防病虫害，从而使液体肥料资源化。</w:t>
      </w:r>
    </w:p>
    <w:p>
      <w:pPr>
        <w:autoSpaceDE w:val="0"/>
        <w:autoSpaceDN w:val="0"/>
        <w:adjustRightInd w:val="0"/>
        <w:spacing w:line="360" w:lineRule="auto"/>
        <w:ind w:firstLine="482" w:firstLineChars="200"/>
        <w:rPr>
          <w:b/>
          <w:kern w:val="0"/>
          <w:sz w:val="24"/>
        </w:rPr>
      </w:pPr>
      <w:r>
        <w:rPr>
          <w:rFonts w:hint="eastAsia"/>
          <w:b/>
          <w:kern w:val="0"/>
          <w:sz w:val="24"/>
        </w:rPr>
        <w:t>2、小结</w:t>
      </w:r>
    </w:p>
    <w:p>
      <w:pPr>
        <w:autoSpaceDE w:val="0"/>
        <w:autoSpaceDN w:val="0"/>
        <w:adjustRightInd w:val="0"/>
        <w:spacing w:line="360" w:lineRule="auto"/>
        <w:ind w:firstLine="480" w:firstLineChars="200"/>
      </w:pPr>
      <w:r>
        <w:rPr>
          <w:rFonts w:hint="eastAsia"/>
          <w:kern w:val="0"/>
          <w:sz w:val="24"/>
        </w:rPr>
        <w:t>根据项目厂址土壤环境现状监测结果，项目占地范围内土壤环境质量不存在点位超标，土壤环境现状较好。该项目采取源头控制、过程防控等措施后，可以将项目对土壤环境造成的影响降到最低。因此从土壤环境影响的角度，项目建设可行</w:t>
      </w:r>
      <w:r>
        <w:rPr>
          <w:kern w:val="0"/>
          <w:sz w:val="24"/>
        </w:rPr>
        <w:t>。</w:t>
      </w:r>
    </w:p>
    <w:p>
      <w:pPr>
        <w:pStyle w:val="7"/>
        <w:adjustRightInd w:val="0"/>
        <w:snapToGrid w:val="0"/>
        <w:spacing w:before="0" w:after="0" w:line="360" w:lineRule="auto"/>
        <w:jc w:val="left"/>
        <w:rPr>
          <w:sz w:val="24"/>
          <w:szCs w:val="24"/>
        </w:rPr>
      </w:pPr>
      <w:r>
        <w:rPr>
          <w:sz w:val="24"/>
          <w:szCs w:val="24"/>
        </w:rPr>
        <w:t>6.2.</w:t>
      </w:r>
      <w:r>
        <w:rPr>
          <w:rFonts w:hint="eastAsia"/>
          <w:sz w:val="24"/>
          <w:szCs w:val="24"/>
        </w:rPr>
        <w:t>7</w:t>
      </w:r>
      <w:r>
        <w:rPr>
          <w:sz w:val="24"/>
          <w:szCs w:val="24"/>
        </w:rPr>
        <w:t xml:space="preserve"> 生态环境影响分析</w:t>
      </w:r>
    </w:p>
    <w:p>
      <w:pPr>
        <w:autoSpaceDE w:val="0"/>
        <w:autoSpaceDN w:val="0"/>
        <w:adjustRightInd w:val="0"/>
        <w:spacing w:line="360" w:lineRule="auto"/>
        <w:ind w:firstLine="482" w:firstLineChars="200"/>
        <w:rPr>
          <w:b/>
          <w:kern w:val="0"/>
          <w:sz w:val="24"/>
          <w:szCs w:val="20"/>
        </w:rPr>
      </w:pPr>
      <w:r>
        <w:rPr>
          <w:rFonts w:hint="eastAsia"/>
          <w:b/>
          <w:kern w:val="0"/>
          <w:sz w:val="24"/>
          <w:szCs w:val="20"/>
        </w:rPr>
        <w:t>1、土地利用影响</w:t>
      </w:r>
    </w:p>
    <w:p>
      <w:pPr>
        <w:autoSpaceDE w:val="0"/>
        <w:autoSpaceDN w:val="0"/>
        <w:adjustRightInd w:val="0"/>
        <w:spacing w:line="360" w:lineRule="auto"/>
        <w:ind w:firstLine="480" w:firstLineChars="200"/>
        <w:rPr>
          <w:kern w:val="0"/>
          <w:sz w:val="24"/>
          <w:szCs w:val="20"/>
        </w:rPr>
      </w:pPr>
      <w:r>
        <w:rPr>
          <w:rFonts w:hint="eastAsia"/>
          <w:sz w:val="24"/>
        </w:rPr>
        <w:t>本项目建设前土地利用状况为荒地为主，项目建成后将完全改变土地利用状况，部分原有植被被建筑物和道路所代替。项目建成后，养殖区工程地将建成混凝土地面，并在空地和场界四周加强绿化，绿化以树、灌、草等相结合的形式，场界主要种植高大乔木辅以灌木，场内以草坪灌木为主，原有天然植被虽有所破坏，但是会被新栽种的植被所代替，形成新的植物群落</w:t>
      </w:r>
      <w:r>
        <w:rPr>
          <w:rFonts w:hint="eastAsia"/>
          <w:kern w:val="0"/>
          <w:sz w:val="24"/>
          <w:szCs w:val="20"/>
        </w:rPr>
        <w:t>。</w:t>
      </w:r>
    </w:p>
    <w:p>
      <w:pPr>
        <w:autoSpaceDE w:val="0"/>
        <w:autoSpaceDN w:val="0"/>
        <w:adjustRightInd w:val="0"/>
        <w:spacing w:line="360" w:lineRule="auto"/>
        <w:ind w:firstLine="482" w:firstLineChars="200"/>
        <w:rPr>
          <w:b/>
          <w:kern w:val="0"/>
          <w:sz w:val="24"/>
          <w:szCs w:val="20"/>
        </w:rPr>
      </w:pPr>
      <w:r>
        <w:rPr>
          <w:rFonts w:hint="eastAsia"/>
          <w:b/>
          <w:kern w:val="0"/>
          <w:sz w:val="24"/>
          <w:szCs w:val="20"/>
        </w:rPr>
        <w:t>2、动植物生态</w:t>
      </w:r>
      <w:r>
        <w:rPr>
          <w:b/>
          <w:kern w:val="0"/>
          <w:sz w:val="24"/>
          <w:szCs w:val="20"/>
        </w:rPr>
        <w:t>影响</w:t>
      </w:r>
    </w:p>
    <w:p>
      <w:pPr>
        <w:adjustRightInd w:val="0"/>
        <w:snapToGrid w:val="0"/>
        <w:spacing w:line="360" w:lineRule="auto"/>
        <w:ind w:firstLine="480"/>
        <w:rPr>
          <w:sz w:val="24"/>
        </w:rPr>
      </w:pPr>
      <w:r>
        <w:rPr>
          <w:rFonts w:hint="eastAsia" w:ascii="宋体" w:cs="宋体" w:hAnsiTheme="minorHAnsi"/>
          <w:kern w:val="0"/>
          <w:sz w:val="24"/>
        </w:rPr>
        <w:t>本项目实施后采用多种绿化形式，保持该地区的覆绿面积，将项目对生态的破坏降至最低。但鸡群发生病疫，如果处理不当，对当地野生和家养动物感染，造成野生和家养动物死亡。本项目建成后，采取了较好的禽病疫防疫措施并制定了强有力的病疫应急预案（见风险评价专章），只要加强管理和遵照执行，鸡群发生病疫对当地野生和家养动物影响较小</w:t>
      </w:r>
      <w:r>
        <w:rPr>
          <w:sz w:val="24"/>
        </w:rPr>
        <w:t>。</w:t>
      </w:r>
    </w:p>
    <w:p>
      <w:pPr>
        <w:pStyle w:val="7"/>
        <w:adjustRightInd w:val="0"/>
        <w:snapToGrid w:val="0"/>
        <w:spacing w:before="0" w:after="0" w:line="360" w:lineRule="auto"/>
        <w:jc w:val="left"/>
        <w:rPr>
          <w:sz w:val="24"/>
          <w:szCs w:val="24"/>
        </w:rPr>
      </w:pPr>
      <w:r>
        <w:rPr>
          <w:sz w:val="24"/>
          <w:szCs w:val="24"/>
        </w:rPr>
        <w:t>6.2.</w:t>
      </w:r>
      <w:r>
        <w:rPr>
          <w:rFonts w:hint="eastAsia"/>
          <w:sz w:val="24"/>
          <w:szCs w:val="24"/>
        </w:rPr>
        <w:t>8交通运输过程对周边环境影响分析</w:t>
      </w:r>
    </w:p>
    <w:p>
      <w:pPr>
        <w:adjustRightInd w:val="0"/>
        <w:snapToGrid w:val="0"/>
        <w:spacing w:line="360" w:lineRule="auto"/>
        <w:ind w:firstLine="480"/>
        <w:rPr>
          <w:sz w:val="24"/>
        </w:rPr>
      </w:pPr>
      <w:r>
        <w:rPr>
          <w:rFonts w:hint="eastAsia"/>
          <w:sz w:val="24"/>
        </w:rPr>
        <w:t>本项目厂外的物料运输均委托第三方运输单位承担，包括产品、副产品、饲料等的运输。运输途中产生的环境影响主要为运输扬尘、运输噪声和淘汰鸡运输过程产生的恶臭的影响，有机肥发酵包装后恶臭量较小。</w:t>
      </w:r>
    </w:p>
    <w:p>
      <w:pPr>
        <w:adjustRightInd w:val="0"/>
        <w:snapToGrid w:val="0"/>
        <w:spacing w:line="360" w:lineRule="auto"/>
        <w:ind w:firstLine="480"/>
        <w:rPr>
          <w:sz w:val="24"/>
        </w:rPr>
      </w:pPr>
      <w:r>
        <w:rPr>
          <w:rFonts w:hint="eastAsia"/>
          <w:sz w:val="24"/>
        </w:rPr>
        <w:t>项目要求运输单位在运输过程尽量避免经过密集居民区，经过居民区时减速慢行，禁止鸣笛，减小运输扬尘和噪声对周边居民的影响。运输淘汰鸡时，尽量遮盖车身，留少量透气口，减小恶臭对沿线居民的影响</w:t>
      </w:r>
      <w:r>
        <w:rPr>
          <w:sz w:val="24"/>
        </w:rPr>
        <w:t>。</w:t>
      </w:r>
    </w:p>
    <w:p>
      <w:pPr>
        <w:pStyle w:val="6"/>
        <w:numPr>
          <w:ilvl w:val="0"/>
          <w:numId w:val="0"/>
        </w:numPr>
        <w:spacing w:before="0" w:after="0" w:line="360" w:lineRule="auto"/>
        <w:rPr>
          <w:rFonts w:ascii="Times New Roman" w:hAnsi="Times New Roman" w:eastAsia="宋体"/>
          <w:szCs w:val="30"/>
        </w:rPr>
      </w:pPr>
      <w:bookmarkStart w:id="332" w:name="_Toc123886420"/>
      <w:r>
        <w:rPr>
          <w:rFonts w:hint="eastAsia" w:ascii="Times New Roman" w:hAnsi="Times New Roman" w:eastAsia="宋体"/>
          <w:szCs w:val="30"/>
        </w:rPr>
        <w:t>6.3 环境风险评价</w:t>
      </w:r>
      <w:bookmarkEnd w:id="332"/>
    </w:p>
    <w:p>
      <w:pPr>
        <w:pStyle w:val="7"/>
        <w:adjustRightInd w:val="0"/>
        <w:snapToGrid w:val="0"/>
        <w:spacing w:before="0" w:after="0" w:line="360" w:lineRule="auto"/>
        <w:jc w:val="left"/>
        <w:rPr>
          <w:sz w:val="24"/>
          <w:szCs w:val="24"/>
        </w:rPr>
      </w:pPr>
      <w:r>
        <w:rPr>
          <w:rFonts w:hint="eastAsia"/>
          <w:sz w:val="24"/>
          <w:szCs w:val="24"/>
        </w:rPr>
        <w:t>6.3.1 柴油泄漏、火灾、爆炸事故分析</w:t>
      </w:r>
    </w:p>
    <w:p>
      <w:pPr>
        <w:adjustRightInd w:val="0"/>
        <w:snapToGrid w:val="0"/>
        <w:spacing w:line="360" w:lineRule="auto"/>
        <w:ind w:firstLine="480" w:firstLineChars="200"/>
        <w:rPr>
          <w:rFonts w:eastAsiaTheme="majorEastAsia"/>
          <w:sz w:val="24"/>
        </w:rPr>
      </w:pPr>
      <w:r>
        <w:rPr>
          <w:rFonts w:eastAsiaTheme="majorEastAsia"/>
          <w:sz w:val="24"/>
        </w:rPr>
        <w:t>柴油发生泄漏主要有以下原因：</w:t>
      </w:r>
    </w:p>
    <w:p>
      <w:pPr>
        <w:adjustRightInd w:val="0"/>
        <w:snapToGrid w:val="0"/>
        <w:spacing w:line="360" w:lineRule="auto"/>
        <w:ind w:firstLine="480" w:firstLineChars="200"/>
        <w:rPr>
          <w:rFonts w:eastAsiaTheme="majorEastAsia"/>
          <w:sz w:val="24"/>
        </w:rPr>
      </w:pPr>
      <w:r>
        <w:rPr>
          <w:rFonts w:hint="eastAsia" w:ascii="宋体" w:hAnsi="宋体" w:cs="宋体"/>
          <w:sz w:val="24"/>
        </w:rPr>
        <w:t>①</w:t>
      </w:r>
      <w:r>
        <w:rPr>
          <w:rFonts w:eastAsiaTheme="majorEastAsia"/>
          <w:sz w:val="24"/>
        </w:rPr>
        <w:t>由于错误操作而泄漏；</w:t>
      </w:r>
    </w:p>
    <w:p>
      <w:pPr>
        <w:adjustRightInd w:val="0"/>
        <w:snapToGrid w:val="0"/>
        <w:spacing w:line="360" w:lineRule="auto"/>
        <w:ind w:firstLine="480" w:firstLineChars="200"/>
        <w:rPr>
          <w:rFonts w:eastAsiaTheme="majorEastAsia"/>
          <w:sz w:val="24"/>
        </w:rPr>
      </w:pPr>
      <w:r>
        <w:rPr>
          <w:rFonts w:hint="eastAsia" w:ascii="宋体" w:hAnsi="宋体" w:cs="宋体"/>
          <w:sz w:val="24"/>
        </w:rPr>
        <w:t>②</w:t>
      </w:r>
      <w:r>
        <w:rPr>
          <w:rFonts w:eastAsiaTheme="majorEastAsia"/>
          <w:sz w:val="24"/>
        </w:rPr>
        <w:t>生产设备因故障而泄漏。</w:t>
      </w:r>
    </w:p>
    <w:p>
      <w:pPr>
        <w:adjustRightInd w:val="0"/>
        <w:snapToGrid w:val="0"/>
        <w:spacing w:line="360" w:lineRule="auto"/>
        <w:ind w:firstLine="480" w:firstLineChars="200"/>
        <w:rPr>
          <w:rFonts w:eastAsiaTheme="majorEastAsia"/>
          <w:sz w:val="24"/>
        </w:rPr>
      </w:pPr>
      <w:r>
        <w:rPr>
          <w:rFonts w:eastAsiaTheme="majorEastAsia"/>
          <w:sz w:val="24"/>
        </w:rPr>
        <w:t>事故影响分析：</w:t>
      </w:r>
    </w:p>
    <w:p>
      <w:pPr>
        <w:adjustRightInd w:val="0"/>
        <w:snapToGrid w:val="0"/>
        <w:spacing w:line="360" w:lineRule="auto"/>
        <w:ind w:firstLine="480" w:firstLineChars="200"/>
        <w:rPr>
          <w:rFonts w:eastAsiaTheme="majorEastAsia"/>
          <w:sz w:val="24"/>
        </w:rPr>
      </w:pPr>
      <w:r>
        <w:rPr>
          <w:rFonts w:eastAsiaTheme="majorEastAsia"/>
          <w:sz w:val="24"/>
        </w:rPr>
        <w:t>（1）泄漏事故</w:t>
      </w:r>
    </w:p>
    <w:p>
      <w:pPr>
        <w:adjustRightInd w:val="0"/>
        <w:snapToGrid w:val="0"/>
        <w:spacing w:line="360" w:lineRule="auto"/>
        <w:ind w:firstLine="480" w:firstLineChars="200"/>
        <w:rPr>
          <w:rFonts w:eastAsiaTheme="majorEastAsia"/>
          <w:sz w:val="24"/>
        </w:rPr>
      </w:pPr>
      <w:r>
        <w:rPr>
          <w:rFonts w:eastAsiaTheme="majorEastAsia"/>
          <w:sz w:val="24"/>
        </w:rPr>
        <w:t>柴油储存间发生泄漏事故时，泄漏的油品部分可能流出储存间，污染周边土壤，如遇雨天，泄漏油品会随雨水进入雨水管，污染周边水体。</w:t>
      </w:r>
    </w:p>
    <w:p>
      <w:pPr>
        <w:adjustRightInd w:val="0"/>
        <w:snapToGrid w:val="0"/>
        <w:spacing w:line="360" w:lineRule="auto"/>
        <w:ind w:firstLine="480" w:firstLineChars="200"/>
        <w:rPr>
          <w:rFonts w:eastAsiaTheme="majorEastAsia"/>
          <w:sz w:val="24"/>
        </w:rPr>
      </w:pPr>
      <w:r>
        <w:rPr>
          <w:rFonts w:eastAsiaTheme="majorEastAsia"/>
          <w:sz w:val="24"/>
        </w:rPr>
        <w:t>（2）火灾事故</w:t>
      </w:r>
    </w:p>
    <w:p>
      <w:pPr>
        <w:adjustRightInd w:val="0"/>
        <w:snapToGrid w:val="0"/>
        <w:spacing w:line="360" w:lineRule="auto"/>
        <w:ind w:firstLine="480"/>
        <w:rPr>
          <w:rFonts w:eastAsiaTheme="majorEastAsia"/>
          <w:sz w:val="24"/>
        </w:rPr>
      </w:pPr>
      <w:r>
        <w:rPr>
          <w:rFonts w:eastAsiaTheme="majorEastAsia"/>
          <w:sz w:val="24"/>
        </w:rPr>
        <w:t>当泄漏的油品遇到明火和高热可能会发生火灾事故，本项目若发生火灾事故时，其主要燃烧方式为池火，池火通过辐射热的方式对外界发生影响，处于燃烧范围内的人员会受到不同程度的伤亡，建筑物和各种易燃、可燃物品也有可能被引燃，油品燃烧会产生CO、SO</w:t>
      </w:r>
      <w:r>
        <w:rPr>
          <w:rFonts w:hint="eastAsia" w:eastAsiaTheme="majorEastAsia"/>
          <w:sz w:val="24"/>
          <w:vertAlign w:val="subscript"/>
        </w:rPr>
        <w:t>2</w:t>
      </w:r>
      <w:r>
        <w:rPr>
          <w:rFonts w:eastAsiaTheme="majorEastAsia"/>
          <w:sz w:val="24"/>
        </w:rPr>
        <w:t>、NO</w:t>
      </w:r>
      <w:r>
        <w:rPr>
          <w:rFonts w:eastAsiaTheme="majorEastAsia"/>
          <w:sz w:val="24"/>
          <w:vertAlign w:val="subscript"/>
        </w:rPr>
        <w:t>X</w:t>
      </w:r>
      <w:r>
        <w:rPr>
          <w:rFonts w:eastAsiaTheme="majorEastAsia"/>
          <w:sz w:val="24"/>
        </w:rPr>
        <w:t>和烟尘，会大大影响周围的空气质量而造成大气环境污染，其中，燃烧产生的一氧化碳对周围空气质量影响最大，造成大气环境污染最严重，一旦发生火灾，产生的消防废水可能流入雨水管，对周边水体和土壤造成污染。</w:t>
      </w:r>
    </w:p>
    <w:p>
      <w:pPr>
        <w:pStyle w:val="7"/>
        <w:adjustRightInd w:val="0"/>
        <w:snapToGrid w:val="0"/>
        <w:spacing w:before="0" w:after="0" w:line="360" w:lineRule="auto"/>
        <w:jc w:val="left"/>
        <w:rPr>
          <w:sz w:val="24"/>
          <w:szCs w:val="24"/>
        </w:rPr>
      </w:pPr>
      <w:r>
        <w:rPr>
          <w:rFonts w:hint="eastAsia"/>
          <w:sz w:val="24"/>
          <w:szCs w:val="24"/>
        </w:rPr>
        <w:t>6.3.2 废水事故性排污风险分析</w:t>
      </w:r>
    </w:p>
    <w:p>
      <w:pPr>
        <w:adjustRightInd w:val="0"/>
        <w:snapToGrid w:val="0"/>
        <w:spacing w:line="360" w:lineRule="auto"/>
        <w:ind w:firstLine="480" w:firstLineChars="200"/>
        <w:rPr>
          <w:rFonts w:eastAsiaTheme="majorEastAsia"/>
          <w:sz w:val="24"/>
        </w:rPr>
      </w:pPr>
      <w:r>
        <w:rPr>
          <w:rFonts w:hint="eastAsia" w:eastAsiaTheme="majorEastAsia"/>
          <w:sz w:val="24"/>
        </w:rPr>
        <w:t>在管道破裂和废水池体出现裂隙的情况下均将出现废水事故污染。</w:t>
      </w:r>
    </w:p>
    <w:p>
      <w:pPr>
        <w:adjustRightInd w:val="0"/>
        <w:snapToGrid w:val="0"/>
        <w:spacing w:line="360" w:lineRule="auto"/>
        <w:ind w:firstLine="480" w:firstLineChars="200"/>
        <w:rPr>
          <w:rFonts w:eastAsiaTheme="majorEastAsia"/>
          <w:sz w:val="24"/>
        </w:rPr>
      </w:pPr>
      <w:r>
        <w:rPr>
          <w:rFonts w:hint="eastAsia" w:eastAsiaTheme="majorEastAsia"/>
          <w:sz w:val="24"/>
        </w:rPr>
        <w:t>（1）地表水</w:t>
      </w:r>
    </w:p>
    <w:p>
      <w:pPr>
        <w:adjustRightInd w:val="0"/>
        <w:snapToGrid w:val="0"/>
        <w:spacing w:line="360" w:lineRule="auto"/>
        <w:ind w:firstLine="480" w:firstLineChars="200"/>
        <w:rPr>
          <w:rFonts w:eastAsiaTheme="majorEastAsia"/>
          <w:sz w:val="24"/>
        </w:rPr>
      </w:pPr>
      <w:r>
        <w:rPr>
          <w:rFonts w:hint="eastAsia" w:eastAsiaTheme="majorEastAsia"/>
          <w:sz w:val="24"/>
        </w:rPr>
        <w:t>畜禽养殖场中高浓度、未经处理的污水进入自然水体后，使水中固体悬浮物（SS）、有机物和微生物含量升高，改变水体的物理、化学和生物群落组成，使水质变坏。粪污中含有大量的病原微生物将通过水体或通过水生动植物进行扩散传播，危害人畜健康。此外，粪污中有机物生物降解和水生生物的繁殖大量消耗水体溶解氧（DO），使水体变黑发臭，水生生物死亡，导致水体“富营养化”，这种水体将不可能再得到恢复。</w:t>
      </w:r>
    </w:p>
    <w:p>
      <w:pPr>
        <w:adjustRightInd w:val="0"/>
        <w:snapToGrid w:val="0"/>
        <w:spacing w:line="360" w:lineRule="auto"/>
        <w:ind w:firstLine="480" w:firstLineChars="200"/>
        <w:rPr>
          <w:rFonts w:eastAsiaTheme="majorEastAsia"/>
          <w:sz w:val="24"/>
        </w:rPr>
      </w:pPr>
      <w:r>
        <w:rPr>
          <w:rFonts w:hint="eastAsia" w:eastAsiaTheme="majorEastAsia"/>
          <w:sz w:val="24"/>
        </w:rPr>
        <w:t>根据地表水环境影响分析可知：项目废水处理后不外排，非正常情况下，因此建议企业应加强废水处理站日常运行的监督管理，加强废水处理站设备的正常运行，一旦发生事故，应将废水排入事故池中暂存，严禁事故性废水漫流，以减少对地表水体的影响。</w:t>
      </w:r>
    </w:p>
    <w:p>
      <w:pPr>
        <w:adjustRightInd w:val="0"/>
        <w:snapToGrid w:val="0"/>
        <w:spacing w:line="360" w:lineRule="auto"/>
        <w:ind w:firstLine="480" w:firstLineChars="200"/>
        <w:rPr>
          <w:rFonts w:eastAsiaTheme="majorEastAsia"/>
          <w:sz w:val="24"/>
        </w:rPr>
      </w:pPr>
      <w:r>
        <w:rPr>
          <w:rFonts w:hint="eastAsia" w:eastAsiaTheme="majorEastAsia"/>
          <w:sz w:val="24"/>
        </w:rPr>
        <w:t>（2）地下水</w:t>
      </w:r>
    </w:p>
    <w:p>
      <w:pPr>
        <w:adjustRightInd w:val="0"/>
        <w:snapToGrid w:val="0"/>
        <w:spacing w:line="360" w:lineRule="auto"/>
        <w:ind w:firstLine="480" w:firstLineChars="200"/>
        <w:rPr>
          <w:rFonts w:eastAsiaTheme="majorEastAsia"/>
          <w:sz w:val="24"/>
        </w:rPr>
      </w:pPr>
      <w:r>
        <w:rPr>
          <w:rFonts w:hint="eastAsia" w:eastAsiaTheme="majorEastAsia"/>
          <w:sz w:val="24"/>
        </w:rPr>
        <w:t>未经处理的养殖废水直接灌溉土壤，部分氮、磷不仅随地表水体流失，流入江河污染地表水，且会渗入地下污染地下水。废水的有害成分进入地下水中，会使地下水溶解氧含量减少,严重时使水体发黑、变臭、失去使用价值。一旦污染了地下水，将极难治理恢复，造成较持久性的污染。本项目周边农户现多以自来水（水源为地下水）作为生活用水。因此，应严格做好污水处理系统的管理以及地下水防渗措施。应坚决杜绝废水事故排放的发生。同时，要求在厂区内下游设置地下水监测井，每季度对监测井地下水进行监测，当发现泄漏时立刻采取措施止住泄漏点。</w:t>
      </w:r>
    </w:p>
    <w:p>
      <w:pPr>
        <w:adjustRightInd w:val="0"/>
        <w:snapToGrid w:val="0"/>
        <w:spacing w:line="360" w:lineRule="auto"/>
        <w:ind w:firstLine="480" w:firstLineChars="200"/>
        <w:rPr>
          <w:rFonts w:eastAsiaTheme="majorEastAsia"/>
          <w:sz w:val="24"/>
        </w:rPr>
      </w:pPr>
      <w:r>
        <w:rPr>
          <w:rFonts w:hint="eastAsia" w:eastAsiaTheme="majorEastAsia"/>
          <w:sz w:val="24"/>
        </w:rPr>
        <w:t>（3）土壤</w:t>
      </w:r>
    </w:p>
    <w:p>
      <w:pPr>
        <w:adjustRightInd w:val="0"/>
        <w:snapToGrid w:val="0"/>
        <w:spacing w:line="360" w:lineRule="auto"/>
        <w:ind w:firstLine="480" w:firstLineChars="200"/>
        <w:rPr>
          <w:rFonts w:eastAsiaTheme="majorEastAsia"/>
          <w:sz w:val="24"/>
        </w:rPr>
      </w:pPr>
      <w:r>
        <w:rPr>
          <w:rFonts w:hint="eastAsia" w:eastAsiaTheme="majorEastAsia"/>
          <w:sz w:val="24"/>
        </w:rPr>
        <w:t>废水中高浓度的有机物和氨氮会使土壤环境质量严重恶化。当废水排放超过了土壤的自净能力，便会出现降解不完全和厌氧腐解，产生恶臭物质和亚硝酸盐等有害物质，引起土壤的组成和性状发生改变，破坏其原有的基本功能:作物徒长、倒伏、晚熟或不熟，造成减产、甚至毒害作物使之出现大面积腐烂。此外，土壤对病原微生物的自净能力下降，不仅增加了净化难度，而且易造成生物污染和疾病传播。</w:t>
      </w:r>
    </w:p>
    <w:p>
      <w:pPr>
        <w:pStyle w:val="7"/>
        <w:adjustRightInd w:val="0"/>
        <w:snapToGrid w:val="0"/>
        <w:spacing w:before="0" w:after="0" w:line="360" w:lineRule="auto"/>
        <w:jc w:val="left"/>
        <w:rPr>
          <w:sz w:val="24"/>
          <w:szCs w:val="24"/>
        </w:rPr>
      </w:pPr>
      <w:r>
        <w:rPr>
          <w:rFonts w:hint="eastAsia"/>
          <w:sz w:val="24"/>
          <w:szCs w:val="24"/>
        </w:rPr>
        <w:t>6.3.3 病死鸡</w:t>
      </w:r>
      <w:r>
        <w:rPr>
          <w:rFonts w:hint="eastAsia"/>
          <w:sz w:val="24"/>
          <w:szCs w:val="24"/>
          <w:lang w:eastAsia="zh-CN"/>
        </w:rPr>
        <w:t>冷柜</w:t>
      </w:r>
      <w:r>
        <w:rPr>
          <w:rFonts w:hint="eastAsia"/>
          <w:sz w:val="24"/>
          <w:szCs w:val="24"/>
        </w:rPr>
        <w:t>故障风险分析</w:t>
      </w:r>
    </w:p>
    <w:p>
      <w:pPr>
        <w:adjustRightInd w:val="0"/>
        <w:snapToGrid w:val="0"/>
        <w:spacing w:line="360" w:lineRule="auto"/>
        <w:ind w:firstLine="480"/>
        <w:rPr>
          <w:rFonts w:eastAsiaTheme="majorEastAsia"/>
          <w:sz w:val="24"/>
        </w:rPr>
      </w:pPr>
      <w:r>
        <w:rPr>
          <w:rFonts w:hint="eastAsia" w:eastAsiaTheme="majorEastAsia"/>
          <w:sz w:val="24"/>
        </w:rPr>
        <w:t>本项目设置一个</w:t>
      </w:r>
      <w:r>
        <w:rPr>
          <w:rFonts w:hint="eastAsia" w:eastAsiaTheme="majorEastAsia"/>
          <w:sz w:val="24"/>
          <w:lang w:eastAsia="zh-CN"/>
        </w:rPr>
        <w:t>冷柜</w:t>
      </w:r>
      <w:r>
        <w:rPr>
          <w:rFonts w:hint="eastAsia" w:eastAsiaTheme="majorEastAsia"/>
          <w:sz w:val="24"/>
        </w:rPr>
        <w:t>暂存病死鸡，</w:t>
      </w:r>
      <w:r>
        <w:rPr>
          <w:rFonts w:hint="eastAsia" w:eastAsiaTheme="majorEastAsia"/>
          <w:sz w:val="24"/>
          <w:lang w:eastAsia="zh-CN"/>
        </w:rPr>
        <w:t>冷柜</w:t>
      </w:r>
      <w:r>
        <w:rPr>
          <w:rFonts w:hint="eastAsia" w:eastAsiaTheme="majorEastAsia"/>
          <w:sz w:val="24"/>
        </w:rPr>
        <w:t>发生故障时，</w:t>
      </w:r>
      <w:r>
        <w:rPr>
          <w:rFonts w:hint="eastAsia" w:eastAsiaTheme="majorEastAsia"/>
          <w:sz w:val="24"/>
          <w:lang w:eastAsia="zh-CN"/>
        </w:rPr>
        <w:t>冷柜</w:t>
      </w:r>
      <w:r>
        <w:rPr>
          <w:rFonts w:hint="eastAsia" w:eastAsiaTheme="majorEastAsia"/>
          <w:sz w:val="24"/>
        </w:rPr>
        <w:t>内的病死鸡随即会开始腐烂，产生大量恶臭，造成空气中含氧量相对下降，污浊度升高，轻则降低空气质量、产生的异味妨碍人畜健康生存，重则引起呼吸系统疾病</w:t>
      </w:r>
    </w:p>
    <w:p>
      <w:pPr>
        <w:pStyle w:val="7"/>
        <w:adjustRightInd w:val="0"/>
        <w:snapToGrid w:val="0"/>
        <w:spacing w:before="0" w:after="0" w:line="360" w:lineRule="auto"/>
        <w:jc w:val="left"/>
        <w:rPr>
          <w:sz w:val="24"/>
          <w:szCs w:val="24"/>
        </w:rPr>
      </w:pPr>
      <w:r>
        <w:rPr>
          <w:rFonts w:hint="eastAsia"/>
          <w:sz w:val="24"/>
          <w:szCs w:val="24"/>
        </w:rPr>
        <w:t>6.3.4 消毒剂泄露风险分析</w:t>
      </w:r>
    </w:p>
    <w:p>
      <w:pPr>
        <w:adjustRightInd w:val="0"/>
        <w:snapToGrid w:val="0"/>
        <w:spacing w:line="360" w:lineRule="auto"/>
        <w:ind w:firstLine="480"/>
        <w:rPr>
          <w:rFonts w:eastAsiaTheme="majorEastAsia"/>
          <w:sz w:val="24"/>
        </w:rPr>
      </w:pPr>
      <w:r>
        <w:rPr>
          <w:rFonts w:hint="eastAsia" w:eastAsiaTheme="majorEastAsia"/>
          <w:sz w:val="24"/>
        </w:rPr>
        <w:t>项目消毒剂均为低毒消毒剂，泄露时对人体产生的影响较小，如渗入周边土壤，造成周边土壤污染，破坏土壤原有微生物环境，且部分消毒剂可燃，泄露时遇明火可引起火灾。</w:t>
      </w:r>
    </w:p>
    <w:p>
      <w:pPr>
        <w:spacing w:line="360" w:lineRule="auto"/>
        <w:ind w:firstLine="480" w:firstLineChars="200"/>
        <w:rPr>
          <w:rFonts w:eastAsiaTheme="minorEastAsia"/>
          <w:sz w:val="24"/>
        </w:rPr>
      </w:pPr>
    </w:p>
    <w:p>
      <w:pPr>
        <w:autoSpaceDE w:val="0"/>
        <w:autoSpaceDN w:val="0"/>
        <w:adjustRightInd w:val="0"/>
        <w:spacing w:line="360" w:lineRule="auto"/>
        <w:ind w:firstLine="480" w:firstLineChars="200"/>
        <w:rPr>
          <w:kern w:val="0"/>
          <w:sz w:val="24"/>
          <w:szCs w:val="20"/>
        </w:rPr>
      </w:pPr>
      <w:r>
        <w:rPr>
          <w:kern w:val="0"/>
          <w:sz w:val="24"/>
          <w:szCs w:val="20"/>
        </w:rPr>
        <w:br w:type="page"/>
      </w:r>
    </w:p>
    <w:p>
      <w:pPr>
        <w:pStyle w:val="4"/>
        <w:pageBreakBefore/>
        <w:numPr>
          <w:ilvl w:val="0"/>
          <w:numId w:val="0"/>
        </w:numPr>
        <w:spacing w:beforeLines="0" w:line="360" w:lineRule="auto"/>
        <w:jc w:val="center"/>
        <w:rPr>
          <w:rFonts w:eastAsia="宋体"/>
        </w:rPr>
      </w:pPr>
      <w:bookmarkStart w:id="333" w:name="_Toc123886421"/>
      <w:r>
        <w:rPr>
          <w:rFonts w:hint="eastAsia" w:eastAsia="宋体"/>
        </w:rPr>
        <w:t xml:space="preserve">7 </w:t>
      </w:r>
      <w:r>
        <w:rPr>
          <w:rFonts w:eastAsia="宋体"/>
        </w:rPr>
        <w:t>污染防治措施及经济技术可行性分析</w:t>
      </w:r>
      <w:bookmarkEnd w:id="333"/>
    </w:p>
    <w:p>
      <w:pPr>
        <w:pStyle w:val="6"/>
        <w:numPr>
          <w:ilvl w:val="0"/>
          <w:numId w:val="0"/>
        </w:numPr>
        <w:spacing w:before="0" w:after="0" w:line="360" w:lineRule="auto"/>
        <w:rPr>
          <w:rFonts w:ascii="Times New Roman" w:hAnsi="Times New Roman" w:eastAsia="宋体"/>
          <w:szCs w:val="30"/>
        </w:rPr>
      </w:pPr>
      <w:bookmarkStart w:id="334" w:name="_Toc123886422"/>
      <w:r>
        <w:rPr>
          <w:rFonts w:hint="eastAsia" w:ascii="Times New Roman" w:hAnsi="Times New Roman" w:eastAsia="宋体"/>
          <w:szCs w:val="30"/>
        </w:rPr>
        <w:t>7.1 施工期污染防治措施及可行性论证</w:t>
      </w:r>
      <w:bookmarkEnd w:id="334"/>
    </w:p>
    <w:p>
      <w:pPr>
        <w:spacing w:line="360" w:lineRule="auto"/>
        <w:ind w:firstLine="480" w:firstLineChars="200"/>
        <w:rPr>
          <w:sz w:val="24"/>
        </w:rPr>
      </w:pPr>
      <w:r>
        <w:rPr>
          <w:rFonts w:hint="eastAsia"/>
          <w:sz w:val="24"/>
        </w:rPr>
        <w:t>建设项目施工期间，必须严格执行国家和地方有关环境保护的法律法规，认真做好施工废水、施工扬尘、施工噪声和施工固体废物的污染防治工作，严格落实相关施工期的环保措施，避免对周边环境造成影响，建筑工地必须达到国家及省规定的环保标准。</w:t>
      </w:r>
    </w:p>
    <w:p>
      <w:pPr>
        <w:pStyle w:val="7"/>
        <w:adjustRightInd w:val="0"/>
        <w:snapToGrid w:val="0"/>
        <w:spacing w:before="0" w:after="0" w:line="360" w:lineRule="auto"/>
        <w:jc w:val="left"/>
        <w:rPr>
          <w:sz w:val="24"/>
          <w:szCs w:val="24"/>
        </w:rPr>
      </w:pPr>
      <w:bookmarkStart w:id="335" w:name="_Toc517522335"/>
      <w:r>
        <w:rPr>
          <w:rFonts w:hint="eastAsia"/>
          <w:sz w:val="24"/>
          <w:szCs w:val="24"/>
        </w:rPr>
        <w:t xml:space="preserve">7.1.1 </w:t>
      </w:r>
      <w:r>
        <w:rPr>
          <w:sz w:val="24"/>
          <w:szCs w:val="24"/>
        </w:rPr>
        <w:t>大气污染防治措施及可行性论证</w:t>
      </w:r>
      <w:bookmarkEnd w:id="335"/>
    </w:p>
    <w:p>
      <w:pPr>
        <w:autoSpaceDE w:val="0"/>
        <w:autoSpaceDN w:val="0"/>
        <w:adjustRightInd w:val="0"/>
        <w:spacing w:line="360" w:lineRule="auto"/>
        <w:ind w:firstLine="482" w:firstLineChars="200"/>
        <w:rPr>
          <w:rFonts w:ascii="宋体" w:cs="宋体"/>
          <w:b/>
          <w:kern w:val="0"/>
          <w:sz w:val="24"/>
        </w:rPr>
      </w:pPr>
      <w:r>
        <w:rPr>
          <w:rFonts w:hint="eastAsia" w:eastAsiaTheme="minorEastAsia"/>
          <w:b/>
          <w:kern w:val="0"/>
          <w:sz w:val="24"/>
        </w:rPr>
        <w:t>1、</w:t>
      </w:r>
      <w:r>
        <w:rPr>
          <w:rFonts w:hint="eastAsia" w:ascii="宋体" w:cs="宋体"/>
          <w:b/>
          <w:kern w:val="0"/>
          <w:sz w:val="24"/>
        </w:rPr>
        <w:t>扬尘防治措施</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项目施工扬尘对周围居民将产生一定不良影响。为使建设项目在施工期间对周围大气环境的影响降到最低程度，在施工过程中应严格遵守相关规定。施工单位已采取的防治措施有：</w:t>
      </w:r>
    </w:p>
    <w:p>
      <w:pPr>
        <w:autoSpaceDE w:val="0"/>
        <w:autoSpaceDN w:val="0"/>
        <w:adjustRightInd w:val="0"/>
        <w:spacing w:line="360" w:lineRule="auto"/>
        <w:ind w:firstLine="480" w:firstLineChars="200"/>
        <w:rPr>
          <w:rFonts w:ascii="宋体" w:cs="宋体"/>
          <w:kern w:val="0"/>
          <w:sz w:val="24"/>
        </w:rPr>
      </w:pPr>
      <w:r>
        <w:rPr>
          <w:rFonts w:hint="eastAsia" w:ascii="宋体" w:cs="宋体"/>
          <w:kern w:val="0"/>
          <w:sz w:val="24"/>
        </w:rPr>
        <w:t>①道路运输扬尘防治措施</w:t>
      </w:r>
    </w:p>
    <w:p>
      <w:pPr>
        <w:autoSpaceDE w:val="0"/>
        <w:autoSpaceDN w:val="0"/>
        <w:adjustRightInd w:val="0"/>
        <w:spacing w:line="360" w:lineRule="auto"/>
        <w:ind w:firstLine="480" w:firstLineChars="200"/>
        <w:rPr>
          <w:rFonts w:ascii="宋体" w:cs="宋体"/>
          <w:kern w:val="0"/>
          <w:sz w:val="24"/>
        </w:rPr>
      </w:pPr>
      <w:r>
        <w:rPr>
          <w:rFonts w:eastAsiaTheme="minorEastAsia"/>
          <w:kern w:val="0"/>
          <w:sz w:val="24"/>
        </w:rPr>
        <w:t>A</w:t>
      </w:r>
      <w:r>
        <w:rPr>
          <w:rFonts w:hint="eastAsia" w:ascii="宋体" w:cs="宋体"/>
          <w:kern w:val="0"/>
          <w:sz w:val="24"/>
        </w:rPr>
        <w:t>、向有关行政主管部门申请运输路线，车辆应当按照批准的路线和时间进行土石方及其它粉质建筑材料的运输。</w:t>
      </w:r>
    </w:p>
    <w:p>
      <w:pPr>
        <w:autoSpaceDE w:val="0"/>
        <w:autoSpaceDN w:val="0"/>
        <w:adjustRightInd w:val="0"/>
        <w:spacing w:line="360" w:lineRule="auto"/>
        <w:ind w:firstLine="480" w:firstLineChars="200"/>
        <w:rPr>
          <w:rFonts w:ascii="宋体" w:cs="宋体"/>
          <w:kern w:val="0"/>
          <w:sz w:val="24"/>
        </w:rPr>
      </w:pPr>
      <w:r>
        <w:rPr>
          <w:rFonts w:eastAsiaTheme="minorEastAsia"/>
          <w:kern w:val="0"/>
          <w:sz w:val="24"/>
        </w:rPr>
        <w:t>B</w:t>
      </w:r>
      <w:r>
        <w:rPr>
          <w:rFonts w:hint="eastAsia" w:ascii="宋体" w:cs="宋体"/>
          <w:kern w:val="0"/>
          <w:sz w:val="24"/>
        </w:rPr>
        <w:t>、运送建筑原料的车辆实行密闭运输，装载的物料、渣土高度不得超过车辆槽帮上沿，车斗用苫布遮盖或者采用密闭车斗，避免在运输过程中发生遗撒或泄漏。</w:t>
      </w:r>
    </w:p>
    <w:p>
      <w:pPr>
        <w:autoSpaceDE w:val="0"/>
        <w:autoSpaceDN w:val="0"/>
        <w:adjustRightInd w:val="0"/>
        <w:spacing w:line="360" w:lineRule="auto"/>
        <w:ind w:firstLine="480" w:firstLineChars="200"/>
        <w:rPr>
          <w:rFonts w:ascii="宋体" w:cs="宋体"/>
          <w:kern w:val="0"/>
          <w:sz w:val="24"/>
        </w:rPr>
      </w:pPr>
      <w:r>
        <w:rPr>
          <w:rFonts w:eastAsiaTheme="minorEastAsia"/>
          <w:kern w:val="0"/>
          <w:sz w:val="24"/>
        </w:rPr>
        <w:t>C</w:t>
      </w:r>
      <w:r>
        <w:rPr>
          <w:rFonts w:hint="eastAsia" w:ascii="宋体" w:cs="宋体"/>
          <w:kern w:val="0"/>
          <w:sz w:val="24"/>
        </w:rPr>
        <w:t>、运输车辆的载重等按照《城市道路管理条例》有关规定，防止超载，防止路面破损引起运输过程颠簸遗撒。</w:t>
      </w:r>
    </w:p>
    <w:p>
      <w:pPr>
        <w:autoSpaceDE w:val="0"/>
        <w:autoSpaceDN w:val="0"/>
        <w:adjustRightInd w:val="0"/>
        <w:spacing w:line="360" w:lineRule="auto"/>
        <w:ind w:firstLine="480" w:firstLineChars="200"/>
        <w:rPr>
          <w:rFonts w:ascii="宋体" w:cs="宋体"/>
          <w:kern w:val="0"/>
          <w:sz w:val="24"/>
        </w:rPr>
      </w:pPr>
      <w:r>
        <w:rPr>
          <w:rFonts w:eastAsiaTheme="minorEastAsia"/>
          <w:kern w:val="0"/>
          <w:sz w:val="24"/>
        </w:rPr>
        <w:t>D</w:t>
      </w:r>
      <w:r>
        <w:rPr>
          <w:rFonts w:hint="eastAsia" w:ascii="宋体" w:cs="宋体"/>
          <w:kern w:val="0"/>
          <w:sz w:val="24"/>
        </w:rPr>
        <w:t>、运输车辆在施工场地的出入口内侧设置洗车平台及隔油沉淀池，车辆驶离工地前，在洗车平台冲洗轮胎及车身，其表面不得附着污泥。</w:t>
      </w:r>
    </w:p>
    <w:p>
      <w:pPr>
        <w:spacing w:line="360" w:lineRule="auto"/>
        <w:ind w:firstLine="480" w:firstLineChars="200"/>
        <w:rPr>
          <w:rFonts w:hAnsiTheme="minorEastAsia" w:eastAsiaTheme="minorEastAsia"/>
          <w:kern w:val="0"/>
          <w:sz w:val="24"/>
        </w:rPr>
      </w:pPr>
      <w:r>
        <w:rPr>
          <w:rFonts w:hint="eastAsia" w:ascii="宋体" w:cs="宋体"/>
          <w:kern w:val="0"/>
          <w:sz w:val="24"/>
        </w:rPr>
        <w:t>②施工场内施工扬尘防治措施</w:t>
      </w:r>
      <w:r>
        <w:rPr>
          <w:rFonts w:hint="eastAsia" w:hAnsiTheme="minorEastAsia" w:eastAsiaTheme="minorEastAsia"/>
          <w:kern w:val="0"/>
          <w:sz w:val="24"/>
        </w:rPr>
        <w:t>。</w:t>
      </w:r>
    </w:p>
    <w:p>
      <w:pPr>
        <w:spacing w:line="360" w:lineRule="auto"/>
        <w:ind w:firstLine="480" w:firstLineChars="200"/>
        <w:rPr>
          <w:rFonts w:hAnsiTheme="minorEastAsia" w:eastAsiaTheme="minorEastAsia"/>
          <w:kern w:val="0"/>
          <w:sz w:val="24"/>
        </w:rPr>
      </w:pPr>
      <w:r>
        <w:rPr>
          <w:rFonts w:hint="eastAsia" w:hAnsi="宋体"/>
          <w:bCs/>
          <w:kern w:val="0"/>
          <w:sz w:val="24"/>
        </w:rPr>
        <w:t>严格控制建设施工扬尘，组织制定、完善和严格执行建设施工管理制度，全面推行现场标准化管理，施工场地做到“六必须”（必须围档作业、必须硬化道路、必须设置冲洗设施、必须及时洒水作业、必须落实保洁人员、必须定时清扫施工现场）、“六不准”（不准车辆带泥出门、不准运渣车辆冒顶装载、不准高空抛撒建筑垃圾、不准现场搅拌混凝土、不准场地积水、不准现场焚烧废弃物）。具体措施如下：</w:t>
      </w:r>
    </w:p>
    <w:p>
      <w:pPr>
        <w:spacing w:line="360" w:lineRule="auto"/>
        <w:ind w:firstLine="480" w:firstLineChars="200"/>
        <w:rPr>
          <w:rFonts w:hAnsiTheme="minorEastAsia" w:eastAsiaTheme="minorEastAsia"/>
          <w:kern w:val="0"/>
          <w:sz w:val="24"/>
        </w:rPr>
      </w:pPr>
      <w:r>
        <w:rPr>
          <w:rFonts w:hAnsiTheme="minorEastAsia" w:eastAsiaTheme="minorEastAsia"/>
          <w:kern w:val="0"/>
          <w:sz w:val="24"/>
        </w:rPr>
        <w:t>A</w:t>
      </w:r>
      <w:r>
        <w:rPr>
          <w:rFonts w:hint="eastAsia" w:hAnsiTheme="minorEastAsia" w:eastAsiaTheme="minorEastAsia"/>
          <w:kern w:val="0"/>
          <w:sz w:val="24"/>
        </w:rPr>
        <w:t>、在施工现场周边按照规定设置围档设施，对施工区域实行封闭；对堆土等易产生扬尘污染的建筑材料采取洒水、喷淋、覆盖、隔离等有效防尘措施。</w:t>
      </w:r>
    </w:p>
    <w:p>
      <w:pPr>
        <w:spacing w:line="360" w:lineRule="auto"/>
        <w:ind w:firstLine="480" w:firstLineChars="200"/>
        <w:rPr>
          <w:rFonts w:hAnsiTheme="minorEastAsia" w:eastAsiaTheme="minorEastAsia"/>
          <w:kern w:val="0"/>
          <w:sz w:val="24"/>
        </w:rPr>
      </w:pPr>
      <w:r>
        <w:rPr>
          <w:rFonts w:hAnsiTheme="minorEastAsia" w:eastAsiaTheme="minorEastAsia"/>
          <w:kern w:val="0"/>
          <w:sz w:val="24"/>
        </w:rPr>
        <w:t>B</w:t>
      </w:r>
      <w:r>
        <w:rPr>
          <w:rFonts w:hint="eastAsia" w:hAnsiTheme="minorEastAsia" w:eastAsiaTheme="minorEastAsia"/>
          <w:kern w:val="0"/>
          <w:sz w:val="24"/>
        </w:rPr>
        <w:t>、对于施工便道等裸露施工区地表压实处理，并指定专人定期喷水，使其保持一定的湿度，防止扬尘。</w:t>
      </w:r>
    </w:p>
    <w:p>
      <w:pPr>
        <w:spacing w:line="360" w:lineRule="auto"/>
        <w:ind w:firstLine="480" w:firstLineChars="200"/>
        <w:rPr>
          <w:rFonts w:hAnsiTheme="minorEastAsia" w:eastAsiaTheme="minorEastAsia"/>
          <w:kern w:val="0"/>
          <w:sz w:val="24"/>
        </w:rPr>
      </w:pPr>
      <w:r>
        <w:rPr>
          <w:rFonts w:hAnsiTheme="minorEastAsia" w:eastAsiaTheme="minorEastAsia"/>
          <w:kern w:val="0"/>
          <w:sz w:val="24"/>
        </w:rPr>
        <w:t>C</w:t>
      </w:r>
      <w:r>
        <w:rPr>
          <w:rFonts w:hint="eastAsia" w:hAnsiTheme="minorEastAsia" w:eastAsiaTheme="minorEastAsia"/>
          <w:kern w:val="0"/>
          <w:sz w:val="24"/>
        </w:rPr>
        <w:t>、天气预报</w:t>
      </w:r>
      <w:r>
        <w:rPr>
          <w:rFonts w:hAnsiTheme="minorEastAsia" w:eastAsiaTheme="minorEastAsia"/>
          <w:kern w:val="0"/>
          <w:sz w:val="24"/>
        </w:rPr>
        <w:t xml:space="preserve">4 </w:t>
      </w:r>
      <w:r>
        <w:rPr>
          <w:rFonts w:hint="eastAsia" w:hAnsiTheme="minorEastAsia" w:eastAsiaTheme="minorEastAsia"/>
          <w:kern w:val="0"/>
          <w:sz w:val="24"/>
        </w:rPr>
        <w:t>级风以上天气应停止产生扬尘的施工作业，例如土方工程、粉状建筑材料的相关作业。</w:t>
      </w:r>
    </w:p>
    <w:p>
      <w:pPr>
        <w:spacing w:line="360" w:lineRule="auto"/>
        <w:ind w:firstLine="480" w:firstLineChars="200"/>
        <w:rPr>
          <w:rFonts w:hAnsiTheme="minorEastAsia" w:eastAsiaTheme="minorEastAsia"/>
          <w:kern w:val="0"/>
          <w:sz w:val="24"/>
        </w:rPr>
      </w:pPr>
      <w:r>
        <w:rPr>
          <w:rFonts w:hAnsiTheme="minorEastAsia" w:eastAsiaTheme="minorEastAsia"/>
          <w:kern w:val="0"/>
          <w:sz w:val="24"/>
        </w:rPr>
        <w:t>D</w:t>
      </w:r>
      <w:r>
        <w:rPr>
          <w:rFonts w:hint="eastAsia" w:hAnsiTheme="minorEastAsia" w:eastAsiaTheme="minorEastAsia"/>
          <w:kern w:val="0"/>
          <w:sz w:val="24"/>
        </w:rPr>
        <w:t>、合理安排工期，尽可能地加快施工进度，减少施工时间，并建议施工单位采取逐片施工方式，避免大面积地表长时间裸露产生的扬尘。</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③堆场扬尘防治措施</w:t>
      </w:r>
    </w:p>
    <w:p>
      <w:pPr>
        <w:spacing w:line="360" w:lineRule="auto"/>
        <w:ind w:firstLine="480" w:firstLineChars="200"/>
        <w:rPr>
          <w:rFonts w:hAnsiTheme="minorEastAsia" w:eastAsiaTheme="minorEastAsia"/>
          <w:kern w:val="0"/>
          <w:sz w:val="24"/>
        </w:rPr>
      </w:pPr>
      <w:r>
        <w:rPr>
          <w:rFonts w:hAnsiTheme="minorEastAsia" w:eastAsiaTheme="minorEastAsia"/>
          <w:kern w:val="0"/>
          <w:sz w:val="24"/>
        </w:rPr>
        <w:t>A</w:t>
      </w:r>
      <w:r>
        <w:rPr>
          <w:rFonts w:hint="eastAsia" w:hAnsiTheme="minorEastAsia" w:eastAsiaTheme="minorEastAsia"/>
          <w:kern w:val="0"/>
          <w:sz w:val="24"/>
        </w:rPr>
        <w:t>、临时弃渣堆场需设置高于废弃物堆的围挡、防风网、挡风屏。</w:t>
      </w:r>
    </w:p>
    <w:p>
      <w:pPr>
        <w:spacing w:line="360" w:lineRule="auto"/>
        <w:ind w:firstLine="480" w:firstLineChars="200"/>
        <w:rPr>
          <w:rFonts w:hAnsiTheme="minorEastAsia" w:eastAsiaTheme="minorEastAsia"/>
          <w:kern w:val="0"/>
          <w:sz w:val="24"/>
        </w:rPr>
      </w:pPr>
      <w:r>
        <w:rPr>
          <w:rFonts w:hAnsiTheme="minorEastAsia" w:eastAsiaTheme="minorEastAsia"/>
          <w:kern w:val="0"/>
          <w:sz w:val="24"/>
        </w:rPr>
        <w:t>B</w:t>
      </w:r>
      <w:r>
        <w:rPr>
          <w:rFonts w:hint="eastAsia" w:hAnsiTheme="minorEastAsia" w:eastAsiaTheme="minorEastAsia"/>
          <w:kern w:val="0"/>
          <w:sz w:val="24"/>
        </w:rPr>
        <w:t>、对于散装粉状建筑材料利用仓库、封闭堆场、储藏罐等形式，避免作业起尘和风蚀起尘。</w:t>
      </w:r>
    </w:p>
    <w:p>
      <w:pPr>
        <w:spacing w:line="360" w:lineRule="auto"/>
        <w:ind w:firstLine="480" w:firstLineChars="200"/>
        <w:rPr>
          <w:rFonts w:hAnsiTheme="minorEastAsia" w:eastAsiaTheme="minorEastAsia"/>
          <w:kern w:val="0"/>
          <w:sz w:val="24"/>
        </w:rPr>
      </w:pPr>
      <w:r>
        <w:rPr>
          <w:rFonts w:hAnsiTheme="minorEastAsia" w:eastAsiaTheme="minorEastAsia"/>
          <w:kern w:val="0"/>
          <w:sz w:val="24"/>
        </w:rPr>
        <w:t>C</w:t>
      </w:r>
      <w:r>
        <w:rPr>
          <w:rFonts w:hint="eastAsia" w:hAnsiTheme="minorEastAsia" w:eastAsiaTheme="minorEastAsia"/>
          <w:kern w:val="0"/>
          <w:sz w:val="24"/>
        </w:rPr>
        <w:t>、若在工地内露天堆置砂石，则应采取覆盖防尘布、覆盖防尘网等措施，必要时进行喷淋，防止风蚀起尘。</w:t>
      </w:r>
    </w:p>
    <w:p>
      <w:pPr>
        <w:spacing w:line="360" w:lineRule="auto"/>
        <w:ind w:firstLine="480" w:firstLineChars="200"/>
        <w:rPr>
          <w:rFonts w:hAnsiTheme="minorEastAsia" w:eastAsiaTheme="minorEastAsia"/>
          <w:kern w:val="0"/>
          <w:sz w:val="24"/>
        </w:rPr>
      </w:pPr>
      <w:r>
        <w:rPr>
          <w:rFonts w:hAnsiTheme="minorEastAsia" w:eastAsiaTheme="minorEastAsia"/>
          <w:kern w:val="0"/>
          <w:sz w:val="24"/>
        </w:rPr>
        <w:t>D</w:t>
      </w:r>
      <w:r>
        <w:rPr>
          <w:rFonts w:hint="eastAsia" w:hAnsiTheme="minorEastAsia" w:eastAsiaTheme="minorEastAsia"/>
          <w:kern w:val="0"/>
          <w:sz w:val="24"/>
        </w:rPr>
        <w:t>、采用商品混凝土，避免现场搅拌混凝土产生的废气与粉尘，并减少建筑材料堆存量及扬尘的产生。</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④施工过程中，应严禁将废弃的建筑材料作为燃料燃烧。</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⑤项目应进行严格的施工布置，合理安排工作时间，明确施工路线，安排专人负责逸散性材料、垃圾、渣土、裸地等密闭、覆盖、洒水作业等工作，并记录扬尘控制措施。</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⑥施工结束后，应及时对施工占用场地恢复地面道路及植被。</w:t>
      </w:r>
    </w:p>
    <w:p>
      <w:pPr>
        <w:spacing w:line="360" w:lineRule="auto"/>
        <w:ind w:firstLine="482" w:firstLineChars="200"/>
        <w:rPr>
          <w:rFonts w:hAnsiTheme="minorEastAsia" w:eastAsiaTheme="minorEastAsia"/>
          <w:b/>
          <w:kern w:val="0"/>
          <w:sz w:val="24"/>
        </w:rPr>
      </w:pPr>
      <w:r>
        <w:rPr>
          <w:rFonts w:hint="eastAsia" w:hAnsiTheme="minorEastAsia" w:eastAsiaTheme="minorEastAsia"/>
          <w:b/>
          <w:kern w:val="0"/>
          <w:sz w:val="24"/>
        </w:rPr>
        <w:t>2、装修废气防治措施</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①从源头控制污染，选择含甲醛、苯系物、氨及放射性等污染物浓度较低的环保型建筑装修材料，以减少污染物产生浓度。所使用建筑材料必须符合《民用建筑工程室内环境污染控制规范》（GB50325-2001）一类民用建筑工程中相应规定。</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②加强室内通风，可加快污染物稀释扩散；使有毒有害气体浓度降低，改善室内空气质量；在地上铺熟石灰或放置活性炭于室内吸附甲醛。</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③项目营运前工程验收时，应进行室内环境污染浓度监测，监测结果应符合《民用建筑工程室内环境污染控制规范》（GB50325-2001）一类建筑污染物浓度标准后方可使用</w:t>
      </w:r>
      <w:r>
        <w:rPr>
          <w:rFonts w:hint="eastAsia" w:hAnsiTheme="minorEastAsia" w:eastAsiaTheme="minorEastAsia"/>
          <w:kern w:val="0"/>
          <w:sz w:val="24"/>
          <w:lang w:eastAsia="zh-CN"/>
        </w:rPr>
        <w:t>；</w:t>
      </w:r>
      <w:r>
        <w:rPr>
          <w:rFonts w:hint="eastAsia" w:hAnsiTheme="minorEastAsia" w:eastAsiaTheme="minorEastAsia"/>
          <w:kern w:val="0"/>
          <w:sz w:val="24"/>
        </w:rPr>
        <w:t>项目营运后确保员工宿舍、办公室等用房室内空气经生态环境部门检测符合《室内空气质量标准》（GB/TI 883-2002）中相应规定后方可投入使用。</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综上所述，只要加强管理、切实落实好这些措施，施工场地扬尘、运输车辆尾气、装修废气对环境的影响将会大大降低，同时其对环境的影响也将随施工的结束而消失。因此，本项目施工期的大气环境污染防治措施是可行的。</w:t>
      </w:r>
    </w:p>
    <w:p>
      <w:pPr>
        <w:pStyle w:val="7"/>
        <w:adjustRightInd w:val="0"/>
        <w:snapToGrid w:val="0"/>
        <w:spacing w:before="0" w:after="0" w:line="360" w:lineRule="auto"/>
        <w:jc w:val="left"/>
        <w:rPr>
          <w:sz w:val="24"/>
          <w:szCs w:val="24"/>
        </w:rPr>
      </w:pPr>
      <w:bookmarkStart w:id="336" w:name="_Toc517522336"/>
      <w:r>
        <w:rPr>
          <w:rFonts w:hint="eastAsia"/>
          <w:sz w:val="24"/>
          <w:szCs w:val="24"/>
        </w:rPr>
        <w:t xml:space="preserve">7.1.2 </w:t>
      </w:r>
      <w:r>
        <w:rPr>
          <w:sz w:val="24"/>
          <w:szCs w:val="24"/>
        </w:rPr>
        <w:t>水污染防治措施及可行性论证</w:t>
      </w:r>
      <w:bookmarkEnd w:id="336"/>
    </w:p>
    <w:p>
      <w:pPr>
        <w:autoSpaceDE w:val="0"/>
        <w:autoSpaceDN w:val="0"/>
        <w:adjustRightInd w:val="0"/>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施工期废水包括施工人员的生活污水和施工废水（泥浆水、基坑开挖排水、混凝土养护水、施工设备清洗及进出车辆冲洗废水），施工废水污染治理措施如下：</w:t>
      </w:r>
    </w:p>
    <w:p>
      <w:pPr>
        <w:autoSpaceDE w:val="0"/>
        <w:autoSpaceDN w:val="0"/>
        <w:adjustRightInd w:val="0"/>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（1）生活污水经临时化粪池处理后，用作农肥，此方法在周边有耕地的地方普遍采用，可减少耕地化肥的施用量，有利于保护环境。</w:t>
      </w:r>
    </w:p>
    <w:p>
      <w:pPr>
        <w:autoSpaceDE w:val="0"/>
        <w:autoSpaceDN w:val="0"/>
        <w:adjustRightInd w:val="0"/>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（2）水泥、黄沙类的建筑材料需集中堆放，四周必须开挖明沟和沉沙井，必要时还要设置阻隔挡墙，防止暴雨径流引起水体污染。及时清扫施工运输过程中抛射的建筑材料，物料堆场。</w:t>
      </w:r>
    </w:p>
    <w:p>
      <w:pPr>
        <w:autoSpaceDE w:val="0"/>
        <w:autoSpaceDN w:val="0"/>
        <w:adjustRightInd w:val="0"/>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（3）建设单位严禁任何废水未经处理随意排放，施工泥浆水须经沉淀池沉淀后全部回用；污水沉淀时间应大于2小时，因此须在工地施工出口处，设置一个30m</w:t>
      </w:r>
      <w:r>
        <w:rPr>
          <w:rFonts w:hint="eastAsia" w:hAnsiTheme="minorEastAsia" w:eastAsiaTheme="minorEastAsia"/>
          <w:kern w:val="0"/>
          <w:sz w:val="24"/>
          <w:vertAlign w:val="superscript"/>
        </w:rPr>
        <w:t>3</w:t>
      </w:r>
      <w:r>
        <w:rPr>
          <w:rFonts w:hint="eastAsia" w:hAnsiTheme="minorEastAsia" w:eastAsiaTheme="minorEastAsia"/>
          <w:kern w:val="0"/>
          <w:sz w:val="24"/>
        </w:rPr>
        <w:t>的施工期车辆清洗设施和沉淀池，以收集施工污水，清洗废水经沉淀池澄清后循环使用于生产或者路面养护，本项目设2个贮水池，污水产生量较多如不能及时回用时可进入贮水池暂时贮存，施工废水不外排。</w:t>
      </w:r>
    </w:p>
    <w:p>
      <w:pPr>
        <w:autoSpaceDE w:val="0"/>
        <w:autoSpaceDN w:val="0"/>
        <w:adjustRightInd w:val="0"/>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（4）在施工工地周界应设置排水明沟，场地冲洗废水和施工场地初期雨水，经隔油沉淀处理后用于生产或者路面养护。</w:t>
      </w:r>
    </w:p>
    <w:p>
      <w:pPr>
        <w:autoSpaceDE w:val="0"/>
        <w:autoSpaceDN w:val="0"/>
        <w:adjustRightInd w:val="0"/>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（5）为了减少养护废水对水环境的影响，在养护洒水过程中，采取少量多次，确保路面湿润而水不流到环境中。</w:t>
      </w:r>
    </w:p>
    <w:p>
      <w:pPr>
        <w:autoSpaceDE w:val="0"/>
        <w:autoSpaceDN w:val="0"/>
        <w:adjustRightInd w:val="0"/>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6）在施工过程中应加强对机械设备的检修，防止设备漏油现象的发生。施工机械设备的维修应在专业厂家进行，防止施工现场地表油类污染;定时清洁建筑施工机械表面不必要的润滑油及其它油污，尽量减小建筑施工机械设备与水体的直接接触。</w:t>
      </w:r>
    </w:p>
    <w:p>
      <w:pPr>
        <w:autoSpaceDE w:val="0"/>
        <w:autoSpaceDN w:val="0"/>
        <w:adjustRightInd w:val="0"/>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（7）建筑材料运输及堆放过程必须严格按照交通部有关规范规定，在施工中应根据不同建筑材料的特点，有针对性的加强保护管理措施，禁止废物和有毒物质进入水体。</w:t>
      </w:r>
    </w:p>
    <w:p>
      <w:pPr>
        <w:autoSpaceDE w:val="0"/>
        <w:autoSpaceDN w:val="0"/>
        <w:adjustRightInd w:val="0"/>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（8）土方随挖随填，随铺随压，以减少水土流失。</w:t>
      </w:r>
    </w:p>
    <w:p>
      <w:pPr>
        <w:autoSpaceDE w:val="0"/>
        <w:autoSpaceDN w:val="0"/>
        <w:adjustRightInd w:val="0"/>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经采取以上措施后，本项目施工期对地表水环境的影响将不大。因此，本项目施工期的水污染防治措施是可行的。</w:t>
      </w:r>
    </w:p>
    <w:p>
      <w:pPr>
        <w:pStyle w:val="7"/>
        <w:adjustRightInd w:val="0"/>
        <w:snapToGrid w:val="0"/>
        <w:spacing w:before="0" w:after="0" w:line="360" w:lineRule="auto"/>
        <w:jc w:val="left"/>
        <w:rPr>
          <w:sz w:val="24"/>
          <w:szCs w:val="24"/>
        </w:rPr>
      </w:pPr>
      <w:bookmarkStart w:id="337" w:name="_Toc517522337"/>
      <w:r>
        <w:rPr>
          <w:rFonts w:hint="eastAsia"/>
          <w:sz w:val="24"/>
          <w:szCs w:val="24"/>
        </w:rPr>
        <w:t xml:space="preserve">7.1.3 </w:t>
      </w:r>
      <w:r>
        <w:rPr>
          <w:sz w:val="24"/>
          <w:szCs w:val="24"/>
        </w:rPr>
        <w:t>噪声防治措施及可行性论证</w:t>
      </w:r>
      <w:bookmarkEnd w:id="337"/>
    </w:p>
    <w:p>
      <w:pPr>
        <w:spacing w:line="360" w:lineRule="auto"/>
        <w:ind w:firstLine="480" w:firstLineChars="200"/>
        <w:rPr>
          <w:sz w:val="24"/>
        </w:rPr>
      </w:pPr>
      <w:r>
        <w:rPr>
          <w:rFonts w:hint="eastAsia"/>
          <w:sz w:val="24"/>
        </w:rPr>
        <w:t>施工期的噪声主要可分为机械噪声、施工作业噪声和施工车辆噪声等，可分别采取相应的控制措施，防止噪声影响周围环境和人们的正常生活，评价建议：</w:t>
      </w:r>
    </w:p>
    <w:p>
      <w:pPr>
        <w:spacing w:line="360" w:lineRule="auto"/>
        <w:ind w:firstLine="480" w:firstLineChars="200"/>
        <w:rPr>
          <w:sz w:val="24"/>
        </w:rPr>
      </w:pPr>
      <w:r>
        <w:rPr>
          <w:rFonts w:hint="eastAsia"/>
          <w:sz w:val="24"/>
        </w:rPr>
        <w:t>（1）使用低噪声机械设备，同时在施工过程中施工单位应设专人对设备进行定期保养和维护，并负责对现场工作人员进行培训，严格按操作规范使用各类机械。</w:t>
      </w:r>
    </w:p>
    <w:p>
      <w:pPr>
        <w:spacing w:line="360" w:lineRule="auto"/>
        <w:ind w:firstLine="480" w:firstLineChars="200"/>
        <w:rPr>
          <w:sz w:val="24"/>
        </w:rPr>
      </w:pPr>
      <w:r>
        <w:rPr>
          <w:rFonts w:hint="eastAsia"/>
          <w:sz w:val="24"/>
        </w:rPr>
        <w:t>（2）对高噪声的施工机械要采取一定的减震、隔音等降噪措施，定期检查施工设备，一发现产生的噪声增加应及时维修或更换。</w:t>
      </w:r>
    </w:p>
    <w:p>
      <w:pPr>
        <w:spacing w:line="360" w:lineRule="auto"/>
        <w:ind w:firstLine="480" w:firstLineChars="200"/>
        <w:rPr>
          <w:sz w:val="24"/>
        </w:rPr>
      </w:pPr>
      <w:r>
        <w:rPr>
          <w:rFonts w:hint="eastAsia"/>
          <w:sz w:val="24"/>
        </w:rPr>
        <w:t>（3）合理安排施工计划和施工机械设备组合以及施工时间，避免在同一时间集中使用大量的动力机械设备。</w:t>
      </w:r>
    </w:p>
    <w:p>
      <w:pPr>
        <w:spacing w:line="360" w:lineRule="auto"/>
        <w:ind w:firstLine="480" w:firstLineChars="200"/>
        <w:rPr>
          <w:sz w:val="24"/>
        </w:rPr>
      </w:pPr>
      <w:r>
        <w:rPr>
          <w:rFonts w:hint="eastAsia"/>
          <w:sz w:val="24"/>
        </w:rPr>
        <w:t>（4）对施工进行合理布局，尽量使高噪声的机械设备远离环境敏感点。</w:t>
      </w:r>
    </w:p>
    <w:p>
      <w:pPr>
        <w:spacing w:line="360" w:lineRule="auto"/>
        <w:ind w:firstLine="480" w:firstLineChars="200"/>
        <w:rPr>
          <w:sz w:val="24"/>
        </w:rPr>
      </w:pPr>
      <w:r>
        <w:rPr>
          <w:rFonts w:hint="eastAsia"/>
          <w:sz w:val="24"/>
        </w:rPr>
        <w:t>（5）在施工场地周围有敏感点的地方设立临时声屏障，在高噪声的机械设备旁建立独立声屏障，以减轻没备噪声对周围环境的影响。</w:t>
      </w:r>
    </w:p>
    <w:p>
      <w:pPr>
        <w:spacing w:line="360" w:lineRule="auto"/>
        <w:ind w:firstLine="480" w:firstLineChars="200"/>
        <w:rPr>
          <w:sz w:val="24"/>
        </w:rPr>
      </w:pPr>
      <w:r>
        <w:rPr>
          <w:rFonts w:hint="eastAsia"/>
          <w:sz w:val="24"/>
        </w:rPr>
        <w:t>（6）车辆出入现场时应低速、禁鸣。</w:t>
      </w:r>
    </w:p>
    <w:p>
      <w:pPr>
        <w:spacing w:line="360" w:lineRule="auto"/>
        <w:ind w:firstLine="480" w:firstLineChars="200"/>
        <w:rPr>
          <w:sz w:val="24"/>
        </w:rPr>
      </w:pPr>
      <w:r>
        <w:rPr>
          <w:rFonts w:hint="eastAsia"/>
          <w:sz w:val="24"/>
        </w:rPr>
        <w:t>（7）建设管理部门加强对施工场地的噪声管理，施工企业也应对施工噪声进行自律，文明施工，避免因施工噪声产生纠纷。</w:t>
      </w:r>
    </w:p>
    <w:p>
      <w:pPr>
        <w:spacing w:line="360" w:lineRule="auto"/>
        <w:ind w:firstLine="480" w:firstLineChars="200"/>
        <w:rPr>
          <w:sz w:val="24"/>
        </w:rPr>
      </w:pPr>
      <w:r>
        <w:rPr>
          <w:rFonts w:hint="eastAsia"/>
          <w:sz w:val="24"/>
        </w:rPr>
        <w:t>综上所述，采取上述措施后，对周围环境和环保目标影响较小。因此，本项目施工期的声环境污染防治措施是可行的。</w:t>
      </w:r>
    </w:p>
    <w:p>
      <w:pPr>
        <w:pStyle w:val="7"/>
        <w:adjustRightInd w:val="0"/>
        <w:snapToGrid w:val="0"/>
        <w:spacing w:before="0" w:after="0" w:line="360" w:lineRule="auto"/>
        <w:jc w:val="left"/>
        <w:rPr>
          <w:sz w:val="24"/>
          <w:szCs w:val="24"/>
        </w:rPr>
      </w:pPr>
      <w:bookmarkStart w:id="338" w:name="_Toc517522338"/>
      <w:r>
        <w:rPr>
          <w:rFonts w:hint="eastAsia"/>
          <w:sz w:val="24"/>
          <w:szCs w:val="24"/>
        </w:rPr>
        <w:t xml:space="preserve">7.1.4 </w:t>
      </w:r>
      <w:r>
        <w:rPr>
          <w:sz w:val="24"/>
          <w:szCs w:val="24"/>
        </w:rPr>
        <w:t>固体废弃物处置及可行性论证</w:t>
      </w:r>
      <w:bookmarkEnd w:id="338"/>
    </w:p>
    <w:p>
      <w:pPr>
        <w:autoSpaceDE w:val="0"/>
        <w:autoSpaceDN w:val="0"/>
        <w:adjustRightInd w:val="0"/>
        <w:spacing w:line="360" w:lineRule="auto"/>
        <w:ind w:firstLine="480" w:firstLineChars="200"/>
        <w:rPr>
          <w:sz w:val="24"/>
        </w:rPr>
      </w:pPr>
      <w:r>
        <w:rPr>
          <w:rFonts w:hint="eastAsia"/>
          <w:sz w:val="24"/>
        </w:rPr>
        <w:t>针对施工期的固体废物，需采取以下措施：</w:t>
      </w:r>
    </w:p>
    <w:p>
      <w:pPr>
        <w:autoSpaceDE w:val="0"/>
        <w:autoSpaceDN w:val="0"/>
        <w:adjustRightInd w:val="0"/>
        <w:spacing w:line="360" w:lineRule="auto"/>
        <w:ind w:firstLine="480" w:firstLineChars="200"/>
        <w:rPr>
          <w:sz w:val="24"/>
        </w:rPr>
      </w:pPr>
      <w:r>
        <w:rPr>
          <w:rFonts w:hint="eastAsia"/>
          <w:sz w:val="24"/>
        </w:rPr>
        <w:t>（1）由工程分析可知，</w:t>
      </w:r>
      <w:r>
        <w:rPr>
          <w:bCs/>
          <w:snapToGrid w:val="0"/>
          <w:color w:val="000000" w:themeColor="text1"/>
          <w:kern w:val="0"/>
          <w:sz w:val="24"/>
        </w:rPr>
        <w:t>本项目内部能实现土石方平衡，无废土石方外运</w:t>
      </w:r>
      <w:r>
        <w:rPr>
          <w:rFonts w:hint="eastAsia"/>
          <w:sz w:val="24"/>
        </w:rPr>
        <w:t>。</w:t>
      </w:r>
    </w:p>
    <w:p>
      <w:pPr>
        <w:autoSpaceDE w:val="0"/>
        <w:autoSpaceDN w:val="0"/>
        <w:adjustRightInd w:val="0"/>
        <w:spacing w:line="360" w:lineRule="auto"/>
        <w:ind w:firstLine="480" w:firstLineChars="200"/>
        <w:rPr>
          <w:sz w:val="24"/>
        </w:rPr>
      </w:pPr>
      <w:r>
        <w:rPr>
          <w:rFonts w:hint="eastAsia"/>
          <w:sz w:val="24"/>
        </w:rPr>
        <w:t>（2）该项目建设施工期间将产生一定量的建筑垃圾，其中能回收利用的建筑材料（如钢筋和木材），全部外售给废品回收公司。不能回收的建筑垃圾由当地城管部门指定地方消纳填埋。建议集中垃圾堆场采用四周挖明沟等方式，防止因暴雨冲刷而进入水体。</w:t>
      </w:r>
    </w:p>
    <w:p>
      <w:pPr>
        <w:autoSpaceDE w:val="0"/>
        <w:autoSpaceDN w:val="0"/>
        <w:adjustRightInd w:val="0"/>
        <w:spacing w:line="360" w:lineRule="auto"/>
        <w:ind w:firstLine="480" w:firstLineChars="200"/>
        <w:rPr>
          <w:rFonts w:hAnsiTheme="minorEastAsia" w:eastAsiaTheme="minorEastAsia"/>
          <w:kern w:val="0"/>
          <w:sz w:val="24"/>
        </w:rPr>
      </w:pPr>
      <w:r>
        <w:rPr>
          <w:rFonts w:hint="eastAsia"/>
          <w:sz w:val="24"/>
        </w:rPr>
        <w:t>（3）施工单位加强管理，在施工场地内设临时垃圾箱，由专人收集工地内产生的生活垃圾，并统一由环卫部门及时清运</w:t>
      </w:r>
      <w:r>
        <w:rPr>
          <w:rFonts w:hint="eastAsia" w:hAnsiTheme="minorEastAsia" w:eastAsiaTheme="minorEastAsia"/>
          <w:kern w:val="0"/>
          <w:sz w:val="24"/>
        </w:rPr>
        <w:t>。</w:t>
      </w:r>
    </w:p>
    <w:p>
      <w:pPr>
        <w:autoSpaceDE w:val="0"/>
        <w:autoSpaceDN w:val="0"/>
        <w:adjustRightInd w:val="0"/>
        <w:spacing w:line="360" w:lineRule="auto"/>
        <w:ind w:firstLine="480" w:firstLineChars="200"/>
        <w:rPr>
          <w:rFonts w:hAnsiTheme="minorEastAsia" w:eastAsiaTheme="minorEastAsia"/>
          <w:kern w:val="0"/>
          <w:sz w:val="24"/>
        </w:rPr>
      </w:pPr>
      <w:r>
        <w:rPr>
          <w:rFonts w:hAnsiTheme="minorEastAsia" w:eastAsiaTheme="minorEastAsia"/>
          <w:kern w:val="0"/>
          <w:sz w:val="24"/>
        </w:rPr>
        <w:t>（</w:t>
      </w:r>
      <w:r>
        <w:rPr>
          <w:rFonts w:hint="eastAsia" w:hAnsiTheme="minorEastAsia" w:eastAsiaTheme="minorEastAsia"/>
          <w:kern w:val="0"/>
          <w:sz w:val="24"/>
        </w:rPr>
        <w:t>4</w:t>
      </w:r>
      <w:r>
        <w:rPr>
          <w:rFonts w:hAnsiTheme="minorEastAsia" w:eastAsiaTheme="minorEastAsia"/>
          <w:kern w:val="0"/>
          <w:sz w:val="24"/>
        </w:rPr>
        <w:t>）</w:t>
      </w:r>
      <w:r>
        <w:rPr>
          <w:rFonts w:hint="eastAsia" w:hAnsiTheme="minorEastAsia" w:eastAsiaTheme="minorEastAsia"/>
          <w:kern w:val="0"/>
          <w:sz w:val="24"/>
        </w:rPr>
        <w:t>不得占用道路堆放建筑垃圾、工程渣土。</w:t>
      </w:r>
    </w:p>
    <w:p>
      <w:pPr>
        <w:autoSpaceDE w:val="0"/>
        <w:autoSpaceDN w:val="0"/>
        <w:adjustRightInd w:val="0"/>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5）车辆运输散体物和废弃物时，须用封闭式渣土运输车将建筑垃圾及时清运,不能随意抛弃、转移和扩散，更不能向周围环境转移，及时将固废运到指定地点（如垃圾填埋场、铺路基等）妥善处置，严防制造新的“垃圾堆场”，对周围环境造成二次污染。运载土方的车辆必须在规定的时间内，按指定路段行驶。</w:t>
      </w:r>
    </w:p>
    <w:p>
      <w:pPr>
        <w:autoSpaceDE w:val="0"/>
        <w:autoSpaceDN w:val="0"/>
        <w:adjustRightInd w:val="0"/>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综上可述，本项目实施上述固体废物管理措施后，施工期产生的固体废物对区域环境影响很小。因此，本项目施工期固体废物污染防治措施是可行的。</w:t>
      </w:r>
    </w:p>
    <w:p>
      <w:pPr>
        <w:pStyle w:val="7"/>
        <w:tabs>
          <w:tab w:val="left" w:pos="567"/>
        </w:tabs>
        <w:adjustRightInd w:val="0"/>
        <w:snapToGrid w:val="0"/>
        <w:spacing w:before="0" w:after="0" w:line="360" w:lineRule="auto"/>
        <w:jc w:val="left"/>
        <w:rPr>
          <w:sz w:val="24"/>
          <w:szCs w:val="24"/>
        </w:rPr>
      </w:pPr>
      <w:bookmarkStart w:id="339" w:name="_Toc517522339"/>
      <w:r>
        <w:rPr>
          <w:rFonts w:hint="eastAsia"/>
          <w:sz w:val="24"/>
          <w:szCs w:val="24"/>
        </w:rPr>
        <w:t xml:space="preserve">7.1.5 </w:t>
      </w:r>
      <w:r>
        <w:rPr>
          <w:sz w:val="24"/>
          <w:szCs w:val="24"/>
        </w:rPr>
        <w:t>生态保护措施及可行性论证</w:t>
      </w:r>
      <w:bookmarkEnd w:id="339"/>
    </w:p>
    <w:p>
      <w:pPr>
        <w:autoSpaceDE w:val="0"/>
        <w:autoSpaceDN w:val="0"/>
        <w:adjustRightInd w:val="0"/>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在施工期间应采取生态环境保护措施，以利于项目建成后的生态环境恢复和建设：</w:t>
      </w:r>
    </w:p>
    <w:p>
      <w:pPr>
        <w:autoSpaceDE w:val="0"/>
        <w:autoSpaceDN w:val="0"/>
        <w:adjustRightInd w:val="0"/>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1、施工期间项目开发区域的大部分植被将会消失，但应尽量结合绿地建设争取保留项目边缘地带的植被，因为这些物种是适合当地生长条件的乡土植物，是当地植被建设的基础。施工期间尽量保留这些植物群落和物种，并适当地对其进行改造，是改善区域生态环境的良好途径，既可节省复绿开支，也可减少物种的生态入侵及绿地与当地景观不协调的问题</w:t>
      </w:r>
      <w:r>
        <w:rPr>
          <w:rFonts w:hAnsiTheme="minorEastAsia" w:eastAsiaTheme="minorEastAsia"/>
          <w:kern w:val="0"/>
          <w:sz w:val="24"/>
        </w:rPr>
        <w:t>。</w:t>
      </w:r>
    </w:p>
    <w:p>
      <w:pPr>
        <w:autoSpaceDE w:val="0"/>
        <w:autoSpaceDN w:val="0"/>
        <w:adjustRightInd w:val="0"/>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2、水土保持工作应坚持及时、多样、因地制宜、长短期相结合以及总体和局部结合的原则。结合本建设区域的具体情况在施工中可以采取以下对策：</w:t>
      </w:r>
    </w:p>
    <w:p>
      <w:pPr>
        <w:autoSpaceDE w:val="0"/>
        <w:autoSpaceDN w:val="0"/>
        <w:adjustRightInd w:val="0"/>
        <w:spacing w:line="360" w:lineRule="auto"/>
        <w:ind w:firstLine="480" w:firstLineChars="200"/>
        <w:rPr>
          <w:rFonts w:eastAsiaTheme="minorEastAsia"/>
          <w:kern w:val="0"/>
          <w:sz w:val="24"/>
        </w:rPr>
      </w:pPr>
      <w:r>
        <w:rPr>
          <w:rFonts w:hint="eastAsia" w:ascii="宋体" w:hAnsi="宋体" w:cs="宋体"/>
          <w:kern w:val="0"/>
          <w:sz w:val="24"/>
        </w:rPr>
        <w:t>①</w:t>
      </w:r>
      <w:r>
        <w:rPr>
          <w:rFonts w:hint="eastAsia" w:eastAsiaTheme="minorEastAsia"/>
          <w:kern w:val="0"/>
          <w:sz w:val="24"/>
        </w:rPr>
        <w:t>建设单位在动工前应在必要地段完成拦土堤及护坡垒砌工程，在整体上形成完整的档土墙体系。同时，开边沟，边坡要用石块铺砌，填土场的上游要设置导流沟，防止上游的径流冲刷填土场</w:t>
      </w:r>
      <w:r>
        <w:rPr>
          <w:rFonts w:eastAsiaTheme="minorEastAsia"/>
          <w:kern w:val="0"/>
          <w:sz w:val="24"/>
        </w:rPr>
        <w:t>。</w:t>
      </w:r>
    </w:p>
    <w:p>
      <w:pPr>
        <w:autoSpaceDE w:val="0"/>
        <w:autoSpaceDN w:val="0"/>
        <w:adjustRightInd w:val="0"/>
        <w:spacing w:line="360" w:lineRule="auto"/>
        <w:ind w:firstLine="480" w:firstLineChars="200"/>
        <w:rPr>
          <w:rFonts w:eastAsiaTheme="minorEastAsia"/>
          <w:kern w:val="0"/>
          <w:sz w:val="24"/>
        </w:rPr>
      </w:pPr>
      <w:r>
        <w:rPr>
          <w:rFonts w:hint="eastAsia" w:ascii="宋体" w:hAnsi="宋体" w:cs="宋体"/>
          <w:kern w:val="0"/>
          <w:sz w:val="24"/>
        </w:rPr>
        <w:t>②</w:t>
      </w:r>
      <w:r>
        <w:rPr>
          <w:rFonts w:hint="eastAsia" w:eastAsiaTheme="minorEastAsia"/>
          <w:kern w:val="0"/>
          <w:sz w:val="24"/>
        </w:rPr>
        <w:t>开发区周围设置防洪墙或淤泥幕，防止对水体的淤积影响。</w:t>
      </w:r>
    </w:p>
    <w:p>
      <w:pPr>
        <w:autoSpaceDE w:val="0"/>
        <w:autoSpaceDN w:val="0"/>
        <w:adjustRightInd w:val="0"/>
        <w:spacing w:line="360" w:lineRule="auto"/>
        <w:ind w:firstLine="480" w:firstLineChars="200"/>
        <w:rPr>
          <w:rFonts w:eastAsiaTheme="minorEastAsia"/>
          <w:kern w:val="0"/>
          <w:sz w:val="24"/>
        </w:rPr>
      </w:pPr>
      <w:r>
        <w:rPr>
          <w:rFonts w:hint="eastAsia" w:ascii="宋体" w:hAnsi="宋体" w:cs="宋体"/>
          <w:kern w:val="0"/>
          <w:sz w:val="24"/>
        </w:rPr>
        <w:t>③</w:t>
      </w:r>
      <w:r>
        <w:rPr>
          <w:rFonts w:hint="eastAsia" w:eastAsiaTheme="minorEastAsia"/>
          <w:kern w:val="0"/>
          <w:sz w:val="24"/>
        </w:rPr>
        <w:t>在推挖填土工程完成后，工地往往还要裸露一段时间才能完成建设或重新绿化，这就要及时在地面的径流汇集线上设置缓流泥砂阻隔带。阻隔带可以采用透水的高强PVC编织带，用角铁或木桩将编织袋固置于与汇流线相切的方向上，带高一般为50cm就已足够，带长可以视地形决定，一般为数米至数十米不等，可以有效地阻止泥沙随径流的初始流动，控制住施工期的水土流失</w:t>
      </w:r>
      <w:r>
        <w:rPr>
          <w:rFonts w:eastAsiaTheme="minorEastAsia"/>
          <w:kern w:val="0"/>
          <w:sz w:val="24"/>
        </w:rPr>
        <w:t>。</w:t>
      </w:r>
    </w:p>
    <w:p>
      <w:pPr>
        <w:autoSpaceDE w:val="0"/>
        <w:autoSpaceDN w:val="0"/>
        <w:adjustRightInd w:val="0"/>
        <w:spacing w:line="360" w:lineRule="auto"/>
        <w:ind w:firstLine="480" w:firstLineChars="200"/>
        <w:rPr>
          <w:rFonts w:eastAsiaTheme="minorEastAsia"/>
          <w:kern w:val="0"/>
          <w:sz w:val="24"/>
        </w:rPr>
      </w:pPr>
      <w:r>
        <w:rPr>
          <w:rFonts w:hint="eastAsia" w:eastAsiaTheme="minorEastAsia"/>
          <w:kern w:val="0"/>
          <w:sz w:val="24"/>
        </w:rPr>
        <w:t>④在施工中，要合理安排施工计划、施工程序，协调好各个施工步骤，土方填挖应尽量集中和避开暴雨期，并争取土料随挖随运、随填随压，减少堆土裸土的暴露时间，以避免受降雨的直接冲刷。在暴雨期，还应采取应急措施，尽量用覆盖物覆盖新开挖的陡坡，防止冲刷和崩塌。</w:t>
      </w:r>
    </w:p>
    <w:p>
      <w:pPr>
        <w:autoSpaceDE w:val="0"/>
        <w:autoSpaceDN w:val="0"/>
        <w:adjustRightInd w:val="0"/>
        <w:spacing w:line="360" w:lineRule="auto"/>
        <w:ind w:firstLine="480" w:firstLineChars="200"/>
        <w:rPr>
          <w:rFonts w:eastAsiaTheme="minorEastAsia"/>
          <w:kern w:val="0"/>
          <w:sz w:val="24"/>
        </w:rPr>
      </w:pPr>
      <w:r>
        <w:rPr>
          <w:rFonts w:hint="eastAsia" w:eastAsiaTheme="minorEastAsia"/>
          <w:kern w:val="0"/>
          <w:sz w:val="24"/>
        </w:rPr>
        <w:t>⑤各个分项目建成以后，及时恢复被扰乱的地域，重新组织未利用的小块土地，种植人工植被，辟为花园或绿地；管理部门应组织人员对区内荒芜的地块栽种人工植被，减少自然的水土流失。</w:t>
      </w:r>
    </w:p>
    <w:p>
      <w:pPr>
        <w:pStyle w:val="7"/>
        <w:tabs>
          <w:tab w:val="left" w:pos="567"/>
        </w:tabs>
        <w:adjustRightInd w:val="0"/>
        <w:snapToGrid w:val="0"/>
        <w:spacing w:before="0" w:after="0" w:line="360" w:lineRule="auto"/>
        <w:jc w:val="left"/>
        <w:rPr>
          <w:sz w:val="24"/>
          <w:szCs w:val="24"/>
        </w:rPr>
      </w:pPr>
      <w:r>
        <w:rPr>
          <w:rFonts w:hint="eastAsia"/>
          <w:sz w:val="24"/>
          <w:szCs w:val="24"/>
        </w:rPr>
        <w:t>7.1.6 水土流失防治</w:t>
      </w:r>
      <w:r>
        <w:rPr>
          <w:sz w:val="24"/>
          <w:szCs w:val="24"/>
        </w:rPr>
        <w:t>措施及可行性论证</w:t>
      </w:r>
    </w:p>
    <w:p>
      <w:pPr>
        <w:autoSpaceDE w:val="0"/>
        <w:autoSpaceDN w:val="0"/>
        <w:adjustRightInd w:val="0"/>
        <w:spacing w:line="360" w:lineRule="auto"/>
        <w:ind w:firstLine="480" w:firstLineChars="200"/>
        <w:rPr>
          <w:rFonts w:eastAsiaTheme="minorEastAsia"/>
          <w:kern w:val="0"/>
          <w:sz w:val="24"/>
        </w:rPr>
      </w:pPr>
      <w:r>
        <w:rPr>
          <w:rFonts w:hint="eastAsia" w:eastAsiaTheme="minorEastAsia"/>
          <w:kern w:val="0"/>
          <w:sz w:val="24"/>
        </w:rPr>
        <w:t>①合理安排施工季节，尽量避免雨季施工。不能避免时，应做好雨季施工防排水工作，保证施工期间排水通畅，不出现积水浸泡工作面的现象。</w:t>
      </w:r>
    </w:p>
    <w:p>
      <w:pPr>
        <w:autoSpaceDE w:val="0"/>
        <w:autoSpaceDN w:val="0"/>
        <w:adjustRightInd w:val="0"/>
        <w:spacing w:line="360" w:lineRule="auto"/>
        <w:ind w:firstLine="480" w:firstLineChars="200"/>
        <w:rPr>
          <w:rFonts w:eastAsiaTheme="minorEastAsia"/>
          <w:kern w:val="0"/>
          <w:sz w:val="24"/>
        </w:rPr>
      </w:pPr>
      <w:r>
        <w:rPr>
          <w:rFonts w:hint="eastAsia" w:eastAsiaTheme="minorEastAsia"/>
          <w:kern w:val="0"/>
          <w:sz w:val="24"/>
        </w:rPr>
        <w:t>②合理安排施工进度，衔接好各施工程序，及时配套完成水土保持措施，做到工序紧凑、有序，以减少施工期土壤流失量。</w:t>
      </w:r>
    </w:p>
    <w:p>
      <w:pPr>
        <w:autoSpaceDE w:val="0"/>
        <w:autoSpaceDN w:val="0"/>
        <w:adjustRightInd w:val="0"/>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③建筑垃圾的运输车辆加盖板，以防止洒落。</w:t>
      </w:r>
    </w:p>
    <w:p>
      <w:pPr>
        <w:autoSpaceDE w:val="0"/>
        <w:autoSpaceDN w:val="0"/>
        <w:adjustRightInd w:val="0"/>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④对挖方路段有坡面径流汇入施工工作面的应先修建截水沟，使暴雨径流不致冲刷坡面造成水土流失。</w:t>
      </w:r>
    </w:p>
    <w:p>
      <w:pPr>
        <w:autoSpaceDE w:val="0"/>
        <w:autoSpaceDN w:val="0"/>
        <w:adjustRightInd w:val="0"/>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⑤施工完成后，要实施植被恢复工程、绿化补缺工程建设，种植当地观赏性好的野生花草灌木和乡土树种，恢复原有生态平衡和自然环境，恢复景区的景观效果。引进外来树种时，需进行严格的检疫措施，以免感染和带来病虫害。</w:t>
      </w:r>
    </w:p>
    <w:p>
      <w:pPr>
        <w:pStyle w:val="6"/>
        <w:numPr>
          <w:ilvl w:val="0"/>
          <w:numId w:val="0"/>
        </w:numPr>
        <w:rPr>
          <w:rFonts w:ascii="Times New Roman" w:hAnsi="Times New Roman" w:eastAsia="宋体"/>
          <w:szCs w:val="30"/>
        </w:rPr>
      </w:pPr>
      <w:bookmarkStart w:id="340" w:name="_Toc123886423"/>
      <w:bookmarkStart w:id="341" w:name="_Toc519020905"/>
      <w:bookmarkStart w:id="342" w:name="_Toc517522340"/>
      <w:r>
        <w:rPr>
          <w:rFonts w:hint="eastAsia" w:ascii="Times New Roman" w:hAnsi="Times New Roman" w:eastAsia="宋体"/>
          <w:szCs w:val="30"/>
        </w:rPr>
        <w:t>7.2 运营期污染防治措施及可行性论证</w:t>
      </w:r>
      <w:bookmarkEnd w:id="340"/>
      <w:bookmarkEnd w:id="341"/>
      <w:bookmarkEnd w:id="342"/>
    </w:p>
    <w:p>
      <w:pPr>
        <w:pStyle w:val="7"/>
        <w:adjustRightInd w:val="0"/>
        <w:snapToGrid w:val="0"/>
        <w:spacing w:before="0" w:after="0" w:line="360" w:lineRule="auto"/>
        <w:jc w:val="left"/>
        <w:rPr>
          <w:sz w:val="24"/>
          <w:szCs w:val="24"/>
        </w:rPr>
      </w:pPr>
      <w:r>
        <w:rPr>
          <w:rFonts w:hint="eastAsia"/>
          <w:sz w:val="24"/>
          <w:szCs w:val="24"/>
        </w:rPr>
        <w:t>7.2.1 废气污染防治措施及可行性论证</w:t>
      </w:r>
    </w:p>
    <w:p>
      <w:pPr>
        <w:autoSpaceDE w:val="0"/>
        <w:autoSpaceDN w:val="0"/>
        <w:adjustRightInd w:val="0"/>
        <w:spacing w:line="360" w:lineRule="auto"/>
        <w:ind w:firstLine="480" w:firstLineChars="200"/>
        <w:rPr>
          <w:rFonts w:hAnsiTheme="minorEastAsia" w:eastAsiaTheme="minorEastAsia"/>
          <w:kern w:val="0"/>
          <w:sz w:val="24"/>
        </w:rPr>
      </w:pPr>
      <w:r>
        <w:rPr>
          <w:rFonts w:hint="eastAsia"/>
          <w:sz w:val="24"/>
        </w:rPr>
        <w:t>本项目废气主要源于鸡舍恶臭、鲜鸡粪室外输送恶臭、</w:t>
      </w:r>
      <w:r>
        <w:rPr>
          <w:rFonts w:hint="eastAsia"/>
          <w:sz w:val="24"/>
          <w:lang w:val="en-US" w:eastAsia="zh-CN"/>
        </w:rPr>
        <w:t>鸡粪收集室</w:t>
      </w:r>
      <w:r>
        <w:rPr>
          <w:rFonts w:hint="eastAsia"/>
          <w:sz w:val="24"/>
        </w:rPr>
        <w:t>恶臭、食堂油烟、</w:t>
      </w:r>
      <w:r>
        <w:rPr>
          <w:rFonts w:hint="eastAsia"/>
          <w:sz w:val="24"/>
          <w:lang w:eastAsia="zh-CN"/>
        </w:rPr>
        <w:t>备用柴油发电机尾气</w:t>
      </w:r>
      <w:r>
        <w:rPr>
          <w:rFonts w:hint="eastAsia"/>
          <w:sz w:val="24"/>
        </w:rPr>
        <w:t>、运输车辆尾气以及鸡舍粉尘</w:t>
      </w:r>
      <w:r>
        <w:rPr>
          <w:rFonts w:hAnsiTheme="minorEastAsia" w:eastAsiaTheme="minorEastAsia"/>
          <w:kern w:val="0"/>
          <w:sz w:val="24"/>
        </w:rPr>
        <w:t>。</w:t>
      </w:r>
    </w:p>
    <w:p>
      <w:pPr>
        <w:spacing w:line="360" w:lineRule="auto"/>
        <w:ind w:firstLine="482" w:firstLineChars="200"/>
        <w:rPr>
          <w:rFonts w:hAnsiTheme="minorEastAsia" w:eastAsiaTheme="minorEastAsia"/>
          <w:b/>
          <w:kern w:val="0"/>
          <w:sz w:val="24"/>
        </w:rPr>
      </w:pPr>
      <w:r>
        <w:rPr>
          <w:rFonts w:hint="eastAsia" w:hAnsiTheme="minorEastAsia" w:eastAsiaTheme="minorEastAsia"/>
          <w:b/>
          <w:kern w:val="0"/>
          <w:sz w:val="24"/>
        </w:rPr>
        <w:t>1、鸡舍恶臭治理措施</w:t>
      </w:r>
    </w:p>
    <w:p>
      <w:pPr>
        <w:pStyle w:val="286"/>
        <w:spacing w:after="0"/>
        <w:ind w:firstLine="48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恶臭气体是养殖场的环境污染因素，影响畜禽场恶臭产生的主要原因是清粪方式、管理水平、粪便和污水处理程度，同时也与场址选择、场地规划和布局、禽舍设计、禽舍通风等有关。恶臭的成分十分复杂，因家畜的种类、日粮组成、粪便和污水处理等不同而异，有机成分是硫醇类、胺类、吲哚、挥发性有机酸、酚类、醛类、酮类、醇类以及含氮杂环化合物等，无机成分主要是NH</w:t>
      </w:r>
      <w:r>
        <w:rPr>
          <w:rFonts w:hint="eastAsia" w:ascii="Times New Roman" w:hAnsi="Times New Roman" w:eastAsia="宋体" w:cs="Times New Roman"/>
          <w:kern w:val="2"/>
          <w:sz w:val="24"/>
          <w:szCs w:val="24"/>
          <w:vertAlign w:val="subscript"/>
          <w:lang w:val="en-US" w:eastAsia="zh-CN" w:bidi="ar-SA"/>
        </w:rPr>
        <w:t>3</w:t>
      </w:r>
      <w:r>
        <w:rPr>
          <w:rFonts w:hint="eastAsia" w:ascii="Times New Roman" w:hAnsi="Times New Roman" w:eastAsia="宋体" w:cs="Times New Roman"/>
          <w:kern w:val="2"/>
          <w:sz w:val="24"/>
          <w:szCs w:val="24"/>
          <w:lang w:val="en-US" w:eastAsia="zh-CN" w:bidi="ar-SA"/>
        </w:rPr>
        <w:t>和H</w:t>
      </w:r>
      <w:r>
        <w:rPr>
          <w:rFonts w:hint="eastAsia" w:ascii="Times New Roman" w:hAnsi="Times New Roman" w:eastAsia="宋体" w:cs="Times New Roman"/>
          <w:kern w:val="2"/>
          <w:sz w:val="24"/>
          <w:szCs w:val="24"/>
          <w:vertAlign w:val="subscript"/>
          <w:lang w:val="en-US" w:eastAsia="zh-CN" w:bidi="ar-SA"/>
        </w:rPr>
        <w:t>2</w:t>
      </w:r>
      <w:r>
        <w:rPr>
          <w:rFonts w:hint="eastAsia" w:ascii="Times New Roman" w:hAnsi="Times New Roman" w:eastAsia="宋体" w:cs="Times New Roman"/>
          <w:kern w:val="2"/>
          <w:sz w:val="24"/>
          <w:szCs w:val="24"/>
          <w:lang w:val="en-US" w:eastAsia="zh-CN" w:bidi="ar-SA"/>
        </w:rPr>
        <w:t>S，相关主要毒理学性质为：</w:t>
      </w:r>
    </w:p>
    <w:p>
      <w:pPr>
        <w:pStyle w:val="286"/>
        <w:spacing w:after="0"/>
        <w:ind w:firstLine="48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NH</w:t>
      </w:r>
      <w:r>
        <w:rPr>
          <w:rFonts w:hint="eastAsia" w:ascii="Times New Roman" w:hAnsi="Times New Roman" w:eastAsia="宋体" w:cs="Times New Roman"/>
          <w:kern w:val="2"/>
          <w:sz w:val="24"/>
          <w:szCs w:val="24"/>
          <w:vertAlign w:val="subscript"/>
          <w:lang w:val="en-US" w:eastAsia="zh-CN" w:bidi="ar-SA"/>
        </w:rPr>
        <w:t>3</w:t>
      </w:r>
      <w:r>
        <w:rPr>
          <w:rFonts w:hint="eastAsia" w:ascii="Times New Roman" w:hAnsi="Times New Roman" w:eastAsia="宋体" w:cs="Times New Roman"/>
          <w:kern w:val="2"/>
          <w:sz w:val="24"/>
          <w:szCs w:val="24"/>
          <w:lang w:val="en-US" w:eastAsia="zh-CN" w:bidi="ar-SA"/>
        </w:rPr>
        <w:t>：具有强烈刺激性气体，主要刺激眼睛和上呼吸道粘膜；</w:t>
      </w:r>
    </w:p>
    <w:p>
      <w:pPr>
        <w:pStyle w:val="286"/>
        <w:spacing w:after="0"/>
        <w:ind w:firstLine="48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H</w:t>
      </w:r>
      <w:r>
        <w:rPr>
          <w:rFonts w:hint="eastAsia" w:ascii="Times New Roman" w:hAnsi="Times New Roman" w:eastAsia="宋体" w:cs="Times New Roman"/>
          <w:kern w:val="2"/>
          <w:sz w:val="24"/>
          <w:szCs w:val="24"/>
          <w:vertAlign w:val="subscript"/>
          <w:lang w:val="en-US" w:eastAsia="zh-CN" w:bidi="ar-SA"/>
        </w:rPr>
        <w:t>2</w:t>
      </w:r>
      <w:r>
        <w:rPr>
          <w:rFonts w:hint="eastAsia" w:ascii="Times New Roman" w:hAnsi="Times New Roman" w:eastAsia="宋体" w:cs="Times New Roman"/>
          <w:kern w:val="2"/>
          <w:sz w:val="24"/>
          <w:szCs w:val="24"/>
          <w:lang w:val="en-US" w:eastAsia="zh-CN" w:bidi="ar-SA"/>
        </w:rPr>
        <w:t>S：具有臭鸡蛋气味，并具有毒性；</w:t>
      </w:r>
    </w:p>
    <w:p>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一般养殖场所排放的恶臭气体属无组织排放，由工程分析可知，本项目鸡舍恶臭无组织排放。单靠某一种除臭技术很难取得良好的治理效果，只有采取综合除臭措施，从断绝臭气产生的源头、防止恶臭扩散等多种方法并举，才能有效地防止和减轻其危害，保证人畜健康，促进畜牧业生产的可持续发展。本项目恶臭防治措施主要包括管理方面措施和技术方面的措施。具体防治措施如下：</w:t>
      </w:r>
    </w:p>
    <w:p>
      <w:pPr>
        <w:pStyle w:val="286"/>
        <w:spacing w:after="0"/>
        <w:ind w:firstLine="482"/>
        <w:rPr>
          <w:b/>
          <w:sz w:val="24"/>
          <w:szCs w:val="24"/>
        </w:rPr>
      </w:pPr>
      <w:r>
        <w:rPr>
          <w:b/>
          <w:sz w:val="24"/>
          <w:szCs w:val="24"/>
        </w:rPr>
        <w:t>（1）科学的设计日粮，提高饲料利用率</w:t>
      </w:r>
    </w:p>
    <w:p>
      <w:pPr>
        <w:pStyle w:val="286"/>
        <w:spacing w:after="0"/>
        <w:ind w:firstLine="480"/>
        <w:rPr>
          <w:sz w:val="24"/>
          <w:szCs w:val="24"/>
        </w:rPr>
      </w:pPr>
      <w:r>
        <w:rPr>
          <w:sz w:val="24"/>
          <w:szCs w:val="24"/>
        </w:rPr>
        <w:t>鸡采食饲料后，饲料在消化道内消化过程中，因微生物腐败分解而产生臭气；同时没有消化吸收部分在体外被微生物降解，因此提高日粮的消化率、减少干物质（特别是蛋白质）排出量，既减少肠道臭气的产生，又可减少粪便排出后的臭气的产生，这是减少恶臭来源的有效措施。据测定，日粮粗纤维每增加1%，蛋白质消化率就降低1.4%；减少日粮蛋白质2%，粪便排泄量可降低20%。</w:t>
      </w:r>
    </w:p>
    <w:p>
      <w:pPr>
        <w:pStyle w:val="286"/>
        <w:spacing w:after="0"/>
        <w:ind w:firstLine="482"/>
        <w:rPr>
          <w:b/>
          <w:sz w:val="24"/>
          <w:szCs w:val="24"/>
        </w:rPr>
      </w:pPr>
      <w:r>
        <w:rPr>
          <w:b/>
          <w:sz w:val="24"/>
          <w:szCs w:val="24"/>
        </w:rPr>
        <w:t>（2）及时清理鸡舍</w:t>
      </w:r>
    </w:p>
    <w:p>
      <w:pPr>
        <w:pStyle w:val="286"/>
        <w:spacing w:after="0"/>
        <w:ind w:firstLine="480"/>
        <w:rPr>
          <w:sz w:val="24"/>
          <w:szCs w:val="24"/>
        </w:rPr>
      </w:pPr>
      <w:r>
        <w:rPr>
          <w:sz w:val="24"/>
          <w:szCs w:val="24"/>
        </w:rPr>
        <w:t>温度高时恶臭气体浓度高，鸡粪在1～2周后发酵较快，粪便暴露面积大的发酵率高。本项目采用传送带式清粪机代替传统的人工清粪，鸡舍产生的鸡粪落入横向清粪带上，在流动空气的作用下，鸡粪中的水分自然蒸干，鸡舍产生的鸡粪</w:t>
      </w:r>
      <w:r>
        <w:rPr>
          <w:rFonts w:hint="eastAsia"/>
          <w:sz w:val="24"/>
          <w:szCs w:val="24"/>
        </w:rPr>
        <w:t>日产日清</w:t>
      </w:r>
      <w:r>
        <w:rPr>
          <w:sz w:val="24"/>
          <w:szCs w:val="24"/>
        </w:rPr>
        <w:t>，鸡粪在鸡舍内停留的时间很短。</w:t>
      </w:r>
    </w:p>
    <w:p>
      <w:pPr>
        <w:pStyle w:val="286"/>
        <w:spacing w:after="0"/>
        <w:ind w:firstLine="480"/>
        <w:rPr>
          <w:sz w:val="24"/>
          <w:szCs w:val="24"/>
        </w:rPr>
      </w:pPr>
      <w:r>
        <w:rPr>
          <w:sz w:val="24"/>
          <w:szCs w:val="24"/>
        </w:rPr>
        <w:t>项目采用干清粪工艺，该工艺可保持畜禽舍内清洁，空气卫生状况较好，有利于蛋鸡和饲养人员的健康。</w:t>
      </w:r>
    </w:p>
    <w:p>
      <w:pPr>
        <w:pStyle w:val="286"/>
        <w:spacing w:after="0"/>
        <w:ind w:firstLine="480"/>
        <w:rPr>
          <w:sz w:val="24"/>
          <w:szCs w:val="24"/>
        </w:rPr>
      </w:pPr>
      <w:r>
        <w:rPr>
          <w:sz w:val="24"/>
          <w:szCs w:val="24"/>
        </w:rPr>
        <w:t>为防止蚊蝇孳生，应根据蚊蝇生活习性，采用人工、机械配合喷药的方法预防蚊蝇孳生。加强鸡舍与饲料堆放地的灭鼠工作，预防疾病的传播。</w:t>
      </w:r>
    </w:p>
    <w:p>
      <w:pPr>
        <w:pStyle w:val="286"/>
        <w:spacing w:after="0"/>
        <w:ind w:firstLine="482"/>
        <w:rPr>
          <w:b/>
          <w:sz w:val="24"/>
          <w:szCs w:val="24"/>
        </w:rPr>
      </w:pPr>
      <w:r>
        <w:rPr>
          <w:b/>
          <w:sz w:val="24"/>
          <w:szCs w:val="24"/>
        </w:rPr>
        <w:t>（3）合理使用饲料添加剂EM</w:t>
      </w:r>
    </w:p>
    <w:p>
      <w:pPr>
        <w:pStyle w:val="286"/>
        <w:spacing w:after="0"/>
        <w:ind w:firstLine="480"/>
        <w:rPr>
          <w:sz w:val="24"/>
          <w:szCs w:val="24"/>
        </w:rPr>
      </w:pPr>
      <w:r>
        <w:rPr>
          <w:sz w:val="24"/>
          <w:szCs w:val="24"/>
        </w:rPr>
        <w:t>EM是有效生物群（Effective Microorganisms）的英文缩写，是新型复合微生物菌剂，EM菌剂中含有光合细菌群，光合细菌作为有益菌群，一方面抑制了腐败细菌的生长，改善有机物的分解途径，减少NH</w:t>
      </w:r>
      <w:r>
        <w:rPr>
          <w:sz w:val="24"/>
          <w:szCs w:val="24"/>
          <w:vertAlign w:val="subscript"/>
        </w:rPr>
        <w:t>3</w:t>
      </w:r>
      <w:r>
        <w:rPr>
          <w:sz w:val="24"/>
          <w:szCs w:val="24"/>
        </w:rPr>
        <w:t>和H</w:t>
      </w:r>
      <w:r>
        <w:rPr>
          <w:sz w:val="24"/>
          <w:szCs w:val="24"/>
          <w:vertAlign w:val="subscript"/>
        </w:rPr>
        <w:t>2</w:t>
      </w:r>
      <w:r>
        <w:rPr>
          <w:sz w:val="24"/>
          <w:szCs w:val="24"/>
        </w:rPr>
        <w:t>S的释放量和胺类物质的产生；另一方面它又可利用H</w:t>
      </w:r>
      <w:r>
        <w:rPr>
          <w:sz w:val="24"/>
          <w:szCs w:val="24"/>
          <w:vertAlign w:val="subscript"/>
        </w:rPr>
        <w:t>2</w:t>
      </w:r>
      <w:r>
        <w:rPr>
          <w:sz w:val="24"/>
          <w:szCs w:val="24"/>
        </w:rPr>
        <w:t>S作氢受体，消耗H</w:t>
      </w:r>
      <w:r>
        <w:rPr>
          <w:sz w:val="24"/>
          <w:szCs w:val="24"/>
          <w:vertAlign w:val="subscript"/>
        </w:rPr>
        <w:t>2</w:t>
      </w:r>
      <w:r>
        <w:rPr>
          <w:sz w:val="24"/>
          <w:szCs w:val="24"/>
        </w:rPr>
        <w:t>S，从而减轻环境中的恶臭，减少蚊蝇滋生。</w:t>
      </w:r>
    </w:p>
    <w:p>
      <w:pPr>
        <w:pStyle w:val="286"/>
        <w:spacing w:after="0"/>
        <w:ind w:firstLine="480"/>
        <w:rPr>
          <w:sz w:val="24"/>
          <w:szCs w:val="24"/>
        </w:rPr>
      </w:pPr>
      <w:r>
        <w:rPr>
          <w:sz w:val="24"/>
          <w:szCs w:val="24"/>
        </w:rPr>
        <w:t>其除臭的主要机理为：动物摄入的大量有益微生物在胃肠道内形成了生态优势抑制了腐败菌的活动，促进营养物质的消化吸收，防止产生有害物质氨和胺，使粪便在动物的体内臭味有所减轻；是摄入的有益微生物和撒在地面上的有益微生物在生长繁殖时能以氢、硫化氢等物质为营养，这样由腐败产生的氨被这些微生物吸收了一部分，如硝化菌将垫料粪中的NH</w:t>
      </w:r>
      <w:r>
        <w:rPr>
          <w:sz w:val="24"/>
          <w:szCs w:val="24"/>
          <w:vertAlign w:val="subscript"/>
        </w:rPr>
        <w:t>4</w:t>
      </w:r>
      <w:r>
        <w:rPr>
          <w:sz w:val="24"/>
          <w:szCs w:val="24"/>
        </w:rPr>
        <w:t>-N转化成NO</w:t>
      </w:r>
      <w:r>
        <w:rPr>
          <w:sz w:val="24"/>
          <w:szCs w:val="24"/>
          <w:vertAlign w:val="superscript"/>
        </w:rPr>
        <w:t>-3</w:t>
      </w:r>
      <w:r>
        <w:rPr>
          <w:sz w:val="24"/>
          <w:szCs w:val="24"/>
        </w:rPr>
        <w:t>-N，而NO</w:t>
      </w:r>
      <w:r>
        <w:rPr>
          <w:sz w:val="24"/>
          <w:szCs w:val="24"/>
          <w:vertAlign w:val="superscript"/>
        </w:rPr>
        <w:t>-3</w:t>
      </w:r>
      <w:r>
        <w:rPr>
          <w:sz w:val="24"/>
          <w:szCs w:val="24"/>
        </w:rPr>
        <w:t>-N则被反硝化成尾气体；多效微生态制剂中的有些微生物（如真菌）有一定的固氮作用，从而减少了NH</w:t>
      </w:r>
      <w:r>
        <w:rPr>
          <w:sz w:val="24"/>
          <w:szCs w:val="24"/>
          <w:vertAlign w:val="superscript"/>
        </w:rPr>
        <w:t>+3</w:t>
      </w:r>
      <w:r>
        <w:rPr>
          <w:sz w:val="24"/>
          <w:szCs w:val="24"/>
        </w:rPr>
        <w:t>-N在碱性条件下的挥发，从而改善饲养环境。另外EM微生物在除臭过程中，能有效地保持鸡粪中的有机质养分，亦有提高肥效的作用。</w:t>
      </w:r>
    </w:p>
    <w:p>
      <w:pPr>
        <w:pStyle w:val="286"/>
        <w:spacing w:after="0"/>
        <w:ind w:firstLine="482"/>
        <w:rPr>
          <w:b/>
          <w:sz w:val="24"/>
          <w:szCs w:val="24"/>
        </w:rPr>
      </w:pPr>
      <w:r>
        <w:rPr>
          <w:b/>
          <w:sz w:val="24"/>
          <w:szCs w:val="24"/>
        </w:rPr>
        <w:t>（4）强化鸡舍消毒措施</w:t>
      </w:r>
    </w:p>
    <w:p>
      <w:pPr>
        <w:pStyle w:val="286"/>
        <w:spacing w:after="0"/>
        <w:ind w:firstLine="480"/>
        <w:rPr>
          <w:sz w:val="24"/>
          <w:szCs w:val="24"/>
        </w:rPr>
      </w:pPr>
      <w:r>
        <w:rPr>
          <w:sz w:val="24"/>
          <w:szCs w:val="24"/>
        </w:rPr>
        <w:t>①全部鸡舍必须配套消毒措施，定期消毒。</w:t>
      </w:r>
    </w:p>
    <w:p>
      <w:pPr>
        <w:pStyle w:val="286"/>
        <w:spacing w:after="0"/>
        <w:ind w:firstLine="480"/>
        <w:rPr>
          <w:sz w:val="24"/>
          <w:szCs w:val="24"/>
        </w:rPr>
      </w:pPr>
      <w:r>
        <w:rPr>
          <w:sz w:val="24"/>
          <w:szCs w:val="24"/>
        </w:rPr>
        <w:t>②场区、养殖区及鸡舍入口处必须设有消毒设施、脚踏消毒池，进出消毒。</w:t>
      </w:r>
    </w:p>
    <w:p>
      <w:pPr>
        <w:pStyle w:val="286"/>
        <w:spacing w:after="0"/>
        <w:ind w:firstLine="480"/>
        <w:rPr>
          <w:sz w:val="24"/>
          <w:szCs w:val="24"/>
        </w:rPr>
      </w:pPr>
      <w:r>
        <w:rPr>
          <w:sz w:val="24"/>
          <w:szCs w:val="24"/>
        </w:rPr>
        <w:t>③鸡舍在一个养殖周期结束后进行清扫，并对鸡舍进行彻底消毒。</w:t>
      </w:r>
    </w:p>
    <w:p>
      <w:pPr>
        <w:pStyle w:val="286"/>
        <w:spacing w:after="0"/>
        <w:ind w:firstLine="482"/>
        <w:rPr>
          <w:b/>
          <w:sz w:val="24"/>
          <w:szCs w:val="24"/>
        </w:rPr>
      </w:pPr>
      <w:r>
        <w:rPr>
          <w:b/>
          <w:sz w:val="24"/>
          <w:szCs w:val="24"/>
        </w:rPr>
        <w:t>（5）除臭剂的使用</w:t>
      </w:r>
    </w:p>
    <w:p>
      <w:pPr>
        <w:pStyle w:val="286"/>
        <w:spacing w:after="0"/>
        <w:ind w:firstLine="480"/>
        <w:rPr>
          <w:sz w:val="24"/>
          <w:szCs w:val="24"/>
        </w:rPr>
      </w:pPr>
      <w:r>
        <w:rPr>
          <w:sz w:val="24"/>
          <w:szCs w:val="24"/>
        </w:rPr>
        <w:t>产生的恶臭可用多种物理、化学和生物产品来控制恶臭。</w:t>
      </w:r>
    </w:p>
    <w:p>
      <w:pPr>
        <w:pStyle w:val="286"/>
        <w:spacing w:after="0"/>
        <w:ind w:firstLine="480"/>
        <w:rPr>
          <w:sz w:val="24"/>
          <w:szCs w:val="24"/>
        </w:rPr>
      </w:pPr>
      <w:r>
        <w:rPr>
          <w:sz w:val="24"/>
          <w:szCs w:val="24"/>
        </w:rPr>
        <w:t>本项目营运后可通过向粪便内投（铺）放锯末以及秸秆、泥炭等含纤维素和木质素较多的材料作为物理吸附剂减少臭气的散发；向养殖场区投加或喷洒</w:t>
      </w:r>
      <w:r>
        <w:rPr>
          <w:rFonts w:hint="eastAsia"/>
          <w:sz w:val="24"/>
          <w:szCs w:val="24"/>
        </w:rPr>
        <w:t>微生物制剂、酶制剂和植物提取液等活性物质</w:t>
      </w:r>
      <w:r>
        <w:rPr>
          <w:sz w:val="24"/>
          <w:szCs w:val="24"/>
        </w:rPr>
        <w:t>减少臭气的产生。根据资料显示，生物除臭剂对氨气的去除率达92.6%以上，对硫化氢降解率为89%以上。生物除臭剂按比例稀释后，用喷雾器均匀喷洒鸡舍各部位，初期2天喷一次，连续喷洒2～3次后，待臭味减轻可7～10天喷一次。</w:t>
      </w:r>
    </w:p>
    <w:p>
      <w:pPr>
        <w:pStyle w:val="286"/>
        <w:spacing w:after="0"/>
        <w:ind w:firstLine="482"/>
        <w:rPr>
          <w:b/>
          <w:sz w:val="24"/>
          <w:szCs w:val="24"/>
        </w:rPr>
      </w:pPr>
      <w:r>
        <w:rPr>
          <w:b/>
          <w:sz w:val="24"/>
          <w:szCs w:val="24"/>
        </w:rPr>
        <w:t>（</w:t>
      </w:r>
      <w:r>
        <w:rPr>
          <w:rFonts w:hint="eastAsia"/>
          <w:b/>
          <w:sz w:val="24"/>
          <w:szCs w:val="24"/>
        </w:rPr>
        <w:t>6</w:t>
      </w:r>
      <w:r>
        <w:rPr>
          <w:b/>
          <w:sz w:val="24"/>
          <w:szCs w:val="24"/>
        </w:rPr>
        <w:t>）加强绿化</w:t>
      </w:r>
    </w:p>
    <w:p>
      <w:pPr>
        <w:pStyle w:val="286"/>
        <w:spacing w:after="0"/>
        <w:ind w:firstLine="480"/>
        <w:rPr>
          <w:sz w:val="24"/>
          <w:szCs w:val="24"/>
        </w:rPr>
      </w:pPr>
      <w:r>
        <w:rPr>
          <w:sz w:val="24"/>
          <w:szCs w:val="24"/>
        </w:rPr>
        <w:t>在场界四周设置高4～5m的绿色隔离带，并种植芳香的木本植物。鉴于养殖行业的特殊性，在品种选择上，不仅要考虑美化效果，还必须考虑在除臭、防火、吸尘、杀菌等方面的作用。</w:t>
      </w:r>
    </w:p>
    <w:p>
      <w:pPr>
        <w:pStyle w:val="286"/>
        <w:spacing w:after="0"/>
        <w:ind w:firstLine="480"/>
        <w:rPr>
          <w:sz w:val="24"/>
          <w:szCs w:val="24"/>
        </w:rPr>
      </w:pPr>
      <w:r>
        <w:rPr>
          <w:sz w:val="24"/>
          <w:szCs w:val="24"/>
        </w:rPr>
        <w:t>有害气体流经绿化带后，至少有25%被阻流净化。绿化可使养殖场空气中的臭气减少50%，细菌数减少22～79%。鸡舍尽可布置在远离村民居住的位置，在办公区、职工生活区有足够的绿化，厂内空地和道路边尽量植树及种植花草形成多层防护层，以最大限度地防止厂区臭味对周围敏感保护目标居民的影响。</w:t>
      </w:r>
      <w:r>
        <w:rPr>
          <w:rFonts w:hint="eastAsia"/>
          <w:sz w:val="24"/>
          <w:szCs w:val="24"/>
        </w:rPr>
        <w:t>同时厂房周围200m内敏感点已与建设单位签订租赁合同作为项目宿舍，减少了对周围敏感保护目标居民的影响。</w:t>
      </w:r>
    </w:p>
    <w:p>
      <w:pPr>
        <w:spacing w:line="360" w:lineRule="auto"/>
        <w:ind w:firstLine="480" w:firstLineChars="200"/>
        <w:rPr>
          <w:rFonts w:hint="eastAsia" w:hAnsiTheme="minorEastAsia" w:eastAsiaTheme="minorEastAsia"/>
          <w:kern w:val="0"/>
          <w:sz w:val="24"/>
          <w:szCs w:val="24"/>
        </w:rPr>
      </w:pPr>
      <w:r>
        <w:rPr>
          <w:sz w:val="24"/>
          <w:szCs w:val="24"/>
        </w:rPr>
        <w:t>通过采取以上措施，厂界恶臭气体排放能满足《恶臭污染物排放标准》表1二级排放浓度限值</w:t>
      </w:r>
      <w:r>
        <w:rPr>
          <w:rFonts w:hint="eastAsia"/>
          <w:sz w:val="24"/>
          <w:szCs w:val="24"/>
        </w:rPr>
        <w:t>（</w:t>
      </w:r>
      <w:r>
        <w:rPr>
          <w:sz w:val="24"/>
          <w:szCs w:val="24"/>
        </w:rPr>
        <w:t>NH</w:t>
      </w:r>
      <w:r>
        <w:rPr>
          <w:sz w:val="24"/>
          <w:szCs w:val="24"/>
          <w:vertAlign w:val="subscript"/>
        </w:rPr>
        <w:t>3</w:t>
      </w:r>
      <w:r>
        <w:rPr>
          <w:sz w:val="24"/>
          <w:szCs w:val="24"/>
        </w:rPr>
        <w:t>：1.5mg/m</w:t>
      </w:r>
      <w:r>
        <w:rPr>
          <w:sz w:val="24"/>
          <w:szCs w:val="24"/>
          <w:vertAlign w:val="superscript"/>
        </w:rPr>
        <w:t>3</w:t>
      </w:r>
      <w:r>
        <w:rPr>
          <w:sz w:val="24"/>
          <w:szCs w:val="24"/>
        </w:rPr>
        <w:t>；H</w:t>
      </w:r>
      <w:r>
        <w:rPr>
          <w:sz w:val="24"/>
          <w:szCs w:val="24"/>
          <w:vertAlign w:val="subscript"/>
        </w:rPr>
        <w:t>2</w:t>
      </w:r>
      <w:r>
        <w:rPr>
          <w:sz w:val="24"/>
          <w:szCs w:val="24"/>
        </w:rPr>
        <w:t>S：0.06mg/m</w:t>
      </w:r>
      <w:r>
        <w:rPr>
          <w:sz w:val="24"/>
          <w:szCs w:val="24"/>
          <w:vertAlign w:val="superscript"/>
        </w:rPr>
        <w:t>3</w:t>
      </w:r>
      <w:r>
        <w:rPr>
          <w:rFonts w:hint="eastAsia"/>
          <w:sz w:val="24"/>
          <w:szCs w:val="24"/>
        </w:rPr>
        <w:t>）</w:t>
      </w:r>
      <w:r>
        <w:rPr>
          <w:sz w:val="24"/>
          <w:szCs w:val="24"/>
        </w:rPr>
        <w:t>，臭气浓度满足《畜禽养殖业污染排放标准》</w:t>
      </w:r>
      <w:r>
        <w:rPr>
          <w:rFonts w:hint="eastAsia"/>
          <w:sz w:val="24"/>
          <w:szCs w:val="24"/>
        </w:rPr>
        <w:t>（</w:t>
      </w:r>
      <w:r>
        <w:rPr>
          <w:sz w:val="24"/>
          <w:szCs w:val="24"/>
        </w:rPr>
        <w:t>GB18596-2001</w:t>
      </w:r>
      <w:r>
        <w:rPr>
          <w:rFonts w:hint="eastAsia"/>
          <w:sz w:val="24"/>
          <w:szCs w:val="24"/>
        </w:rPr>
        <w:t>）</w:t>
      </w:r>
      <w:r>
        <w:rPr>
          <w:sz w:val="24"/>
          <w:szCs w:val="24"/>
        </w:rPr>
        <w:t>中的要求</w:t>
      </w:r>
      <w:r>
        <w:rPr>
          <w:rFonts w:hint="eastAsia"/>
          <w:sz w:val="24"/>
          <w:szCs w:val="24"/>
        </w:rPr>
        <w:t>（</w:t>
      </w:r>
      <w:r>
        <w:rPr>
          <w:sz w:val="24"/>
          <w:szCs w:val="24"/>
        </w:rPr>
        <w:t>70，无量纲量</w:t>
      </w:r>
      <w:r>
        <w:rPr>
          <w:rFonts w:hint="eastAsia"/>
          <w:sz w:val="24"/>
          <w:szCs w:val="24"/>
        </w:rPr>
        <w:t>）</w:t>
      </w:r>
      <w:r>
        <w:rPr>
          <w:sz w:val="24"/>
          <w:szCs w:val="24"/>
        </w:rPr>
        <w:t>，可实现达标排放，不会对项目周边环境空气造成明显影响</w:t>
      </w:r>
      <w:r>
        <w:rPr>
          <w:rFonts w:hint="eastAsia" w:hAnsiTheme="minorEastAsia" w:eastAsiaTheme="minorEastAsia"/>
          <w:kern w:val="0"/>
          <w:sz w:val="24"/>
          <w:szCs w:val="24"/>
        </w:rPr>
        <w:t>。</w:t>
      </w:r>
    </w:p>
    <w:p>
      <w:pPr>
        <w:spacing w:line="360" w:lineRule="auto"/>
        <w:ind w:firstLine="480" w:firstLineChars="200"/>
        <w:rPr>
          <w:rFonts w:hint="eastAsia" w:hAnsiTheme="minorEastAsia" w:eastAsiaTheme="minorEastAsia"/>
          <w:kern w:val="0"/>
          <w:sz w:val="24"/>
          <w:lang w:eastAsia="zh-CN"/>
        </w:rPr>
      </w:pPr>
      <w:r>
        <w:rPr>
          <w:rFonts w:hint="eastAsia"/>
          <w:sz w:val="24"/>
          <w:szCs w:val="24"/>
        </w:rPr>
        <w:t>因此，本项目鸡舍恶臭污染治理措施是可行的</w:t>
      </w:r>
      <w:r>
        <w:rPr>
          <w:rFonts w:hint="eastAsia" w:hAnsiTheme="minorEastAsia" w:eastAsiaTheme="minorEastAsia"/>
          <w:kern w:val="0"/>
          <w:sz w:val="24"/>
        </w:rPr>
        <w:t>，为《排污许可证申请与核发技术规范 畜禽养殖行业》（HJ1029-2019）中可行性技术</w:t>
      </w:r>
      <w:r>
        <w:rPr>
          <w:rFonts w:hint="eastAsia" w:hAnsiTheme="minorEastAsia" w:eastAsiaTheme="minorEastAsia"/>
          <w:kern w:val="0"/>
          <w:sz w:val="24"/>
          <w:lang w:eastAsia="zh-CN"/>
        </w:rPr>
        <w:t>。</w:t>
      </w:r>
    </w:p>
    <w:p>
      <w:pPr>
        <w:spacing w:line="360" w:lineRule="auto"/>
        <w:ind w:firstLine="482" w:firstLineChars="200"/>
        <w:rPr>
          <w:rFonts w:hAnsiTheme="minorEastAsia" w:eastAsiaTheme="minorEastAsia"/>
          <w:b/>
          <w:kern w:val="0"/>
          <w:sz w:val="24"/>
        </w:rPr>
      </w:pPr>
      <w:r>
        <w:rPr>
          <w:rFonts w:hint="eastAsia" w:hAnsiTheme="minorEastAsia" w:eastAsiaTheme="minorEastAsia"/>
          <w:b/>
          <w:kern w:val="0"/>
          <w:sz w:val="24"/>
        </w:rPr>
        <w:t>2、鲜鸡粪室外输送恶臭治理措施</w:t>
      </w:r>
    </w:p>
    <w:p>
      <w:pPr>
        <w:spacing w:line="360" w:lineRule="auto"/>
        <w:ind w:firstLine="480" w:firstLineChars="200"/>
        <w:rPr>
          <w:rFonts w:hint="eastAsia" w:hAnsiTheme="minorEastAsia" w:eastAsiaTheme="minorEastAsia"/>
          <w:kern w:val="0"/>
          <w:sz w:val="24"/>
        </w:rPr>
      </w:pPr>
      <w:r>
        <w:rPr>
          <w:rFonts w:hint="eastAsia"/>
          <w:kern w:val="0"/>
          <w:sz w:val="24"/>
        </w:rPr>
        <w:t>项目鲜鸡粪从鸡舍输送至鸡粪收集室的过程中</w:t>
      </w:r>
      <w:r>
        <w:rPr>
          <w:rFonts w:hint="eastAsia"/>
          <w:kern w:val="0"/>
          <w:sz w:val="24"/>
          <w:lang w:val="en-US" w:eastAsia="zh-CN"/>
        </w:rPr>
        <w:t>会</w:t>
      </w:r>
      <w:r>
        <w:rPr>
          <w:rFonts w:hint="eastAsia"/>
          <w:kern w:val="0"/>
          <w:sz w:val="24"/>
        </w:rPr>
        <w:t>产生鲜鸡粪室外输送恶臭</w:t>
      </w:r>
      <w:r>
        <w:rPr>
          <w:rFonts w:hint="eastAsia" w:hAnsiTheme="minorEastAsia" w:eastAsiaTheme="minorEastAsia"/>
          <w:kern w:val="0"/>
          <w:sz w:val="24"/>
        </w:rPr>
        <w:t>，但鲜鸡粪在室外输送时间很短，通过对室外的输送带加盖密闭、</w:t>
      </w:r>
      <w:r>
        <w:rPr>
          <w:rFonts w:hint="eastAsia"/>
          <w:kern w:val="0"/>
          <w:sz w:val="24"/>
        </w:rPr>
        <w:t>喷雾除臭、加强</w:t>
      </w:r>
      <w:r>
        <w:rPr>
          <w:rFonts w:hint="eastAsia"/>
          <w:kern w:val="0"/>
          <w:sz w:val="24"/>
          <w:lang w:val="en-US" w:eastAsia="zh-CN"/>
        </w:rPr>
        <w:t>周边</w:t>
      </w:r>
      <w:r>
        <w:rPr>
          <w:rFonts w:hint="eastAsia"/>
          <w:kern w:val="0"/>
          <w:sz w:val="24"/>
        </w:rPr>
        <w:t>绿化</w:t>
      </w:r>
      <w:r>
        <w:rPr>
          <w:rFonts w:hint="eastAsia" w:hAnsiTheme="minorEastAsia" w:eastAsiaTheme="minorEastAsia"/>
          <w:kern w:val="0"/>
          <w:sz w:val="24"/>
        </w:rPr>
        <w:t>等措施减少恶臭对周边环境的影响，为《排污许可证申请与核发技术规范 畜禽养殖行业》（HJ1029-2019）中可行性技术。</w:t>
      </w:r>
    </w:p>
    <w:p>
      <w:pPr>
        <w:autoSpaceDE w:val="0"/>
        <w:autoSpaceDN w:val="0"/>
        <w:adjustRightInd w:val="0"/>
        <w:spacing w:line="360" w:lineRule="auto"/>
        <w:ind w:firstLine="482" w:firstLineChars="200"/>
        <w:rPr>
          <w:rFonts w:hint="eastAsia" w:ascii="Times New Roman" w:hAnsi="Times New Roman" w:eastAsia="宋体" w:cs="Times New Roman"/>
          <w:b/>
          <w:bCs/>
          <w:kern w:val="0"/>
          <w:sz w:val="24"/>
        </w:rPr>
      </w:pPr>
      <w:r>
        <w:rPr>
          <w:rFonts w:hint="eastAsia" w:ascii="Times New Roman" w:hAnsi="Times New Roman" w:eastAsia="宋体" w:cs="Times New Roman"/>
          <w:b/>
          <w:bCs/>
          <w:kern w:val="0"/>
          <w:sz w:val="24"/>
        </w:rPr>
        <w:t>3、鸡粪收集室产生的恶臭</w:t>
      </w:r>
    </w:p>
    <w:p>
      <w:pPr>
        <w:autoSpaceDE w:val="0"/>
        <w:autoSpaceDN w:val="0"/>
        <w:adjustRightInd w:val="0"/>
        <w:spacing w:line="360" w:lineRule="auto"/>
        <w:ind w:firstLine="480" w:firstLineChars="20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项目采用干清粪养殖技术，鸡粪日产日清。项目每栋鸡舍自动化清粪，鸡粪不落地，并配套建设鸡粪收集室作为鸡粪临时贮存场所，正常情况下，鸡粪采用自动干清粪清掏排出鸡舍后，部分直接拉走依托台源蛋鸡养殖一场好氧发酵罐制有机肥；剩余部分则直接拉走外售衡阳县沛科生态科技有限责任公司制有机肥，在衡阳县沛科生态科技有限责任公司进行发酵预处理，不在本厂区进行预处理</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在鸡粪收集室内堆存时间很短，臭气散发时间有限，同时对其进行喷洒除臭剂等措施，鸡粪收集室密闭，暂存的少量鸡粪相较于鸡舍，其产生量较少，对厂界外空气质量影响很小。</w:t>
      </w:r>
    </w:p>
    <w:p>
      <w:pPr>
        <w:autoSpaceDE w:val="0"/>
        <w:autoSpaceDN w:val="0"/>
        <w:adjustRightInd w:val="0"/>
        <w:spacing w:line="360" w:lineRule="auto"/>
        <w:ind w:firstLine="480" w:firstLineChars="200"/>
        <w:rPr>
          <w:rFonts w:hint="eastAsia" w:ascii="Times New Roman" w:hAnsi="Times New Roman" w:eastAsia="宋体" w:cs="Times New Roman"/>
          <w:kern w:val="0"/>
          <w:sz w:val="24"/>
        </w:rPr>
      </w:pPr>
      <w:r>
        <w:rPr>
          <w:rFonts w:hint="eastAsia" w:ascii="Times New Roman" w:hAnsi="Times New Roman" w:eastAsia="宋体" w:cs="Times New Roman"/>
          <w:kern w:val="0"/>
          <w:sz w:val="24"/>
        </w:rPr>
        <w:t>项目主要采取以下措施降低鸡粪收集室恶臭气体的排放：</w:t>
      </w:r>
    </w:p>
    <w:p>
      <w:pPr>
        <w:autoSpaceDE w:val="0"/>
        <w:autoSpaceDN w:val="0"/>
        <w:adjustRightInd w:val="0"/>
        <w:spacing w:line="360" w:lineRule="auto"/>
        <w:ind w:firstLine="480" w:firstLineChars="200"/>
        <w:rPr>
          <w:rFonts w:hint="eastAsia" w:ascii="Times New Roman" w:hAnsi="Times New Roman" w:eastAsia="宋体" w:cs="Times New Roman"/>
          <w:kern w:val="0"/>
          <w:sz w:val="24"/>
        </w:rPr>
      </w:pPr>
      <w:r>
        <w:rPr>
          <w:rFonts w:hint="eastAsia" w:ascii="Times New Roman" w:hAnsi="Times New Roman" w:eastAsia="宋体" w:cs="Times New Roman"/>
          <w:kern w:val="0"/>
          <w:sz w:val="24"/>
        </w:rPr>
        <w:fldChar w:fldCharType="begin"/>
      </w:r>
      <w:r>
        <w:rPr>
          <w:rFonts w:hint="eastAsia" w:ascii="Times New Roman" w:hAnsi="Times New Roman" w:eastAsia="宋体" w:cs="Times New Roman"/>
          <w:kern w:val="0"/>
          <w:sz w:val="24"/>
        </w:rPr>
        <w:instrText xml:space="preserve"> = 1 \* GB3 </w:instrText>
      </w:r>
      <w:r>
        <w:rPr>
          <w:rFonts w:hint="eastAsia" w:ascii="Times New Roman" w:hAnsi="Times New Roman" w:eastAsia="宋体" w:cs="Times New Roman"/>
          <w:kern w:val="0"/>
          <w:sz w:val="24"/>
        </w:rPr>
        <w:fldChar w:fldCharType="separate"/>
      </w:r>
      <w:r>
        <w:rPr>
          <w:rFonts w:hint="eastAsia" w:ascii="Times New Roman" w:hAnsi="Times New Roman" w:eastAsia="宋体" w:cs="Times New Roman"/>
          <w:kern w:val="0"/>
          <w:sz w:val="24"/>
        </w:rPr>
        <w:t>①</w:t>
      </w:r>
      <w:r>
        <w:rPr>
          <w:rFonts w:hint="eastAsia" w:ascii="Times New Roman" w:hAnsi="Times New Roman" w:eastAsia="宋体" w:cs="Times New Roman"/>
          <w:kern w:val="0"/>
          <w:sz w:val="24"/>
        </w:rPr>
        <w:fldChar w:fldCharType="end"/>
      </w:r>
      <w:r>
        <w:rPr>
          <w:rFonts w:hint="eastAsia" w:ascii="Times New Roman" w:hAnsi="Times New Roman" w:eastAsia="宋体" w:cs="Times New Roman"/>
          <w:kern w:val="0"/>
          <w:sz w:val="24"/>
        </w:rPr>
        <w:t>加强管理，确保鸡粪能够及时清运，冬季在鸡粪收集室堆存时间不大于三天，夏天做到日产日清，避免在厂区内长期堆存，同时保证鸡粪收集室清理干净。</w:t>
      </w:r>
    </w:p>
    <w:p>
      <w:pPr>
        <w:autoSpaceDE w:val="0"/>
        <w:autoSpaceDN w:val="0"/>
        <w:adjustRightInd w:val="0"/>
        <w:spacing w:line="360" w:lineRule="auto"/>
        <w:ind w:firstLine="480" w:firstLineChars="200"/>
        <w:rPr>
          <w:rFonts w:hint="eastAsia" w:ascii="Times New Roman" w:hAnsi="Times New Roman" w:eastAsia="宋体" w:cs="Times New Roman"/>
          <w:kern w:val="0"/>
          <w:sz w:val="24"/>
        </w:rPr>
      </w:pPr>
      <w:r>
        <w:rPr>
          <w:rFonts w:hint="eastAsia" w:ascii="Times New Roman" w:hAnsi="Times New Roman" w:eastAsia="宋体" w:cs="Times New Roman"/>
          <w:kern w:val="0"/>
          <w:sz w:val="24"/>
        </w:rPr>
        <w:fldChar w:fldCharType="begin"/>
      </w:r>
      <w:r>
        <w:rPr>
          <w:rFonts w:hint="eastAsia" w:ascii="Times New Roman" w:hAnsi="Times New Roman" w:eastAsia="宋体" w:cs="Times New Roman"/>
          <w:kern w:val="0"/>
          <w:sz w:val="24"/>
        </w:rPr>
        <w:instrText xml:space="preserve"> = 2 \* GB3 </w:instrText>
      </w:r>
      <w:r>
        <w:rPr>
          <w:rFonts w:hint="eastAsia" w:ascii="Times New Roman" w:hAnsi="Times New Roman" w:eastAsia="宋体" w:cs="Times New Roman"/>
          <w:kern w:val="0"/>
          <w:sz w:val="24"/>
        </w:rPr>
        <w:fldChar w:fldCharType="separate"/>
      </w:r>
      <w:r>
        <w:rPr>
          <w:rFonts w:hint="eastAsia" w:ascii="Times New Roman" w:hAnsi="Times New Roman" w:eastAsia="宋体" w:cs="Times New Roman"/>
          <w:kern w:val="0"/>
          <w:sz w:val="24"/>
        </w:rPr>
        <w:t>②</w:t>
      </w:r>
      <w:r>
        <w:rPr>
          <w:rFonts w:hint="eastAsia" w:ascii="Times New Roman" w:hAnsi="Times New Roman" w:eastAsia="宋体" w:cs="Times New Roman"/>
          <w:kern w:val="0"/>
          <w:sz w:val="24"/>
        </w:rPr>
        <w:fldChar w:fldCharType="end"/>
      </w:r>
      <w:r>
        <w:rPr>
          <w:rFonts w:hint="eastAsia" w:ascii="Times New Roman" w:hAnsi="Times New Roman" w:eastAsia="宋体" w:cs="Times New Roman"/>
          <w:kern w:val="0"/>
          <w:sz w:val="24"/>
        </w:rPr>
        <w:t>保证鸡粪收集室干燥，做好防风、防雨、防渗措施，因氨和硫化氢易溶于水，室内湿度高时，易被吸附在墙壁、天棚、地面等处，并随水分渗入建筑材料中；室内温度上升时挥发逸散出来，污染空气。</w:t>
      </w:r>
    </w:p>
    <w:p>
      <w:pPr>
        <w:pStyle w:val="286"/>
        <w:spacing w:after="0"/>
        <w:ind w:firstLine="480"/>
        <w:rPr>
          <w:rFonts w:hint="default" w:ascii="Times New Roman" w:hAnsi="Times New Roman" w:eastAsia="宋体" w:cs="Times New Roman"/>
          <w:b/>
          <w:bCs w:val="0"/>
          <w:kern w:val="2"/>
          <w:sz w:val="24"/>
          <w:szCs w:val="24"/>
          <w:lang w:val="en-US" w:eastAsia="zh-CN" w:bidi="ar-SA"/>
        </w:rPr>
      </w:pPr>
      <w:r>
        <w:rPr>
          <w:rFonts w:hint="eastAsia" w:ascii="Times New Roman" w:hAnsi="Times New Roman" w:eastAsia="宋体" w:cs="Times New Roman"/>
          <w:b/>
          <w:bCs w:val="0"/>
          <w:kern w:val="2"/>
          <w:sz w:val="24"/>
          <w:szCs w:val="24"/>
          <w:lang w:val="en-US" w:eastAsia="zh-CN" w:bidi="ar-SA"/>
        </w:rPr>
        <w:t>4、粉尘</w:t>
      </w:r>
    </w:p>
    <w:p>
      <w:pPr>
        <w:pStyle w:val="286"/>
        <w:spacing w:after="0"/>
        <w:ind w:firstLine="480"/>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由于鸡舍内空气流动性大，鸡舍内饲料、鸡粪及散落毛羽在干燥空气中会产生粉尘污染物，后经鸡舍</w:t>
      </w:r>
      <w:r>
        <w:rPr>
          <w:rFonts w:hint="eastAsia" w:ascii="Times New Roman" w:hAnsi="Times New Roman" w:eastAsia="宋体" w:cs="Times New Roman"/>
          <w:sz w:val="24"/>
          <w:lang w:val="en-US" w:eastAsia="zh-CN"/>
        </w:rPr>
        <w:t>西</w:t>
      </w:r>
      <w:r>
        <w:rPr>
          <w:rFonts w:hint="eastAsia" w:ascii="Times New Roman" w:hAnsi="Times New Roman" w:eastAsia="宋体" w:cs="Times New Roman"/>
          <w:sz w:val="24"/>
        </w:rPr>
        <w:t>侧</w:t>
      </w:r>
      <w:r>
        <w:rPr>
          <w:rFonts w:hint="eastAsia" w:ascii="Times New Roman" w:hAnsi="Times New Roman" w:eastAsia="宋体" w:cs="Times New Roman"/>
          <w:kern w:val="0"/>
          <w:sz w:val="24"/>
          <w:szCs w:val="24"/>
          <w:lang w:val="en-US" w:eastAsia="zh-CN" w:bidi="ar-SA"/>
        </w:rPr>
        <w:t>排风扇排出鸡舍外，进入鸡粪皮带传输区。根据《鸡舍内粉尘控制方法初探》（刘慧娟，辽宁农业职业技术学院），一般情况下，鸡舍内空气总粉尘浓度约为4.20mg/m</w:t>
      </w:r>
      <w:r>
        <w:rPr>
          <w:rFonts w:hint="eastAsia" w:ascii="Times New Roman" w:hAnsi="Times New Roman" w:eastAsia="宋体" w:cs="Times New Roman"/>
          <w:kern w:val="0"/>
          <w:sz w:val="24"/>
          <w:szCs w:val="24"/>
          <w:vertAlign w:val="superscript"/>
          <w:lang w:val="en-US" w:eastAsia="zh-CN" w:bidi="ar-SA"/>
        </w:rPr>
        <w:t>3</w:t>
      </w:r>
      <w:r>
        <w:rPr>
          <w:rFonts w:hint="eastAsia" w:ascii="Times New Roman" w:hAnsi="Times New Roman" w:eastAsia="宋体" w:cs="Times New Roman"/>
          <w:kern w:val="0"/>
          <w:sz w:val="24"/>
          <w:szCs w:val="24"/>
          <w:lang w:val="en-US" w:eastAsia="zh-CN" w:bidi="ar-SA"/>
        </w:rPr>
        <w:t>。</w:t>
      </w:r>
    </w:p>
    <w:p>
      <w:pPr>
        <w:pStyle w:val="286"/>
        <w:spacing w:after="0"/>
        <w:ind w:firstLine="480"/>
        <w:rPr>
          <w:rFonts w:hint="eastAsia" w:ascii="Times New Roman" w:hAnsi="Times New Roman" w:eastAsia="宋体" w:cs="Times New Roman"/>
          <w:kern w:val="0"/>
          <w:sz w:val="24"/>
          <w:szCs w:val="24"/>
          <w:lang w:val="en-US" w:eastAsia="zh-CN" w:bidi="ar-SA"/>
        </w:rPr>
      </w:pPr>
      <w:r>
        <w:rPr>
          <w:rFonts w:ascii="Times New Roman" w:hAnsi="Times New Roman" w:eastAsia="宋体" w:cs="Times New Roman"/>
          <w:bCs/>
          <w:kern w:val="2"/>
          <w:sz w:val="24"/>
          <w:szCs w:val="24"/>
          <w:lang w:val="en-US" w:eastAsia="zh-CN" w:bidi="ar-SA"/>
        </w:rPr>
        <w:t>在养殖过程中，由饲养员每日打扫鸡舍地面上的粉尘，</w:t>
      </w:r>
      <w:r>
        <w:rPr>
          <w:rFonts w:hint="eastAsia" w:ascii="Times New Roman" w:hAnsi="Times New Roman" w:eastAsia="宋体" w:cs="Times New Roman"/>
          <w:bCs/>
          <w:kern w:val="2"/>
          <w:sz w:val="24"/>
          <w:szCs w:val="24"/>
          <w:lang w:val="en-US" w:eastAsia="zh-CN" w:bidi="ar-SA"/>
        </w:rPr>
        <w:t>建设单位通过在鸡舍排风尾端设置防尘间</w:t>
      </w:r>
      <w:r>
        <w:rPr>
          <w:rFonts w:ascii="Times New Roman" w:hAnsi="Times New Roman" w:eastAsia="宋体" w:cs="Times New Roman"/>
          <w:bCs/>
          <w:kern w:val="2"/>
          <w:sz w:val="24"/>
          <w:szCs w:val="24"/>
          <w:lang w:val="en-US" w:eastAsia="zh-CN" w:bidi="ar-SA"/>
        </w:rPr>
        <w:t>封闭，并在排放口上部布置防尘网</w:t>
      </w:r>
      <w:r>
        <w:rPr>
          <w:rFonts w:hint="eastAsia" w:ascii="Times New Roman" w:hAnsi="Times New Roman" w:eastAsia="宋体" w:cs="Times New Roman"/>
          <w:bCs/>
          <w:kern w:val="2"/>
          <w:sz w:val="24"/>
          <w:szCs w:val="24"/>
          <w:lang w:val="en-US" w:eastAsia="zh-CN" w:bidi="ar-SA"/>
        </w:rPr>
        <w:t>，设置水雾喷淋系统</w:t>
      </w:r>
      <w:r>
        <w:rPr>
          <w:rFonts w:hint="eastAsia" w:ascii="Times New Roman" w:hAnsi="Times New Roman" w:eastAsia="宋体" w:cs="Times New Roman"/>
          <w:sz w:val="24"/>
        </w:rPr>
        <w:t>进行降尘</w:t>
      </w:r>
      <w:r>
        <w:rPr>
          <w:rFonts w:hint="eastAsia" w:ascii="Times New Roman" w:hAnsi="Times New Roman" w:eastAsia="宋体" w:cs="Times New Roman"/>
          <w:kern w:val="0"/>
          <w:sz w:val="24"/>
          <w:szCs w:val="24"/>
          <w:lang w:val="en-US" w:eastAsia="zh-CN" w:bidi="ar-SA"/>
        </w:rPr>
        <w:t>。采取以上措施后，粉尘可降低85%以上，则鸡粪皮带传输区粉尘排放量为</w:t>
      </w:r>
      <w:r>
        <w:rPr>
          <w:rFonts w:hint="eastAsia" w:cs="Times New Roman"/>
          <w:kern w:val="0"/>
          <w:sz w:val="24"/>
          <w:szCs w:val="24"/>
          <w:lang w:val="en-US" w:eastAsia="zh-CN" w:bidi="ar-SA"/>
        </w:rPr>
        <w:t>1.77</w:t>
      </w:r>
      <w:r>
        <w:rPr>
          <w:rFonts w:hint="eastAsia" w:ascii="Times New Roman" w:hAnsi="Times New Roman" w:eastAsia="宋体" w:cs="Times New Roman"/>
          <w:kern w:val="0"/>
          <w:sz w:val="24"/>
          <w:szCs w:val="24"/>
          <w:lang w:val="en-US" w:eastAsia="zh-CN" w:bidi="ar-SA"/>
        </w:rPr>
        <w:t>t/a，排放速率为0.</w:t>
      </w:r>
      <w:r>
        <w:rPr>
          <w:rFonts w:hint="eastAsia" w:cs="Times New Roman"/>
          <w:kern w:val="0"/>
          <w:sz w:val="24"/>
          <w:szCs w:val="24"/>
          <w:lang w:val="en-US" w:eastAsia="zh-CN" w:bidi="ar-SA"/>
        </w:rPr>
        <w:t>20</w:t>
      </w:r>
      <w:r>
        <w:rPr>
          <w:rFonts w:hint="eastAsia" w:ascii="Times New Roman" w:hAnsi="Times New Roman" w:eastAsia="宋体" w:cs="Times New Roman"/>
          <w:kern w:val="0"/>
          <w:sz w:val="24"/>
          <w:szCs w:val="24"/>
          <w:lang w:val="en-US" w:eastAsia="zh-CN" w:bidi="ar-SA"/>
        </w:rPr>
        <w:t>kg/h，粉尘排放能够满足《大气污染物综合排放标准》（GB16297-1996）中相关标准要求。</w:t>
      </w:r>
    </w:p>
    <w:p>
      <w:pPr>
        <w:pStyle w:val="286"/>
        <w:spacing w:after="0"/>
        <w:ind w:firstLine="480"/>
        <w:rPr>
          <w:rFonts w:hint="eastAsia"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bidi="ar-SA"/>
        </w:rPr>
        <w:t>因此，本项目粉尘污染治理措施是可行的</w:t>
      </w:r>
      <w:r>
        <w:rPr>
          <w:rFonts w:hint="eastAsia" w:cs="Times New Roman"/>
          <w:kern w:val="0"/>
          <w:sz w:val="24"/>
          <w:szCs w:val="24"/>
          <w:lang w:val="en-US" w:eastAsia="zh-CN" w:bidi="ar-SA"/>
        </w:rPr>
        <w:t>。</w:t>
      </w:r>
    </w:p>
    <w:p>
      <w:pPr>
        <w:spacing w:line="360" w:lineRule="auto"/>
        <w:ind w:firstLine="482" w:firstLineChars="200"/>
        <w:rPr>
          <w:rFonts w:hAnsiTheme="minorEastAsia" w:eastAsiaTheme="minorEastAsia"/>
          <w:b/>
          <w:kern w:val="0"/>
          <w:sz w:val="24"/>
        </w:rPr>
      </w:pPr>
      <w:r>
        <w:rPr>
          <w:rFonts w:hint="eastAsia" w:hAnsiTheme="minorEastAsia" w:eastAsiaTheme="minorEastAsia"/>
          <w:b/>
          <w:kern w:val="0"/>
          <w:sz w:val="24"/>
          <w:lang w:val="en-US" w:eastAsia="zh-CN"/>
        </w:rPr>
        <w:t>5</w:t>
      </w:r>
      <w:r>
        <w:rPr>
          <w:rFonts w:hint="eastAsia" w:hAnsiTheme="minorEastAsia" w:eastAsiaTheme="minorEastAsia"/>
          <w:b/>
          <w:kern w:val="0"/>
          <w:sz w:val="24"/>
        </w:rPr>
        <w:t>、食堂油烟防治措施</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本项目场区内在生活区设有食堂，食堂以项目产生的沼气为燃料，均属于清洁能源，其燃烧产生的大气污染物经自然扩散后远低于排放标准。项目食堂产生的餐饮油烟经集气罩收集后，采用</w:t>
      </w:r>
      <w:r>
        <w:rPr>
          <w:rFonts w:hint="eastAsia"/>
          <w:sz w:val="23"/>
          <w:szCs w:val="23"/>
        </w:rPr>
        <w:t>国家主管部门认证的油烟净化</w:t>
      </w:r>
      <w:r>
        <w:rPr>
          <w:rFonts w:hint="eastAsia" w:hAnsiTheme="minorEastAsia" w:eastAsiaTheme="minorEastAsia"/>
          <w:kern w:val="0"/>
          <w:sz w:val="24"/>
        </w:rPr>
        <w:t>装置处理，处理后的油烟排放浓度小于</w:t>
      </w:r>
      <w:r>
        <w:rPr>
          <w:rFonts w:hAnsiTheme="minorEastAsia" w:eastAsiaTheme="minorEastAsia"/>
          <w:kern w:val="0"/>
          <w:sz w:val="24"/>
        </w:rPr>
        <w:t>2.0mg/m</w:t>
      </w:r>
      <w:r>
        <w:rPr>
          <w:rFonts w:hAnsiTheme="minorEastAsia" w:eastAsiaTheme="minorEastAsia"/>
          <w:kern w:val="0"/>
          <w:sz w:val="24"/>
          <w:vertAlign w:val="superscript"/>
        </w:rPr>
        <w:t>3</w:t>
      </w:r>
      <w:r>
        <w:rPr>
          <w:rFonts w:hAnsiTheme="minorEastAsia" w:eastAsiaTheme="minorEastAsia"/>
          <w:kern w:val="0"/>
          <w:sz w:val="24"/>
        </w:rPr>
        <w:t>，可达到</w:t>
      </w:r>
      <w:r>
        <w:rPr>
          <w:rFonts w:hint="eastAsia" w:hAnsiTheme="minorEastAsia" w:eastAsiaTheme="minorEastAsia"/>
          <w:kern w:val="0"/>
          <w:sz w:val="24"/>
        </w:rPr>
        <w:t>《饮食业油烟排放标准》（</w:t>
      </w:r>
      <w:r>
        <w:rPr>
          <w:rFonts w:hAnsiTheme="minorEastAsia" w:eastAsiaTheme="minorEastAsia"/>
          <w:kern w:val="0"/>
          <w:sz w:val="24"/>
        </w:rPr>
        <w:t>GB18483-2001</w:t>
      </w:r>
      <w:r>
        <w:rPr>
          <w:rFonts w:hint="eastAsia" w:hAnsiTheme="minorEastAsia" w:eastAsiaTheme="minorEastAsia"/>
          <w:kern w:val="0"/>
          <w:sz w:val="24"/>
        </w:rPr>
        <w:t>）小型规模标准要求。</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饮食业排放的大气污染物主要为气溶胶，其中含有食用油及食品在高温下的挥发物，以及由食用油及食品的氧化、裂解、水解而形成的醛类、酮类、链烷类、链烯类、多环芳烃等，成份较为复杂。</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油烟净化装置工作原理为：在风机的作用下、油烟气混合污染物通过油烟净化器，利用直流电高压电场产生电晕放电现象，对流经净化器的油烟进行电离分解，形成微小荷电的油粒以及烟、尘、水粒子，在经过异极性的平板集尘器时被吸收，最后沉积到净化器的底部储油箱内并经导管排出，同时高压电场中产生的活性因子臭氧（</w:t>
      </w:r>
      <w:r>
        <w:rPr>
          <w:rFonts w:hAnsiTheme="minorEastAsia" w:eastAsiaTheme="minorEastAsia"/>
          <w:kern w:val="0"/>
          <w:sz w:val="24"/>
        </w:rPr>
        <w:t>O</w:t>
      </w:r>
      <w:r>
        <w:rPr>
          <w:rFonts w:hAnsiTheme="minorEastAsia" w:eastAsiaTheme="minorEastAsia"/>
          <w:kern w:val="0"/>
          <w:sz w:val="24"/>
          <w:vertAlign w:val="subscript"/>
        </w:rPr>
        <w:t>3</w:t>
      </w:r>
      <w:r>
        <w:rPr>
          <w:rFonts w:hint="eastAsia" w:hAnsiTheme="minorEastAsia" w:eastAsiaTheme="minorEastAsia"/>
          <w:kern w:val="0"/>
          <w:sz w:val="24"/>
        </w:rPr>
        <w:t>），对烟气中的有毒成份和异味进行分解和除味。目前，我国各大中型城市均已对饮食行业外排油烟进行净化治理。市场上油烟净化设施种类亦较多，且效果较好。</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本项目食堂安装经过国家主管部门认证的油烟净化设施，能满足有关环境保护标准的限值要求，所采取的措施可行。</w:t>
      </w:r>
    </w:p>
    <w:p>
      <w:pPr>
        <w:spacing w:line="360" w:lineRule="auto"/>
        <w:ind w:firstLine="482" w:firstLineChars="200"/>
        <w:rPr>
          <w:rFonts w:hAnsiTheme="minorEastAsia" w:eastAsiaTheme="minorEastAsia"/>
          <w:b/>
          <w:kern w:val="0"/>
          <w:sz w:val="24"/>
        </w:rPr>
      </w:pPr>
      <w:r>
        <w:rPr>
          <w:rFonts w:hint="eastAsia" w:hAnsiTheme="minorEastAsia" w:eastAsiaTheme="minorEastAsia"/>
          <w:b/>
          <w:kern w:val="0"/>
          <w:sz w:val="24"/>
          <w:lang w:val="en-US" w:eastAsia="zh-CN"/>
        </w:rPr>
        <w:t>6</w:t>
      </w:r>
      <w:r>
        <w:rPr>
          <w:rFonts w:hint="eastAsia" w:hAnsiTheme="minorEastAsia" w:eastAsiaTheme="minorEastAsia"/>
          <w:b/>
          <w:kern w:val="0"/>
          <w:sz w:val="24"/>
        </w:rPr>
        <w:t>、备用柴油发电机燃油废气治理措施</w:t>
      </w:r>
    </w:p>
    <w:p>
      <w:pPr>
        <w:spacing w:line="360" w:lineRule="auto"/>
        <w:ind w:firstLine="480" w:firstLineChars="200"/>
        <w:rPr>
          <w:rFonts w:hAnsiTheme="minorEastAsia" w:eastAsiaTheme="minorEastAsia"/>
          <w:kern w:val="0"/>
          <w:sz w:val="24"/>
        </w:rPr>
      </w:pPr>
      <w:r>
        <w:rPr>
          <w:rFonts w:hint="eastAsia" w:ascii="Times New Roman" w:hAnsi="Times New Roman" w:eastAsia="宋体" w:cs="Times New Roman"/>
          <w:sz w:val="24"/>
        </w:rPr>
        <w:t>燃油产生的废气污染物量较少，且发电机使用频率较低，废气经发电机自带的净化装置净化后，经排气筒高于屋顶排放，不会对周边环境造成较大影响</w:t>
      </w:r>
      <w:r>
        <w:rPr>
          <w:rFonts w:hint="eastAsia" w:hAnsiTheme="minorEastAsia" w:eastAsiaTheme="minorEastAsia"/>
          <w:kern w:val="0"/>
          <w:sz w:val="24"/>
        </w:rPr>
        <w:t>，为可行性技术。</w:t>
      </w:r>
    </w:p>
    <w:p>
      <w:pPr>
        <w:spacing w:line="360" w:lineRule="auto"/>
        <w:ind w:firstLine="482" w:firstLineChars="200"/>
        <w:rPr>
          <w:rFonts w:hAnsiTheme="minorEastAsia" w:eastAsiaTheme="minorEastAsia"/>
          <w:b/>
          <w:kern w:val="0"/>
          <w:sz w:val="24"/>
        </w:rPr>
      </w:pPr>
      <w:r>
        <w:rPr>
          <w:rFonts w:hint="eastAsia" w:hAnsiTheme="minorEastAsia" w:eastAsiaTheme="minorEastAsia"/>
          <w:b/>
          <w:kern w:val="0"/>
          <w:sz w:val="24"/>
          <w:lang w:val="en-US" w:eastAsia="zh-CN"/>
        </w:rPr>
        <w:t>7</w:t>
      </w:r>
      <w:r>
        <w:rPr>
          <w:rFonts w:hint="eastAsia" w:hAnsiTheme="minorEastAsia" w:eastAsiaTheme="minorEastAsia"/>
          <w:b/>
          <w:kern w:val="0"/>
          <w:sz w:val="24"/>
        </w:rPr>
        <w:t>、运输车辆尾气治理措施</w:t>
      </w:r>
    </w:p>
    <w:p>
      <w:pPr>
        <w:spacing w:line="360" w:lineRule="auto"/>
        <w:ind w:firstLine="480" w:firstLineChars="200"/>
        <w:rPr>
          <w:rFonts w:hint="eastAsia" w:hAnsiTheme="minorEastAsia" w:eastAsiaTheme="minorEastAsia"/>
          <w:kern w:val="0"/>
          <w:sz w:val="24"/>
        </w:rPr>
      </w:pPr>
      <w:r>
        <w:rPr>
          <w:rFonts w:hint="eastAsia" w:hAnsiTheme="minorEastAsia" w:eastAsiaTheme="minorEastAsia"/>
          <w:kern w:val="0"/>
          <w:sz w:val="24"/>
        </w:rPr>
        <w:t>本项目运输车辆使用清洁燃料（柴油/汽油），定期对运输车辆进行维修保养，运输车辆尾气经加强通风、场区绿化后减少废气对周边环境的影响，为可行性技术。</w:t>
      </w:r>
    </w:p>
    <w:p>
      <w:pPr>
        <w:pStyle w:val="7"/>
        <w:adjustRightInd w:val="0"/>
        <w:snapToGrid w:val="0"/>
        <w:spacing w:before="0" w:after="0" w:line="360" w:lineRule="auto"/>
        <w:jc w:val="left"/>
        <w:rPr>
          <w:sz w:val="24"/>
          <w:szCs w:val="24"/>
        </w:rPr>
      </w:pPr>
      <w:bookmarkStart w:id="343" w:name="_Toc517522341"/>
      <w:r>
        <w:rPr>
          <w:rFonts w:hint="eastAsia"/>
          <w:sz w:val="24"/>
          <w:szCs w:val="24"/>
        </w:rPr>
        <w:t xml:space="preserve">7.2.2 </w:t>
      </w:r>
      <w:bookmarkEnd w:id="343"/>
      <w:r>
        <w:rPr>
          <w:rFonts w:hint="eastAsia"/>
          <w:sz w:val="24"/>
          <w:szCs w:val="24"/>
        </w:rPr>
        <w:t>废水污染防治措施及可行性论证</w:t>
      </w:r>
    </w:p>
    <w:p>
      <w:pPr>
        <w:pStyle w:val="2"/>
        <w:snapToGrid w:val="0"/>
        <w:spacing w:after="0" w:line="360" w:lineRule="auto"/>
        <w:ind w:firstLine="480"/>
        <w:rPr>
          <w:rFonts w:eastAsiaTheme="minorEastAsia"/>
          <w:b/>
          <w:sz w:val="24"/>
        </w:rPr>
      </w:pPr>
      <w:r>
        <w:rPr>
          <w:rFonts w:hint="eastAsia" w:eastAsiaTheme="minorEastAsia"/>
          <w:b/>
          <w:sz w:val="24"/>
        </w:rPr>
        <w:t>1、废水污染防治措施</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项目实行雨污、清污分流。</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（1）雨水</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雨污分流对养殖场水量的减少具有极其重要的意义。建立独立的雨水收集系统和污水收集管网系统，独立设立雨水渠，雨水通过独立的雨水收集系统收集待用或排出场外，雨污分离可以减少养殖场污水10~15%左右。</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本项目采用了室外收集雨水工艺。雨水沿屋檐落至鸡舍外雨水沟，雨水通过雨水沟直接排出场外</w:t>
      </w:r>
    </w:p>
    <w:p>
      <w:pPr>
        <w:pStyle w:val="2"/>
        <w:snapToGrid w:val="0"/>
        <w:spacing w:after="0" w:line="360" w:lineRule="auto"/>
        <w:ind w:firstLine="480"/>
        <w:rPr>
          <w:rFonts w:eastAsiaTheme="minorEastAsia"/>
          <w:sz w:val="24"/>
        </w:rPr>
      </w:pPr>
      <w:r>
        <w:rPr>
          <w:rFonts w:hint="eastAsia" w:eastAsiaTheme="minorEastAsia"/>
          <w:sz w:val="24"/>
        </w:rPr>
        <w:t>（2）废水</w:t>
      </w:r>
    </w:p>
    <w:p>
      <w:pPr>
        <w:pStyle w:val="286"/>
        <w:spacing w:after="0"/>
        <w:ind w:firstLine="480"/>
        <w:rPr>
          <w:rFonts w:hint="eastAsia" w:hAnsiTheme="minorEastAsia" w:eastAsiaTheme="minorEastAsia"/>
          <w:kern w:val="0"/>
          <w:sz w:val="24"/>
          <w:lang w:eastAsia="zh-CN"/>
        </w:rPr>
      </w:pPr>
      <w:r>
        <w:rPr>
          <w:rFonts w:hint="eastAsia"/>
          <w:kern w:val="0"/>
          <w:sz w:val="24"/>
        </w:rPr>
        <w:t>本项目废水主要为员工生活污水、鸡舍清洗废水和</w:t>
      </w:r>
      <w:r>
        <w:rPr>
          <w:rFonts w:hint="default" w:ascii="Times New Roman" w:hAnsi="Times New Roman" w:cs="Times New Roman"/>
          <w:kern w:val="0"/>
          <w:sz w:val="24"/>
        </w:rPr>
        <w:t>防尘间喷淋废水，项目运营期年排水量为</w:t>
      </w:r>
      <w:r>
        <w:rPr>
          <w:rFonts w:hint="eastAsia" w:ascii="Times New Roman" w:hAnsi="Times New Roman" w:cs="Times New Roman"/>
          <w:sz w:val="24"/>
          <w:lang w:val="en-US" w:eastAsia="zh-CN"/>
        </w:rPr>
        <w:t>2286.59</w:t>
      </w:r>
      <w:r>
        <w:rPr>
          <w:rFonts w:ascii="Times New Roman" w:hAnsi="Times New Roman" w:cs="Times New Roman"/>
          <w:sz w:val="24"/>
        </w:rPr>
        <w:t>m</w:t>
      </w:r>
      <w:r>
        <w:rPr>
          <w:rFonts w:ascii="Times New Roman" w:hAnsi="Times New Roman" w:cs="Times New Roman"/>
          <w:sz w:val="24"/>
          <w:vertAlign w:val="superscript"/>
        </w:rPr>
        <w:t>3</w:t>
      </w:r>
      <w:r>
        <w:rPr>
          <w:rFonts w:hint="default" w:ascii="Times New Roman" w:hAnsi="Times New Roman" w:cs="Times New Roman"/>
          <w:kern w:val="0"/>
          <w:sz w:val="24"/>
        </w:rPr>
        <w:t>（其中生活废水：</w:t>
      </w:r>
      <w:r>
        <w:rPr>
          <w:rFonts w:hint="eastAsia" w:ascii="Times New Roman" w:hAnsi="Times New Roman" w:cs="Times New Roman"/>
          <w:kern w:val="0"/>
          <w:sz w:val="24"/>
          <w:lang w:val="en-US" w:eastAsia="zh-CN"/>
        </w:rPr>
        <w:t>1460</w:t>
      </w:r>
      <w:r>
        <w:rPr>
          <w:rFonts w:hint="default" w:ascii="Times New Roman" w:hAnsi="Times New Roman" w:cs="Times New Roman"/>
          <w:kern w:val="0"/>
          <w:sz w:val="24"/>
        </w:rPr>
        <w:t>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/a，生产废水：</w:t>
      </w:r>
      <w:r>
        <w:rPr>
          <w:rFonts w:hint="eastAsia" w:ascii="Times New Roman" w:hAnsi="Times New Roman" w:cs="Times New Roman"/>
          <w:kern w:val="0"/>
          <w:sz w:val="24"/>
          <w:lang w:val="en-US" w:eastAsia="zh-CN"/>
        </w:rPr>
        <w:t>826.59</w:t>
      </w:r>
      <w:r>
        <w:rPr>
          <w:rFonts w:hint="default" w:ascii="Times New Roman" w:hAnsi="Times New Roman" w:cs="Times New Roman"/>
          <w:kern w:val="0"/>
          <w:sz w:val="24"/>
        </w:rPr>
        <w:t>m</w:t>
      </w:r>
      <w:r>
        <w:rPr>
          <w:rFonts w:hint="default" w:ascii="Times New Roman" w:hAnsi="Times New Roman" w:cs="Times New Roman"/>
          <w:kern w:val="0"/>
          <w:sz w:val="24"/>
          <w:vertAlign w:val="superscript"/>
        </w:rPr>
        <w:t>3</w:t>
      </w:r>
      <w:r>
        <w:rPr>
          <w:rFonts w:hint="default" w:ascii="Times New Roman" w:hAnsi="Times New Roman" w:cs="Times New Roman"/>
          <w:kern w:val="0"/>
          <w:sz w:val="24"/>
        </w:rPr>
        <w:t>/a）</w:t>
      </w:r>
      <w:r>
        <w:rPr>
          <w:rFonts w:hint="eastAsia"/>
          <w:kern w:val="0"/>
          <w:sz w:val="24"/>
        </w:rPr>
        <w:t>。</w:t>
      </w:r>
      <w:r>
        <w:rPr>
          <w:rFonts w:hint="eastAsia" w:hAnsiTheme="minorEastAsia" w:eastAsiaTheme="minorEastAsia"/>
          <w:kern w:val="0"/>
          <w:sz w:val="24"/>
          <w:lang w:val="en-US" w:eastAsia="zh-CN"/>
        </w:rPr>
        <w:t>项目共设2座污水处理站，</w:t>
      </w:r>
      <w:r>
        <w:rPr>
          <w:rFonts w:hint="eastAsia" w:hAnsiTheme="minorEastAsia" w:eastAsiaTheme="minorEastAsia"/>
          <w:kern w:val="0"/>
          <w:sz w:val="24"/>
          <w:lang w:eastAsia="zh-CN"/>
        </w:rPr>
        <w:t>南场</w:t>
      </w:r>
      <w:r>
        <w:rPr>
          <w:rFonts w:hint="eastAsia" w:hAnsiTheme="minorEastAsia" w:eastAsiaTheme="minorEastAsia"/>
          <w:kern w:val="0"/>
          <w:sz w:val="24"/>
          <w:lang w:val="en-US" w:eastAsia="zh-CN"/>
        </w:rPr>
        <w:t>污水处理站</w:t>
      </w:r>
      <w:r>
        <w:rPr>
          <w:rFonts w:hint="default" w:hAnsiTheme="minorEastAsia" w:eastAsiaTheme="minorEastAsia"/>
          <w:kern w:val="0"/>
          <w:sz w:val="24"/>
        </w:rPr>
        <w:t>收集</w:t>
      </w:r>
      <w:r>
        <w:rPr>
          <w:rFonts w:hint="eastAsia" w:hAnsiTheme="minorEastAsia" w:eastAsiaTheme="minorEastAsia"/>
          <w:kern w:val="0"/>
          <w:sz w:val="24"/>
          <w:lang w:eastAsia="zh-CN"/>
        </w:rPr>
        <w:t>南部养殖区</w:t>
      </w:r>
      <w:r>
        <w:rPr>
          <w:rFonts w:hint="default" w:hAnsiTheme="minorEastAsia" w:eastAsiaTheme="minorEastAsia"/>
          <w:kern w:val="0"/>
          <w:sz w:val="24"/>
        </w:rPr>
        <w:t>鸡舍冲洗废水、防尘间喷淋废水和中部生活污水（隔油预处理）</w:t>
      </w:r>
      <w:r>
        <w:rPr>
          <w:rFonts w:hint="eastAsia" w:hAnsiTheme="minorEastAsia" w:eastAsiaTheme="minorEastAsia"/>
          <w:kern w:val="0"/>
          <w:sz w:val="24"/>
          <w:lang w:eastAsia="zh-CN"/>
        </w:rPr>
        <w:t>，东场</w:t>
      </w:r>
      <w:r>
        <w:rPr>
          <w:rFonts w:hint="eastAsia" w:hAnsiTheme="minorEastAsia" w:eastAsiaTheme="minorEastAsia"/>
          <w:kern w:val="0"/>
          <w:sz w:val="24"/>
          <w:lang w:val="en-US" w:eastAsia="zh-CN"/>
        </w:rPr>
        <w:t>污水处理站</w:t>
      </w:r>
      <w:r>
        <w:rPr>
          <w:rFonts w:hint="default" w:hAnsiTheme="minorEastAsia" w:eastAsiaTheme="minorEastAsia"/>
          <w:kern w:val="0"/>
          <w:sz w:val="24"/>
        </w:rPr>
        <w:t>收集东部养殖区鸡舍冲洗废水、防尘间喷淋废水和东部生活污水，废水经污水处理站处理后</w:t>
      </w:r>
      <w:r>
        <w:rPr>
          <w:rFonts w:hint="eastAsia" w:hAnsiTheme="minorEastAsia" w:eastAsiaTheme="minorEastAsia"/>
          <w:kern w:val="0"/>
          <w:sz w:val="24"/>
          <w:lang w:val="en-US" w:eastAsia="zh-CN"/>
        </w:rPr>
        <w:t>用于</w:t>
      </w:r>
      <w:r>
        <w:rPr>
          <w:rFonts w:hint="default" w:hAnsiTheme="minorEastAsia" w:eastAsiaTheme="minorEastAsia"/>
          <w:kern w:val="0"/>
          <w:sz w:val="24"/>
        </w:rPr>
        <w:t>周边种植基地灌溉，不外排</w:t>
      </w:r>
      <w:r>
        <w:rPr>
          <w:rFonts w:hint="eastAsia" w:hAnsiTheme="minorEastAsia" w:eastAsiaTheme="minorEastAsia"/>
          <w:kern w:val="0"/>
          <w:sz w:val="24"/>
          <w:lang w:eastAsia="zh-CN"/>
        </w:rPr>
        <w:t>。</w:t>
      </w:r>
    </w:p>
    <w:p>
      <w:pPr>
        <w:pStyle w:val="286"/>
        <w:spacing w:after="0"/>
        <w:ind w:firstLine="480"/>
        <w:rPr>
          <w:rFonts w:hint="eastAsia" w:hAnsiTheme="minorEastAsia" w:eastAsiaTheme="minorEastAsia"/>
          <w:b/>
          <w:bCs/>
          <w:kern w:val="0"/>
          <w:sz w:val="24"/>
          <w:lang w:val="en-US" w:eastAsia="zh-CN"/>
        </w:rPr>
      </w:pPr>
      <w:r>
        <w:rPr>
          <w:rFonts w:hint="eastAsia" w:hAnsiTheme="minorEastAsia" w:eastAsiaTheme="minorEastAsia"/>
          <w:b/>
          <w:bCs/>
          <w:kern w:val="0"/>
          <w:sz w:val="24"/>
          <w:lang w:val="en-US" w:eastAsia="zh-CN"/>
        </w:rPr>
        <w:t>3、污水处理站工艺可行性</w:t>
      </w:r>
    </w:p>
    <w:p>
      <w:pPr>
        <w:pStyle w:val="286"/>
        <w:spacing w:after="0"/>
        <w:ind w:firstLine="480"/>
        <w:rPr>
          <w:rFonts w:hint="eastAsia" w:hAnsiTheme="minorEastAsia" w:eastAsiaTheme="minorEastAsia"/>
          <w:kern w:val="0"/>
          <w:sz w:val="24"/>
          <w:lang w:val="en-US" w:eastAsia="zh-CN"/>
        </w:rPr>
      </w:pPr>
      <w:r>
        <w:rPr>
          <w:rFonts w:hint="eastAsia" w:hAnsiTheme="minorEastAsia" w:eastAsiaTheme="minorEastAsia"/>
          <w:kern w:val="0"/>
          <w:sz w:val="24"/>
          <w:lang w:val="en-US" w:eastAsia="zh-CN"/>
        </w:rPr>
        <w:t>项目新建2座污水处理站，</w:t>
      </w:r>
      <w:r>
        <w:rPr>
          <w:rFonts w:hint="default" w:hAnsiTheme="minorEastAsia" w:eastAsiaTheme="minorEastAsia"/>
          <w:kern w:val="0"/>
          <w:sz w:val="24"/>
        </w:rPr>
        <w:t>设计</w:t>
      </w:r>
      <w:r>
        <w:rPr>
          <w:rFonts w:hint="eastAsia" w:hAnsiTheme="minorEastAsia" w:eastAsiaTheme="minorEastAsia"/>
          <w:kern w:val="0"/>
          <w:sz w:val="24"/>
          <w:lang w:val="en-US" w:eastAsia="zh-CN"/>
        </w:rPr>
        <w:t>总</w:t>
      </w:r>
      <w:r>
        <w:rPr>
          <w:rFonts w:hint="default" w:hAnsiTheme="minorEastAsia" w:eastAsiaTheme="minorEastAsia"/>
          <w:kern w:val="0"/>
          <w:sz w:val="24"/>
        </w:rPr>
        <w:t>规模为</w:t>
      </w:r>
      <w:r>
        <w:rPr>
          <w:rFonts w:hint="eastAsia" w:hAnsiTheme="minorEastAsia" w:eastAsiaTheme="minorEastAsia"/>
          <w:kern w:val="0"/>
          <w:sz w:val="24"/>
          <w:lang w:val="en-US" w:eastAsia="zh-CN"/>
        </w:rPr>
        <w:t>10</w:t>
      </w:r>
      <w:r>
        <w:rPr>
          <w:rFonts w:hint="default" w:hAnsiTheme="minorEastAsia" w:eastAsiaTheme="minorEastAsia"/>
          <w:kern w:val="0"/>
          <w:sz w:val="24"/>
        </w:rPr>
        <w:t>m</w:t>
      </w:r>
      <w:r>
        <w:rPr>
          <w:rFonts w:hint="default" w:hAnsiTheme="minorEastAsia" w:eastAsiaTheme="minorEastAsia"/>
          <w:kern w:val="0"/>
          <w:sz w:val="24"/>
          <w:vertAlign w:val="superscript"/>
        </w:rPr>
        <w:t>3</w:t>
      </w:r>
      <w:r>
        <w:rPr>
          <w:rFonts w:hint="default" w:hAnsiTheme="minorEastAsia" w:eastAsiaTheme="minorEastAsia"/>
          <w:kern w:val="0"/>
          <w:sz w:val="24"/>
        </w:rPr>
        <w:t>/d。本项目采用的厌氧发酵废水处理系统具有运行成本低，安装简单，便于维护，节省用地，自动化等方面的优点，并且对有机物的去除率较高。设备出水经消毒池消毒后，</w:t>
      </w:r>
      <w:r>
        <w:rPr>
          <w:rFonts w:hint="eastAsia" w:hAnsiTheme="minorEastAsia" w:eastAsiaTheme="minorEastAsia"/>
          <w:kern w:val="0"/>
          <w:sz w:val="24"/>
        </w:rPr>
        <w:t>回用于</w:t>
      </w:r>
      <w:r>
        <w:rPr>
          <w:rFonts w:hint="eastAsia" w:cs="Times New Roman"/>
          <w:kern w:val="0"/>
          <w:sz w:val="24"/>
          <w:lang w:val="en-US" w:eastAsia="zh-CN"/>
        </w:rPr>
        <w:t>周边</w:t>
      </w:r>
      <w:r>
        <w:rPr>
          <w:rFonts w:hint="eastAsia"/>
          <w:kern w:val="0"/>
          <w:sz w:val="24"/>
        </w:rPr>
        <w:t>种植基地</w:t>
      </w:r>
      <w:r>
        <w:rPr>
          <w:rFonts w:hint="eastAsia"/>
          <w:kern w:val="0"/>
          <w:sz w:val="24"/>
          <w:lang w:val="en-US" w:eastAsia="zh-CN"/>
        </w:rPr>
        <w:t>灌溉</w:t>
      </w:r>
      <w:r>
        <w:rPr>
          <w:rFonts w:hint="eastAsia" w:hAnsiTheme="minorEastAsia" w:eastAsiaTheme="minorEastAsia"/>
          <w:kern w:val="0"/>
          <w:sz w:val="24"/>
        </w:rPr>
        <w:t>，不外排，实现废水资源化利用</w:t>
      </w:r>
      <w:r>
        <w:rPr>
          <w:rFonts w:hint="eastAsia" w:hAnsiTheme="minorEastAsia" w:eastAsiaTheme="minorEastAsia"/>
          <w:kern w:val="0"/>
          <w:sz w:val="24"/>
          <w:lang w:val="en-US" w:eastAsia="zh-CN"/>
        </w:rPr>
        <w:t>。</w:t>
      </w:r>
    </w:p>
    <w:p>
      <w:pPr>
        <w:pStyle w:val="286"/>
        <w:spacing w:after="0"/>
        <w:ind w:firstLine="480"/>
        <w:rPr>
          <w:rFonts w:hint="default" w:hAnsiTheme="minorEastAsia" w:eastAsiaTheme="minorEastAsia"/>
          <w:b/>
          <w:bCs/>
          <w:color w:val="FF0000"/>
          <w:kern w:val="0"/>
          <w:sz w:val="24"/>
          <w:u w:val="wave"/>
          <w:lang w:val="en-US" w:eastAsia="zh-CN"/>
        </w:rPr>
      </w:pPr>
      <w:r>
        <w:rPr>
          <w:rFonts w:hint="eastAsia" w:hAnsiTheme="minorEastAsia" w:eastAsiaTheme="minorEastAsia"/>
          <w:b/>
          <w:bCs/>
          <w:color w:val="FF0000"/>
          <w:kern w:val="0"/>
          <w:sz w:val="24"/>
          <w:u w:val="wave"/>
          <w:lang w:val="en-US" w:eastAsia="zh-CN"/>
        </w:rPr>
        <w:t>4、污水回用不外排可行性和保证性</w:t>
      </w:r>
    </w:p>
    <w:p>
      <w:pPr>
        <w:spacing w:line="360" w:lineRule="auto"/>
        <w:ind w:firstLine="480" w:firstLineChars="200"/>
        <w:rPr>
          <w:rFonts w:hint="eastAsia"/>
          <w:color w:val="FF0000"/>
          <w:sz w:val="24"/>
          <w:u w:val="wave"/>
          <w:lang w:val="en-US" w:eastAsia="zh-CN"/>
        </w:rPr>
      </w:pPr>
      <w:r>
        <w:rPr>
          <w:rFonts w:hint="eastAsia"/>
          <w:color w:val="FF0000"/>
          <w:sz w:val="24"/>
          <w:u w:val="wave"/>
        </w:rPr>
        <w:t>本项目坚持“种养结合”的原则，员工生活废水、养殖废水经厌氧发酵处理系统处理后回用于</w:t>
      </w:r>
      <w:r>
        <w:rPr>
          <w:rFonts w:hint="eastAsia" w:cs="Times New Roman"/>
          <w:color w:val="FF0000"/>
          <w:kern w:val="0"/>
          <w:sz w:val="24"/>
          <w:u w:val="wave"/>
          <w:lang w:val="en-US" w:eastAsia="zh-CN"/>
        </w:rPr>
        <w:t>周边</w:t>
      </w:r>
      <w:r>
        <w:rPr>
          <w:rFonts w:hint="eastAsia"/>
          <w:color w:val="FF0000"/>
          <w:kern w:val="0"/>
          <w:sz w:val="24"/>
          <w:u w:val="wave"/>
        </w:rPr>
        <w:t>种植基地</w:t>
      </w:r>
      <w:r>
        <w:rPr>
          <w:rFonts w:hint="eastAsia"/>
          <w:color w:val="FF0000"/>
          <w:kern w:val="0"/>
          <w:sz w:val="24"/>
          <w:u w:val="wave"/>
          <w:lang w:val="en-US" w:eastAsia="zh-CN"/>
        </w:rPr>
        <w:t>灌溉</w:t>
      </w:r>
      <w:r>
        <w:rPr>
          <w:rFonts w:hint="eastAsia"/>
          <w:color w:val="FF0000"/>
          <w:sz w:val="24"/>
          <w:u w:val="wave"/>
        </w:rPr>
        <w:t>，不外排。本项目养殖废水、生活</w:t>
      </w:r>
      <w:r>
        <w:rPr>
          <w:rFonts w:hint="eastAsia"/>
          <w:color w:val="FF0000"/>
          <w:sz w:val="24"/>
          <w:u w:val="wave"/>
          <w:lang w:val="en-US" w:eastAsia="zh-CN"/>
        </w:rPr>
        <w:t>污水</w:t>
      </w:r>
      <w:r>
        <w:rPr>
          <w:rFonts w:hint="eastAsia"/>
          <w:color w:val="FF0000"/>
          <w:sz w:val="24"/>
          <w:u w:val="wave"/>
        </w:rPr>
        <w:t>经厌氧发酵系统处理后，通过车辆运输</w:t>
      </w:r>
      <w:r>
        <w:rPr>
          <w:rFonts w:hint="eastAsia"/>
          <w:color w:val="FF0000"/>
          <w:sz w:val="24"/>
          <w:u w:val="wave"/>
          <w:lang w:val="en-US" w:eastAsia="zh-CN"/>
        </w:rPr>
        <w:t>至</w:t>
      </w:r>
      <w:r>
        <w:rPr>
          <w:rFonts w:hint="eastAsia"/>
          <w:color w:val="FF0000"/>
          <w:sz w:val="24"/>
          <w:u w:val="wave"/>
        </w:rPr>
        <w:t>接纳土地上作为</w:t>
      </w:r>
      <w:r>
        <w:rPr>
          <w:rFonts w:hint="eastAsia"/>
          <w:color w:val="FF0000"/>
          <w:sz w:val="24"/>
          <w:u w:val="wave"/>
          <w:lang w:val="en-US" w:eastAsia="zh-CN"/>
        </w:rPr>
        <w:t>农作物</w:t>
      </w:r>
      <w:r>
        <w:rPr>
          <w:rFonts w:hint="eastAsia"/>
          <w:color w:val="FF0000"/>
          <w:sz w:val="24"/>
          <w:u w:val="wave"/>
        </w:rPr>
        <w:t>的肥料，</w:t>
      </w:r>
      <w:r>
        <w:rPr>
          <w:rFonts w:hint="eastAsia" w:hAnsiTheme="minorEastAsia" w:eastAsiaTheme="minorEastAsia"/>
          <w:color w:val="FF0000"/>
          <w:kern w:val="0"/>
          <w:sz w:val="24"/>
          <w:u w:val="wave"/>
        </w:rPr>
        <w:t>根据建设单位提供的资料，目前已流转项目周边约162.69亩水田及60.87亩旱地作为公司同期发展的种植区，水田全部种植水稻，旱地种植四季蔬菜及果木等。</w:t>
      </w:r>
      <w:r>
        <w:rPr>
          <w:rFonts w:hint="eastAsia"/>
          <w:color w:val="FF0000"/>
          <w:sz w:val="24"/>
          <w:u w:val="wave"/>
        </w:rPr>
        <w:t>本项目废水产生量为</w:t>
      </w:r>
      <w:r>
        <w:rPr>
          <w:rFonts w:hint="eastAsia"/>
          <w:color w:val="FF0000"/>
          <w:sz w:val="24"/>
          <w:u w:val="wave"/>
          <w:lang w:val="en-US" w:eastAsia="zh-CN"/>
        </w:rPr>
        <w:t>2286.59</w:t>
      </w:r>
      <w:r>
        <w:rPr>
          <w:rFonts w:hint="eastAsia"/>
          <w:color w:val="FF0000"/>
          <w:sz w:val="24"/>
          <w:u w:val="wave"/>
        </w:rPr>
        <w:t>m</w:t>
      </w:r>
      <w:r>
        <w:rPr>
          <w:rFonts w:hint="eastAsia"/>
          <w:color w:val="FF0000"/>
          <w:sz w:val="24"/>
          <w:u w:val="wave"/>
          <w:vertAlign w:val="superscript"/>
        </w:rPr>
        <w:t>3</w:t>
      </w:r>
      <w:r>
        <w:rPr>
          <w:rFonts w:hint="eastAsia"/>
          <w:color w:val="FF0000"/>
          <w:sz w:val="24"/>
          <w:u w:val="wave"/>
        </w:rPr>
        <w:t>/a，参考湖南省地方标准《用水定额》（DB43/T388-2020）中表2标准，</w:t>
      </w:r>
      <w:r>
        <w:rPr>
          <w:rFonts w:hint="eastAsia"/>
          <w:color w:val="FF0000"/>
          <w:sz w:val="24"/>
          <w:u w:val="wave"/>
          <w:lang w:val="en-US" w:eastAsia="zh-CN"/>
        </w:rPr>
        <w:t>衡阳县</w:t>
      </w:r>
      <w:r>
        <w:rPr>
          <w:rFonts w:hint="eastAsia"/>
          <w:color w:val="FF0000"/>
          <w:sz w:val="24"/>
          <w:u w:val="wave"/>
        </w:rPr>
        <w:t>灌溉分区为</w:t>
      </w:r>
      <w:r>
        <w:rPr>
          <w:rFonts w:hint="eastAsia" w:ascii="宋体" w:hAnsi="宋体" w:eastAsia="宋体" w:cs="宋体"/>
          <w:color w:val="FF0000"/>
          <w:sz w:val="24"/>
          <w:u w:val="wave"/>
        </w:rPr>
        <w:t>Ⅳ</w:t>
      </w:r>
      <w:r>
        <w:rPr>
          <w:rFonts w:hint="eastAsia"/>
          <w:color w:val="FF0000"/>
          <w:sz w:val="24"/>
          <w:u w:val="wave"/>
        </w:rPr>
        <w:t>区，</w:t>
      </w:r>
      <w:r>
        <w:rPr>
          <w:rFonts w:hint="eastAsia"/>
          <w:color w:val="FF0000"/>
          <w:sz w:val="24"/>
          <w:u w:val="wave"/>
          <w:lang w:val="en-US" w:eastAsia="zh-CN"/>
        </w:rPr>
        <w:t>中稻</w:t>
      </w:r>
      <w:r>
        <w:rPr>
          <w:rFonts w:hint="eastAsia"/>
          <w:color w:val="FF0000"/>
          <w:sz w:val="24"/>
          <w:u w:val="wave"/>
        </w:rPr>
        <w:t>用水定额</w:t>
      </w:r>
      <w:r>
        <w:rPr>
          <w:rFonts w:hint="eastAsia"/>
          <w:color w:val="FF0000"/>
          <w:sz w:val="24"/>
          <w:u w:val="wave"/>
          <w:lang w:val="en-US" w:eastAsia="zh-CN"/>
        </w:rPr>
        <w:t>472</w:t>
      </w:r>
      <w:r>
        <w:rPr>
          <w:rFonts w:hint="eastAsia"/>
          <w:color w:val="FF0000"/>
          <w:sz w:val="24"/>
          <w:u w:val="wave"/>
        </w:rPr>
        <w:t>m</w:t>
      </w:r>
      <w:r>
        <w:rPr>
          <w:rFonts w:hint="eastAsia"/>
          <w:color w:val="FF0000"/>
          <w:sz w:val="24"/>
          <w:u w:val="wave"/>
          <w:vertAlign w:val="superscript"/>
        </w:rPr>
        <w:t>3</w:t>
      </w:r>
      <w:r>
        <w:rPr>
          <w:rFonts w:hint="eastAsia"/>
          <w:color w:val="FF0000"/>
          <w:sz w:val="24"/>
          <w:u w:val="wave"/>
        </w:rPr>
        <w:t>/亩﹒a，</w:t>
      </w:r>
      <w:r>
        <w:rPr>
          <w:rFonts w:hint="eastAsia" w:hAnsiTheme="minorEastAsia" w:eastAsiaTheme="minorEastAsia"/>
          <w:color w:val="FF0000"/>
          <w:kern w:val="0"/>
          <w:sz w:val="24"/>
          <w:u w:val="wave"/>
        </w:rPr>
        <w:t>公司同期发展的种植</w:t>
      </w:r>
      <w:r>
        <w:rPr>
          <w:rFonts w:hint="eastAsia" w:hAnsiTheme="minorEastAsia" w:eastAsiaTheme="minorEastAsia"/>
          <w:color w:val="FF0000"/>
          <w:kern w:val="0"/>
          <w:sz w:val="24"/>
          <w:u w:val="wave"/>
          <w:lang w:val="en-US" w:eastAsia="zh-CN"/>
        </w:rPr>
        <w:t>基地水稻种植</w:t>
      </w:r>
      <w:r>
        <w:rPr>
          <w:rFonts w:hint="eastAsia"/>
          <w:color w:val="FF0000"/>
          <w:sz w:val="24"/>
          <w:u w:val="wave"/>
        </w:rPr>
        <w:t>面积为</w:t>
      </w:r>
      <w:r>
        <w:rPr>
          <w:rFonts w:hint="eastAsia"/>
          <w:color w:val="FF0000"/>
          <w:sz w:val="24"/>
          <w:u w:val="wave"/>
          <w:lang w:val="en-US" w:eastAsia="zh-CN"/>
        </w:rPr>
        <w:t>162.69</w:t>
      </w:r>
      <w:r>
        <w:rPr>
          <w:rFonts w:hint="eastAsia"/>
          <w:color w:val="FF0000"/>
          <w:sz w:val="24"/>
          <w:u w:val="wave"/>
        </w:rPr>
        <w:t>亩，经计算可知消纳处理达标后的废水约</w:t>
      </w:r>
      <w:r>
        <w:rPr>
          <w:rFonts w:hint="eastAsia"/>
          <w:color w:val="FF0000"/>
          <w:sz w:val="24"/>
          <w:u w:val="wave"/>
          <w:lang w:val="en-US" w:eastAsia="zh-CN"/>
        </w:rPr>
        <w:t>76789.68</w:t>
      </w:r>
      <w:r>
        <w:rPr>
          <w:rFonts w:hint="eastAsia"/>
          <w:color w:val="FF0000"/>
          <w:sz w:val="24"/>
          <w:u w:val="wave"/>
        </w:rPr>
        <w:t>t/a，则本项目土地可以完全消纳厂区综合废水</w:t>
      </w:r>
      <w:r>
        <w:rPr>
          <w:rFonts w:hint="eastAsia"/>
          <w:color w:val="FF0000"/>
          <w:sz w:val="24"/>
          <w:u w:val="wave"/>
          <w:lang w:val="en-US" w:eastAsia="zh-CN"/>
        </w:rPr>
        <w:t>。</w:t>
      </w:r>
    </w:p>
    <w:p>
      <w:pPr>
        <w:spacing w:line="360" w:lineRule="auto"/>
        <w:ind w:firstLine="480" w:firstLineChars="200"/>
        <w:rPr>
          <w:rFonts w:hint="eastAsia"/>
          <w:color w:val="FF0000"/>
          <w:sz w:val="24"/>
          <w:u w:val="wave"/>
        </w:rPr>
      </w:pPr>
      <w:r>
        <w:rPr>
          <w:rFonts w:hint="eastAsia"/>
          <w:color w:val="FF0000"/>
          <w:sz w:val="24"/>
          <w:u w:val="wave"/>
        </w:rPr>
        <w:t>养殖废水经过污水处理站处理后，氮、磷浓度大大降低，但废水中仍有部分氮、磷，以氨氮为例，核算污水灌溉对土壤质量的影响，按一般的施肥量计算（10kg氮/亩﹒a），100亩地对氮养分的需求至少为1t氮/a，本项目养殖废水产生量为</w:t>
      </w:r>
      <w:r>
        <w:rPr>
          <w:rFonts w:hint="eastAsia"/>
          <w:color w:val="FF0000"/>
          <w:sz w:val="24"/>
          <w:u w:val="wave"/>
          <w:lang w:val="en-US" w:eastAsia="zh-CN"/>
        </w:rPr>
        <w:t>2286.59</w:t>
      </w:r>
      <w:r>
        <w:rPr>
          <w:rFonts w:hint="eastAsia"/>
          <w:color w:val="FF0000"/>
          <w:sz w:val="24"/>
          <w:u w:val="wave"/>
        </w:rPr>
        <w:t>m</w:t>
      </w:r>
      <w:r>
        <w:rPr>
          <w:rFonts w:hint="eastAsia"/>
          <w:color w:val="FF0000"/>
          <w:sz w:val="24"/>
          <w:u w:val="wave"/>
          <w:vertAlign w:val="superscript"/>
        </w:rPr>
        <w:t>3</w:t>
      </w:r>
      <w:r>
        <w:rPr>
          <w:rFonts w:hint="eastAsia"/>
          <w:color w:val="FF0000"/>
          <w:sz w:val="24"/>
          <w:u w:val="wave"/>
        </w:rPr>
        <w:t>/a，氨氮浓度为</w:t>
      </w:r>
      <w:r>
        <w:rPr>
          <w:rFonts w:hint="eastAsia"/>
          <w:color w:val="FF0000"/>
          <w:sz w:val="24"/>
          <w:u w:val="wave"/>
          <w:lang w:val="en-US" w:eastAsia="zh-CN"/>
        </w:rPr>
        <w:t>24.40</w:t>
      </w:r>
      <w:r>
        <w:rPr>
          <w:rFonts w:hint="eastAsia"/>
          <w:color w:val="FF0000"/>
          <w:sz w:val="24"/>
          <w:u w:val="wave"/>
        </w:rPr>
        <w:t>mg/L，则废水中氨氮的总量为0.0</w:t>
      </w:r>
      <w:r>
        <w:rPr>
          <w:rFonts w:hint="eastAsia"/>
          <w:color w:val="FF0000"/>
          <w:sz w:val="24"/>
          <w:u w:val="wave"/>
          <w:lang w:val="en-US" w:eastAsia="zh-CN"/>
        </w:rPr>
        <w:t>56</w:t>
      </w:r>
      <w:r>
        <w:rPr>
          <w:rFonts w:hint="eastAsia"/>
          <w:color w:val="FF0000"/>
          <w:sz w:val="24"/>
          <w:u w:val="wave"/>
        </w:rPr>
        <w:t>t/a，远远小于土地需求量，若污水用于</w:t>
      </w:r>
      <w:r>
        <w:rPr>
          <w:rFonts w:hint="eastAsia" w:cs="Times New Roman"/>
          <w:color w:val="FF0000"/>
          <w:kern w:val="0"/>
          <w:sz w:val="24"/>
          <w:u w:val="wave"/>
          <w:lang w:val="en-US" w:eastAsia="zh-CN"/>
        </w:rPr>
        <w:t>周边</w:t>
      </w:r>
      <w:r>
        <w:rPr>
          <w:rFonts w:hint="eastAsia"/>
          <w:color w:val="FF0000"/>
          <w:kern w:val="0"/>
          <w:sz w:val="24"/>
          <w:u w:val="wave"/>
        </w:rPr>
        <w:t>种植基地</w:t>
      </w:r>
      <w:r>
        <w:rPr>
          <w:rFonts w:hint="eastAsia"/>
          <w:color w:val="FF0000"/>
          <w:kern w:val="0"/>
          <w:sz w:val="24"/>
          <w:u w:val="wave"/>
          <w:lang w:val="en-US" w:eastAsia="zh-CN"/>
        </w:rPr>
        <w:t>灌溉</w:t>
      </w:r>
      <w:r>
        <w:rPr>
          <w:rFonts w:hint="eastAsia"/>
          <w:color w:val="FF0000"/>
          <w:sz w:val="24"/>
          <w:u w:val="wave"/>
        </w:rPr>
        <w:t>，则不仅不会超出土壤的自净能力，反而可以节省肥料，提高土壤肥力。</w:t>
      </w:r>
    </w:p>
    <w:p>
      <w:pPr>
        <w:pStyle w:val="2"/>
        <w:snapToGrid w:val="0"/>
        <w:spacing w:after="0" w:line="360" w:lineRule="auto"/>
        <w:ind w:firstLine="480" w:firstLineChars="200"/>
        <w:rPr>
          <w:rFonts w:hint="eastAsia" w:eastAsia="宋体"/>
          <w:b/>
          <w:color w:val="FF0000"/>
          <w:sz w:val="24"/>
          <w:u w:val="wave"/>
          <w:lang w:eastAsia="zh-CN"/>
        </w:rPr>
      </w:pPr>
      <w:r>
        <w:rPr>
          <w:rFonts w:hint="eastAsia"/>
          <w:color w:val="FF0000"/>
          <w:sz w:val="24"/>
          <w:u w:val="wave"/>
        </w:rPr>
        <w:t>综上所述，本项目废水回用于绿化灌溉是可行的</w:t>
      </w:r>
      <w:r>
        <w:rPr>
          <w:rFonts w:hint="eastAsia"/>
          <w:color w:val="FF0000"/>
          <w:sz w:val="24"/>
          <w:u w:val="wave"/>
          <w:lang w:eastAsia="zh-CN"/>
        </w:rPr>
        <w:t>。</w:t>
      </w:r>
    </w:p>
    <w:p>
      <w:pPr>
        <w:pStyle w:val="2"/>
        <w:snapToGrid w:val="0"/>
        <w:spacing w:after="0" w:line="360" w:lineRule="auto"/>
        <w:ind w:firstLine="482" w:firstLineChars="200"/>
        <w:rPr>
          <w:b/>
          <w:sz w:val="24"/>
        </w:rPr>
      </w:pPr>
      <w:r>
        <w:rPr>
          <w:rFonts w:hint="eastAsia"/>
          <w:b/>
          <w:sz w:val="24"/>
          <w:lang w:val="en-US" w:eastAsia="zh-CN"/>
        </w:rPr>
        <w:t>5</w:t>
      </w:r>
      <w:r>
        <w:rPr>
          <w:rFonts w:hint="eastAsia"/>
          <w:b/>
          <w:sz w:val="24"/>
        </w:rPr>
        <w:t>、肥水输送方式及控制要求</w:t>
      </w:r>
    </w:p>
    <w:p>
      <w:pPr>
        <w:pStyle w:val="2"/>
        <w:snapToGrid w:val="0"/>
        <w:spacing w:after="0" w:line="360" w:lineRule="auto"/>
        <w:ind w:firstLine="480" w:firstLineChars="200"/>
        <w:rPr>
          <w:sz w:val="24"/>
        </w:rPr>
      </w:pPr>
      <w:r>
        <w:rPr>
          <w:rFonts w:hint="eastAsia"/>
          <w:sz w:val="24"/>
        </w:rPr>
        <w:t>本项目发酵处理后的肥水通过密闭槽车进行运输，给予建设单位自家种植基地施肥综合利用。运营单位应保障厂区内运输道路的畅通，运输车辆与运费由建设单位自行承担。</w:t>
      </w:r>
    </w:p>
    <w:p>
      <w:pPr>
        <w:pStyle w:val="2"/>
        <w:snapToGrid w:val="0"/>
        <w:spacing w:after="0" w:line="360" w:lineRule="auto"/>
        <w:ind w:firstLine="480" w:firstLineChars="200"/>
        <w:rPr>
          <w:sz w:val="24"/>
        </w:rPr>
      </w:pPr>
      <w:r>
        <w:rPr>
          <w:rFonts w:hint="eastAsia"/>
          <w:sz w:val="24"/>
        </w:rPr>
        <w:t>同时，本评价对肥水的输送提出如下控制要求：</w:t>
      </w:r>
    </w:p>
    <w:p>
      <w:pPr>
        <w:pStyle w:val="2"/>
        <w:snapToGrid w:val="0"/>
        <w:spacing w:after="0" w:line="360" w:lineRule="auto"/>
        <w:ind w:firstLine="480" w:firstLineChars="200"/>
        <w:rPr>
          <w:sz w:val="24"/>
        </w:rPr>
      </w:pPr>
      <w:r>
        <w:rPr>
          <w:rFonts w:hint="eastAsia"/>
          <w:sz w:val="24"/>
        </w:rPr>
        <w:t>（1）运输车辆进出厂区均应进行必要的清洗和消毒工作；</w:t>
      </w:r>
    </w:p>
    <w:p>
      <w:pPr>
        <w:pStyle w:val="2"/>
        <w:snapToGrid w:val="0"/>
        <w:spacing w:after="0" w:line="360" w:lineRule="auto"/>
        <w:ind w:firstLine="480" w:firstLineChars="200"/>
        <w:rPr>
          <w:sz w:val="24"/>
        </w:rPr>
      </w:pPr>
      <w:r>
        <w:rPr>
          <w:rFonts w:hint="eastAsia"/>
          <w:sz w:val="24"/>
        </w:rPr>
        <w:t>（2）运输车辆应保证密闭性良好，防止运输沿途的跑冒滴漏；</w:t>
      </w:r>
    </w:p>
    <w:p>
      <w:pPr>
        <w:pStyle w:val="2"/>
        <w:snapToGrid w:val="0"/>
        <w:spacing w:after="0" w:line="360" w:lineRule="auto"/>
        <w:ind w:firstLine="480" w:firstLineChars="200"/>
        <w:rPr>
          <w:sz w:val="24"/>
        </w:rPr>
      </w:pPr>
      <w:r>
        <w:rPr>
          <w:rFonts w:hint="eastAsia"/>
          <w:sz w:val="24"/>
        </w:rPr>
        <w:t>（3）运输路线应选择路况良好的道路，且路线长度应相对较短，规划最佳运输路线，路线应相对固定，以利于监督管理。</w:t>
      </w:r>
    </w:p>
    <w:p>
      <w:pPr>
        <w:pStyle w:val="2"/>
        <w:snapToGrid w:val="0"/>
        <w:spacing w:after="0" w:line="360" w:lineRule="auto"/>
        <w:ind w:firstLine="482" w:firstLineChars="200"/>
        <w:rPr>
          <w:rFonts w:hint="eastAsia"/>
          <w:b/>
          <w:bCs/>
          <w:sz w:val="24"/>
        </w:rPr>
      </w:pPr>
      <w:r>
        <w:rPr>
          <w:rFonts w:hint="eastAsia"/>
          <w:b/>
          <w:bCs/>
          <w:sz w:val="24"/>
          <w:lang w:val="en-US" w:eastAsia="zh-CN"/>
        </w:rPr>
        <w:t>6</w:t>
      </w:r>
      <w:r>
        <w:rPr>
          <w:rFonts w:hint="eastAsia"/>
          <w:b/>
          <w:bCs/>
          <w:sz w:val="24"/>
        </w:rPr>
        <w:t>、环保要求</w:t>
      </w:r>
    </w:p>
    <w:p>
      <w:pPr>
        <w:pStyle w:val="2"/>
        <w:snapToGrid w:val="0"/>
        <w:spacing w:after="0" w:line="360" w:lineRule="auto"/>
        <w:ind w:firstLine="480" w:firstLineChars="200"/>
        <w:rPr>
          <w:rFonts w:hint="eastAsia"/>
          <w:sz w:val="24"/>
        </w:rPr>
      </w:pPr>
      <w:r>
        <w:rPr>
          <w:rFonts w:hint="eastAsia"/>
          <w:sz w:val="24"/>
        </w:rPr>
        <w:t>本项目营运期废水输送系统应满足《畜禽养殖业污染治理工程技术规范》（HJ497-2009）中提出的以下要求：</w:t>
      </w:r>
    </w:p>
    <w:p>
      <w:pPr>
        <w:pStyle w:val="2"/>
        <w:snapToGrid w:val="0"/>
        <w:spacing w:after="0" w:line="360" w:lineRule="auto"/>
        <w:ind w:firstLine="480" w:firstLineChars="200"/>
        <w:rPr>
          <w:rFonts w:hint="eastAsia"/>
          <w:sz w:val="24"/>
        </w:rPr>
      </w:pPr>
      <w:r>
        <w:rPr>
          <w:rFonts w:hint="eastAsia"/>
          <w:sz w:val="24"/>
        </w:rPr>
        <w:t>①废水应按照工艺要求处理输送，不得直排、直卸、撒漏情况发生，整个输送系统应保持环境整洁，无污水横流等脏乱现象，夏季场内应采取灭蝇措施；</w:t>
      </w:r>
    </w:p>
    <w:p>
      <w:pPr>
        <w:pStyle w:val="2"/>
        <w:snapToGrid w:val="0"/>
        <w:spacing w:after="0" w:line="360" w:lineRule="auto"/>
        <w:ind w:firstLine="480" w:firstLineChars="200"/>
        <w:rPr>
          <w:rFonts w:hint="eastAsia"/>
          <w:sz w:val="24"/>
        </w:rPr>
      </w:pPr>
      <w:r>
        <w:rPr>
          <w:rFonts w:hint="eastAsia"/>
          <w:sz w:val="24"/>
        </w:rPr>
        <w:t>②各种相关设施设备应保持整洁，处理设施的管道应定期清理，避免管道堵塞、分辨积存及漂浮物结痂现象发生；</w:t>
      </w:r>
    </w:p>
    <w:p>
      <w:pPr>
        <w:pStyle w:val="2"/>
        <w:snapToGrid w:val="0"/>
        <w:spacing w:after="0" w:line="360" w:lineRule="auto"/>
        <w:ind w:firstLine="480" w:firstLineChars="200"/>
        <w:rPr>
          <w:rFonts w:hint="eastAsia"/>
          <w:sz w:val="24"/>
        </w:rPr>
      </w:pPr>
      <w:r>
        <w:rPr>
          <w:rFonts w:hint="eastAsia"/>
          <w:sz w:val="24"/>
        </w:rPr>
        <w:t>③应制定全面的运行管理、维护保养制度和安全操作规程，并建立明确的岗位责任制，各类设施、设备应按照设计的工艺要求使用。</w:t>
      </w:r>
    </w:p>
    <w:p>
      <w:pPr>
        <w:pStyle w:val="2"/>
        <w:snapToGrid w:val="0"/>
        <w:spacing w:after="0" w:line="360" w:lineRule="auto"/>
        <w:ind w:firstLine="480" w:firstLineChars="200"/>
        <w:rPr>
          <w:rFonts w:hint="eastAsia"/>
          <w:sz w:val="24"/>
        </w:rPr>
      </w:pPr>
      <w:r>
        <w:rPr>
          <w:rFonts w:hint="eastAsia"/>
          <w:sz w:val="24"/>
        </w:rPr>
        <w:t>综上分析，本项目拟采取的废水处置技术符合《畜禽养殖业污染治理工程技术规范》（HJ497-2009）中要求，经济可行。</w:t>
      </w:r>
    </w:p>
    <w:p>
      <w:pPr>
        <w:pStyle w:val="7"/>
        <w:adjustRightInd w:val="0"/>
        <w:snapToGrid w:val="0"/>
        <w:spacing w:before="0" w:after="0" w:line="360" w:lineRule="auto"/>
        <w:jc w:val="left"/>
        <w:rPr>
          <w:sz w:val="24"/>
          <w:szCs w:val="24"/>
        </w:rPr>
      </w:pPr>
      <w:r>
        <w:rPr>
          <w:rFonts w:hint="eastAsia"/>
          <w:sz w:val="24"/>
          <w:szCs w:val="24"/>
        </w:rPr>
        <w:t>7</w:t>
      </w:r>
      <w:r>
        <w:rPr>
          <w:sz w:val="24"/>
          <w:szCs w:val="24"/>
        </w:rPr>
        <w:t>.</w:t>
      </w:r>
      <w:r>
        <w:rPr>
          <w:rFonts w:hint="eastAsia"/>
          <w:sz w:val="24"/>
          <w:szCs w:val="24"/>
        </w:rPr>
        <w:t>2.4</w:t>
      </w:r>
      <w:r>
        <w:rPr>
          <w:sz w:val="24"/>
          <w:szCs w:val="24"/>
        </w:rPr>
        <w:t xml:space="preserve"> 地下水污染防治措施及可行性论证</w:t>
      </w:r>
    </w:p>
    <w:p>
      <w:pPr>
        <w:spacing w:line="360" w:lineRule="auto"/>
        <w:ind w:firstLine="480" w:firstLineChars="200"/>
        <w:rPr>
          <w:sz w:val="24"/>
        </w:rPr>
      </w:pPr>
      <w:r>
        <w:rPr>
          <w:rFonts w:hint="eastAsia" w:eastAsiaTheme="minorEastAsia"/>
          <w:sz w:val="24"/>
        </w:rPr>
        <w:t>本项目运营期正常情况下对地下水水质的影响较小。</w:t>
      </w:r>
      <w:r>
        <w:rPr>
          <w:rFonts w:hint="eastAsia"/>
          <w:sz w:val="24"/>
        </w:rPr>
        <w:t>为防止项目运营对地下水的影响，根据工程特点和当地的实际情况，按照“源头控制、分区防治、污染监控、应急响应”的地下水污染防治总体原则，本工程将从污染物的产生、入渗、扩散、应急响应采取全方位的防渗控制措施。</w:t>
      </w:r>
    </w:p>
    <w:p>
      <w:pPr>
        <w:spacing w:line="360" w:lineRule="auto"/>
        <w:ind w:firstLine="480" w:firstLineChars="200"/>
        <w:rPr>
          <w:sz w:val="24"/>
        </w:rPr>
      </w:pPr>
      <w:r>
        <w:rPr>
          <w:rFonts w:hint="eastAsia"/>
          <w:sz w:val="24"/>
        </w:rPr>
        <w:t>地下水污染的特点主要体现在它的滞后性和难恢复性，基于上述两点原因，决定了地下水污染防治的特点是以防为主，且需加强监测，以便及时发现问题、及时解决。</w:t>
      </w:r>
    </w:p>
    <w:p>
      <w:pPr>
        <w:autoSpaceDE w:val="0"/>
        <w:autoSpaceDN w:val="0"/>
        <w:adjustRightInd w:val="0"/>
        <w:spacing w:line="360" w:lineRule="auto"/>
        <w:ind w:firstLine="482" w:firstLineChars="200"/>
        <w:rPr>
          <w:b/>
          <w:kern w:val="0"/>
          <w:sz w:val="24"/>
        </w:rPr>
      </w:pPr>
      <w:r>
        <w:rPr>
          <w:rFonts w:hint="eastAsia" w:eastAsiaTheme="minorEastAsia"/>
          <w:b/>
          <w:sz w:val="24"/>
        </w:rPr>
        <w:t>1、</w:t>
      </w:r>
      <w:r>
        <w:rPr>
          <w:b/>
          <w:kern w:val="0"/>
          <w:sz w:val="24"/>
        </w:rPr>
        <w:t>源头控制措施</w:t>
      </w:r>
    </w:p>
    <w:p>
      <w:pPr>
        <w:spacing w:line="360" w:lineRule="auto"/>
        <w:ind w:firstLine="480" w:firstLineChars="200"/>
        <w:rPr>
          <w:kern w:val="0"/>
          <w:sz w:val="24"/>
        </w:rPr>
      </w:pPr>
      <w:r>
        <w:rPr>
          <w:kern w:val="0"/>
          <w:sz w:val="24"/>
        </w:rPr>
        <w:t>（</w:t>
      </w:r>
      <w:r>
        <w:rPr>
          <w:rFonts w:hint="eastAsia"/>
          <w:kern w:val="0"/>
          <w:sz w:val="24"/>
        </w:rPr>
        <w:t>1</w:t>
      </w:r>
      <w:r>
        <w:rPr>
          <w:kern w:val="0"/>
          <w:sz w:val="24"/>
        </w:rPr>
        <w:t>）</w:t>
      </w:r>
      <w:r>
        <w:rPr>
          <w:rFonts w:hint="eastAsia"/>
          <w:kern w:val="0"/>
          <w:sz w:val="24"/>
        </w:rPr>
        <w:t>本项目对产生的废水进行合理的治理和综合利用，以先进工艺、管道、设备、污水储存，尽可能从源头上减少可能污染物产生</w:t>
      </w:r>
      <w:r>
        <w:rPr>
          <w:kern w:val="0"/>
          <w:sz w:val="24"/>
        </w:rPr>
        <w:t>。</w:t>
      </w:r>
    </w:p>
    <w:p>
      <w:pPr>
        <w:spacing w:line="360" w:lineRule="auto"/>
        <w:ind w:firstLine="480" w:firstLineChars="200"/>
        <w:rPr>
          <w:kern w:val="0"/>
          <w:sz w:val="24"/>
        </w:rPr>
      </w:pPr>
      <w:r>
        <w:rPr>
          <w:rFonts w:hint="eastAsia"/>
          <w:kern w:val="0"/>
          <w:sz w:val="24"/>
        </w:rPr>
        <w:t>（2）严格按照国家相关规范要求，对工艺、管道、设备、污水储存及处理构筑物采取相应的措施，以防止和降低可能污染物的跑、冒、滴、漏，将废水、物料泄漏的环境风险事故降低到最低程度。</w:t>
      </w:r>
    </w:p>
    <w:p>
      <w:pPr>
        <w:spacing w:line="360" w:lineRule="auto"/>
        <w:ind w:firstLine="480" w:firstLineChars="200"/>
        <w:rPr>
          <w:kern w:val="0"/>
          <w:sz w:val="24"/>
        </w:rPr>
      </w:pPr>
      <w:r>
        <w:rPr>
          <w:kern w:val="0"/>
          <w:sz w:val="24"/>
        </w:rPr>
        <w:t>（</w:t>
      </w:r>
      <w:r>
        <w:rPr>
          <w:rFonts w:hint="eastAsia"/>
          <w:kern w:val="0"/>
          <w:sz w:val="24"/>
        </w:rPr>
        <w:t>3</w:t>
      </w:r>
      <w:r>
        <w:rPr>
          <w:kern w:val="0"/>
          <w:sz w:val="24"/>
        </w:rPr>
        <w:t>）</w:t>
      </w:r>
      <w:r>
        <w:rPr>
          <w:rFonts w:hint="eastAsia"/>
          <w:kern w:val="0"/>
          <w:sz w:val="24"/>
        </w:rPr>
        <w:t>污水排放是造成地表水污染从而造成地下水污染的重要原因。因此，防止地下水污染最根本的方法就是减少废水中污染物的排放量。本项目废水主要为养殖废水和生活污水，全部排入污水处理站进行处理，实现综合利用或达标排放，从而减少对地下水可能造成的污染。</w:t>
      </w:r>
    </w:p>
    <w:p>
      <w:pPr>
        <w:spacing w:line="360" w:lineRule="auto"/>
        <w:ind w:firstLine="480" w:firstLineChars="200"/>
        <w:rPr>
          <w:kern w:val="0"/>
          <w:sz w:val="24"/>
        </w:rPr>
      </w:pPr>
      <w:r>
        <w:rPr>
          <w:rFonts w:hint="eastAsia"/>
          <w:kern w:val="0"/>
          <w:sz w:val="24"/>
        </w:rPr>
        <w:t>（4）进行质量体系认证，实现“质量、安全、环境”三位一体的全面质量管理目标。建立有关规章制度和岗位责任制。制定风险预警方案，设立应急设施减少环境污染影响。</w:t>
      </w:r>
    </w:p>
    <w:p>
      <w:pPr>
        <w:spacing w:line="360" w:lineRule="auto"/>
        <w:ind w:firstLine="482" w:firstLineChars="200"/>
        <w:rPr>
          <w:rFonts w:eastAsiaTheme="minorEastAsia"/>
          <w:b/>
          <w:color w:val="FF0000"/>
          <w:sz w:val="24"/>
          <w:u w:val="wave"/>
        </w:rPr>
      </w:pPr>
      <w:r>
        <w:rPr>
          <w:rFonts w:hint="eastAsia" w:eastAsiaTheme="minorEastAsia"/>
          <w:b/>
          <w:color w:val="FF0000"/>
          <w:sz w:val="24"/>
          <w:u w:val="wave"/>
        </w:rPr>
        <w:t>2、</w:t>
      </w:r>
      <w:r>
        <w:rPr>
          <w:rFonts w:hint="eastAsia"/>
          <w:b/>
          <w:color w:val="FF0000"/>
          <w:sz w:val="24"/>
          <w:u w:val="wave"/>
        </w:rPr>
        <w:t>分区防渗措施</w:t>
      </w:r>
    </w:p>
    <w:p>
      <w:pPr>
        <w:spacing w:line="360" w:lineRule="auto"/>
        <w:ind w:firstLine="480" w:firstLineChars="200"/>
        <w:rPr>
          <w:rFonts w:eastAsiaTheme="minorEastAsia"/>
          <w:color w:val="FF0000"/>
          <w:sz w:val="24"/>
          <w:u w:val="wave"/>
        </w:rPr>
      </w:pPr>
      <w:r>
        <w:rPr>
          <w:rFonts w:hint="eastAsia" w:eastAsiaTheme="minorEastAsia"/>
          <w:color w:val="FF0000"/>
          <w:sz w:val="24"/>
          <w:u w:val="wave"/>
        </w:rPr>
        <w:t>根据《环境影响评价技术导则地 下水环境》（HJ 610-2016），本项目分为重点防渗区、一般防渗区和简单防渗区域进行防渗</w:t>
      </w:r>
      <w:r>
        <w:rPr>
          <w:rFonts w:eastAsiaTheme="minorEastAsia"/>
          <w:color w:val="FF0000"/>
          <w:sz w:val="24"/>
          <w:u w:val="wave"/>
        </w:rPr>
        <w:t>。</w:t>
      </w:r>
    </w:p>
    <w:p>
      <w:pPr>
        <w:spacing w:line="360" w:lineRule="auto"/>
        <w:ind w:firstLine="480" w:firstLineChars="200"/>
        <w:rPr>
          <w:rFonts w:eastAsiaTheme="minorEastAsia"/>
          <w:color w:val="FF0000"/>
          <w:sz w:val="24"/>
          <w:u w:val="wave"/>
        </w:rPr>
      </w:pPr>
      <w:r>
        <w:rPr>
          <w:rFonts w:hint="eastAsia" w:eastAsiaTheme="minorEastAsia"/>
          <w:color w:val="FF0000"/>
          <w:sz w:val="24"/>
          <w:u w:val="wave"/>
        </w:rPr>
        <w:t>（1）重点防渗区</w:t>
      </w:r>
    </w:p>
    <w:p>
      <w:pPr>
        <w:spacing w:line="360" w:lineRule="auto"/>
        <w:ind w:firstLine="480" w:firstLineChars="200"/>
        <w:rPr>
          <w:rFonts w:eastAsiaTheme="minorEastAsia"/>
          <w:color w:val="FF0000"/>
          <w:sz w:val="24"/>
          <w:u w:val="wave"/>
        </w:rPr>
      </w:pPr>
      <w:r>
        <w:rPr>
          <w:rFonts w:hint="eastAsia" w:eastAsiaTheme="minorEastAsia"/>
          <w:color w:val="FF0000"/>
          <w:sz w:val="24"/>
          <w:u w:val="wave"/>
        </w:rPr>
        <w:t>重点防渗区主要为隔油池、</w:t>
      </w:r>
      <w:r>
        <w:rPr>
          <w:rFonts w:hint="eastAsia" w:eastAsiaTheme="minorEastAsia"/>
          <w:color w:val="FF0000"/>
          <w:sz w:val="24"/>
          <w:u w:val="wave"/>
          <w:lang w:val="en-US" w:eastAsia="zh-CN"/>
        </w:rPr>
        <w:t>污水处理站</w:t>
      </w:r>
      <w:r>
        <w:rPr>
          <w:rFonts w:hint="eastAsia" w:eastAsiaTheme="minorEastAsia"/>
          <w:color w:val="FF0000"/>
          <w:sz w:val="24"/>
          <w:u w:val="wave"/>
        </w:rPr>
        <w:t>、污水管网、备用发电机房、危废暂存间、病死鸡暂存间</w:t>
      </w:r>
      <w:r>
        <w:rPr>
          <w:rFonts w:hint="eastAsia" w:eastAsiaTheme="minorEastAsia"/>
          <w:color w:val="FF0000"/>
          <w:sz w:val="24"/>
          <w:u w:val="wave"/>
          <w:lang w:eastAsia="zh-CN"/>
        </w:rPr>
        <w:t>、鸡粪收集室</w:t>
      </w:r>
      <w:r>
        <w:rPr>
          <w:rFonts w:hint="eastAsia" w:eastAsiaTheme="minorEastAsia"/>
          <w:color w:val="FF0000"/>
          <w:sz w:val="24"/>
          <w:u w:val="wave"/>
        </w:rPr>
        <w:t>等。对于重点防渗区，参照《危险废物安全填埋处置工程建设技术要求》、《危险废物贮存污染控制标准》（GB18597-20</w:t>
      </w:r>
      <w:r>
        <w:rPr>
          <w:rFonts w:hint="eastAsia" w:eastAsiaTheme="minorEastAsia"/>
          <w:color w:val="FF0000"/>
          <w:sz w:val="24"/>
          <w:u w:val="wave"/>
          <w:lang w:val="en-US" w:eastAsia="zh-CN"/>
        </w:rPr>
        <w:t>23</w:t>
      </w:r>
      <w:r>
        <w:rPr>
          <w:rFonts w:hint="eastAsia" w:eastAsiaTheme="minorEastAsia"/>
          <w:color w:val="FF0000"/>
          <w:sz w:val="24"/>
          <w:u w:val="wave"/>
        </w:rPr>
        <w:t>）进行防渗设计。</w:t>
      </w:r>
    </w:p>
    <w:p>
      <w:pPr>
        <w:spacing w:line="360" w:lineRule="auto"/>
        <w:ind w:firstLine="480" w:firstLineChars="200"/>
        <w:rPr>
          <w:rFonts w:eastAsiaTheme="minorEastAsia"/>
          <w:color w:val="FF0000"/>
          <w:sz w:val="24"/>
          <w:u w:val="wave"/>
        </w:rPr>
      </w:pPr>
      <w:r>
        <w:rPr>
          <w:rFonts w:hint="eastAsia" w:eastAsiaTheme="minorEastAsia"/>
          <w:color w:val="FF0000"/>
          <w:sz w:val="24"/>
          <w:u w:val="wave"/>
        </w:rPr>
        <w:t>重点防渗区域防渗要求：采用钢筋混凝土防渗地坪+人工材料（HDPE）防渗层。确保等效黏士防渗层Mb≥6.0m，K≤1×10</w:t>
      </w:r>
      <w:r>
        <w:rPr>
          <w:rFonts w:hint="eastAsia" w:eastAsiaTheme="minorEastAsia"/>
          <w:color w:val="FF0000"/>
          <w:sz w:val="24"/>
          <w:u w:val="wave"/>
          <w:vertAlign w:val="superscript"/>
        </w:rPr>
        <w:t>-7</w:t>
      </w:r>
      <w:r>
        <w:rPr>
          <w:rFonts w:hint="eastAsia" w:eastAsiaTheme="minorEastAsia"/>
          <w:color w:val="FF0000"/>
          <w:sz w:val="24"/>
          <w:u w:val="wave"/>
        </w:rPr>
        <w:t>cm/s；</w:t>
      </w:r>
    </w:p>
    <w:p>
      <w:pPr>
        <w:spacing w:line="360" w:lineRule="auto"/>
        <w:ind w:firstLine="480" w:firstLineChars="200"/>
        <w:rPr>
          <w:rFonts w:eastAsiaTheme="minorEastAsia"/>
          <w:color w:val="FF0000"/>
          <w:sz w:val="24"/>
          <w:u w:val="wave"/>
        </w:rPr>
      </w:pPr>
      <w:r>
        <w:rPr>
          <w:rFonts w:hint="eastAsia" w:eastAsiaTheme="minorEastAsia"/>
          <w:color w:val="FF0000"/>
          <w:sz w:val="24"/>
          <w:u w:val="wave"/>
        </w:rPr>
        <w:t>（2）一般防渗区</w:t>
      </w:r>
    </w:p>
    <w:p>
      <w:pPr>
        <w:spacing w:line="360" w:lineRule="auto"/>
        <w:ind w:firstLine="480" w:firstLineChars="200"/>
        <w:rPr>
          <w:rFonts w:eastAsiaTheme="minorEastAsia"/>
          <w:color w:val="FF0000"/>
          <w:sz w:val="24"/>
          <w:u w:val="wave"/>
        </w:rPr>
      </w:pPr>
      <w:r>
        <w:rPr>
          <w:rFonts w:hint="eastAsia" w:eastAsiaTheme="minorEastAsia"/>
          <w:color w:val="FF0000"/>
          <w:sz w:val="24"/>
          <w:u w:val="wave"/>
        </w:rPr>
        <w:t>主要为除重点防渗区外的生产区域</w:t>
      </w:r>
      <w:r>
        <w:rPr>
          <w:rFonts w:hint="eastAsia" w:eastAsiaTheme="minorEastAsia"/>
          <w:color w:val="FF0000"/>
          <w:sz w:val="24"/>
          <w:u w:val="wave"/>
          <w:lang w:eastAsia="zh-CN"/>
        </w:rPr>
        <w:t>（</w:t>
      </w:r>
      <w:r>
        <w:rPr>
          <w:rFonts w:hint="eastAsia" w:eastAsiaTheme="minorEastAsia"/>
          <w:color w:val="FF0000"/>
          <w:sz w:val="24"/>
          <w:u w:val="wave"/>
          <w:lang w:val="en-US" w:eastAsia="zh-CN"/>
        </w:rPr>
        <w:t>鸡舍、蛋库</w:t>
      </w:r>
      <w:r>
        <w:rPr>
          <w:rFonts w:hint="eastAsia" w:eastAsiaTheme="minorEastAsia"/>
          <w:color w:val="FF0000"/>
          <w:sz w:val="24"/>
          <w:u w:val="wave"/>
          <w:lang w:eastAsia="zh-CN"/>
        </w:rPr>
        <w:t>）</w:t>
      </w:r>
      <w:r>
        <w:rPr>
          <w:rFonts w:hint="eastAsia" w:eastAsiaTheme="minorEastAsia"/>
          <w:color w:val="FF0000"/>
          <w:sz w:val="24"/>
          <w:u w:val="wave"/>
        </w:rPr>
        <w:t>等。对于一般防渗区，参照《一般工业固体废物贮存和填埋污染控制标准》（GB18599-2020）进行设计。</w:t>
      </w:r>
    </w:p>
    <w:p>
      <w:pPr>
        <w:spacing w:line="360" w:lineRule="auto"/>
        <w:ind w:firstLine="480" w:firstLineChars="200"/>
        <w:rPr>
          <w:rFonts w:eastAsiaTheme="minorEastAsia"/>
          <w:color w:val="FF0000"/>
          <w:sz w:val="24"/>
          <w:u w:val="wave"/>
        </w:rPr>
      </w:pPr>
      <w:r>
        <w:rPr>
          <w:rFonts w:hint="eastAsia" w:eastAsiaTheme="minorEastAsia"/>
          <w:color w:val="FF0000"/>
          <w:sz w:val="24"/>
          <w:u w:val="wave"/>
        </w:rPr>
        <w:t>一般防渗区渗要求：达到等效黏土防渗层Mb≥1.5m，K≤1×10</w:t>
      </w:r>
      <w:r>
        <w:rPr>
          <w:rFonts w:hint="eastAsia" w:eastAsiaTheme="minorEastAsia"/>
          <w:color w:val="FF0000"/>
          <w:sz w:val="24"/>
          <w:u w:val="wave"/>
          <w:vertAlign w:val="superscript"/>
        </w:rPr>
        <w:t>-7</w:t>
      </w:r>
      <w:r>
        <w:rPr>
          <w:rFonts w:hint="eastAsia" w:eastAsiaTheme="minorEastAsia"/>
          <w:color w:val="FF0000"/>
          <w:sz w:val="24"/>
          <w:u w:val="wave"/>
        </w:rPr>
        <w:t>cm/s标准。</w:t>
      </w:r>
    </w:p>
    <w:p>
      <w:pPr>
        <w:spacing w:line="360" w:lineRule="auto"/>
        <w:ind w:firstLine="480" w:firstLineChars="200"/>
        <w:rPr>
          <w:rFonts w:eastAsiaTheme="minorEastAsia"/>
          <w:color w:val="FF0000"/>
          <w:sz w:val="24"/>
          <w:u w:val="wave"/>
        </w:rPr>
      </w:pPr>
      <w:r>
        <w:rPr>
          <w:rFonts w:hint="eastAsia" w:eastAsiaTheme="minorEastAsia"/>
          <w:color w:val="FF0000"/>
          <w:sz w:val="24"/>
          <w:u w:val="wave"/>
        </w:rPr>
        <w:t>（3）简单防渗区</w:t>
      </w:r>
    </w:p>
    <w:p>
      <w:pPr>
        <w:spacing w:line="360" w:lineRule="auto"/>
        <w:ind w:firstLine="480" w:firstLineChars="200"/>
        <w:rPr>
          <w:rFonts w:eastAsiaTheme="minorEastAsia"/>
          <w:color w:val="FF0000"/>
          <w:sz w:val="24"/>
          <w:u w:val="wave"/>
        </w:rPr>
      </w:pPr>
      <w:r>
        <w:rPr>
          <w:rFonts w:hint="eastAsia" w:eastAsiaTheme="minorEastAsia"/>
          <w:color w:val="FF0000"/>
          <w:sz w:val="24"/>
          <w:u w:val="wave"/>
        </w:rPr>
        <w:t>指不会对地下水环境造成污染的区域。主要包括办公宿舍楼、道路、绿地等。对于基本不产生污染物的简单防渗区，不采取专门针对地下水污染的防治措施。</w:t>
      </w:r>
    </w:p>
    <w:p>
      <w:pPr>
        <w:spacing w:line="360" w:lineRule="auto"/>
        <w:ind w:firstLine="480" w:firstLineChars="200"/>
        <w:rPr>
          <w:rFonts w:eastAsiaTheme="minorEastAsia"/>
          <w:color w:val="FF0000"/>
          <w:sz w:val="24"/>
          <w:u w:val="wave"/>
        </w:rPr>
      </w:pPr>
      <w:r>
        <w:rPr>
          <w:rFonts w:hint="eastAsia" w:eastAsiaTheme="minorEastAsia"/>
          <w:color w:val="FF0000"/>
          <w:sz w:val="24"/>
          <w:u w:val="wave"/>
        </w:rPr>
        <w:t>根据场区污染防治分区，其各分区防渗内容具体见表7.2-2。建设项目厂区防渗分区图详见附图7。</w:t>
      </w:r>
    </w:p>
    <w:p>
      <w:pPr>
        <w:pStyle w:val="17"/>
        <w:spacing w:beforeLines="50"/>
        <w:rPr>
          <w:rFonts w:ascii="Times New Roman" w:hAnsi="Times New Roman" w:eastAsia="宋体" w:cs="Times New Roman"/>
          <w:bCs/>
          <w:color w:val="FF0000"/>
          <w:sz w:val="21"/>
          <w:szCs w:val="16"/>
          <w:u w:val="wave"/>
        </w:rPr>
      </w:pPr>
      <w:r>
        <w:rPr>
          <w:rFonts w:ascii="Times New Roman" w:hAnsi="Times New Roman" w:eastAsia="宋体" w:cs="Times New Roman"/>
          <w:bCs/>
          <w:color w:val="FF0000"/>
          <w:sz w:val="21"/>
          <w:szCs w:val="16"/>
          <w:u w:val="wave"/>
        </w:rPr>
        <w:t>表</w:t>
      </w:r>
      <w:r>
        <w:rPr>
          <w:rFonts w:hint="eastAsia" w:ascii="Times New Roman" w:hAnsi="Times New Roman" w:eastAsia="宋体" w:cs="Times New Roman"/>
          <w:bCs/>
          <w:color w:val="FF0000"/>
          <w:sz w:val="21"/>
          <w:szCs w:val="16"/>
          <w:u w:val="wave"/>
        </w:rPr>
        <w:t>7</w:t>
      </w:r>
      <w:r>
        <w:rPr>
          <w:rFonts w:ascii="Times New Roman" w:hAnsi="Times New Roman" w:eastAsia="宋体" w:cs="Times New Roman"/>
          <w:bCs/>
          <w:color w:val="FF0000"/>
          <w:sz w:val="21"/>
          <w:szCs w:val="16"/>
          <w:u w:val="wave"/>
        </w:rPr>
        <w:t>.2-</w:t>
      </w:r>
      <w:r>
        <w:rPr>
          <w:rFonts w:hint="eastAsia" w:ascii="Times New Roman" w:hAnsi="Times New Roman" w:eastAsia="宋体" w:cs="Times New Roman"/>
          <w:bCs/>
          <w:color w:val="FF0000"/>
          <w:sz w:val="21"/>
          <w:szCs w:val="16"/>
          <w:u w:val="wave"/>
        </w:rPr>
        <w:t>2</w:t>
      </w:r>
      <w:r>
        <w:rPr>
          <w:rFonts w:ascii="Times New Roman" w:hAnsi="Times New Roman" w:eastAsia="宋体" w:cs="Times New Roman"/>
          <w:bCs/>
          <w:color w:val="FF0000"/>
          <w:sz w:val="21"/>
          <w:szCs w:val="16"/>
          <w:u w:val="wave"/>
        </w:rPr>
        <w:t xml:space="preserve">   项目地下水污染防治区分类表</w:t>
      </w:r>
    </w:p>
    <w:tbl>
      <w:tblPr>
        <w:tblStyle w:val="4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1306"/>
        <w:gridCol w:w="1821"/>
        <w:gridCol w:w="1697"/>
        <w:gridCol w:w="29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3" w:type="dxa"/>
            <w:tcBorders>
              <w:tl2br w:val="nil"/>
              <w:tr2bl w:val="nil"/>
            </w:tcBorders>
            <w:vAlign w:val="center"/>
          </w:tcPr>
          <w:p>
            <w:pPr>
              <w:pStyle w:val="90"/>
              <w:rPr>
                <w:rFonts w:hint="default" w:ascii="Times New Roman" w:hAnsi="Times New Roman" w:cs="Times New Roman" w:eastAsiaTheme="majorEastAsia"/>
                <w:b/>
                <w:color w:val="FF0000"/>
                <w:sz w:val="21"/>
                <w:szCs w:val="21"/>
                <w:u w:val="wave"/>
              </w:rPr>
            </w:pPr>
            <w:r>
              <w:rPr>
                <w:rFonts w:hint="default" w:ascii="Times New Roman" w:hAnsi="Times New Roman" w:cs="Times New Roman" w:eastAsiaTheme="majorEastAsia"/>
                <w:b/>
                <w:color w:val="FF0000"/>
                <w:sz w:val="21"/>
                <w:szCs w:val="21"/>
                <w:u w:val="wave"/>
              </w:rPr>
              <w:t>序号</w:t>
            </w:r>
          </w:p>
        </w:tc>
        <w:tc>
          <w:tcPr>
            <w:tcW w:w="1306" w:type="dxa"/>
            <w:tcBorders>
              <w:tl2br w:val="nil"/>
              <w:tr2bl w:val="nil"/>
            </w:tcBorders>
            <w:vAlign w:val="center"/>
          </w:tcPr>
          <w:p>
            <w:pPr>
              <w:pStyle w:val="90"/>
              <w:rPr>
                <w:rFonts w:hint="default" w:ascii="Times New Roman" w:hAnsi="Times New Roman" w:cs="Times New Roman" w:eastAsiaTheme="majorEastAsia"/>
                <w:b/>
                <w:color w:val="FF0000"/>
                <w:sz w:val="21"/>
                <w:szCs w:val="21"/>
                <w:u w:val="wave"/>
              </w:rPr>
            </w:pPr>
            <w:r>
              <w:rPr>
                <w:rFonts w:hint="default" w:ascii="Times New Roman" w:hAnsi="Times New Roman" w:cs="Times New Roman" w:eastAsiaTheme="majorEastAsia"/>
                <w:b/>
                <w:color w:val="FF0000"/>
                <w:sz w:val="21"/>
                <w:szCs w:val="21"/>
                <w:u w:val="wave"/>
              </w:rPr>
              <w:t>防治区分区</w:t>
            </w:r>
          </w:p>
        </w:tc>
        <w:tc>
          <w:tcPr>
            <w:tcW w:w="1821" w:type="dxa"/>
            <w:tcBorders>
              <w:tl2br w:val="nil"/>
              <w:tr2bl w:val="nil"/>
            </w:tcBorders>
            <w:vAlign w:val="center"/>
          </w:tcPr>
          <w:p>
            <w:pPr>
              <w:pStyle w:val="90"/>
              <w:rPr>
                <w:rFonts w:hint="default" w:ascii="Times New Roman" w:hAnsi="Times New Roman" w:cs="Times New Roman" w:eastAsiaTheme="majorEastAsia"/>
                <w:b/>
                <w:color w:val="FF0000"/>
                <w:sz w:val="21"/>
                <w:szCs w:val="21"/>
                <w:u w:val="wave"/>
              </w:rPr>
            </w:pPr>
            <w:r>
              <w:rPr>
                <w:rFonts w:hint="default" w:ascii="Times New Roman" w:hAnsi="Times New Roman" w:cs="Times New Roman" w:eastAsiaTheme="majorEastAsia"/>
                <w:b/>
                <w:color w:val="FF0000"/>
                <w:sz w:val="21"/>
                <w:szCs w:val="21"/>
                <w:u w:val="wave"/>
              </w:rPr>
              <w:t>装置或构筑物名称</w:t>
            </w:r>
          </w:p>
        </w:tc>
        <w:tc>
          <w:tcPr>
            <w:tcW w:w="1697" w:type="dxa"/>
            <w:tcBorders>
              <w:tl2br w:val="nil"/>
              <w:tr2bl w:val="nil"/>
            </w:tcBorders>
            <w:vAlign w:val="center"/>
          </w:tcPr>
          <w:p>
            <w:pPr>
              <w:pStyle w:val="90"/>
              <w:rPr>
                <w:rFonts w:hint="default" w:ascii="Times New Roman" w:hAnsi="Times New Roman" w:cs="Times New Roman" w:eastAsiaTheme="majorEastAsia"/>
                <w:b/>
                <w:color w:val="FF0000"/>
                <w:sz w:val="21"/>
                <w:szCs w:val="21"/>
                <w:u w:val="wave"/>
              </w:rPr>
            </w:pPr>
            <w:r>
              <w:rPr>
                <w:rFonts w:hint="default" w:ascii="Times New Roman" w:hAnsi="Times New Roman" w:cs="Times New Roman" w:eastAsiaTheme="majorEastAsia"/>
                <w:b/>
                <w:color w:val="FF0000"/>
                <w:sz w:val="21"/>
                <w:szCs w:val="21"/>
                <w:u w:val="wave"/>
              </w:rPr>
              <w:t>防渗区域</w:t>
            </w:r>
          </w:p>
        </w:tc>
        <w:tc>
          <w:tcPr>
            <w:tcW w:w="2941" w:type="dxa"/>
            <w:tcBorders>
              <w:tl2br w:val="nil"/>
              <w:tr2bl w:val="nil"/>
            </w:tcBorders>
            <w:vAlign w:val="center"/>
          </w:tcPr>
          <w:p>
            <w:pPr>
              <w:pStyle w:val="90"/>
              <w:rPr>
                <w:rFonts w:hint="default" w:ascii="Times New Roman" w:hAnsi="Times New Roman" w:cs="Times New Roman" w:eastAsiaTheme="majorEastAsia"/>
                <w:b/>
                <w:color w:val="FF0000"/>
                <w:sz w:val="21"/>
                <w:szCs w:val="21"/>
                <w:u w:val="wave"/>
              </w:rPr>
            </w:pPr>
            <w:r>
              <w:rPr>
                <w:rFonts w:hint="default" w:ascii="Times New Roman" w:hAnsi="Times New Roman" w:cs="Times New Roman" w:eastAsiaTheme="majorEastAsia"/>
                <w:b/>
                <w:color w:val="FF0000"/>
                <w:sz w:val="21"/>
                <w:szCs w:val="21"/>
                <w:u w:val="wave"/>
              </w:rPr>
              <w:t>防渗技术要求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3" w:type="dxa"/>
            <w:tcBorders>
              <w:tl2br w:val="nil"/>
              <w:tr2bl w:val="nil"/>
            </w:tcBorders>
            <w:vAlign w:val="center"/>
          </w:tcPr>
          <w:p>
            <w:pPr>
              <w:pStyle w:val="90"/>
              <w:rPr>
                <w:rFonts w:hint="default" w:ascii="Times New Roman" w:hAnsi="Times New Roman" w:cs="Times New Roman" w:eastAsiaTheme="majorEastAsia"/>
                <w:color w:val="FF0000"/>
                <w:sz w:val="21"/>
                <w:szCs w:val="21"/>
                <w:u w:val="wave"/>
              </w:rPr>
            </w:pPr>
            <w:r>
              <w:rPr>
                <w:rFonts w:hint="default" w:ascii="Times New Roman" w:hAnsi="Times New Roman" w:cs="Times New Roman" w:eastAsiaTheme="majorEastAsia"/>
                <w:color w:val="FF0000"/>
                <w:sz w:val="21"/>
                <w:szCs w:val="21"/>
                <w:u w:val="wave"/>
              </w:rPr>
              <w:t>1</w:t>
            </w:r>
          </w:p>
        </w:tc>
        <w:tc>
          <w:tcPr>
            <w:tcW w:w="1306" w:type="dxa"/>
            <w:vMerge w:val="restart"/>
            <w:tcBorders>
              <w:tl2br w:val="nil"/>
              <w:tr2bl w:val="nil"/>
            </w:tcBorders>
            <w:vAlign w:val="center"/>
          </w:tcPr>
          <w:p>
            <w:pPr>
              <w:autoSpaceDE w:val="0"/>
              <w:autoSpaceDN w:val="0"/>
              <w:jc w:val="center"/>
              <w:rPr>
                <w:rFonts w:hint="default" w:ascii="Times New Roman" w:hAnsi="Times New Roman" w:cs="Times New Roman" w:eastAsiaTheme="majorEastAsia"/>
                <w:color w:val="FF0000"/>
                <w:szCs w:val="21"/>
                <w:u w:val="wave"/>
              </w:rPr>
            </w:pPr>
            <w:r>
              <w:rPr>
                <w:rFonts w:hint="default" w:ascii="Times New Roman" w:hAnsi="Times New Roman" w:cs="Times New Roman" w:eastAsiaTheme="majorEastAsia"/>
                <w:color w:val="FF0000"/>
                <w:kern w:val="0"/>
                <w:szCs w:val="21"/>
                <w:u w:val="wave"/>
              </w:rPr>
              <w:t>重点防渗区</w:t>
            </w:r>
          </w:p>
        </w:tc>
        <w:tc>
          <w:tcPr>
            <w:tcW w:w="1821" w:type="dxa"/>
            <w:tcBorders>
              <w:tl2br w:val="nil"/>
              <w:tr2bl w:val="nil"/>
            </w:tcBorders>
            <w:vAlign w:val="center"/>
          </w:tcPr>
          <w:p>
            <w:pPr>
              <w:pStyle w:val="90"/>
              <w:rPr>
                <w:rFonts w:hint="default" w:ascii="Times New Roman" w:hAnsi="Times New Roman" w:cs="Times New Roman" w:eastAsiaTheme="majorEastAsia"/>
                <w:color w:val="FF0000"/>
                <w:kern w:val="2"/>
                <w:sz w:val="21"/>
                <w:szCs w:val="21"/>
                <w:u w:val="wave"/>
                <w:lang w:val="en-US" w:eastAsia="zh-CN" w:bidi="ar-SA"/>
              </w:rPr>
            </w:pPr>
            <w:r>
              <w:rPr>
                <w:rFonts w:hint="default" w:ascii="Times New Roman" w:hAnsi="Times New Roman" w:cs="Times New Roman" w:eastAsiaTheme="majorEastAsia"/>
                <w:color w:val="FF0000"/>
                <w:sz w:val="21"/>
                <w:szCs w:val="21"/>
                <w:u w:val="wave"/>
              </w:rPr>
              <w:t>隔油池、</w:t>
            </w:r>
            <w:r>
              <w:rPr>
                <w:rFonts w:hint="eastAsia" w:ascii="Times New Roman" w:hAnsi="Times New Roman" w:cs="Times New Roman" w:eastAsiaTheme="majorEastAsia"/>
                <w:color w:val="FF0000"/>
                <w:sz w:val="21"/>
                <w:szCs w:val="21"/>
                <w:u w:val="wave"/>
                <w:lang w:val="en-US" w:eastAsia="zh-CN"/>
              </w:rPr>
              <w:t>污水处理站</w:t>
            </w:r>
          </w:p>
        </w:tc>
        <w:tc>
          <w:tcPr>
            <w:tcW w:w="1697" w:type="dxa"/>
            <w:tcBorders>
              <w:tl2br w:val="nil"/>
              <w:tr2bl w:val="nil"/>
            </w:tcBorders>
            <w:vAlign w:val="center"/>
          </w:tcPr>
          <w:p>
            <w:pPr>
              <w:pStyle w:val="90"/>
              <w:rPr>
                <w:rFonts w:hint="default" w:ascii="Times New Roman" w:hAnsi="Times New Roman" w:cs="Times New Roman" w:eastAsiaTheme="majorEastAsia"/>
                <w:color w:val="FF0000"/>
                <w:kern w:val="2"/>
                <w:sz w:val="21"/>
                <w:szCs w:val="21"/>
                <w:u w:val="wave"/>
                <w:lang w:val="en-US" w:eastAsia="zh-CN" w:bidi="ar-SA"/>
              </w:rPr>
            </w:pPr>
            <w:r>
              <w:rPr>
                <w:rFonts w:hint="default" w:ascii="Times New Roman" w:hAnsi="Times New Roman" w:cs="Times New Roman" w:eastAsiaTheme="majorEastAsia"/>
                <w:color w:val="FF0000"/>
                <w:kern w:val="0"/>
                <w:sz w:val="21"/>
                <w:szCs w:val="21"/>
                <w:u w:val="wave"/>
              </w:rPr>
              <w:t>水池底部、四周</w:t>
            </w:r>
          </w:p>
        </w:tc>
        <w:tc>
          <w:tcPr>
            <w:tcW w:w="2941" w:type="dxa"/>
            <w:vMerge w:val="restart"/>
            <w:tcBorders>
              <w:tl2br w:val="nil"/>
              <w:tr2bl w:val="nil"/>
            </w:tcBorders>
            <w:vAlign w:val="center"/>
          </w:tcPr>
          <w:p>
            <w:pPr>
              <w:pStyle w:val="90"/>
              <w:rPr>
                <w:rFonts w:hint="default" w:ascii="Times New Roman" w:hAnsi="Times New Roman" w:cs="Times New Roman" w:eastAsiaTheme="majorEastAsia"/>
                <w:color w:val="FF0000"/>
                <w:sz w:val="21"/>
                <w:szCs w:val="21"/>
                <w:u w:val="wave"/>
              </w:rPr>
            </w:pPr>
            <w:r>
              <w:rPr>
                <w:rFonts w:hint="default" w:ascii="Times New Roman" w:hAnsi="Times New Roman" w:cs="Times New Roman" w:eastAsiaTheme="majorEastAsia"/>
                <w:color w:val="FF0000"/>
                <w:sz w:val="21"/>
                <w:szCs w:val="21"/>
                <w:u w:val="wave"/>
              </w:rPr>
              <w:t>等效粘土防渗层Mb≥6.0m，K≤1×10-7cm/s；或参照GB18598执行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3" w:type="dxa"/>
            <w:tcBorders>
              <w:tl2br w:val="nil"/>
              <w:tr2bl w:val="nil"/>
            </w:tcBorders>
            <w:vAlign w:val="center"/>
          </w:tcPr>
          <w:p>
            <w:pPr>
              <w:pStyle w:val="90"/>
              <w:rPr>
                <w:rFonts w:hint="default" w:ascii="Times New Roman" w:hAnsi="Times New Roman" w:cs="Times New Roman" w:eastAsiaTheme="majorEastAsia"/>
                <w:color w:val="FF0000"/>
                <w:kern w:val="2"/>
                <w:sz w:val="21"/>
                <w:szCs w:val="21"/>
                <w:u w:val="wave"/>
              </w:rPr>
            </w:pPr>
            <w:r>
              <w:rPr>
                <w:rFonts w:hint="default" w:ascii="Times New Roman" w:hAnsi="Times New Roman" w:cs="Times New Roman" w:eastAsiaTheme="majorEastAsia"/>
                <w:color w:val="FF0000"/>
                <w:sz w:val="21"/>
                <w:szCs w:val="21"/>
                <w:u w:val="wave"/>
              </w:rPr>
              <w:t>2</w:t>
            </w:r>
          </w:p>
        </w:tc>
        <w:tc>
          <w:tcPr>
            <w:tcW w:w="1306" w:type="dxa"/>
            <w:vMerge w:val="continue"/>
            <w:tcBorders>
              <w:tl2br w:val="nil"/>
              <w:tr2bl w:val="nil"/>
            </w:tcBorders>
            <w:vAlign w:val="center"/>
          </w:tcPr>
          <w:p>
            <w:pPr>
              <w:autoSpaceDE w:val="0"/>
              <w:autoSpaceDN w:val="0"/>
              <w:jc w:val="center"/>
              <w:rPr>
                <w:rFonts w:hint="default" w:ascii="Times New Roman" w:hAnsi="Times New Roman" w:cs="Times New Roman" w:eastAsiaTheme="majorEastAsia"/>
                <w:color w:val="FF0000"/>
                <w:kern w:val="0"/>
                <w:szCs w:val="21"/>
                <w:u w:val="wave"/>
              </w:rPr>
            </w:pPr>
          </w:p>
        </w:tc>
        <w:tc>
          <w:tcPr>
            <w:tcW w:w="1821" w:type="dxa"/>
            <w:tcBorders>
              <w:tl2br w:val="nil"/>
              <w:tr2bl w:val="nil"/>
            </w:tcBorders>
            <w:vAlign w:val="center"/>
          </w:tcPr>
          <w:p>
            <w:pPr>
              <w:pStyle w:val="90"/>
              <w:rPr>
                <w:rFonts w:hint="default" w:ascii="Times New Roman" w:hAnsi="Times New Roman" w:cs="Times New Roman" w:eastAsiaTheme="majorEastAsia"/>
                <w:color w:val="FF0000"/>
                <w:kern w:val="2"/>
                <w:sz w:val="21"/>
                <w:szCs w:val="21"/>
                <w:u w:val="wave"/>
                <w:lang w:val="en-US" w:eastAsia="zh-CN" w:bidi="ar-SA"/>
              </w:rPr>
            </w:pPr>
            <w:r>
              <w:rPr>
                <w:rFonts w:hint="default" w:ascii="Times New Roman" w:hAnsi="Times New Roman" w:cs="Times New Roman" w:eastAsiaTheme="majorEastAsia"/>
                <w:color w:val="FF0000"/>
                <w:sz w:val="21"/>
                <w:szCs w:val="21"/>
                <w:u w:val="wave"/>
              </w:rPr>
              <w:t>污水管网</w:t>
            </w:r>
          </w:p>
        </w:tc>
        <w:tc>
          <w:tcPr>
            <w:tcW w:w="1697" w:type="dxa"/>
            <w:tcBorders>
              <w:tl2br w:val="nil"/>
              <w:tr2bl w:val="nil"/>
            </w:tcBorders>
            <w:vAlign w:val="center"/>
          </w:tcPr>
          <w:p>
            <w:pPr>
              <w:pStyle w:val="90"/>
              <w:rPr>
                <w:rFonts w:hint="default" w:ascii="Times New Roman" w:hAnsi="Times New Roman" w:cs="Times New Roman" w:eastAsiaTheme="majorEastAsia"/>
                <w:color w:val="FF0000"/>
                <w:kern w:val="2"/>
                <w:sz w:val="21"/>
                <w:szCs w:val="21"/>
                <w:u w:val="wave"/>
                <w:lang w:val="en-US" w:eastAsia="zh-CN" w:bidi="ar-SA"/>
              </w:rPr>
            </w:pPr>
            <w:r>
              <w:rPr>
                <w:rFonts w:hint="default" w:ascii="Times New Roman" w:hAnsi="Times New Roman" w:cs="Times New Roman" w:eastAsiaTheme="majorEastAsia"/>
                <w:color w:val="FF0000"/>
                <w:kern w:val="0"/>
                <w:sz w:val="21"/>
                <w:szCs w:val="21"/>
                <w:u w:val="wave"/>
              </w:rPr>
              <w:t>管道及敷设管沟</w:t>
            </w:r>
          </w:p>
        </w:tc>
        <w:tc>
          <w:tcPr>
            <w:tcW w:w="2941" w:type="dxa"/>
            <w:vMerge w:val="continue"/>
            <w:tcBorders>
              <w:tl2br w:val="nil"/>
              <w:tr2bl w:val="nil"/>
            </w:tcBorders>
            <w:vAlign w:val="center"/>
          </w:tcPr>
          <w:p>
            <w:pPr>
              <w:pStyle w:val="90"/>
              <w:rPr>
                <w:rFonts w:hint="default" w:ascii="Times New Roman" w:hAnsi="Times New Roman" w:cs="Times New Roman" w:eastAsiaTheme="majorEastAsia"/>
                <w:color w:val="FF0000"/>
                <w:sz w:val="21"/>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3" w:type="dxa"/>
            <w:tcBorders>
              <w:tl2br w:val="nil"/>
              <w:tr2bl w:val="nil"/>
            </w:tcBorders>
            <w:vAlign w:val="center"/>
          </w:tcPr>
          <w:p>
            <w:pPr>
              <w:pStyle w:val="90"/>
              <w:rPr>
                <w:rFonts w:hint="eastAsia" w:ascii="Times New Roman" w:hAnsi="Times New Roman" w:cs="Times New Roman" w:eastAsiaTheme="majorEastAsia"/>
                <w:color w:val="FF0000"/>
                <w:kern w:val="2"/>
                <w:sz w:val="21"/>
                <w:szCs w:val="21"/>
                <w:u w:val="wave"/>
                <w:lang w:val="en-US" w:eastAsia="zh-CN"/>
              </w:rPr>
            </w:pPr>
            <w:r>
              <w:rPr>
                <w:rFonts w:hint="eastAsia" w:ascii="Times New Roman" w:hAnsi="Times New Roman" w:cs="Times New Roman" w:eastAsiaTheme="majorEastAsia"/>
                <w:color w:val="FF0000"/>
                <w:kern w:val="2"/>
                <w:sz w:val="21"/>
                <w:szCs w:val="21"/>
                <w:u w:val="wave"/>
                <w:lang w:val="en-US" w:eastAsia="zh-CN"/>
              </w:rPr>
              <w:t>3</w:t>
            </w:r>
          </w:p>
        </w:tc>
        <w:tc>
          <w:tcPr>
            <w:tcW w:w="1306" w:type="dxa"/>
            <w:vMerge w:val="continue"/>
            <w:tcBorders>
              <w:tl2br w:val="nil"/>
              <w:tr2bl w:val="nil"/>
            </w:tcBorders>
            <w:vAlign w:val="center"/>
          </w:tcPr>
          <w:p>
            <w:pPr>
              <w:pStyle w:val="90"/>
              <w:rPr>
                <w:rFonts w:hint="default" w:ascii="Times New Roman" w:hAnsi="Times New Roman" w:cs="Times New Roman" w:eastAsiaTheme="majorEastAsia"/>
                <w:color w:val="FF0000"/>
                <w:sz w:val="21"/>
                <w:szCs w:val="21"/>
                <w:u w:val="wave"/>
              </w:rPr>
            </w:pPr>
          </w:p>
        </w:tc>
        <w:tc>
          <w:tcPr>
            <w:tcW w:w="1821" w:type="dxa"/>
            <w:tcBorders>
              <w:tl2br w:val="nil"/>
              <w:tr2bl w:val="nil"/>
            </w:tcBorders>
            <w:vAlign w:val="center"/>
          </w:tcPr>
          <w:p>
            <w:pPr>
              <w:pStyle w:val="90"/>
              <w:rPr>
                <w:rFonts w:hint="default" w:ascii="Times New Roman" w:hAnsi="Times New Roman" w:cs="Times New Roman" w:eastAsiaTheme="majorEastAsia"/>
                <w:color w:val="FF0000"/>
                <w:kern w:val="44"/>
                <w:sz w:val="21"/>
                <w:szCs w:val="21"/>
                <w:u w:val="wave"/>
                <w:lang w:val="en-US" w:eastAsia="zh-CN" w:bidi="ar-SA"/>
              </w:rPr>
            </w:pPr>
            <w:r>
              <w:rPr>
                <w:rFonts w:hint="default" w:ascii="Times New Roman" w:hAnsi="Times New Roman" w:cs="Times New Roman" w:eastAsiaTheme="majorEastAsia"/>
                <w:color w:val="FF0000"/>
                <w:sz w:val="21"/>
                <w:szCs w:val="21"/>
                <w:u w:val="wave"/>
              </w:rPr>
              <w:t>备用发电机房</w:t>
            </w:r>
          </w:p>
        </w:tc>
        <w:tc>
          <w:tcPr>
            <w:tcW w:w="1697" w:type="dxa"/>
            <w:tcBorders>
              <w:tl2br w:val="nil"/>
              <w:tr2bl w:val="nil"/>
            </w:tcBorders>
            <w:vAlign w:val="center"/>
          </w:tcPr>
          <w:p>
            <w:pPr>
              <w:pStyle w:val="90"/>
              <w:rPr>
                <w:rFonts w:hint="default" w:ascii="Times New Roman" w:hAnsi="Times New Roman" w:cs="Times New Roman" w:eastAsiaTheme="majorEastAsia"/>
                <w:color w:val="FF0000"/>
                <w:kern w:val="0"/>
                <w:sz w:val="21"/>
                <w:szCs w:val="21"/>
                <w:u w:val="wave"/>
                <w:lang w:val="en-US" w:eastAsia="zh-CN" w:bidi="ar-SA"/>
              </w:rPr>
            </w:pPr>
            <w:r>
              <w:rPr>
                <w:rFonts w:hint="default" w:ascii="Times New Roman" w:hAnsi="Times New Roman" w:cs="Times New Roman" w:eastAsiaTheme="majorEastAsia"/>
                <w:color w:val="FF0000"/>
                <w:kern w:val="0"/>
                <w:sz w:val="21"/>
                <w:szCs w:val="21"/>
                <w:u w:val="wave"/>
              </w:rPr>
              <w:t>地面和四周</w:t>
            </w:r>
          </w:p>
        </w:tc>
        <w:tc>
          <w:tcPr>
            <w:tcW w:w="2941" w:type="dxa"/>
            <w:vMerge w:val="continue"/>
            <w:tcBorders>
              <w:tl2br w:val="nil"/>
              <w:tr2bl w:val="nil"/>
            </w:tcBorders>
            <w:vAlign w:val="center"/>
          </w:tcPr>
          <w:p>
            <w:pPr>
              <w:pStyle w:val="90"/>
              <w:rPr>
                <w:rFonts w:hint="default" w:ascii="Times New Roman" w:hAnsi="Times New Roman" w:cs="Times New Roman" w:eastAsiaTheme="majorEastAsia"/>
                <w:color w:val="FF0000"/>
                <w:sz w:val="21"/>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3" w:type="dxa"/>
            <w:tcBorders>
              <w:tl2br w:val="nil"/>
              <w:tr2bl w:val="nil"/>
            </w:tcBorders>
            <w:vAlign w:val="center"/>
          </w:tcPr>
          <w:p>
            <w:pPr>
              <w:pStyle w:val="90"/>
              <w:rPr>
                <w:rFonts w:hint="default" w:ascii="Times New Roman" w:hAnsi="Times New Roman" w:cs="Times New Roman" w:eastAsiaTheme="majorEastAsia"/>
                <w:color w:val="FF0000"/>
                <w:kern w:val="2"/>
                <w:sz w:val="21"/>
                <w:szCs w:val="21"/>
                <w:u w:val="wave"/>
                <w:lang w:val="en-US" w:eastAsia="zh-CN" w:bidi="ar-SA"/>
              </w:rPr>
            </w:pPr>
            <w:r>
              <w:rPr>
                <w:rFonts w:hint="default" w:ascii="Times New Roman" w:hAnsi="Times New Roman" w:cs="Times New Roman" w:eastAsiaTheme="majorEastAsia"/>
                <w:color w:val="FF0000"/>
                <w:sz w:val="21"/>
                <w:szCs w:val="21"/>
                <w:u w:val="wave"/>
              </w:rPr>
              <w:t>4</w:t>
            </w:r>
          </w:p>
        </w:tc>
        <w:tc>
          <w:tcPr>
            <w:tcW w:w="1306" w:type="dxa"/>
            <w:vMerge w:val="continue"/>
            <w:tcBorders>
              <w:tl2br w:val="nil"/>
              <w:tr2bl w:val="nil"/>
            </w:tcBorders>
            <w:vAlign w:val="center"/>
          </w:tcPr>
          <w:p>
            <w:pPr>
              <w:pStyle w:val="90"/>
              <w:rPr>
                <w:rFonts w:hint="default" w:ascii="Times New Roman" w:hAnsi="Times New Roman" w:cs="Times New Roman" w:eastAsiaTheme="majorEastAsia"/>
                <w:color w:val="FF0000"/>
                <w:sz w:val="21"/>
                <w:szCs w:val="21"/>
                <w:u w:val="wave"/>
              </w:rPr>
            </w:pPr>
          </w:p>
        </w:tc>
        <w:tc>
          <w:tcPr>
            <w:tcW w:w="1821" w:type="dxa"/>
            <w:tcBorders>
              <w:tl2br w:val="nil"/>
              <w:tr2bl w:val="nil"/>
            </w:tcBorders>
            <w:vAlign w:val="center"/>
          </w:tcPr>
          <w:p>
            <w:pPr>
              <w:pStyle w:val="90"/>
              <w:rPr>
                <w:rFonts w:hint="default" w:ascii="Times New Roman" w:hAnsi="Times New Roman" w:cs="Times New Roman" w:eastAsiaTheme="majorEastAsia"/>
                <w:color w:val="FF0000"/>
                <w:kern w:val="2"/>
                <w:sz w:val="21"/>
                <w:szCs w:val="21"/>
                <w:u w:val="wave"/>
                <w:lang w:val="en-US" w:eastAsia="zh-CN" w:bidi="ar-SA"/>
              </w:rPr>
            </w:pPr>
            <w:r>
              <w:rPr>
                <w:rFonts w:hint="default" w:ascii="Times New Roman" w:hAnsi="Times New Roman" w:cs="Times New Roman" w:eastAsiaTheme="majorEastAsia"/>
                <w:color w:val="FF0000"/>
                <w:sz w:val="21"/>
                <w:szCs w:val="21"/>
                <w:u w:val="wave"/>
              </w:rPr>
              <w:t>危废暂存间</w:t>
            </w:r>
          </w:p>
        </w:tc>
        <w:tc>
          <w:tcPr>
            <w:tcW w:w="1697" w:type="dxa"/>
            <w:tcBorders>
              <w:tl2br w:val="nil"/>
              <w:tr2bl w:val="nil"/>
            </w:tcBorders>
            <w:vAlign w:val="center"/>
          </w:tcPr>
          <w:p>
            <w:pPr>
              <w:pStyle w:val="90"/>
              <w:rPr>
                <w:rFonts w:hint="default" w:ascii="Times New Roman" w:hAnsi="Times New Roman" w:cs="Times New Roman" w:eastAsiaTheme="majorEastAsia"/>
                <w:color w:val="FF0000"/>
                <w:kern w:val="2"/>
                <w:sz w:val="21"/>
                <w:szCs w:val="21"/>
                <w:u w:val="wave"/>
                <w:lang w:val="en-US" w:eastAsia="zh-CN" w:bidi="ar-SA"/>
              </w:rPr>
            </w:pPr>
            <w:r>
              <w:rPr>
                <w:rFonts w:hint="default" w:ascii="Times New Roman" w:hAnsi="Times New Roman" w:cs="Times New Roman" w:eastAsiaTheme="majorEastAsia"/>
                <w:color w:val="FF0000"/>
                <w:kern w:val="0"/>
                <w:sz w:val="21"/>
                <w:szCs w:val="21"/>
                <w:u w:val="wave"/>
              </w:rPr>
              <w:t>地面和四周</w:t>
            </w:r>
          </w:p>
        </w:tc>
        <w:tc>
          <w:tcPr>
            <w:tcW w:w="2941" w:type="dxa"/>
            <w:vMerge w:val="continue"/>
            <w:tcBorders>
              <w:tl2br w:val="nil"/>
              <w:tr2bl w:val="nil"/>
            </w:tcBorders>
            <w:vAlign w:val="center"/>
          </w:tcPr>
          <w:p>
            <w:pPr>
              <w:pStyle w:val="90"/>
              <w:rPr>
                <w:rFonts w:hint="default" w:ascii="Times New Roman" w:hAnsi="Times New Roman" w:cs="Times New Roman" w:eastAsiaTheme="majorEastAsia"/>
                <w:color w:val="FF0000"/>
                <w:sz w:val="21"/>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3" w:type="dxa"/>
            <w:tcBorders>
              <w:tl2br w:val="nil"/>
              <w:tr2bl w:val="nil"/>
            </w:tcBorders>
            <w:vAlign w:val="center"/>
          </w:tcPr>
          <w:p>
            <w:pPr>
              <w:pStyle w:val="90"/>
              <w:rPr>
                <w:rFonts w:hint="eastAsia" w:ascii="Times New Roman" w:hAnsi="Times New Roman" w:cs="Times New Roman" w:eastAsiaTheme="majorEastAsia"/>
                <w:color w:val="FF0000"/>
                <w:kern w:val="2"/>
                <w:sz w:val="21"/>
                <w:szCs w:val="21"/>
                <w:u w:val="wave"/>
                <w:lang w:val="en-US" w:eastAsia="zh-CN" w:bidi="ar-SA"/>
              </w:rPr>
            </w:pPr>
            <w:r>
              <w:rPr>
                <w:rFonts w:hint="default" w:ascii="Times New Roman" w:hAnsi="Times New Roman" w:cs="Times New Roman" w:eastAsiaTheme="majorEastAsia"/>
                <w:color w:val="FF0000"/>
                <w:sz w:val="21"/>
                <w:szCs w:val="21"/>
                <w:u w:val="wave"/>
              </w:rPr>
              <w:t>5</w:t>
            </w:r>
          </w:p>
        </w:tc>
        <w:tc>
          <w:tcPr>
            <w:tcW w:w="1306" w:type="dxa"/>
            <w:vMerge w:val="continue"/>
            <w:tcBorders>
              <w:tl2br w:val="nil"/>
              <w:tr2bl w:val="nil"/>
            </w:tcBorders>
            <w:vAlign w:val="center"/>
          </w:tcPr>
          <w:p>
            <w:pPr>
              <w:pStyle w:val="90"/>
              <w:rPr>
                <w:rFonts w:hint="default" w:ascii="Times New Roman" w:hAnsi="Times New Roman" w:cs="Times New Roman" w:eastAsiaTheme="majorEastAsia"/>
                <w:color w:val="FF0000"/>
                <w:sz w:val="21"/>
                <w:szCs w:val="21"/>
                <w:u w:val="wave"/>
              </w:rPr>
            </w:pPr>
          </w:p>
        </w:tc>
        <w:tc>
          <w:tcPr>
            <w:tcW w:w="1821" w:type="dxa"/>
            <w:tcBorders>
              <w:tl2br w:val="nil"/>
              <w:tr2bl w:val="nil"/>
            </w:tcBorders>
            <w:vAlign w:val="center"/>
          </w:tcPr>
          <w:p>
            <w:pPr>
              <w:pStyle w:val="90"/>
              <w:rPr>
                <w:rFonts w:hint="default" w:ascii="Times New Roman" w:hAnsi="Times New Roman" w:cs="Times New Roman" w:eastAsiaTheme="majorEastAsia"/>
                <w:color w:val="FF0000"/>
                <w:kern w:val="44"/>
                <w:sz w:val="21"/>
                <w:szCs w:val="21"/>
                <w:u w:val="wave"/>
                <w:lang w:val="en-US" w:eastAsia="zh-CN" w:bidi="ar-SA"/>
              </w:rPr>
            </w:pPr>
            <w:r>
              <w:rPr>
                <w:rFonts w:hint="default" w:ascii="Times New Roman" w:hAnsi="Times New Roman" w:cs="Times New Roman" w:eastAsiaTheme="majorEastAsia"/>
                <w:color w:val="FF0000"/>
                <w:sz w:val="21"/>
                <w:szCs w:val="21"/>
                <w:u w:val="wave"/>
              </w:rPr>
              <w:t>病死鸡暂存间</w:t>
            </w:r>
          </w:p>
        </w:tc>
        <w:tc>
          <w:tcPr>
            <w:tcW w:w="1697" w:type="dxa"/>
            <w:tcBorders>
              <w:tl2br w:val="nil"/>
              <w:tr2bl w:val="nil"/>
            </w:tcBorders>
            <w:vAlign w:val="center"/>
          </w:tcPr>
          <w:p>
            <w:pPr>
              <w:pStyle w:val="90"/>
              <w:rPr>
                <w:rFonts w:hint="default" w:ascii="Times New Roman" w:hAnsi="Times New Roman" w:cs="Times New Roman" w:eastAsiaTheme="majorEastAsia"/>
                <w:color w:val="FF0000"/>
                <w:kern w:val="44"/>
                <w:sz w:val="21"/>
                <w:szCs w:val="21"/>
                <w:u w:val="wave"/>
                <w:lang w:val="en-US" w:eastAsia="zh-CN" w:bidi="ar-SA"/>
              </w:rPr>
            </w:pPr>
            <w:r>
              <w:rPr>
                <w:rFonts w:hint="default" w:ascii="Times New Roman" w:hAnsi="Times New Roman" w:cs="Times New Roman" w:eastAsiaTheme="majorEastAsia"/>
                <w:color w:val="FF0000"/>
                <w:kern w:val="0"/>
                <w:sz w:val="21"/>
                <w:szCs w:val="21"/>
                <w:u w:val="wave"/>
              </w:rPr>
              <w:t>地面和四周</w:t>
            </w:r>
          </w:p>
        </w:tc>
        <w:tc>
          <w:tcPr>
            <w:tcW w:w="2941" w:type="dxa"/>
            <w:vMerge w:val="continue"/>
            <w:tcBorders>
              <w:tl2br w:val="nil"/>
              <w:tr2bl w:val="nil"/>
            </w:tcBorders>
            <w:vAlign w:val="center"/>
          </w:tcPr>
          <w:p>
            <w:pPr>
              <w:pStyle w:val="90"/>
              <w:rPr>
                <w:rFonts w:hint="default" w:ascii="Times New Roman" w:hAnsi="Times New Roman" w:cs="Times New Roman" w:eastAsiaTheme="majorEastAsia"/>
                <w:color w:val="FF0000"/>
                <w:sz w:val="21"/>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3" w:type="dxa"/>
            <w:tcBorders>
              <w:tl2br w:val="nil"/>
              <w:tr2bl w:val="nil"/>
            </w:tcBorders>
            <w:vAlign w:val="center"/>
          </w:tcPr>
          <w:p>
            <w:pPr>
              <w:pStyle w:val="90"/>
              <w:rPr>
                <w:rFonts w:hint="eastAsia" w:ascii="Times New Roman" w:hAnsi="Times New Roman" w:cs="Times New Roman" w:eastAsiaTheme="majorEastAsia"/>
                <w:color w:val="FF0000"/>
                <w:kern w:val="44"/>
                <w:sz w:val="21"/>
                <w:szCs w:val="21"/>
                <w:u w:val="wave"/>
                <w:lang w:val="en-US" w:eastAsia="zh-CN" w:bidi="ar-SA"/>
              </w:rPr>
            </w:pPr>
            <w:r>
              <w:rPr>
                <w:rFonts w:hint="eastAsia" w:ascii="Times New Roman" w:hAnsi="Times New Roman" w:cs="Times New Roman" w:eastAsiaTheme="majorEastAsia"/>
                <w:color w:val="FF0000"/>
                <w:sz w:val="21"/>
                <w:szCs w:val="21"/>
                <w:u w:val="wave"/>
                <w:lang w:val="en-US" w:eastAsia="zh-CN"/>
              </w:rPr>
              <w:t>6</w:t>
            </w:r>
          </w:p>
        </w:tc>
        <w:tc>
          <w:tcPr>
            <w:tcW w:w="1306" w:type="dxa"/>
            <w:vMerge w:val="continue"/>
            <w:tcBorders>
              <w:tl2br w:val="nil"/>
              <w:tr2bl w:val="nil"/>
            </w:tcBorders>
            <w:vAlign w:val="center"/>
          </w:tcPr>
          <w:p>
            <w:pPr>
              <w:pStyle w:val="90"/>
              <w:rPr>
                <w:rFonts w:hint="default" w:ascii="Times New Roman" w:hAnsi="Times New Roman" w:cs="Times New Roman" w:eastAsiaTheme="majorEastAsia"/>
                <w:color w:val="FF0000"/>
                <w:sz w:val="21"/>
                <w:szCs w:val="21"/>
                <w:u w:val="wave"/>
              </w:rPr>
            </w:pPr>
          </w:p>
        </w:tc>
        <w:tc>
          <w:tcPr>
            <w:tcW w:w="1821" w:type="dxa"/>
            <w:tcBorders>
              <w:tl2br w:val="nil"/>
              <w:tr2bl w:val="nil"/>
            </w:tcBorders>
            <w:vAlign w:val="center"/>
          </w:tcPr>
          <w:p>
            <w:pPr>
              <w:pStyle w:val="90"/>
              <w:rPr>
                <w:rFonts w:hint="default" w:ascii="Times New Roman" w:hAnsi="Times New Roman" w:cs="Times New Roman" w:eastAsiaTheme="majorEastAsia"/>
                <w:color w:val="FF0000"/>
                <w:kern w:val="2"/>
                <w:sz w:val="21"/>
                <w:szCs w:val="21"/>
                <w:u w:val="wave"/>
                <w:lang w:val="en-US" w:eastAsia="zh-CN" w:bidi="ar-SA"/>
              </w:rPr>
            </w:pPr>
            <w:r>
              <w:rPr>
                <w:rFonts w:hint="eastAsia" w:ascii="Times New Roman" w:hAnsi="Times New Roman" w:cs="Times New Roman" w:eastAsiaTheme="majorEastAsia"/>
                <w:color w:val="FF0000"/>
                <w:sz w:val="21"/>
                <w:szCs w:val="21"/>
                <w:u w:val="wave"/>
                <w:lang w:val="en-US" w:eastAsia="zh-CN"/>
              </w:rPr>
              <w:t>鸡粪收集室</w:t>
            </w:r>
          </w:p>
        </w:tc>
        <w:tc>
          <w:tcPr>
            <w:tcW w:w="1697" w:type="dxa"/>
            <w:tcBorders>
              <w:tl2br w:val="nil"/>
              <w:tr2bl w:val="nil"/>
            </w:tcBorders>
            <w:vAlign w:val="center"/>
          </w:tcPr>
          <w:p>
            <w:pPr>
              <w:pStyle w:val="90"/>
              <w:rPr>
                <w:rFonts w:hint="default" w:ascii="Times New Roman" w:hAnsi="Times New Roman" w:cs="Times New Roman" w:eastAsiaTheme="majorEastAsia"/>
                <w:color w:val="FF0000"/>
                <w:kern w:val="2"/>
                <w:sz w:val="21"/>
                <w:szCs w:val="21"/>
                <w:u w:val="wave"/>
                <w:lang w:val="en-US" w:eastAsia="zh-CN" w:bidi="ar-SA"/>
              </w:rPr>
            </w:pPr>
            <w:r>
              <w:rPr>
                <w:rFonts w:hint="default" w:ascii="Times New Roman" w:hAnsi="Times New Roman" w:cs="Times New Roman" w:eastAsiaTheme="majorEastAsia"/>
                <w:color w:val="FF0000"/>
                <w:kern w:val="0"/>
                <w:sz w:val="21"/>
                <w:szCs w:val="21"/>
                <w:u w:val="wave"/>
              </w:rPr>
              <w:t>地面</w:t>
            </w:r>
          </w:p>
        </w:tc>
        <w:tc>
          <w:tcPr>
            <w:tcW w:w="2941" w:type="dxa"/>
            <w:vMerge w:val="continue"/>
            <w:tcBorders>
              <w:tl2br w:val="nil"/>
              <w:tr2bl w:val="nil"/>
            </w:tcBorders>
            <w:vAlign w:val="center"/>
          </w:tcPr>
          <w:p>
            <w:pPr>
              <w:pStyle w:val="90"/>
              <w:rPr>
                <w:rFonts w:hint="default" w:ascii="Times New Roman" w:hAnsi="Times New Roman" w:cs="Times New Roman" w:eastAsiaTheme="majorEastAsia"/>
                <w:color w:val="FF0000"/>
                <w:sz w:val="21"/>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3" w:type="dxa"/>
            <w:tcBorders>
              <w:tl2br w:val="nil"/>
              <w:tr2bl w:val="nil"/>
            </w:tcBorders>
            <w:vAlign w:val="center"/>
          </w:tcPr>
          <w:p>
            <w:pPr>
              <w:pStyle w:val="90"/>
              <w:rPr>
                <w:rFonts w:hint="default" w:ascii="Times New Roman" w:hAnsi="Times New Roman" w:cs="Times New Roman" w:eastAsiaTheme="majorEastAsia"/>
                <w:color w:val="FF0000"/>
                <w:kern w:val="2"/>
                <w:sz w:val="21"/>
                <w:szCs w:val="21"/>
                <w:u w:val="wave"/>
                <w:lang w:val="en-US" w:eastAsia="zh-CN" w:bidi="ar-SA"/>
              </w:rPr>
            </w:pPr>
            <w:r>
              <w:rPr>
                <w:rFonts w:hint="eastAsia" w:ascii="Times New Roman" w:hAnsi="Times New Roman" w:cs="Times New Roman" w:eastAsiaTheme="majorEastAsia"/>
                <w:color w:val="FF0000"/>
                <w:kern w:val="2"/>
                <w:sz w:val="21"/>
                <w:szCs w:val="21"/>
                <w:u w:val="wave"/>
                <w:lang w:val="en-US" w:eastAsia="zh-CN"/>
              </w:rPr>
              <w:t>7</w:t>
            </w:r>
          </w:p>
        </w:tc>
        <w:tc>
          <w:tcPr>
            <w:tcW w:w="1306" w:type="dxa"/>
            <w:vMerge w:val="restart"/>
            <w:tcBorders>
              <w:tl2br w:val="nil"/>
              <w:tr2bl w:val="nil"/>
            </w:tcBorders>
            <w:vAlign w:val="center"/>
          </w:tcPr>
          <w:p>
            <w:pPr>
              <w:pStyle w:val="90"/>
              <w:rPr>
                <w:rFonts w:hint="default" w:ascii="Times New Roman" w:hAnsi="Times New Roman" w:cs="Times New Roman" w:eastAsiaTheme="majorEastAsia"/>
                <w:color w:val="FF0000"/>
                <w:sz w:val="21"/>
                <w:szCs w:val="21"/>
                <w:u w:val="wave"/>
              </w:rPr>
            </w:pPr>
            <w:r>
              <w:rPr>
                <w:rFonts w:hint="default" w:ascii="Times New Roman" w:hAnsi="Times New Roman" w:cs="Times New Roman" w:eastAsiaTheme="majorEastAsia"/>
                <w:color w:val="FF0000"/>
                <w:sz w:val="21"/>
                <w:szCs w:val="21"/>
                <w:u w:val="wave"/>
              </w:rPr>
              <w:t>一般防渗区</w:t>
            </w:r>
          </w:p>
        </w:tc>
        <w:tc>
          <w:tcPr>
            <w:tcW w:w="1821" w:type="dxa"/>
            <w:tcBorders>
              <w:tl2br w:val="nil"/>
              <w:tr2bl w:val="nil"/>
            </w:tcBorders>
            <w:vAlign w:val="center"/>
          </w:tcPr>
          <w:p>
            <w:pPr>
              <w:pStyle w:val="90"/>
              <w:rPr>
                <w:rFonts w:hint="default" w:ascii="Times New Roman" w:hAnsi="Times New Roman" w:cs="Times New Roman" w:eastAsiaTheme="majorEastAsia"/>
                <w:color w:val="FF0000"/>
                <w:sz w:val="21"/>
                <w:szCs w:val="21"/>
                <w:u w:val="wave"/>
              </w:rPr>
            </w:pPr>
            <w:r>
              <w:rPr>
                <w:rFonts w:hint="default" w:ascii="Times New Roman" w:hAnsi="Times New Roman" w:cs="Times New Roman" w:eastAsiaTheme="majorEastAsia"/>
                <w:color w:val="FF0000"/>
                <w:sz w:val="21"/>
                <w:szCs w:val="21"/>
                <w:u w:val="wave"/>
              </w:rPr>
              <w:t>鸡舍</w:t>
            </w:r>
          </w:p>
        </w:tc>
        <w:tc>
          <w:tcPr>
            <w:tcW w:w="1697" w:type="dxa"/>
            <w:tcBorders>
              <w:tl2br w:val="nil"/>
              <w:tr2bl w:val="nil"/>
            </w:tcBorders>
            <w:vAlign w:val="center"/>
          </w:tcPr>
          <w:p>
            <w:pPr>
              <w:pStyle w:val="90"/>
              <w:rPr>
                <w:rFonts w:hint="default" w:ascii="Times New Roman" w:hAnsi="Times New Roman" w:cs="Times New Roman" w:eastAsiaTheme="majorEastAsia"/>
                <w:color w:val="FF0000"/>
                <w:sz w:val="21"/>
                <w:szCs w:val="21"/>
                <w:u w:val="wave"/>
              </w:rPr>
            </w:pPr>
            <w:r>
              <w:rPr>
                <w:rFonts w:hint="default" w:ascii="Times New Roman" w:hAnsi="Times New Roman" w:cs="Times New Roman" w:eastAsiaTheme="majorEastAsia"/>
                <w:color w:val="FF0000"/>
                <w:sz w:val="21"/>
                <w:szCs w:val="21"/>
                <w:u w:val="wave"/>
              </w:rPr>
              <w:t>地面</w:t>
            </w:r>
          </w:p>
        </w:tc>
        <w:tc>
          <w:tcPr>
            <w:tcW w:w="2941" w:type="dxa"/>
            <w:vMerge w:val="restart"/>
            <w:tcBorders>
              <w:tl2br w:val="nil"/>
              <w:tr2bl w:val="nil"/>
            </w:tcBorders>
            <w:vAlign w:val="center"/>
          </w:tcPr>
          <w:p>
            <w:pPr>
              <w:pStyle w:val="90"/>
              <w:rPr>
                <w:rFonts w:hint="default" w:ascii="Times New Roman" w:hAnsi="Times New Roman" w:cs="Times New Roman" w:eastAsiaTheme="majorEastAsia"/>
                <w:color w:val="FF0000"/>
                <w:sz w:val="21"/>
                <w:szCs w:val="21"/>
                <w:u w:val="wave"/>
              </w:rPr>
            </w:pPr>
            <w:r>
              <w:rPr>
                <w:rFonts w:hint="default" w:ascii="Times New Roman" w:hAnsi="Times New Roman" w:cs="Times New Roman" w:eastAsiaTheme="majorEastAsia"/>
                <w:color w:val="FF0000"/>
                <w:sz w:val="21"/>
                <w:szCs w:val="21"/>
                <w:u w:val="wave"/>
              </w:rPr>
              <w:t>渗透量不大于厚度为1.5m，渗透系数≤10</w:t>
            </w:r>
            <w:r>
              <w:rPr>
                <w:rFonts w:hint="default" w:ascii="Times New Roman" w:hAnsi="Times New Roman" w:cs="Times New Roman" w:eastAsiaTheme="majorEastAsia"/>
                <w:color w:val="FF0000"/>
                <w:sz w:val="21"/>
                <w:szCs w:val="21"/>
                <w:u w:val="wave"/>
                <w:vertAlign w:val="superscript"/>
              </w:rPr>
              <w:t>-7</w:t>
            </w:r>
            <w:r>
              <w:rPr>
                <w:rFonts w:hint="default" w:ascii="Times New Roman" w:hAnsi="Times New Roman" w:cs="Times New Roman" w:eastAsiaTheme="majorEastAsia"/>
                <w:color w:val="FF0000"/>
                <w:sz w:val="21"/>
                <w:szCs w:val="21"/>
                <w:u w:val="wave"/>
              </w:rPr>
              <w:t>cm/s；或参照GB16889执行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3" w:type="dxa"/>
            <w:tcBorders>
              <w:tl2br w:val="nil"/>
              <w:tr2bl w:val="nil"/>
            </w:tcBorders>
            <w:vAlign w:val="center"/>
          </w:tcPr>
          <w:p>
            <w:pPr>
              <w:pStyle w:val="90"/>
              <w:rPr>
                <w:rFonts w:hint="default" w:ascii="Times New Roman" w:hAnsi="Times New Roman" w:cs="Times New Roman" w:eastAsiaTheme="majorEastAsia"/>
                <w:color w:val="FF0000"/>
                <w:kern w:val="44"/>
                <w:sz w:val="21"/>
                <w:szCs w:val="21"/>
                <w:u w:val="wave"/>
                <w:lang w:val="en-US" w:eastAsia="zh-CN" w:bidi="ar-SA"/>
              </w:rPr>
            </w:pPr>
            <w:r>
              <w:rPr>
                <w:rFonts w:hint="default" w:ascii="Times New Roman" w:hAnsi="Times New Roman" w:cs="Times New Roman" w:eastAsiaTheme="majorEastAsia"/>
                <w:color w:val="FF0000"/>
                <w:sz w:val="21"/>
                <w:szCs w:val="21"/>
                <w:u w:val="wave"/>
              </w:rPr>
              <w:t>8</w:t>
            </w:r>
          </w:p>
        </w:tc>
        <w:tc>
          <w:tcPr>
            <w:tcW w:w="1306" w:type="dxa"/>
            <w:vMerge w:val="continue"/>
            <w:tcBorders>
              <w:tl2br w:val="nil"/>
              <w:tr2bl w:val="nil"/>
            </w:tcBorders>
            <w:vAlign w:val="center"/>
          </w:tcPr>
          <w:p>
            <w:pPr>
              <w:pStyle w:val="90"/>
              <w:rPr>
                <w:rFonts w:hint="default" w:ascii="Times New Roman" w:hAnsi="Times New Roman" w:cs="Times New Roman" w:eastAsiaTheme="majorEastAsia"/>
                <w:color w:val="FF0000"/>
                <w:sz w:val="21"/>
                <w:szCs w:val="21"/>
                <w:u w:val="wave"/>
              </w:rPr>
            </w:pPr>
          </w:p>
        </w:tc>
        <w:tc>
          <w:tcPr>
            <w:tcW w:w="1821" w:type="dxa"/>
            <w:tcBorders>
              <w:tl2br w:val="nil"/>
              <w:tr2bl w:val="nil"/>
            </w:tcBorders>
            <w:vAlign w:val="center"/>
          </w:tcPr>
          <w:p>
            <w:pPr>
              <w:pStyle w:val="90"/>
              <w:rPr>
                <w:rFonts w:hint="default" w:ascii="Times New Roman" w:hAnsi="Times New Roman" w:cs="Times New Roman" w:eastAsiaTheme="majorEastAsia"/>
                <w:color w:val="FF0000"/>
                <w:kern w:val="2"/>
                <w:sz w:val="21"/>
                <w:szCs w:val="21"/>
                <w:u w:val="wave"/>
              </w:rPr>
            </w:pPr>
            <w:r>
              <w:rPr>
                <w:rFonts w:hint="default" w:ascii="Times New Roman" w:hAnsi="Times New Roman" w:cs="Times New Roman" w:eastAsiaTheme="majorEastAsia"/>
                <w:color w:val="FF0000"/>
                <w:sz w:val="21"/>
                <w:szCs w:val="21"/>
                <w:u w:val="wave"/>
              </w:rPr>
              <w:t>蛋库</w:t>
            </w:r>
          </w:p>
        </w:tc>
        <w:tc>
          <w:tcPr>
            <w:tcW w:w="1697" w:type="dxa"/>
            <w:tcBorders>
              <w:tl2br w:val="nil"/>
              <w:tr2bl w:val="nil"/>
            </w:tcBorders>
            <w:vAlign w:val="center"/>
          </w:tcPr>
          <w:p>
            <w:pPr>
              <w:pStyle w:val="90"/>
              <w:rPr>
                <w:rFonts w:hint="default" w:ascii="Times New Roman" w:hAnsi="Times New Roman" w:cs="Times New Roman" w:eastAsiaTheme="majorEastAsia"/>
                <w:color w:val="FF0000"/>
                <w:kern w:val="2"/>
                <w:sz w:val="21"/>
                <w:szCs w:val="21"/>
                <w:u w:val="wave"/>
              </w:rPr>
            </w:pPr>
            <w:r>
              <w:rPr>
                <w:rFonts w:hint="default" w:ascii="Times New Roman" w:hAnsi="Times New Roman" w:cs="Times New Roman" w:eastAsiaTheme="majorEastAsia"/>
                <w:color w:val="FF0000"/>
                <w:kern w:val="0"/>
                <w:sz w:val="21"/>
                <w:szCs w:val="21"/>
                <w:u w:val="wave"/>
              </w:rPr>
              <w:t>地面</w:t>
            </w:r>
          </w:p>
        </w:tc>
        <w:tc>
          <w:tcPr>
            <w:tcW w:w="2941" w:type="dxa"/>
            <w:vMerge w:val="continue"/>
            <w:tcBorders>
              <w:tl2br w:val="nil"/>
              <w:tr2bl w:val="nil"/>
            </w:tcBorders>
            <w:vAlign w:val="center"/>
          </w:tcPr>
          <w:p>
            <w:pPr>
              <w:pStyle w:val="90"/>
              <w:rPr>
                <w:rFonts w:hint="default" w:ascii="Times New Roman" w:hAnsi="Times New Roman" w:cs="Times New Roman" w:eastAsiaTheme="majorEastAsia"/>
                <w:color w:val="FF0000"/>
                <w:sz w:val="21"/>
                <w:szCs w:val="21"/>
                <w:u w:val="wav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3" w:type="dxa"/>
            <w:tcBorders>
              <w:tl2br w:val="nil"/>
              <w:tr2bl w:val="nil"/>
            </w:tcBorders>
            <w:vAlign w:val="center"/>
          </w:tcPr>
          <w:p>
            <w:pPr>
              <w:pStyle w:val="90"/>
              <w:rPr>
                <w:rFonts w:hint="eastAsia" w:ascii="Times New Roman" w:hAnsi="Times New Roman" w:cs="Times New Roman" w:eastAsiaTheme="majorEastAsia"/>
                <w:color w:val="FF0000"/>
                <w:kern w:val="44"/>
                <w:sz w:val="21"/>
                <w:szCs w:val="21"/>
                <w:u w:val="wave"/>
                <w:lang w:val="en-US" w:eastAsia="zh-CN" w:bidi="ar-SA"/>
              </w:rPr>
            </w:pPr>
            <w:r>
              <w:rPr>
                <w:rFonts w:hint="default" w:ascii="Times New Roman" w:hAnsi="Times New Roman" w:cs="Times New Roman" w:eastAsiaTheme="majorEastAsia"/>
                <w:color w:val="FF0000"/>
                <w:sz w:val="21"/>
                <w:szCs w:val="21"/>
                <w:u w:val="wave"/>
              </w:rPr>
              <w:t>9</w:t>
            </w:r>
          </w:p>
        </w:tc>
        <w:tc>
          <w:tcPr>
            <w:tcW w:w="1306" w:type="dxa"/>
            <w:tcBorders>
              <w:tl2br w:val="nil"/>
              <w:tr2bl w:val="nil"/>
            </w:tcBorders>
            <w:vAlign w:val="center"/>
          </w:tcPr>
          <w:p>
            <w:pPr>
              <w:pStyle w:val="90"/>
              <w:rPr>
                <w:rFonts w:hint="default" w:ascii="Times New Roman" w:hAnsi="Times New Roman" w:cs="Times New Roman" w:eastAsiaTheme="majorEastAsia"/>
                <w:color w:val="FF0000"/>
                <w:sz w:val="21"/>
                <w:szCs w:val="21"/>
                <w:u w:val="wave"/>
              </w:rPr>
            </w:pPr>
            <w:r>
              <w:rPr>
                <w:rFonts w:hint="default" w:ascii="Times New Roman" w:hAnsi="Times New Roman" w:cs="Times New Roman" w:eastAsiaTheme="majorEastAsia"/>
                <w:color w:val="FF0000"/>
                <w:sz w:val="21"/>
                <w:szCs w:val="21"/>
                <w:u w:val="wave"/>
              </w:rPr>
              <w:t>简单防渗区</w:t>
            </w:r>
          </w:p>
        </w:tc>
        <w:tc>
          <w:tcPr>
            <w:tcW w:w="1821" w:type="dxa"/>
            <w:tcBorders>
              <w:tl2br w:val="nil"/>
              <w:tr2bl w:val="nil"/>
            </w:tcBorders>
            <w:vAlign w:val="center"/>
          </w:tcPr>
          <w:p>
            <w:pPr>
              <w:pStyle w:val="90"/>
              <w:rPr>
                <w:rFonts w:hint="default" w:ascii="Times New Roman" w:hAnsi="Times New Roman" w:cs="Times New Roman" w:eastAsiaTheme="majorEastAsia"/>
                <w:color w:val="FF0000"/>
                <w:sz w:val="21"/>
                <w:szCs w:val="21"/>
                <w:u w:val="wave"/>
              </w:rPr>
            </w:pPr>
            <w:r>
              <w:rPr>
                <w:rFonts w:hint="default" w:ascii="Times New Roman" w:hAnsi="Times New Roman" w:cs="Times New Roman" w:eastAsiaTheme="majorEastAsia"/>
                <w:color w:val="FF0000"/>
                <w:sz w:val="21"/>
                <w:szCs w:val="21"/>
                <w:u w:val="wave"/>
              </w:rPr>
              <w:t>办公楼、厂区道路等非污染区</w:t>
            </w:r>
          </w:p>
        </w:tc>
        <w:tc>
          <w:tcPr>
            <w:tcW w:w="1697" w:type="dxa"/>
            <w:tcBorders>
              <w:tl2br w:val="nil"/>
              <w:tr2bl w:val="nil"/>
            </w:tcBorders>
            <w:vAlign w:val="center"/>
          </w:tcPr>
          <w:p>
            <w:pPr>
              <w:pStyle w:val="90"/>
              <w:rPr>
                <w:rFonts w:hint="default" w:ascii="Times New Roman" w:hAnsi="Times New Roman" w:cs="Times New Roman" w:eastAsiaTheme="majorEastAsia"/>
                <w:color w:val="FF0000"/>
                <w:kern w:val="0"/>
                <w:sz w:val="21"/>
                <w:szCs w:val="21"/>
                <w:u w:val="wave"/>
              </w:rPr>
            </w:pPr>
            <w:r>
              <w:rPr>
                <w:rFonts w:hint="default" w:ascii="Times New Roman" w:hAnsi="Times New Roman" w:cs="Times New Roman" w:eastAsiaTheme="majorEastAsia"/>
                <w:color w:val="FF0000"/>
                <w:kern w:val="0"/>
                <w:sz w:val="21"/>
                <w:szCs w:val="21"/>
                <w:u w:val="wave"/>
              </w:rPr>
              <w:t>地面</w:t>
            </w:r>
          </w:p>
        </w:tc>
        <w:tc>
          <w:tcPr>
            <w:tcW w:w="2941" w:type="dxa"/>
            <w:tcBorders>
              <w:tl2br w:val="nil"/>
              <w:tr2bl w:val="nil"/>
            </w:tcBorders>
            <w:vAlign w:val="center"/>
          </w:tcPr>
          <w:p>
            <w:pPr>
              <w:pStyle w:val="90"/>
              <w:rPr>
                <w:rFonts w:hint="default" w:ascii="Times New Roman" w:hAnsi="Times New Roman" w:cs="Times New Roman" w:eastAsiaTheme="majorEastAsia"/>
                <w:color w:val="FF0000"/>
                <w:sz w:val="21"/>
                <w:szCs w:val="21"/>
                <w:u w:val="wave"/>
              </w:rPr>
            </w:pPr>
            <w:r>
              <w:rPr>
                <w:rFonts w:hint="default" w:ascii="Times New Roman" w:hAnsi="Times New Roman" w:cs="Times New Roman" w:eastAsiaTheme="majorEastAsia"/>
                <w:color w:val="FF0000"/>
                <w:sz w:val="21"/>
                <w:szCs w:val="21"/>
                <w:u w:val="wave"/>
              </w:rPr>
              <w:t>一般地面硬化</w:t>
            </w:r>
          </w:p>
        </w:tc>
      </w:tr>
    </w:tbl>
    <w:p>
      <w:pPr>
        <w:pStyle w:val="5"/>
        <w:adjustRightInd w:val="0"/>
        <w:snapToGrid w:val="0"/>
        <w:spacing w:after="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防止地下水污染，要预防为主、防治结合，把预防污染作为基本原则，把治理作为补救措施。要求项目建设单位根据地下水污染防控要求做好各污染防治区的防渗措施。</w:t>
      </w:r>
    </w:p>
    <w:p>
      <w:pPr>
        <w:pStyle w:val="5"/>
        <w:adjustRightInd w:val="0"/>
        <w:snapToGrid w:val="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①</w:t>
      </w:r>
      <w:r>
        <w:rPr>
          <w:rFonts w:ascii="Times New Roman" w:hAnsi="Times New Roman" w:eastAsia="宋体" w:cs="Times New Roman"/>
          <w:sz w:val="24"/>
        </w:rPr>
        <w:t>场区内做好雨污分流。废水采用HDPE管输送至污水处理站，做好污水管道的防渗处理，杜绝污水渗漏，确保污水收集系统衔接良好。</w:t>
      </w:r>
    </w:p>
    <w:p>
      <w:pPr>
        <w:pStyle w:val="5"/>
        <w:adjustRightInd w:val="0"/>
        <w:snapToGrid w:val="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②</w:t>
      </w:r>
      <w:r>
        <w:rPr>
          <w:rFonts w:hint="eastAsia" w:eastAsiaTheme="minorEastAsia"/>
          <w:sz w:val="24"/>
        </w:rPr>
        <w:t>隔油池、</w:t>
      </w:r>
      <w:r>
        <w:rPr>
          <w:rFonts w:hint="eastAsia" w:eastAsiaTheme="minorEastAsia"/>
          <w:sz w:val="24"/>
          <w:lang w:val="en-US" w:eastAsia="zh-CN"/>
        </w:rPr>
        <w:t>污水处理站</w:t>
      </w:r>
      <w:r>
        <w:rPr>
          <w:rFonts w:hint="eastAsia" w:eastAsiaTheme="minorEastAsia"/>
          <w:sz w:val="24"/>
        </w:rPr>
        <w:t>、污水管网、备用发电机房、危废暂存间、病死鸡暂存间</w:t>
      </w:r>
      <w:r>
        <w:rPr>
          <w:rFonts w:hint="eastAsia" w:eastAsiaTheme="minorEastAsia"/>
          <w:sz w:val="24"/>
          <w:lang w:eastAsia="zh-CN"/>
        </w:rPr>
        <w:t>、鸡粪收集室</w:t>
      </w:r>
      <w:r>
        <w:rPr>
          <w:rFonts w:hint="eastAsia" w:eastAsiaTheme="minorEastAsia"/>
          <w:sz w:val="24"/>
        </w:rPr>
        <w:t>等</w:t>
      </w:r>
      <w:r>
        <w:rPr>
          <w:rFonts w:ascii="Times New Roman" w:hAnsi="Times New Roman" w:eastAsia="宋体" w:cs="Times New Roman"/>
          <w:sz w:val="24"/>
        </w:rPr>
        <w:t>重点区域采用均防渗材料铺设，并都加以硬化。在做好防渗工作的前提下，能够杜绝污染源对地下水的影响。</w:t>
      </w:r>
    </w:p>
    <w:p>
      <w:pPr>
        <w:pStyle w:val="5"/>
        <w:adjustRightInd w:val="0"/>
        <w:snapToGrid w:val="0"/>
        <w:spacing w:after="0"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③</w:t>
      </w:r>
      <w:r>
        <w:rPr>
          <w:rFonts w:ascii="Times New Roman" w:hAnsi="Times New Roman" w:eastAsia="宋体" w:cs="Times New Roman"/>
          <w:sz w:val="24"/>
        </w:rPr>
        <w:t>在项目运营时，加强现场巡查，下面地面雨水量较大时，重点检查有无渗漏情况，若发现问题，及时分析原因，找到渗透点制定整改措施，尽快修补，确</w:t>
      </w:r>
      <w:r>
        <w:rPr>
          <w:rFonts w:hint="eastAsia" w:ascii="Times New Roman" w:hAnsi="Times New Roman" w:eastAsia="宋体" w:cs="Times New Roman"/>
          <w:sz w:val="24"/>
        </w:rPr>
        <w:t>保防腐防渗层的完整性。</w:t>
      </w:r>
    </w:p>
    <w:p>
      <w:pPr>
        <w:pStyle w:val="5"/>
        <w:adjustRightInd w:val="0"/>
        <w:snapToGrid w:val="0"/>
        <w:spacing w:after="0"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④对养殖场水井实施跟踪监控，及时监控地下水环境。</w:t>
      </w:r>
    </w:p>
    <w:p>
      <w:pPr>
        <w:pStyle w:val="5"/>
        <w:adjustRightInd w:val="0"/>
        <w:snapToGrid w:val="0"/>
        <w:spacing w:after="0"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fldChar w:fldCharType="begin"/>
      </w:r>
      <w:r>
        <w:rPr>
          <w:rFonts w:hint="eastAsia" w:ascii="Times New Roman" w:hAnsi="Times New Roman" w:eastAsia="宋体" w:cs="Times New Roman"/>
          <w:sz w:val="24"/>
        </w:rPr>
        <w:instrText xml:space="preserve"> = 5 \* GB3 </w:instrText>
      </w:r>
      <w:r>
        <w:rPr>
          <w:rFonts w:hint="eastAsia" w:ascii="Times New Roman" w:hAnsi="Times New Roman" w:eastAsia="宋体" w:cs="Times New Roman"/>
          <w:sz w:val="24"/>
        </w:rPr>
        <w:fldChar w:fldCharType="separate"/>
      </w:r>
      <w:r>
        <w:rPr>
          <w:rFonts w:hint="eastAsia" w:ascii="Times New Roman" w:hAnsi="Times New Roman" w:eastAsia="宋体" w:cs="Times New Roman"/>
          <w:sz w:val="24"/>
        </w:rPr>
        <w:t>⑤</w:t>
      </w:r>
      <w:r>
        <w:rPr>
          <w:rFonts w:hint="eastAsia" w:ascii="Times New Roman" w:hAnsi="Times New Roman" w:eastAsia="宋体" w:cs="Times New Roman"/>
          <w:sz w:val="24"/>
        </w:rPr>
        <w:fldChar w:fldCharType="end"/>
      </w:r>
      <w:r>
        <w:rPr>
          <w:rFonts w:hint="eastAsia" w:ascii="Times New Roman" w:hAnsi="Times New Roman" w:eastAsia="宋体" w:cs="Times New Roman"/>
          <w:sz w:val="24"/>
        </w:rPr>
        <w:t>加强管理，鸡舍产生的粪便做到日产日清，特别是雨天来临之前要及时清理干净。</w:t>
      </w:r>
    </w:p>
    <w:p>
      <w:pPr>
        <w:pStyle w:val="5"/>
        <w:adjustRightInd w:val="0"/>
        <w:snapToGrid w:val="0"/>
        <w:spacing w:after="0"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fldChar w:fldCharType="begin"/>
      </w:r>
      <w:r>
        <w:rPr>
          <w:rFonts w:hint="eastAsia" w:ascii="Times New Roman" w:hAnsi="Times New Roman" w:eastAsia="宋体" w:cs="Times New Roman"/>
          <w:sz w:val="24"/>
        </w:rPr>
        <w:instrText xml:space="preserve"> = 6 \* GB3 </w:instrText>
      </w:r>
      <w:r>
        <w:rPr>
          <w:rFonts w:hint="eastAsia" w:ascii="Times New Roman" w:hAnsi="Times New Roman" w:eastAsia="宋体" w:cs="Times New Roman"/>
          <w:sz w:val="24"/>
        </w:rPr>
        <w:fldChar w:fldCharType="separate"/>
      </w:r>
      <w:r>
        <w:rPr>
          <w:rFonts w:hint="eastAsia" w:ascii="Times New Roman" w:hAnsi="Times New Roman" w:eastAsia="宋体" w:cs="Times New Roman"/>
          <w:sz w:val="24"/>
        </w:rPr>
        <w:t>⑥</w:t>
      </w:r>
      <w:r>
        <w:rPr>
          <w:rFonts w:hint="eastAsia" w:ascii="Times New Roman" w:hAnsi="Times New Roman" w:eastAsia="宋体" w:cs="Times New Roman"/>
          <w:sz w:val="24"/>
        </w:rPr>
        <w:fldChar w:fldCharType="end"/>
      </w:r>
      <w:r>
        <w:rPr>
          <w:rFonts w:hint="eastAsia" w:ascii="Times New Roman" w:hAnsi="Times New Roman" w:eastAsia="宋体" w:cs="Times New Roman"/>
          <w:sz w:val="24"/>
        </w:rPr>
        <w:t>对鸡粪皮带传输区地面及时清扫。</w:t>
      </w:r>
    </w:p>
    <w:p>
      <w:pPr>
        <w:pStyle w:val="5"/>
        <w:adjustRightInd w:val="0"/>
        <w:snapToGrid w:val="0"/>
        <w:spacing w:after="0" w:line="360" w:lineRule="auto"/>
        <w:ind w:firstLine="480" w:firstLineChars="200"/>
        <w:rPr>
          <w:rFonts w:hint="eastAsia" w:ascii="Times New Roman" w:hAnsi="Times New Roman" w:eastAsia="宋体" w:cs="Times New Roman"/>
          <w:sz w:val="24"/>
          <w:lang w:eastAsia="zh-CN"/>
        </w:rPr>
      </w:pPr>
      <w:r>
        <w:rPr>
          <w:rFonts w:ascii="Times New Roman" w:hAnsi="Times New Roman" w:eastAsia="宋体" w:cs="Times New Roman"/>
          <w:sz w:val="24"/>
        </w:rPr>
        <w:t>综上，采取上述措施基本可以消除项目建设对地下水造成的不利影响，措施可行</w:t>
      </w:r>
      <w:r>
        <w:rPr>
          <w:rFonts w:hint="eastAsia" w:ascii="Times New Roman" w:hAnsi="Times New Roman" w:eastAsia="宋体" w:cs="Times New Roman"/>
          <w:sz w:val="24"/>
          <w:lang w:eastAsia="zh-CN"/>
        </w:rPr>
        <w:t>。</w:t>
      </w:r>
    </w:p>
    <w:p>
      <w:pPr>
        <w:pStyle w:val="5"/>
        <w:adjustRightInd w:val="0"/>
        <w:snapToGrid w:val="0"/>
        <w:spacing w:after="0" w:line="360" w:lineRule="auto"/>
        <w:ind w:firstLine="482" w:firstLineChars="200"/>
        <w:rPr>
          <w:rFonts w:ascii="Times New Roman" w:hAnsi="Times New Roman" w:eastAsia="宋体" w:cs="Times New Roman"/>
          <w:b/>
          <w:sz w:val="24"/>
        </w:rPr>
      </w:pPr>
      <w:r>
        <w:rPr>
          <w:rFonts w:ascii="Times New Roman" w:hAnsi="Times New Roman" w:cs="Times New Roman"/>
          <w:b/>
          <w:sz w:val="24"/>
        </w:rPr>
        <w:t>3</w:t>
      </w:r>
      <w:r>
        <w:rPr>
          <w:rFonts w:ascii="Times New Roman" w:cs="Times New Roman"/>
          <w:b/>
          <w:sz w:val="24"/>
        </w:rPr>
        <w:t>、</w:t>
      </w:r>
      <w:r>
        <w:rPr>
          <w:rFonts w:ascii="Times New Roman" w:hAnsi="Times New Roman" w:eastAsia="宋体" w:cs="Times New Roman"/>
          <w:b/>
          <w:sz w:val="24"/>
        </w:rPr>
        <w:t>地下水跟踪监测</w:t>
      </w:r>
    </w:p>
    <w:p>
      <w:pPr>
        <w:pStyle w:val="5"/>
        <w:adjustRightInd w:val="0"/>
        <w:snapToGrid w:val="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（1）建立地下水环境监测管理体系</w:t>
      </w:r>
    </w:p>
    <w:p>
      <w:pPr>
        <w:pStyle w:val="5"/>
        <w:adjustRightInd w:val="0"/>
        <w:snapToGrid w:val="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包括制定地下水环境影响跟踪监测计划、建立地下水环境影响跟踪监测制度、配备先进的监测仪器，以便及时发现问题，采取措施。</w:t>
      </w:r>
    </w:p>
    <w:p>
      <w:pPr>
        <w:pStyle w:val="5"/>
        <w:adjustRightInd w:val="0"/>
        <w:snapToGrid w:val="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（2）跟踪监测计划</w:t>
      </w:r>
    </w:p>
    <w:p>
      <w:pPr>
        <w:pStyle w:val="5"/>
        <w:adjustRightInd w:val="0"/>
        <w:snapToGrid w:val="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应根据环境水文地质条件和建设项目特点设置跟踪监测点，跟踪监测点应明确与建设项目的位置关系，给出点位、坐标、井深、井结构、监测层位、监测因子及监测频率等相关参数。三级评价的建设项目，一般跟踪监测点数量不少于1个，应至少在建设项目场地下游布置1个。因此环评建议设置一口长期观测井对地下水水质进行监测，具体监测方案如下：</w:t>
      </w:r>
    </w:p>
    <w:p>
      <w:pPr>
        <w:pStyle w:val="5"/>
        <w:adjustRightInd w:val="0"/>
        <w:snapToGrid w:val="0"/>
        <w:spacing w:after="0" w:line="360" w:lineRule="auto"/>
        <w:ind w:firstLine="480" w:firstLineChars="0"/>
        <w:rPr>
          <w:rFonts w:ascii="Times New Roman" w:hAnsi="Times New Roman" w:eastAsia="宋体" w:cs="Times New Roman"/>
          <w:sz w:val="24"/>
        </w:rPr>
      </w:pPr>
      <w:r>
        <w:rPr>
          <w:rFonts w:hint="eastAsia" w:ascii="Times New Roman" w:hAnsi="Times New Roman" w:eastAsia="宋体" w:cs="Times New Roman"/>
          <w:sz w:val="24"/>
        </w:rPr>
        <w:t>①监测点布设：根据区域地质勘探资料及地质资料了解，地下水流向为由西往东，环评建议在项目</w:t>
      </w:r>
      <w:r>
        <w:rPr>
          <w:rFonts w:hint="eastAsia" w:ascii="Times New Roman" w:hAnsi="Times New Roman" w:eastAsia="宋体" w:cs="Times New Roman"/>
          <w:sz w:val="24"/>
          <w:lang w:val="en-US" w:eastAsia="zh-CN"/>
        </w:rPr>
        <w:t>2</w:t>
      </w:r>
      <w:r>
        <w:rPr>
          <w:rFonts w:hint="eastAsia" w:ascii="Times New Roman" w:hAnsi="Times New Roman" w:eastAsia="宋体" w:cs="Times New Roman"/>
          <w:sz w:val="24"/>
        </w:rPr>
        <w:t>#</w:t>
      </w:r>
      <w:r>
        <w:rPr>
          <w:rFonts w:hint="eastAsia" w:ascii="Times New Roman" w:hAnsi="Times New Roman" w:eastAsia="宋体" w:cs="Times New Roman"/>
          <w:sz w:val="24"/>
          <w:lang w:val="en-US" w:eastAsia="zh-CN"/>
        </w:rPr>
        <w:t>污水处理站</w:t>
      </w:r>
      <w:r>
        <w:rPr>
          <w:rFonts w:hint="eastAsia" w:ascii="Times New Roman" w:hAnsi="Times New Roman" w:eastAsia="宋体" w:cs="Times New Roman"/>
          <w:sz w:val="24"/>
        </w:rPr>
        <w:t>下游设置一个地下水监控井。</w:t>
      </w:r>
    </w:p>
    <w:p>
      <w:pPr>
        <w:pStyle w:val="5"/>
        <w:adjustRightInd w:val="0"/>
        <w:snapToGrid w:val="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②监测项目：钙离子、镁离子、钠离子、钾离子、碳酸根离子、碳酸氢根离子、硫酸根离子、氯离子、pH、硝酸盐、氨氮、总大肠菌群。</w:t>
      </w:r>
    </w:p>
    <w:p>
      <w:pPr>
        <w:pStyle w:val="5"/>
        <w:adjustRightInd w:val="0"/>
        <w:snapToGrid w:val="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③监测频率监测频率：一年一次。</w:t>
      </w:r>
    </w:p>
    <w:p>
      <w:pPr>
        <w:pStyle w:val="5"/>
        <w:adjustRightInd w:val="0"/>
        <w:snapToGrid w:val="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④监测单位：定期委托有资质的环境监测单位监测地下水水质情况，及时监控地下水环境。一旦发现监测水质发生变化，立即停止使用，并采取补救措施。</w:t>
      </w:r>
    </w:p>
    <w:p>
      <w:pPr>
        <w:pStyle w:val="5"/>
        <w:adjustRightInd w:val="0"/>
        <w:snapToGrid w:val="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（3）地下水水质监测数据管理</w:t>
      </w:r>
    </w:p>
    <w:p>
      <w:pPr>
        <w:pStyle w:val="5"/>
        <w:adjustRightInd w:val="0"/>
        <w:snapToGrid w:val="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为保证地下水监测有效、有序管理，须制定相关规定、明确职责，采取以下技术措施。</w:t>
      </w:r>
    </w:p>
    <w:p>
      <w:pPr>
        <w:pStyle w:val="5"/>
        <w:adjustRightInd w:val="0"/>
        <w:snapToGrid w:val="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①按照《地下水环境监测技术规范》（HJ/T164-2004）要求，及时上报监测数据和有关表格。</w:t>
      </w:r>
    </w:p>
    <w:p>
      <w:pPr>
        <w:pStyle w:val="5"/>
        <w:adjustRightInd w:val="0"/>
        <w:snapToGrid w:val="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②在日常例行监测中，一旦发现地下水水质监测数据异常，应尽快核查数据，确保数据的正确性。并将核查过的监测数据通告安全环保部门，由专人负责对数据进行分析、核实，并密切关注生产设施的运行情况，为防止地下水污染采取措施提供正确的依据。同时对上游水井水质进行监测，以判断水质异常原因。</w:t>
      </w:r>
    </w:p>
    <w:p>
      <w:pPr>
        <w:pStyle w:val="5"/>
        <w:adjustRightInd w:val="0"/>
        <w:snapToGrid w:val="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③周期性地编写地下水动态监测报告。</w:t>
      </w:r>
    </w:p>
    <w:p>
      <w:pPr>
        <w:pStyle w:val="5"/>
        <w:adjustRightInd w:val="0"/>
        <w:snapToGrid w:val="0"/>
        <w:spacing w:after="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④每天对污水处理站等处进行巡查，并定期进行安全检查。</w:t>
      </w:r>
    </w:p>
    <w:p>
      <w:pPr>
        <w:pStyle w:val="5"/>
        <w:adjustRightInd w:val="0"/>
        <w:snapToGrid w:val="0"/>
        <w:spacing w:after="0" w:line="360" w:lineRule="auto"/>
        <w:ind w:firstLine="482" w:firstLineChars="200"/>
        <w:rPr>
          <w:b/>
          <w:sz w:val="24"/>
        </w:rPr>
      </w:pPr>
      <w:r>
        <w:rPr>
          <w:rFonts w:hint="eastAsia" w:ascii="Times New Roman" w:hAnsi="Times New Roman" w:eastAsia="宋体" w:cs="Times New Roman"/>
          <w:b/>
          <w:sz w:val="24"/>
        </w:rPr>
        <w:t>4、</w:t>
      </w:r>
      <w:r>
        <w:rPr>
          <w:rFonts w:hint="eastAsia"/>
          <w:b/>
          <w:sz w:val="24"/>
        </w:rPr>
        <w:t>风险事故应急响应</w:t>
      </w:r>
    </w:p>
    <w:p>
      <w:pPr>
        <w:autoSpaceDE w:val="0"/>
        <w:autoSpaceDN w:val="0"/>
        <w:adjustRightInd w:val="0"/>
        <w:spacing w:line="360" w:lineRule="auto"/>
        <w:ind w:firstLine="480" w:firstLineChars="200"/>
        <w:rPr>
          <w:sz w:val="24"/>
        </w:rPr>
      </w:pPr>
      <w:r>
        <w:rPr>
          <w:rFonts w:hint="eastAsia"/>
          <w:sz w:val="24"/>
        </w:rPr>
        <w:t>为了应对事故工况下可能会发生污染地下水、土壤的事故，应该制定地下水、土壤污染应急响应预案，明确污染状况下应采取的控制污染源、切断污染途径等措施，以防止受污染的地下水、土壤扩散。</w:t>
      </w:r>
    </w:p>
    <w:p>
      <w:pPr>
        <w:autoSpaceDE w:val="0"/>
        <w:autoSpaceDN w:val="0"/>
        <w:adjustRightInd w:val="0"/>
        <w:spacing w:line="360" w:lineRule="auto"/>
        <w:ind w:firstLine="480" w:firstLineChars="200"/>
        <w:rPr>
          <w:sz w:val="24"/>
        </w:rPr>
      </w:pPr>
      <w:r>
        <w:rPr>
          <w:rFonts w:hint="eastAsia"/>
          <w:sz w:val="24"/>
        </w:rPr>
        <w:t>制定风险事故应急预案的目的是为了在发生风险事故时，能以最快的速度发挥最大的效能，有序的实施救援，尽快控制事态的发展，降低事故对土壤和潜水含水层的污染。因此，环评要求一旦发生渗漏污染地下水、土壤事故，立刻启动以下环境应急预案。</w:t>
      </w:r>
    </w:p>
    <w:p>
      <w:pPr>
        <w:autoSpaceDE w:val="0"/>
        <w:autoSpaceDN w:val="0"/>
        <w:adjustRightInd w:val="0"/>
        <w:spacing w:line="360" w:lineRule="auto"/>
        <w:ind w:firstLine="480" w:firstLineChars="200"/>
        <w:rPr>
          <w:sz w:val="24"/>
        </w:rPr>
      </w:pPr>
      <w:r>
        <w:rPr>
          <w:rFonts w:hint="eastAsia"/>
          <w:sz w:val="24"/>
        </w:rPr>
        <w:t>（1）根据地下水水质事故状态影响预测、地下水流向和场地的分布特征及污染类型，应在地下水流向的下游设置地下水监测设施和抽排水设施。检测井应安置报警系统，当检测出地下水质出现异常时，报警系统及时报警，同时相关人员应及时采取应急措施。</w:t>
      </w:r>
    </w:p>
    <w:p>
      <w:pPr>
        <w:autoSpaceDE w:val="0"/>
        <w:autoSpaceDN w:val="0"/>
        <w:adjustRightInd w:val="0"/>
        <w:spacing w:line="360" w:lineRule="auto"/>
        <w:ind w:firstLine="480" w:firstLineChars="200"/>
        <w:rPr>
          <w:sz w:val="24"/>
        </w:rPr>
      </w:pPr>
      <w:r>
        <w:rPr>
          <w:rFonts w:hint="eastAsia"/>
          <w:sz w:val="24"/>
        </w:rPr>
        <w:t>（2）一旦掌握地下水环境污染征兆或发生地下水环境污染时，知情单位和个人要立即向当地政府或其地下水环境污染主管部门、责任单位报告有关情况。应急指挥部要根据预案要求，组织和指挥参与现场应急工作各部门的行动，组织专家组根据事件原因、性质、危害程度等调查原因，分析发展趋势，并提出下一步预防和防治措施，迅速控制或切断事件灾害链，对污水进行封闭、截流，将损失降到最低限度。应急工作结束时，应协调相关职能部门和单位，做好善后工作，防止出现事件“放大效应”和次生、衍生灾害，尽快恢复当地正常秩序。</w:t>
      </w:r>
    </w:p>
    <w:p>
      <w:pPr>
        <w:autoSpaceDE w:val="0"/>
        <w:autoSpaceDN w:val="0"/>
        <w:adjustRightInd w:val="0"/>
        <w:spacing w:line="360" w:lineRule="auto"/>
        <w:ind w:firstLine="480" w:firstLineChars="200"/>
        <w:rPr>
          <w:sz w:val="24"/>
        </w:rPr>
      </w:pPr>
      <w:r>
        <w:rPr>
          <w:rFonts w:hint="eastAsia"/>
          <w:sz w:val="24"/>
        </w:rPr>
        <w:t>（3）假设场地内发生地下水突发污染事故，为将场地突发污染事故对下游地下水可能产生的影响降到最低，在发生污染事件时，建设单位首先尽快对地表污染物进行收集和处理，修缮发生污染的设施和防渗结构</w:t>
      </w:r>
    </w:p>
    <w:p>
      <w:pPr>
        <w:autoSpaceDE w:val="0"/>
        <w:autoSpaceDN w:val="0"/>
        <w:adjustRightInd w:val="0"/>
        <w:spacing w:line="360" w:lineRule="auto"/>
        <w:ind w:firstLine="480" w:firstLineChars="200"/>
        <w:rPr>
          <w:sz w:val="24"/>
        </w:rPr>
      </w:pPr>
      <w:r>
        <w:rPr>
          <w:rFonts w:hint="eastAsia"/>
          <w:sz w:val="24"/>
        </w:rPr>
        <w:t>（4）组织管理及检查要求</w:t>
      </w:r>
    </w:p>
    <w:p>
      <w:pPr>
        <w:autoSpaceDE w:val="0"/>
        <w:autoSpaceDN w:val="0"/>
        <w:adjustRightInd w:val="0"/>
        <w:spacing w:line="360" w:lineRule="auto"/>
        <w:ind w:firstLine="480" w:firstLineChars="200"/>
        <w:rPr>
          <w:sz w:val="24"/>
        </w:rPr>
      </w:pPr>
      <w:r>
        <w:rPr>
          <w:rFonts w:hint="eastAsia"/>
          <w:sz w:val="24"/>
        </w:rPr>
        <w:t>项目建设单位要加强应急预和应急措施的监督管理工作，一旦发生事故，做好地下水应急工作和公开信息工作。</w:t>
      </w:r>
    </w:p>
    <w:p>
      <w:pPr>
        <w:autoSpaceDE w:val="0"/>
        <w:autoSpaceDN w:val="0"/>
        <w:adjustRightInd w:val="0"/>
        <w:spacing w:line="360" w:lineRule="auto"/>
        <w:ind w:firstLine="480" w:firstLineChars="200"/>
        <w:rPr>
          <w:sz w:val="24"/>
        </w:rPr>
      </w:pPr>
      <w:r>
        <w:rPr>
          <w:rFonts w:hint="eastAsia"/>
          <w:sz w:val="24"/>
        </w:rPr>
        <w:t>（5）应急处置措施</w:t>
      </w:r>
    </w:p>
    <w:p>
      <w:pPr>
        <w:autoSpaceDE w:val="0"/>
        <w:autoSpaceDN w:val="0"/>
        <w:adjustRightInd w:val="0"/>
        <w:spacing w:line="360" w:lineRule="auto"/>
        <w:ind w:firstLine="480" w:firstLineChars="200"/>
        <w:rPr>
          <w:sz w:val="24"/>
        </w:rPr>
      </w:pPr>
      <w:r>
        <w:rPr>
          <w:rFonts w:hint="eastAsia"/>
          <w:sz w:val="24"/>
        </w:rPr>
        <w:t>①一旦发生地下水污染事故，应立即启动应急预案。</w:t>
      </w:r>
    </w:p>
    <w:p>
      <w:pPr>
        <w:autoSpaceDE w:val="0"/>
        <w:autoSpaceDN w:val="0"/>
        <w:adjustRightInd w:val="0"/>
        <w:spacing w:line="360" w:lineRule="auto"/>
        <w:ind w:firstLine="480" w:firstLineChars="200"/>
        <w:rPr>
          <w:sz w:val="24"/>
        </w:rPr>
      </w:pPr>
      <w:r>
        <w:rPr>
          <w:rFonts w:hint="eastAsia"/>
          <w:sz w:val="24"/>
        </w:rPr>
        <w:t>②查明并切断污染源。</w:t>
      </w:r>
    </w:p>
    <w:p>
      <w:pPr>
        <w:autoSpaceDE w:val="0"/>
        <w:autoSpaceDN w:val="0"/>
        <w:adjustRightInd w:val="0"/>
        <w:spacing w:line="360" w:lineRule="auto"/>
        <w:ind w:firstLine="480" w:firstLineChars="200"/>
        <w:rPr>
          <w:sz w:val="24"/>
        </w:rPr>
      </w:pPr>
      <w:r>
        <w:rPr>
          <w:rFonts w:hint="eastAsia"/>
          <w:sz w:val="24"/>
        </w:rPr>
        <w:t>③探明地下水污染深度、范围和污染程度。</w:t>
      </w:r>
    </w:p>
    <w:p>
      <w:pPr>
        <w:autoSpaceDE w:val="0"/>
        <w:autoSpaceDN w:val="0"/>
        <w:adjustRightInd w:val="0"/>
        <w:spacing w:line="360" w:lineRule="auto"/>
        <w:ind w:firstLine="480" w:firstLineChars="200"/>
        <w:rPr>
          <w:sz w:val="24"/>
        </w:rPr>
      </w:pPr>
      <w:r>
        <w:rPr>
          <w:rFonts w:hint="eastAsia"/>
          <w:sz w:val="24"/>
        </w:rPr>
        <w:t>④依据探明的地下水污染情况，合理布置截渗井，并进行试抽工作。</w:t>
      </w:r>
    </w:p>
    <w:p>
      <w:pPr>
        <w:autoSpaceDE w:val="0"/>
        <w:autoSpaceDN w:val="0"/>
        <w:adjustRightInd w:val="0"/>
        <w:spacing w:line="360" w:lineRule="auto"/>
        <w:ind w:firstLine="480" w:firstLineChars="200"/>
        <w:rPr>
          <w:sz w:val="24"/>
        </w:rPr>
      </w:pPr>
      <w:r>
        <w:rPr>
          <w:rFonts w:hint="eastAsia"/>
          <w:sz w:val="24"/>
        </w:rPr>
        <w:t>⑤依据抽水设计方案进行施工，抽取被污染的地下水体，并依据各井孔出水情况进行调整。</w:t>
      </w:r>
    </w:p>
    <w:p>
      <w:pPr>
        <w:autoSpaceDE w:val="0"/>
        <w:autoSpaceDN w:val="0"/>
        <w:adjustRightInd w:val="0"/>
        <w:spacing w:line="360" w:lineRule="auto"/>
        <w:ind w:firstLine="480" w:firstLineChars="200"/>
        <w:rPr>
          <w:sz w:val="24"/>
        </w:rPr>
      </w:pPr>
      <w:r>
        <w:rPr>
          <w:rFonts w:hint="eastAsia"/>
          <w:sz w:val="24"/>
        </w:rPr>
        <w:t>⑥将抽取的地下水进行集中收集处理，并送实验室进行化验分析。</w:t>
      </w:r>
    </w:p>
    <w:p>
      <w:pPr>
        <w:autoSpaceDE w:val="0"/>
        <w:autoSpaceDN w:val="0"/>
        <w:adjustRightInd w:val="0"/>
        <w:spacing w:line="360" w:lineRule="auto"/>
        <w:ind w:firstLine="480" w:firstLineChars="200"/>
        <w:rPr>
          <w:sz w:val="24"/>
        </w:rPr>
      </w:pPr>
      <w:r>
        <w:rPr>
          <w:rFonts w:hint="eastAsia"/>
          <w:sz w:val="24"/>
        </w:rPr>
        <w:t>⑦当地下水中的特征污染物浓度满足地下水功能区划的标准后，逐步停止抽水，并进行土壤修复治理工作。</w:t>
      </w:r>
    </w:p>
    <w:p>
      <w:pPr>
        <w:autoSpaceDE w:val="0"/>
        <w:autoSpaceDN w:val="0"/>
        <w:adjustRightInd w:val="0"/>
        <w:spacing w:line="360" w:lineRule="auto"/>
        <w:ind w:firstLine="482" w:firstLineChars="200"/>
        <w:rPr>
          <w:b/>
          <w:sz w:val="24"/>
        </w:rPr>
      </w:pPr>
      <w:r>
        <w:rPr>
          <w:rFonts w:hint="eastAsia"/>
          <w:b/>
          <w:sz w:val="24"/>
        </w:rPr>
        <w:t>5、总结论</w:t>
      </w:r>
    </w:p>
    <w:p>
      <w:pPr>
        <w:autoSpaceDE w:val="0"/>
        <w:autoSpaceDN w:val="0"/>
        <w:adjustRightInd w:val="0"/>
        <w:spacing w:line="360" w:lineRule="auto"/>
        <w:ind w:firstLine="480" w:firstLineChars="200"/>
        <w:rPr>
          <w:sz w:val="24"/>
        </w:rPr>
      </w:pPr>
      <w:r>
        <w:rPr>
          <w:sz w:val="24"/>
        </w:rPr>
        <w:t>综上，由污染途径及对应措施分析可知，项目对可能产生地下水影响的各项途径均进行了有效预防，在确保各项防渗措施得以落实，并加强维护和厂区环境管理的前提下，可有效控制厂区内的废水污染物下渗现象，避免污染地下水。因此，本项目地下水环境污染防治措施是可行的</w:t>
      </w:r>
      <w:r>
        <w:rPr>
          <w:rFonts w:hint="eastAsia" w:ascii="宋体" w:cs="宋体" w:hAnsiTheme="minorHAnsi"/>
          <w:kern w:val="0"/>
          <w:sz w:val="24"/>
        </w:rPr>
        <w:t>。</w:t>
      </w:r>
    </w:p>
    <w:p>
      <w:pPr>
        <w:pStyle w:val="7"/>
        <w:adjustRightInd w:val="0"/>
        <w:snapToGrid w:val="0"/>
        <w:spacing w:before="0" w:after="0" w:line="360" w:lineRule="auto"/>
        <w:jc w:val="left"/>
        <w:rPr>
          <w:sz w:val="24"/>
          <w:szCs w:val="24"/>
        </w:rPr>
      </w:pPr>
      <w:r>
        <w:rPr>
          <w:rFonts w:hint="eastAsia"/>
          <w:sz w:val="24"/>
          <w:szCs w:val="24"/>
        </w:rPr>
        <w:t>7.2.</w:t>
      </w:r>
      <w:r>
        <w:rPr>
          <w:rFonts w:hint="eastAsia"/>
          <w:sz w:val="24"/>
          <w:szCs w:val="24"/>
          <w:lang w:val="en-US" w:eastAsia="zh-CN"/>
        </w:rPr>
        <w:t>5</w:t>
      </w:r>
      <w:r>
        <w:rPr>
          <w:rFonts w:hint="eastAsia"/>
          <w:sz w:val="24"/>
          <w:szCs w:val="24"/>
        </w:rPr>
        <w:t xml:space="preserve"> </w:t>
      </w:r>
      <w:r>
        <w:rPr>
          <w:sz w:val="24"/>
          <w:szCs w:val="24"/>
        </w:rPr>
        <w:t>噪声污染防治措施及可行性论证</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本项目噪声的防治，主要从设备的选型、噪声源的合理布置等方面考虑。本项目噪声主要来源于鸡舍风机、鸡叫声、水泵、备用柴油发电机等噪声。拟采取的噪声防治措施有：</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（1）科学合理进行总图布局，高噪声源动力设备应尽可能远离厂界，集中布置在室内；优先选用低噪声型动力设备，特别是风机等辅助动力设备。</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（2）提高高噪声设备布置车间的综合隔声量。</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（3）在设备安装阶段，可采用中等硬度橡胶等容许应力较高的隔振材料与减振沟相结合的方法进行减振，这样，可降低噪声源强，并延长其使用寿命，确保生产的连续性。</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4）在各主要噪声源基本位于室内的基础上，加强润滑保养，减少转动部位的磨擦，确保设备处于良好的运转状态，重点对有机废气引风机等高噪声设备进行降噪，整体加装吸隔声室，对于风机辅以减振器、气流噪声进出风口软接与高效消声器。</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（5）对所有设备加强日常管理和维修，加强润滑保养，减少转动部位的磨擦，确保设备处于良好的运转状态，杜绝因设备不正常运转而产生的高噪声现象。</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（6）对饲养的蛋鸡及时喂足饲料和水，避免蛋鸡饥渴及突发性噪声产生。</w:t>
      </w:r>
    </w:p>
    <w:p>
      <w:pPr>
        <w:spacing w:line="360" w:lineRule="auto"/>
        <w:ind w:firstLine="480" w:firstLineChars="200"/>
        <w:rPr>
          <w:rFonts w:hAnsiTheme="minorEastAsia" w:eastAsiaTheme="minorEastAsia"/>
          <w:kern w:val="0"/>
          <w:sz w:val="24"/>
        </w:rPr>
      </w:pPr>
      <w:r>
        <w:rPr>
          <w:rFonts w:hint="eastAsia" w:hAnsiTheme="minorEastAsia" w:eastAsiaTheme="minorEastAsia"/>
          <w:kern w:val="0"/>
          <w:sz w:val="24"/>
        </w:rPr>
        <w:t>（7）在办公区与生产区设置绿化隔离带。充分利用建筑的边角空隙土地及不规则土地进行绿化；场区绿化应结合场区与鸡舍之间的隔离、遮荫及防风需要进行。可根据当地实际种植能美化环境、净化空气的树种和花草，不宜种植有毒、有刺、飞絮的植物，其噪声源强可衰减约5dB</w:t>
      </w:r>
      <w:r>
        <w:rPr>
          <w:rFonts w:hint="eastAsia" w:hAnsiTheme="minorEastAsia" w:eastAsiaTheme="minorEastAsia"/>
          <w:kern w:val="0"/>
          <w:sz w:val="24"/>
          <w:lang w:val="en-US" w:eastAsia="zh-CN"/>
        </w:rPr>
        <w:t>（</w:t>
      </w:r>
      <w:r>
        <w:rPr>
          <w:rFonts w:hint="eastAsia" w:hAnsiTheme="minorEastAsia" w:eastAsiaTheme="minorEastAsia"/>
          <w:kern w:val="0"/>
          <w:sz w:val="24"/>
        </w:rPr>
        <w:t>A</w:t>
      </w:r>
      <w:r>
        <w:rPr>
          <w:rFonts w:hint="eastAsia" w:hAnsiTheme="minorEastAsia" w:eastAsiaTheme="minorEastAsia"/>
          <w:kern w:val="0"/>
          <w:sz w:val="24"/>
          <w:lang w:val="en-US" w:eastAsia="zh-CN"/>
        </w:rPr>
        <w:t>）</w:t>
      </w:r>
      <w:r>
        <w:rPr>
          <w:rFonts w:hint="eastAsia" w:hAnsiTheme="minorEastAsia" w:eastAsiaTheme="minorEastAsia"/>
          <w:kern w:val="0"/>
          <w:sz w:val="24"/>
        </w:rPr>
        <w:t>。</w:t>
      </w:r>
    </w:p>
    <w:p>
      <w:pPr>
        <w:spacing w:line="360" w:lineRule="auto"/>
        <w:ind w:firstLine="480" w:firstLineChars="200"/>
        <w:rPr>
          <w:sz w:val="24"/>
        </w:rPr>
      </w:pPr>
      <w:r>
        <w:rPr>
          <w:rFonts w:hint="eastAsia" w:hAnsiTheme="minorEastAsia" w:eastAsiaTheme="minorEastAsia"/>
          <w:kern w:val="0"/>
          <w:sz w:val="24"/>
        </w:rPr>
        <w:t>在采取上述有效的防治措施后，加上距离衰减作用，场界噪声可满足《工业企业场界环境噪声排放标准》（GB 12348-2008）中的2类区标准要求，对周边环境影响较小</w:t>
      </w:r>
      <w:r>
        <w:rPr>
          <w:kern w:val="0"/>
          <w:sz w:val="24"/>
        </w:rPr>
        <w:t>。</w:t>
      </w:r>
    </w:p>
    <w:p>
      <w:pPr>
        <w:pStyle w:val="7"/>
        <w:adjustRightInd w:val="0"/>
        <w:snapToGrid w:val="0"/>
        <w:spacing w:before="0" w:after="0" w:line="360" w:lineRule="auto"/>
        <w:jc w:val="left"/>
        <w:rPr>
          <w:sz w:val="24"/>
          <w:szCs w:val="24"/>
        </w:rPr>
      </w:pPr>
      <w:r>
        <w:rPr>
          <w:rFonts w:hint="eastAsia"/>
          <w:sz w:val="24"/>
          <w:szCs w:val="24"/>
        </w:rPr>
        <w:t>7.2.</w:t>
      </w:r>
      <w:r>
        <w:rPr>
          <w:rFonts w:hint="eastAsia"/>
          <w:sz w:val="24"/>
          <w:szCs w:val="24"/>
          <w:lang w:val="en-US" w:eastAsia="zh-CN"/>
        </w:rPr>
        <w:t>6</w:t>
      </w:r>
      <w:r>
        <w:rPr>
          <w:rFonts w:hint="eastAsia"/>
          <w:sz w:val="24"/>
          <w:szCs w:val="24"/>
        </w:rPr>
        <w:t xml:space="preserve"> </w:t>
      </w:r>
      <w:r>
        <w:rPr>
          <w:sz w:val="24"/>
          <w:szCs w:val="24"/>
        </w:rPr>
        <w:t>固废污染防治措施及可行性论证</w:t>
      </w:r>
    </w:p>
    <w:p>
      <w:pPr>
        <w:spacing w:line="360" w:lineRule="auto"/>
        <w:ind w:firstLine="480" w:firstLineChars="200"/>
        <w:rPr>
          <w:sz w:val="24"/>
        </w:rPr>
      </w:pPr>
      <w:r>
        <w:rPr>
          <w:rFonts w:hint="eastAsia"/>
          <w:sz w:val="24"/>
        </w:rPr>
        <w:t>项目固体废物主要包括鸡粪、病死鸡、废包装物料、不合格蛋、饲料渣及脱落的羽毛、医疗废物和员工办公生活垃圾等。项目固体废物的处理将遵循环境健康风险防预、安全无害以及固体废物“减量化、资源化、无害化及生态化”的原则，有效的解决集约化养殖场的环境污染问题。达到变废为宝、化害为利、综合利用的目的。</w:t>
      </w:r>
    </w:p>
    <w:p>
      <w:pPr>
        <w:spacing w:line="360" w:lineRule="auto"/>
        <w:ind w:firstLine="482" w:firstLineChars="200"/>
        <w:rPr>
          <w:b/>
          <w:sz w:val="24"/>
        </w:rPr>
      </w:pPr>
      <w:r>
        <w:rPr>
          <w:rFonts w:hint="eastAsia"/>
          <w:b/>
          <w:sz w:val="24"/>
        </w:rPr>
        <w:t>1、一般固废</w:t>
      </w:r>
      <w:r>
        <w:rPr>
          <w:b/>
          <w:sz w:val="24"/>
        </w:rPr>
        <w:t>处置措施</w:t>
      </w:r>
    </w:p>
    <w:p>
      <w:pPr>
        <w:spacing w:line="360" w:lineRule="auto"/>
        <w:ind w:firstLine="480" w:firstLineChars="200"/>
        <w:rPr>
          <w:kern w:val="0"/>
          <w:sz w:val="24"/>
          <w:szCs w:val="20"/>
        </w:rPr>
      </w:pPr>
      <w:r>
        <w:rPr>
          <w:rFonts w:hint="eastAsia"/>
          <w:kern w:val="0"/>
          <w:sz w:val="24"/>
          <w:szCs w:val="20"/>
        </w:rPr>
        <w:t>（1）</w:t>
      </w:r>
      <w:r>
        <w:rPr>
          <w:rFonts w:hint="eastAsia"/>
          <w:sz w:val="24"/>
        </w:rPr>
        <w:t>鸡粪</w:t>
      </w:r>
    </w:p>
    <w:p>
      <w:pPr>
        <w:spacing w:line="360" w:lineRule="auto"/>
        <w:ind w:firstLine="480" w:firstLineChars="200"/>
        <w:rPr>
          <w:rFonts w:hint="eastAsia"/>
          <w:sz w:val="24"/>
        </w:rPr>
      </w:pPr>
      <w:r>
        <w:rPr>
          <w:rFonts w:hint="eastAsia"/>
          <w:sz w:val="24"/>
        </w:rPr>
        <w:t>本项目鸡舍中设置自动清粪系统，鸡粪日产日清。项目每栋鸡舍自动化清粪，鸡粪不落地，并配套建设鸡粪收集室作为鸡粪临时贮存场所，正常情况下，鸡粪采用自动干清粪清掏排出鸡舍后，部分直接拉走依托台源蛋鸡养殖一场好氧发酵罐制有机肥；剩余部分则直接拉走外售衡阳县沛科生态科技有限责任公司制有机肥，在衡阳县沛科生态科技有限责任公司进行发酵预处理，不在本厂区进行预处理，在鸡粪收集室内堆存时间很短。</w:t>
      </w:r>
    </w:p>
    <w:p>
      <w:pPr>
        <w:spacing w:line="360" w:lineRule="auto"/>
        <w:ind w:firstLine="480" w:firstLineChars="200"/>
        <w:rPr>
          <w:rFonts w:hint="eastAsia" w:eastAsia="宋体"/>
          <w:sz w:val="24"/>
          <w:lang w:eastAsia="zh-CN"/>
        </w:rPr>
      </w:pPr>
      <w:r>
        <w:rPr>
          <w:rFonts w:hint="eastAsia"/>
          <w:sz w:val="24"/>
        </w:rPr>
        <w:t>本项目已与衡阳县沛科生态科技有限责任公司有限公司签订鸡粪处置协议，根据衡阳县沛科生态科技有限责任公司的环评批复及验收意见，该厂设有发酵工艺，故本项目鸡粪可直接外运，不需要在本厂区进行预处理，本项目鸡粪处理方式有效可行</w:t>
      </w:r>
      <w:r>
        <w:rPr>
          <w:rFonts w:hint="eastAsia"/>
          <w:sz w:val="24"/>
          <w:lang w:eastAsia="zh-CN"/>
        </w:rPr>
        <w:t>。</w:t>
      </w:r>
    </w:p>
    <w:p>
      <w:pPr>
        <w:spacing w:line="360" w:lineRule="auto"/>
        <w:ind w:firstLine="480" w:firstLineChars="200"/>
        <w:rPr>
          <w:kern w:val="0"/>
          <w:sz w:val="24"/>
          <w:szCs w:val="20"/>
        </w:rPr>
      </w:pPr>
      <w:r>
        <w:rPr>
          <w:rFonts w:hint="eastAsia"/>
          <w:kern w:val="0"/>
          <w:sz w:val="24"/>
          <w:szCs w:val="20"/>
        </w:rPr>
        <w:t>（2）病死鸡</w:t>
      </w:r>
    </w:p>
    <w:p>
      <w:pPr>
        <w:pStyle w:val="5"/>
        <w:adjustRightInd w:val="0"/>
        <w:snapToGrid w:val="0"/>
        <w:spacing w:after="0" w:line="360" w:lineRule="auto"/>
        <w:ind w:firstLine="480" w:firstLineChars="200"/>
        <w:rPr>
          <w:rFonts w:ascii="Times New Roman" w:hAnsi="Times New Roman" w:eastAsia="宋体" w:cs="Times New Roman"/>
          <w:kern w:val="0"/>
          <w:sz w:val="24"/>
          <w:szCs w:val="20"/>
        </w:rPr>
      </w:pPr>
      <w:r>
        <w:rPr>
          <w:rFonts w:hint="eastAsia" w:ascii="Times New Roman" w:hAnsi="Times New Roman" w:eastAsia="宋体" w:cs="Times New Roman"/>
          <w:kern w:val="0"/>
          <w:sz w:val="24"/>
          <w:szCs w:val="20"/>
        </w:rPr>
        <w:t>根据《畜禽养殖业污染防治技术规范》（HJ/T81-2001）中对病死畜禽动尸体的处理与处置要求，病死鸡要及时处理，严禁随意丢弃，严禁出售或作为饲料再利用。本项目在场区最东北侧场界边界处设置病死鸡暂存间，病死鸡暂存间采取“四防”措施，病死鸡暂存于病死鸡暂存间内的冷冻冰柜中，并立即联系有资质的公司进行收集并集中无害化处理。处置措施有效。</w:t>
      </w:r>
    </w:p>
    <w:p>
      <w:pPr>
        <w:spacing w:line="360" w:lineRule="auto"/>
        <w:ind w:firstLine="480" w:firstLineChars="200"/>
        <w:rPr>
          <w:kern w:val="0"/>
          <w:sz w:val="24"/>
          <w:szCs w:val="20"/>
        </w:rPr>
      </w:pPr>
      <w:r>
        <w:rPr>
          <w:rFonts w:hint="eastAsia"/>
          <w:kern w:val="0"/>
          <w:sz w:val="24"/>
          <w:szCs w:val="20"/>
        </w:rPr>
        <w:t>（3）废包装材料</w:t>
      </w:r>
    </w:p>
    <w:p>
      <w:pPr>
        <w:spacing w:line="360" w:lineRule="auto"/>
        <w:ind w:firstLine="480" w:firstLineChars="200"/>
        <w:rPr>
          <w:kern w:val="0"/>
          <w:sz w:val="24"/>
          <w:szCs w:val="20"/>
        </w:rPr>
      </w:pPr>
      <w:r>
        <w:rPr>
          <w:rFonts w:hint="eastAsia"/>
          <w:kern w:val="0"/>
          <w:sz w:val="24"/>
          <w:szCs w:val="20"/>
        </w:rPr>
        <w:t>废包装材料主要为包装玉米等饲料原料的包装袋，为塑料包装袋，废包装袋收集后存放于一般固废间内，一般固废间采取“防渗漏、防雨淋、防扬尘”措施，并于一般固废间显眼位置设置标识标牌，定期外售废品收购店回收利用。处置措施经济有效。</w:t>
      </w:r>
    </w:p>
    <w:p>
      <w:pPr>
        <w:autoSpaceDE w:val="0"/>
        <w:autoSpaceDN w:val="0"/>
        <w:adjustRightInd w:val="0"/>
        <w:spacing w:line="360" w:lineRule="auto"/>
        <w:ind w:firstLine="480" w:firstLineChars="200"/>
        <w:rPr>
          <w:kern w:val="0"/>
          <w:sz w:val="24"/>
          <w:szCs w:val="20"/>
        </w:rPr>
      </w:pPr>
      <w:r>
        <w:rPr>
          <w:rFonts w:hint="eastAsia"/>
          <w:kern w:val="0"/>
          <w:sz w:val="24"/>
          <w:szCs w:val="20"/>
        </w:rPr>
        <w:t>（4）不合格蛋</w:t>
      </w:r>
    </w:p>
    <w:p>
      <w:pPr>
        <w:autoSpaceDE w:val="0"/>
        <w:autoSpaceDN w:val="0"/>
        <w:adjustRightInd w:val="0"/>
        <w:spacing w:line="360" w:lineRule="auto"/>
        <w:ind w:firstLine="480" w:firstLineChars="200"/>
        <w:rPr>
          <w:kern w:val="0"/>
          <w:sz w:val="24"/>
          <w:szCs w:val="20"/>
        </w:rPr>
      </w:pPr>
      <w:r>
        <w:rPr>
          <w:rFonts w:hint="eastAsia"/>
          <w:sz w:val="24"/>
        </w:rPr>
        <w:t>项目不合格蛋收集后，当天就</w:t>
      </w:r>
      <w:r>
        <w:rPr>
          <w:rFonts w:hint="eastAsia" w:eastAsiaTheme="minorEastAsia"/>
          <w:sz w:val="24"/>
        </w:rPr>
        <w:t>用作</w:t>
      </w:r>
      <w:r>
        <w:rPr>
          <w:rFonts w:eastAsiaTheme="minorEastAsia"/>
          <w:sz w:val="24"/>
        </w:rPr>
        <w:t>企业自养甲鱼饲料，场区不存储，</w:t>
      </w:r>
      <w:r>
        <w:rPr>
          <w:rFonts w:hint="eastAsia"/>
          <w:kern w:val="0"/>
          <w:sz w:val="24"/>
          <w:szCs w:val="20"/>
        </w:rPr>
        <w:t>处置措施经济有效。</w:t>
      </w:r>
    </w:p>
    <w:p>
      <w:pPr>
        <w:autoSpaceDE w:val="0"/>
        <w:autoSpaceDN w:val="0"/>
        <w:adjustRightInd w:val="0"/>
        <w:spacing w:line="360" w:lineRule="auto"/>
        <w:ind w:firstLine="480" w:firstLineChars="200"/>
        <w:rPr>
          <w:kern w:val="0"/>
          <w:sz w:val="24"/>
          <w:szCs w:val="20"/>
        </w:rPr>
      </w:pPr>
      <w:r>
        <w:rPr>
          <w:rFonts w:hint="eastAsia"/>
          <w:kern w:val="0"/>
          <w:sz w:val="24"/>
          <w:szCs w:val="20"/>
        </w:rPr>
        <w:t>（5）饲料渣和脱落的羽毛</w:t>
      </w:r>
    </w:p>
    <w:p>
      <w:pPr>
        <w:autoSpaceDE w:val="0"/>
        <w:autoSpaceDN w:val="0"/>
        <w:adjustRightInd w:val="0"/>
        <w:spacing w:line="360" w:lineRule="auto"/>
        <w:ind w:firstLine="480" w:firstLineChars="200"/>
        <w:rPr>
          <w:sz w:val="24"/>
        </w:rPr>
      </w:pPr>
      <w:r>
        <w:rPr>
          <w:rFonts w:hint="eastAsia"/>
          <w:sz w:val="24"/>
        </w:rPr>
        <w:t>饲料渣和鸡只脱落的羽毛经收集后交由当地环卫部门处理</w:t>
      </w:r>
      <w:r>
        <w:rPr>
          <w:rFonts w:eastAsiaTheme="minorEastAsia"/>
          <w:sz w:val="24"/>
        </w:rPr>
        <w:t>，</w:t>
      </w:r>
      <w:r>
        <w:rPr>
          <w:rFonts w:hint="eastAsia"/>
          <w:kern w:val="0"/>
          <w:sz w:val="24"/>
          <w:szCs w:val="20"/>
        </w:rPr>
        <w:t>处置措施经济有效</w:t>
      </w:r>
      <w:r>
        <w:rPr>
          <w:rFonts w:hint="eastAsia"/>
          <w:sz w:val="24"/>
        </w:rPr>
        <w:t>。</w:t>
      </w:r>
    </w:p>
    <w:p>
      <w:pPr>
        <w:spacing w:line="360" w:lineRule="auto"/>
        <w:ind w:firstLine="482" w:firstLineChars="200"/>
        <w:rPr>
          <w:b/>
          <w:kern w:val="0"/>
          <w:sz w:val="24"/>
          <w:szCs w:val="20"/>
        </w:rPr>
      </w:pPr>
      <w:r>
        <w:rPr>
          <w:rFonts w:hint="eastAsia"/>
          <w:b/>
          <w:kern w:val="0"/>
          <w:sz w:val="24"/>
          <w:szCs w:val="20"/>
        </w:rPr>
        <w:t>2、危险废物处置措施</w:t>
      </w:r>
    </w:p>
    <w:p>
      <w:pPr>
        <w:spacing w:line="360" w:lineRule="auto"/>
        <w:ind w:firstLine="480" w:firstLineChars="200"/>
        <w:rPr>
          <w:kern w:val="0"/>
          <w:sz w:val="24"/>
          <w:szCs w:val="20"/>
        </w:rPr>
      </w:pPr>
      <w:r>
        <w:rPr>
          <w:kern w:val="0"/>
          <w:sz w:val="24"/>
          <w:szCs w:val="20"/>
        </w:rPr>
        <w:t>本项目危险废物主要为防疫过程产生的医疗废物，</w:t>
      </w:r>
      <w:r>
        <w:rPr>
          <w:rFonts w:hint="eastAsia"/>
          <w:kern w:val="0"/>
          <w:sz w:val="24"/>
          <w:szCs w:val="20"/>
        </w:rPr>
        <w:t>废物类别HW01，废物代码900-001-01，于危险废物暂存间暂存，定期交有相应危废类别处理资质的单位安全处置，不外排</w:t>
      </w:r>
      <w:r>
        <w:rPr>
          <w:kern w:val="0"/>
          <w:sz w:val="24"/>
          <w:szCs w:val="20"/>
        </w:rPr>
        <w:t>。</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评价要求建设单位在厂区设置危废暂存间一处</w:t>
      </w:r>
      <w:r>
        <w:rPr>
          <w:rFonts w:hint="eastAsia" w:ascii="Times New Roman" w:hAnsi="Times New Roman" w:cs="Times New Roman"/>
          <w:sz w:val="24"/>
          <w:szCs w:val="24"/>
          <w:lang w:eastAsia="zh-CN"/>
        </w:rPr>
        <w:t>。</w:t>
      </w:r>
      <w:r>
        <w:rPr>
          <w:rFonts w:hint="default" w:ascii="Times New Roman" w:hAnsi="Times New Roman" w:cs="Times New Roman"/>
          <w:sz w:val="24"/>
          <w:szCs w:val="24"/>
        </w:rPr>
        <w:t>项目对生产过程中产生危险废物的收集、运输、贮存、管理以及转运应严格按照《危险废物污染防治技术政策》（环发[2001]199号）、《危险废物转移联单管理办法》（国家环境保护总局令第5号）和《危险废物贮存污染控制标准》（GB18597-2023）实行。</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危险废物的运输和贮存注意事项如下：</w:t>
      </w:r>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A、贮存</w:t>
      </w:r>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环评针对危险废物的储存提出项目设置的危险废物临时堆放间需满足以下要求：</w:t>
      </w:r>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①贮存设施应根据危险废物的形态、物理化学性质、包装形式和污染物迁移途径，采取必要的防风、防晒、防雨、防漏、防渗、防腐以及其他环境污染防治措施，不应露天堆放危险废物。</w:t>
      </w:r>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②贮存设施应根据危险废物的类别、数量、形态、物理化学性质和污染防治等要求设置必要的贮存分区，避免不相容的危险废物接触、混合。</w:t>
      </w:r>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③贮存设施或贮存分区内地面、墙面裙脚、堵截泄漏的围堰、接触危险废物的隔板和墙体等应采用坚固的材料建造，表面无裂缝。</w:t>
      </w:r>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层</w:t>
      </w:r>
      <w:r>
        <w:rPr>
          <w:rFonts w:hint="default" w:ascii="Times New Roman" w:hAnsi="Times New Roman" w:cs="Times New Roman"/>
          <w:sz w:val="24"/>
          <w:szCs w:val="24"/>
          <w:lang w:eastAsia="zh-CN"/>
        </w:rPr>
        <w:t>（</w:t>
      </w:r>
      <w:r>
        <w:rPr>
          <w:rFonts w:hint="default" w:ascii="Times New Roman" w:hAnsi="Times New Roman" w:cs="Times New Roman"/>
          <w:sz w:val="24"/>
          <w:szCs w:val="24"/>
        </w:rPr>
        <w:t>渗透系数不大于10</w:t>
      </w:r>
      <w:r>
        <w:rPr>
          <w:rFonts w:hint="default" w:ascii="Times New Roman" w:hAnsi="Times New Roman" w:cs="Times New Roman"/>
          <w:sz w:val="24"/>
          <w:szCs w:val="24"/>
          <w:vertAlign w:val="superscript"/>
          <w:lang w:val="en-US" w:eastAsia="zh-CN"/>
        </w:rPr>
        <w:t>-7</w:t>
      </w:r>
      <w:r>
        <w:rPr>
          <w:rFonts w:hint="default" w:ascii="Times New Roman" w:hAnsi="Times New Roman" w:cs="Times New Roman"/>
          <w:sz w:val="24"/>
          <w:szCs w:val="24"/>
        </w:rPr>
        <w:t>cm</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s</w:t>
      </w:r>
      <w:r>
        <w:rPr>
          <w:rFonts w:hint="default" w:ascii="Times New Roman" w:hAnsi="Times New Roman" w:cs="Times New Roman"/>
          <w:sz w:val="24"/>
          <w:szCs w:val="24"/>
          <w:lang w:eastAsia="zh-CN"/>
        </w:rPr>
        <w:t>）</w:t>
      </w:r>
      <w:r>
        <w:rPr>
          <w:rFonts w:hint="default" w:ascii="Times New Roman" w:hAnsi="Times New Roman" w:cs="Times New Roman"/>
          <w:sz w:val="24"/>
          <w:szCs w:val="24"/>
        </w:rPr>
        <w:t>，或至少2mm厚高密度聚乙烯膜等人工防渗材料</w:t>
      </w:r>
      <w:r>
        <w:rPr>
          <w:rFonts w:hint="default" w:ascii="Times New Roman" w:hAnsi="Times New Roman" w:cs="Times New Roman"/>
          <w:sz w:val="24"/>
          <w:szCs w:val="24"/>
          <w:lang w:eastAsia="zh-CN"/>
        </w:rPr>
        <w:t>（</w:t>
      </w:r>
      <w:r>
        <w:rPr>
          <w:rFonts w:hint="default" w:ascii="Times New Roman" w:hAnsi="Times New Roman" w:cs="Times New Roman"/>
          <w:sz w:val="24"/>
          <w:szCs w:val="24"/>
        </w:rPr>
        <w:t>渗透系数不大于10</w:t>
      </w:r>
      <w:r>
        <w:rPr>
          <w:rFonts w:hint="default" w:ascii="Times New Roman" w:hAnsi="Times New Roman" w:cs="Times New Roman"/>
          <w:sz w:val="24"/>
          <w:szCs w:val="24"/>
          <w:vertAlign w:val="superscript"/>
          <w:lang w:val="en-US" w:eastAsia="zh-CN"/>
        </w:rPr>
        <w:t>-10</w:t>
      </w:r>
      <w:r>
        <w:rPr>
          <w:rFonts w:hint="default" w:ascii="Times New Roman" w:hAnsi="Times New Roman" w:cs="Times New Roman"/>
          <w:sz w:val="24"/>
          <w:szCs w:val="24"/>
        </w:rPr>
        <w:t>cm</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s</w:t>
      </w:r>
      <w:r>
        <w:rPr>
          <w:rFonts w:hint="default" w:ascii="Times New Roman" w:hAnsi="Times New Roman" w:cs="Times New Roman"/>
          <w:sz w:val="24"/>
          <w:szCs w:val="24"/>
          <w:lang w:eastAsia="zh-CN"/>
        </w:rPr>
        <w:t>）</w:t>
      </w:r>
      <w:r>
        <w:rPr>
          <w:rFonts w:hint="default" w:ascii="Times New Roman" w:hAnsi="Times New Roman" w:cs="Times New Roman"/>
          <w:sz w:val="24"/>
          <w:szCs w:val="24"/>
        </w:rPr>
        <w:t>，或其他防渗性能等效的材料。</w:t>
      </w:r>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⑤同一贮存设施宜采用相同的防渗、防腐工艺</w:t>
      </w:r>
      <w:r>
        <w:rPr>
          <w:rFonts w:hint="default" w:ascii="Times New Roman" w:hAnsi="Times New Roman" w:cs="Times New Roman"/>
          <w:sz w:val="24"/>
          <w:szCs w:val="24"/>
          <w:lang w:eastAsia="zh-CN"/>
        </w:rPr>
        <w:t>（</w:t>
      </w:r>
      <w:r>
        <w:rPr>
          <w:rFonts w:hint="default" w:ascii="Times New Roman" w:hAnsi="Times New Roman" w:cs="Times New Roman"/>
          <w:sz w:val="24"/>
          <w:szCs w:val="24"/>
        </w:rPr>
        <w:t>包括防渗、防腐结构或材料</w:t>
      </w:r>
      <w:r>
        <w:rPr>
          <w:rFonts w:hint="default" w:ascii="Times New Roman" w:hAnsi="Times New Roman" w:cs="Times New Roman"/>
          <w:sz w:val="24"/>
          <w:szCs w:val="24"/>
          <w:lang w:eastAsia="zh-CN"/>
        </w:rPr>
        <w:t>）</w:t>
      </w:r>
      <w:r>
        <w:rPr>
          <w:rFonts w:hint="default" w:ascii="Times New Roman" w:hAnsi="Times New Roman" w:cs="Times New Roman"/>
          <w:sz w:val="24"/>
          <w:szCs w:val="24"/>
        </w:rPr>
        <w:t>，防渗、防腐材料应覆盖所有可能与废物及其渗滤液、渗漏液等接触的构筑物表面</w:t>
      </w:r>
      <w:r>
        <w:rPr>
          <w:rFonts w:hint="default" w:ascii="Times New Roman" w:hAnsi="Times New Roman" w:cs="Times New Roman"/>
          <w:sz w:val="24"/>
          <w:szCs w:val="24"/>
          <w:lang w:eastAsia="zh-CN"/>
        </w:rPr>
        <w:t>；</w:t>
      </w:r>
      <w:r>
        <w:rPr>
          <w:rFonts w:hint="default" w:ascii="Times New Roman" w:hAnsi="Times New Roman" w:cs="Times New Roman"/>
          <w:sz w:val="24"/>
          <w:szCs w:val="24"/>
        </w:rPr>
        <w:t>采用不同防渗、防腐工艺应分别建设贮存分区。</w:t>
      </w:r>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⑥贮存设施应采取技术和管理措施防止无关人员进入。</w:t>
      </w:r>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⑦在贮存库内或通过贮存分区方式贮存液态危险废物的，应具有液体泄漏堵截设施，堵截设施最小容积不应低于对应贮存区域最大液态废物容器容积或液态废物总储量1/10</w:t>
      </w:r>
      <w:r>
        <w:rPr>
          <w:rFonts w:hint="default" w:ascii="Times New Roman" w:hAnsi="Times New Roman" w:cs="Times New Roman"/>
          <w:sz w:val="24"/>
          <w:szCs w:val="24"/>
          <w:lang w:eastAsia="zh-CN"/>
        </w:rPr>
        <w:t>（</w:t>
      </w:r>
      <w:r>
        <w:rPr>
          <w:rFonts w:hint="default" w:ascii="Times New Roman" w:hAnsi="Times New Roman" w:cs="Times New Roman"/>
          <w:sz w:val="24"/>
          <w:szCs w:val="24"/>
        </w:rPr>
        <w:t>二者取较大者</w:t>
      </w:r>
      <w:r>
        <w:rPr>
          <w:rFonts w:hint="default" w:ascii="Times New Roman" w:hAnsi="Times New Roman" w:cs="Times New Roman"/>
          <w:sz w:val="24"/>
          <w:szCs w:val="24"/>
          <w:lang w:eastAsia="zh-CN"/>
        </w:rPr>
        <w:t>）；</w:t>
      </w:r>
      <w:r>
        <w:rPr>
          <w:rFonts w:hint="default" w:ascii="Times New Roman" w:hAnsi="Times New Roman" w:cs="Times New Roman"/>
          <w:sz w:val="24"/>
          <w:szCs w:val="24"/>
        </w:rPr>
        <w:t>用于存可能产生渗滤液的危险废物的贮存库或贮存分区应设计渗滤液收集设施,收集设施容积应满足渗滤液的收集要求。</w:t>
      </w:r>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B、运输</w:t>
      </w:r>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项目产生的危险废物，拟交由有资质单位回收处理，由处理单位派专用车辆定期上门接收，运输至资质单位废物处理场进行处理。</w:t>
      </w:r>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C、处置</w:t>
      </w:r>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项目产生的危险废物交由有资质单位根据各危险废物的性质进行无害化处置。</w:t>
      </w:r>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D、管理要求</w:t>
      </w:r>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危险废物按照《危险废物贮存污染控制标准》（GB18597-2023）及《危险废物转移联单管理办法》的规定进行：</w:t>
      </w:r>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①危险废物存入贮存设施前应对危险废物类别和特性与危险废物标签等危险废物识别标志的一致性进行核验，不一致的或类别、特性不明的不应存入。</w:t>
      </w:r>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②应定期检查危险废物的贮存状况，及时清理贮存设施地面，更换破损泄漏的危险废物贮存容器和包装物，保证堆存危险废物的防雨、防风、防扬尘等设施功能完好。</w:t>
      </w:r>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③作业设备及车辆等结束作业离开贮存设施时，应对其残留的危险废物进行清理，清理的废物或清洗废水应收集处理。</w:t>
      </w:r>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④贮存设施运行期间，应按国家有关标准和规定建立危险废物管理台账并保存。</w:t>
      </w:r>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⑤贮存设施所有者或运营者应建立贮存设施环境管理制度、管理人员岗位职责制度、设施运行操作制度、人员岗位培训制度等。</w:t>
      </w:r>
    </w:p>
    <w:p>
      <w:pPr>
        <w:autoSpaceDE w:val="0"/>
        <w:autoSpaceDN w:val="0"/>
        <w:adjustRightInd w:val="0"/>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⑥贮存设施所有者或运营者应依据国家土壤和地下水污染防治的有关规定，结合贮存设施特点建立土壤和地下水污染隐患排查制度，并定期开展隐患排查:发现隐患应及时采取措施消除隐患，并建立档案。</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⑦贮存设施所有者或运营者应建立贮存设施全部档案，包括设计、施工、验收、运行、监测和环境应急等，应按国家有关档案管理的法律法规进行整理和归档。</w:t>
      </w:r>
    </w:p>
    <w:p>
      <w:pPr>
        <w:spacing w:line="360" w:lineRule="auto"/>
        <w:ind w:firstLine="482" w:firstLineChars="200"/>
        <w:rPr>
          <w:b/>
          <w:kern w:val="0"/>
          <w:sz w:val="24"/>
          <w:szCs w:val="20"/>
        </w:rPr>
      </w:pPr>
      <w:r>
        <w:rPr>
          <w:rFonts w:hint="eastAsia"/>
          <w:b/>
          <w:kern w:val="0"/>
          <w:sz w:val="24"/>
          <w:szCs w:val="20"/>
        </w:rPr>
        <w:t>3、生活垃圾处置措施</w:t>
      </w:r>
    </w:p>
    <w:p>
      <w:pPr>
        <w:spacing w:line="360" w:lineRule="auto"/>
        <w:ind w:firstLine="480" w:firstLineChars="200"/>
        <w:rPr>
          <w:kern w:val="0"/>
          <w:sz w:val="24"/>
          <w:szCs w:val="20"/>
        </w:rPr>
      </w:pPr>
      <w:r>
        <w:rPr>
          <w:rFonts w:hint="eastAsia"/>
          <w:kern w:val="0"/>
          <w:sz w:val="24"/>
          <w:szCs w:val="20"/>
        </w:rPr>
        <w:t>生产垃圾一般分为两类：一类是干垃圾，主要成份是废纸、垃圾袋、清扫垃圾、废包装物等。另一类是湿垃圾，主要成份是食物中的蔬菜、水果、肉类等，含水分较多。根据工程分析，员工办公生活产生的生活垃圾产生量为14.6t/a，一般生活垃圾统一收集后交由环卫部门定期清运，统一处理，做到日产日清。</w:t>
      </w:r>
    </w:p>
    <w:p>
      <w:pPr>
        <w:spacing w:line="360" w:lineRule="auto"/>
        <w:ind w:firstLine="480" w:firstLineChars="200"/>
        <w:rPr>
          <w:kern w:val="0"/>
          <w:sz w:val="24"/>
          <w:szCs w:val="20"/>
        </w:rPr>
      </w:pPr>
      <w:r>
        <w:rPr>
          <w:rFonts w:hint="eastAsia"/>
          <w:kern w:val="0"/>
          <w:sz w:val="24"/>
          <w:szCs w:val="20"/>
        </w:rPr>
        <w:t>综上所述，项目各种固体废物的处置措施，均具有可行性和可操作性。因此，本项目固废处置措施安全、合理</w:t>
      </w:r>
      <w:r>
        <w:rPr>
          <w:kern w:val="0"/>
          <w:sz w:val="24"/>
          <w:szCs w:val="20"/>
        </w:rPr>
        <w:t>。</w:t>
      </w:r>
    </w:p>
    <w:p>
      <w:pPr>
        <w:pStyle w:val="7"/>
        <w:adjustRightInd w:val="0"/>
        <w:snapToGrid w:val="0"/>
        <w:spacing w:before="0" w:after="0" w:line="360" w:lineRule="auto"/>
        <w:jc w:val="left"/>
        <w:rPr>
          <w:sz w:val="24"/>
          <w:szCs w:val="24"/>
        </w:rPr>
      </w:pPr>
      <w:r>
        <w:rPr>
          <w:rFonts w:hint="eastAsia"/>
          <w:sz w:val="24"/>
          <w:szCs w:val="24"/>
        </w:rPr>
        <w:t>7.2.</w:t>
      </w:r>
      <w:r>
        <w:rPr>
          <w:rFonts w:hint="eastAsia"/>
          <w:sz w:val="24"/>
          <w:szCs w:val="24"/>
          <w:lang w:val="en-US" w:eastAsia="zh-CN"/>
        </w:rPr>
        <w:t>7</w:t>
      </w:r>
      <w:r>
        <w:rPr>
          <w:rFonts w:hint="eastAsia"/>
          <w:sz w:val="24"/>
          <w:szCs w:val="24"/>
        </w:rPr>
        <w:t xml:space="preserve"> 风险</w:t>
      </w:r>
      <w:r>
        <w:rPr>
          <w:sz w:val="24"/>
          <w:szCs w:val="24"/>
        </w:rPr>
        <w:t>防范措施和应急预案</w:t>
      </w:r>
    </w:p>
    <w:p>
      <w:pPr>
        <w:adjustRightInd w:val="0"/>
        <w:snapToGrid w:val="0"/>
        <w:spacing w:line="360" w:lineRule="auto"/>
        <w:ind w:firstLine="482" w:firstLineChars="200"/>
        <w:outlineLvl w:val="3"/>
        <w:rPr>
          <w:rFonts w:eastAsiaTheme="majorEastAsia"/>
          <w:b/>
          <w:sz w:val="24"/>
        </w:rPr>
      </w:pPr>
      <w:r>
        <w:rPr>
          <w:rFonts w:hint="eastAsia" w:eastAsiaTheme="majorEastAsia"/>
          <w:b/>
          <w:sz w:val="24"/>
        </w:rPr>
        <w:t>7.2.</w:t>
      </w:r>
      <w:r>
        <w:rPr>
          <w:rFonts w:hint="eastAsia" w:eastAsiaTheme="majorEastAsia"/>
          <w:b/>
          <w:sz w:val="24"/>
          <w:lang w:val="en-US" w:eastAsia="zh-CN"/>
        </w:rPr>
        <w:t>7</w:t>
      </w:r>
      <w:r>
        <w:rPr>
          <w:rFonts w:hint="eastAsia" w:eastAsiaTheme="majorEastAsia"/>
          <w:b/>
          <w:sz w:val="24"/>
        </w:rPr>
        <w:t>.1 环境风险事故防范措施分析</w:t>
      </w:r>
    </w:p>
    <w:p>
      <w:pPr>
        <w:adjustRightInd w:val="0"/>
        <w:snapToGrid w:val="0"/>
        <w:spacing w:line="360" w:lineRule="auto"/>
        <w:ind w:firstLine="482" w:firstLineChars="200"/>
        <w:rPr>
          <w:rFonts w:eastAsiaTheme="majorEastAsia"/>
          <w:b/>
          <w:sz w:val="24"/>
        </w:rPr>
      </w:pPr>
      <w:r>
        <w:rPr>
          <w:rFonts w:hint="eastAsia" w:eastAsiaTheme="majorEastAsia"/>
          <w:b/>
          <w:sz w:val="24"/>
        </w:rPr>
        <w:t>1、柴油泄漏、火灾、爆炸事故防范措施</w:t>
      </w:r>
    </w:p>
    <w:p>
      <w:pPr>
        <w:adjustRightInd w:val="0"/>
        <w:snapToGrid w:val="0"/>
        <w:spacing w:line="360" w:lineRule="auto"/>
        <w:ind w:firstLine="480" w:firstLineChars="200"/>
        <w:rPr>
          <w:rFonts w:eastAsiaTheme="majorEastAsia"/>
          <w:sz w:val="24"/>
        </w:rPr>
      </w:pPr>
      <w:r>
        <w:rPr>
          <w:rFonts w:hint="eastAsia" w:eastAsiaTheme="majorEastAsia"/>
          <w:sz w:val="24"/>
        </w:rPr>
        <w:t>（1）应严格按照《建筑设计防火规范》GBJ16-87 等标准规范建设柴油储存间。</w:t>
      </w:r>
    </w:p>
    <w:p>
      <w:pPr>
        <w:adjustRightInd w:val="0"/>
        <w:snapToGrid w:val="0"/>
        <w:spacing w:line="360" w:lineRule="auto"/>
        <w:ind w:firstLine="480" w:firstLineChars="200"/>
        <w:rPr>
          <w:rFonts w:eastAsiaTheme="majorEastAsia"/>
          <w:sz w:val="24"/>
        </w:rPr>
      </w:pPr>
      <w:r>
        <w:rPr>
          <w:rFonts w:hint="eastAsia" w:eastAsiaTheme="majorEastAsia"/>
          <w:sz w:val="24"/>
        </w:rPr>
        <w:t>（2）柴油储存间旁边禁止有热源和明火，禁止员工在厂内吸烟。</w:t>
      </w:r>
    </w:p>
    <w:p>
      <w:pPr>
        <w:adjustRightInd w:val="0"/>
        <w:snapToGrid w:val="0"/>
        <w:spacing w:line="360" w:lineRule="auto"/>
        <w:ind w:firstLine="480" w:firstLineChars="200"/>
        <w:rPr>
          <w:rFonts w:eastAsiaTheme="majorEastAsia"/>
          <w:sz w:val="24"/>
        </w:rPr>
      </w:pPr>
      <w:r>
        <w:rPr>
          <w:rFonts w:hint="eastAsia" w:eastAsiaTheme="majorEastAsia"/>
          <w:sz w:val="24"/>
        </w:rPr>
        <w:t>（3）柴油储存间的消防设施、地面设围堰、围堰容积需满足最大储存量 200L，用电设施等必须符合国家规定的安全要求，采用冷光源及防爆灯具。</w:t>
      </w:r>
    </w:p>
    <w:p>
      <w:pPr>
        <w:adjustRightInd w:val="0"/>
        <w:snapToGrid w:val="0"/>
        <w:spacing w:line="360" w:lineRule="auto"/>
        <w:ind w:firstLine="480" w:firstLineChars="200"/>
        <w:rPr>
          <w:rFonts w:eastAsiaTheme="majorEastAsia"/>
          <w:sz w:val="24"/>
        </w:rPr>
      </w:pPr>
      <w:r>
        <w:rPr>
          <w:rFonts w:hint="eastAsia" w:eastAsiaTheme="majorEastAsia"/>
          <w:sz w:val="24"/>
        </w:rPr>
        <w:t>（4）柴油发电机放置处地面防渗，设备放置在围堰内，柴油储存间地面防渗，设置围堰。</w:t>
      </w:r>
    </w:p>
    <w:p>
      <w:pPr>
        <w:adjustRightInd w:val="0"/>
        <w:snapToGrid w:val="0"/>
        <w:spacing w:line="360" w:lineRule="auto"/>
        <w:ind w:firstLine="480" w:firstLineChars="200"/>
        <w:rPr>
          <w:rFonts w:eastAsiaTheme="majorEastAsia"/>
          <w:sz w:val="24"/>
        </w:rPr>
      </w:pPr>
      <w:r>
        <w:rPr>
          <w:rFonts w:hint="eastAsia" w:eastAsiaTheme="majorEastAsia"/>
          <w:sz w:val="24"/>
        </w:rPr>
        <w:t>（5）项目雨水截洪沟设置封闭阀，防止被污染的消防废水通过雨水管进入周边地表水。设置事故池，当仓库发生火灾时，开启事故池，使消防废水全部进入事故池。</w:t>
      </w:r>
    </w:p>
    <w:p>
      <w:pPr>
        <w:adjustRightInd w:val="0"/>
        <w:snapToGrid w:val="0"/>
        <w:spacing w:line="360" w:lineRule="auto"/>
        <w:ind w:firstLine="480" w:firstLineChars="200"/>
        <w:rPr>
          <w:rFonts w:eastAsiaTheme="majorEastAsia"/>
          <w:sz w:val="24"/>
        </w:rPr>
      </w:pPr>
      <w:r>
        <w:rPr>
          <w:rFonts w:hint="eastAsia" w:eastAsiaTheme="majorEastAsia"/>
          <w:sz w:val="24"/>
        </w:rPr>
        <w:t>（6）针对可能出现的情况，制订周密全面的应急措施方案，并指定专人负责。同时，定期进行模拟演练，根据演练过程中发现的新情况、新问题，及时修订和完善应急方案。</w:t>
      </w:r>
    </w:p>
    <w:p>
      <w:pPr>
        <w:adjustRightInd w:val="0"/>
        <w:snapToGrid w:val="0"/>
        <w:spacing w:line="360" w:lineRule="auto"/>
        <w:ind w:firstLine="480" w:firstLineChars="200"/>
        <w:rPr>
          <w:rFonts w:eastAsiaTheme="majorEastAsia"/>
          <w:sz w:val="24"/>
        </w:rPr>
      </w:pPr>
      <w:r>
        <w:rPr>
          <w:rFonts w:hint="eastAsia" w:eastAsiaTheme="majorEastAsia"/>
          <w:sz w:val="24"/>
        </w:rPr>
        <w:t>在采取相应措施后，该类风险是可以接受的。</w:t>
      </w:r>
    </w:p>
    <w:p>
      <w:pPr>
        <w:adjustRightInd w:val="0"/>
        <w:snapToGrid w:val="0"/>
        <w:spacing w:line="360" w:lineRule="auto"/>
        <w:ind w:firstLine="480"/>
        <w:rPr>
          <w:rFonts w:eastAsiaTheme="majorEastAsia"/>
          <w:b/>
          <w:sz w:val="24"/>
        </w:rPr>
      </w:pPr>
      <w:r>
        <w:rPr>
          <w:rFonts w:hint="eastAsia" w:eastAsiaTheme="majorEastAsia"/>
          <w:b/>
          <w:sz w:val="24"/>
        </w:rPr>
        <w:t>2、废水事故性排污防范措施</w:t>
      </w:r>
    </w:p>
    <w:p>
      <w:pPr>
        <w:adjustRightInd w:val="0"/>
        <w:snapToGrid w:val="0"/>
        <w:spacing w:line="360" w:lineRule="auto"/>
        <w:ind w:firstLine="480" w:firstLineChars="200"/>
        <w:rPr>
          <w:rFonts w:eastAsiaTheme="majorEastAsia"/>
          <w:sz w:val="24"/>
        </w:rPr>
      </w:pPr>
      <w:r>
        <w:rPr>
          <w:rFonts w:hint="eastAsia" w:eastAsiaTheme="majorEastAsia"/>
          <w:sz w:val="24"/>
        </w:rPr>
        <w:t>本评价建议采取以下措施来避免事故性排污风险的发生：</w:t>
      </w:r>
    </w:p>
    <w:p>
      <w:pPr>
        <w:adjustRightInd w:val="0"/>
        <w:snapToGrid w:val="0"/>
        <w:spacing w:line="360" w:lineRule="auto"/>
        <w:ind w:firstLine="480" w:firstLineChars="200"/>
        <w:rPr>
          <w:rFonts w:eastAsiaTheme="majorEastAsia"/>
          <w:sz w:val="24"/>
        </w:rPr>
      </w:pPr>
      <w:r>
        <w:rPr>
          <w:rFonts w:hint="eastAsia" w:eastAsiaTheme="majorEastAsia"/>
          <w:sz w:val="24"/>
        </w:rPr>
        <w:t>（1）养殖场的排水系统应实行雨污分流制，避免雨水进入废水收集池。</w:t>
      </w:r>
    </w:p>
    <w:p>
      <w:pPr>
        <w:adjustRightInd w:val="0"/>
        <w:snapToGrid w:val="0"/>
        <w:spacing w:line="360" w:lineRule="auto"/>
        <w:ind w:firstLine="480" w:firstLineChars="200"/>
        <w:rPr>
          <w:rFonts w:eastAsiaTheme="majorEastAsia"/>
          <w:sz w:val="24"/>
        </w:rPr>
      </w:pPr>
      <w:r>
        <w:rPr>
          <w:rFonts w:hint="eastAsia" w:eastAsiaTheme="majorEastAsia"/>
          <w:sz w:val="24"/>
        </w:rPr>
        <w:t>（2）加强事故苗头监控，对设备及管网定期巡检、调节、保养、维修。及时发现有可能引起事故的异常运行苗头，消除事故隐患。</w:t>
      </w:r>
    </w:p>
    <w:p>
      <w:pPr>
        <w:adjustRightInd w:val="0"/>
        <w:snapToGrid w:val="0"/>
        <w:spacing w:line="360" w:lineRule="auto"/>
        <w:ind w:firstLine="480" w:firstLineChars="200"/>
        <w:rPr>
          <w:rFonts w:eastAsiaTheme="majorEastAsia"/>
          <w:sz w:val="24"/>
        </w:rPr>
      </w:pPr>
      <w:r>
        <w:rPr>
          <w:rFonts w:hint="eastAsia" w:eastAsiaTheme="majorEastAsia"/>
          <w:sz w:val="24"/>
        </w:rPr>
        <w:t>（3）废水和粪便收集、贮存设施应做好防渗、防漏措施。</w:t>
      </w:r>
    </w:p>
    <w:p>
      <w:pPr>
        <w:adjustRightInd w:val="0"/>
        <w:snapToGrid w:val="0"/>
        <w:spacing w:line="360" w:lineRule="auto"/>
        <w:ind w:firstLine="480" w:firstLineChars="200"/>
        <w:rPr>
          <w:rFonts w:eastAsiaTheme="majorEastAsia"/>
          <w:sz w:val="24"/>
        </w:rPr>
      </w:pPr>
      <w:r>
        <w:rPr>
          <w:rFonts w:hint="eastAsia" w:eastAsiaTheme="majorEastAsia"/>
          <w:sz w:val="24"/>
        </w:rPr>
        <w:t>在采取相应措施后，该类风险是可以接受的。</w:t>
      </w:r>
    </w:p>
    <w:p>
      <w:pPr>
        <w:adjustRightInd w:val="0"/>
        <w:snapToGrid w:val="0"/>
        <w:spacing w:line="360" w:lineRule="auto"/>
        <w:ind w:firstLine="482" w:firstLineChars="200"/>
        <w:rPr>
          <w:rFonts w:eastAsiaTheme="majorEastAsia"/>
          <w:sz w:val="24"/>
        </w:rPr>
      </w:pPr>
      <w:r>
        <w:rPr>
          <w:rFonts w:hint="eastAsia" w:eastAsiaTheme="majorEastAsia"/>
          <w:b/>
          <w:sz w:val="24"/>
        </w:rPr>
        <w:t>3、病死鸡</w:t>
      </w:r>
      <w:r>
        <w:rPr>
          <w:rFonts w:hint="eastAsia" w:eastAsiaTheme="majorEastAsia"/>
          <w:b/>
          <w:sz w:val="24"/>
          <w:lang w:val="en-US" w:eastAsia="zh-CN"/>
        </w:rPr>
        <w:t>冷柜</w:t>
      </w:r>
      <w:r>
        <w:rPr>
          <w:rFonts w:hint="eastAsia" w:eastAsiaTheme="majorEastAsia"/>
          <w:b/>
          <w:sz w:val="24"/>
        </w:rPr>
        <w:t>故障防范措施</w:t>
      </w:r>
    </w:p>
    <w:p>
      <w:pPr>
        <w:adjustRightInd w:val="0"/>
        <w:snapToGrid w:val="0"/>
        <w:spacing w:line="360" w:lineRule="auto"/>
        <w:ind w:firstLine="480" w:firstLineChars="200"/>
        <w:rPr>
          <w:rFonts w:eastAsiaTheme="majorEastAsia"/>
          <w:sz w:val="24"/>
        </w:rPr>
      </w:pPr>
      <w:r>
        <w:rPr>
          <w:rFonts w:hint="eastAsia" w:eastAsiaTheme="majorEastAsia"/>
          <w:sz w:val="24"/>
        </w:rPr>
        <w:t>（1）选用优质制冷设备，关键设备应一用一备，定期对设备进行维护和检修。</w:t>
      </w:r>
    </w:p>
    <w:p>
      <w:pPr>
        <w:adjustRightInd w:val="0"/>
        <w:snapToGrid w:val="0"/>
        <w:spacing w:line="360" w:lineRule="auto"/>
        <w:ind w:firstLine="480" w:firstLineChars="200"/>
        <w:rPr>
          <w:rFonts w:eastAsiaTheme="majorEastAsia"/>
          <w:sz w:val="24"/>
        </w:rPr>
      </w:pPr>
      <w:r>
        <w:rPr>
          <w:rFonts w:hint="eastAsia" w:eastAsiaTheme="majorEastAsia"/>
          <w:sz w:val="24"/>
        </w:rPr>
        <w:t>（2）冷柜内的病死鸡应定期外运无害化单位处理，尽量减少病死鸡在厂内暂存的时间和暂存量。</w:t>
      </w:r>
    </w:p>
    <w:p>
      <w:pPr>
        <w:adjustRightInd w:val="0"/>
        <w:snapToGrid w:val="0"/>
        <w:spacing w:line="360" w:lineRule="auto"/>
        <w:ind w:firstLine="482" w:firstLineChars="200"/>
        <w:rPr>
          <w:rFonts w:eastAsiaTheme="majorEastAsia"/>
          <w:sz w:val="24"/>
        </w:rPr>
      </w:pPr>
      <w:r>
        <w:rPr>
          <w:rFonts w:hint="eastAsia" w:eastAsiaTheme="majorEastAsia"/>
          <w:b/>
          <w:sz w:val="24"/>
        </w:rPr>
        <w:t>4、消毒剂泄露防范措施</w:t>
      </w:r>
    </w:p>
    <w:p>
      <w:pPr>
        <w:adjustRightInd w:val="0"/>
        <w:snapToGrid w:val="0"/>
        <w:spacing w:line="360" w:lineRule="auto"/>
        <w:ind w:firstLine="480" w:firstLineChars="200"/>
        <w:rPr>
          <w:rFonts w:eastAsiaTheme="majorEastAsia"/>
          <w:sz w:val="24"/>
        </w:rPr>
      </w:pPr>
      <w:r>
        <w:rPr>
          <w:rFonts w:hint="eastAsia" w:eastAsiaTheme="majorEastAsia"/>
          <w:sz w:val="24"/>
        </w:rPr>
        <w:t>（1）消毒剂分类储存，储存间应做到阴凉通风，禁止明火。</w:t>
      </w:r>
    </w:p>
    <w:p>
      <w:pPr>
        <w:adjustRightInd w:val="0"/>
        <w:snapToGrid w:val="0"/>
        <w:spacing w:line="360" w:lineRule="auto"/>
        <w:ind w:firstLine="480" w:firstLineChars="200"/>
        <w:rPr>
          <w:rFonts w:eastAsiaTheme="majorEastAsia"/>
          <w:sz w:val="24"/>
        </w:rPr>
      </w:pPr>
      <w:r>
        <w:rPr>
          <w:rFonts w:hint="eastAsia" w:eastAsiaTheme="majorEastAsia"/>
          <w:sz w:val="24"/>
        </w:rPr>
        <w:t>（2）消毒剂储存间地面防腐防渗处理，设置围堰，防止消毒剂外泄。</w:t>
      </w:r>
    </w:p>
    <w:p>
      <w:pPr>
        <w:adjustRightInd w:val="0"/>
        <w:snapToGrid w:val="0"/>
        <w:spacing w:line="360" w:lineRule="auto"/>
        <w:ind w:firstLine="482" w:firstLineChars="200"/>
        <w:outlineLvl w:val="3"/>
        <w:rPr>
          <w:rFonts w:eastAsiaTheme="majorEastAsia"/>
          <w:b/>
          <w:sz w:val="24"/>
        </w:rPr>
      </w:pPr>
      <w:r>
        <w:rPr>
          <w:rFonts w:hint="eastAsia" w:eastAsiaTheme="majorEastAsia"/>
          <w:b/>
          <w:sz w:val="24"/>
        </w:rPr>
        <w:t>7.2.</w:t>
      </w:r>
      <w:r>
        <w:rPr>
          <w:rFonts w:hint="eastAsia" w:eastAsiaTheme="majorEastAsia"/>
          <w:b/>
          <w:sz w:val="24"/>
          <w:lang w:val="en-US" w:eastAsia="zh-CN"/>
        </w:rPr>
        <w:t>7</w:t>
      </w:r>
      <w:r>
        <w:rPr>
          <w:rFonts w:hint="eastAsia" w:eastAsiaTheme="majorEastAsia"/>
          <w:b/>
          <w:sz w:val="24"/>
        </w:rPr>
        <w:t>.2 疾病事故风险</w:t>
      </w:r>
    </w:p>
    <w:p>
      <w:pPr>
        <w:spacing w:line="360" w:lineRule="auto"/>
        <w:ind w:firstLine="482" w:firstLineChars="200"/>
        <w:rPr>
          <w:rFonts w:eastAsiaTheme="minorEastAsia"/>
          <w:b/>
          <w:sz w:val="24"/>
        </w:rPr>
      </w:pPr>
      <w:r>
        <w:rPr>
          <w:rFonts w:hint="eastAsia" w:eastAsiaTheme="minorEastAsia"/>
          <w:b/>
          <w:sz w:val="24"/>
        </w:rPr>
        <w:t>1、常发病危害</w:t>
      </w:r>
    </w:p>
    <w:p>
      <w:pPr>
        <w:spacing w:line="360" w:lineRule="auto"/>
        <w:ind w:firstLine="480" w:firstLineChars="200"/>
        <w:rPr>
          <w:rFonts w:eastAsiaTheme="minorEastAsia"/>
          <w:sz w:val="24"/>
        </w:rPr>
      </w:pPr>
      <w:r>
        <w:rPr>
          <w:rFonts w:hint="eastAsia" w:eastAsiaTheme="minorEastAsia"/>
          <w:sz w:val="24"/>
        </w:rPr>
        <w:t>养鸡场易发的传染病主要有高致病性禽流感、新城疫、鸡传染性喉气管炎、鸡传染性支气管炎、鸡白痢、鸡败血支原体感染、鸡球虫病。根据《动物防疫法》规定，根据动物疫病对养殖业生产和人体健康的危害程度，动物病疫分为下列三类：</w:t>
      </w:r>
    </w:p>
    <w:p>
      <w:pPr>
        <w:spacing w:line="360" w:lineRule="auto"/>
        <w:ind w:firstLine="480" w:firstLineChars="200"/>
        <w:rPr>
          <w:rFonts w:eastAsiaTheme="minorEastAsia"/>
          <w:sz w:val="24"/>
        </w:rPr>
      </w:pPr>
      <w:r>
        <w:rPr>
          <w:rFonts w:hint="eastAsia" w:eastAsiaTheme="minorEastAsia"/>
          <w:sz w:val="24"/>
        </w:rPr>
        <w:t>一类疫病，是指对人畜危害严重、需要采取紧急、严厉的强制预防、控制、扑灭措施的疫病，主要有高致病性禽流感、新城疫等。</w:t>
      </w:r>
    </w:p>
    <w:p>
      <w:pPr>
        <w:spacing w:line="360" w:lineRule="auto"/>
        <w:ind w:firstLine="480" w:firstLineChars="200"/>
        <w:rPr>
          <w:rFonts w:eastAsiaTheme="minorEastAsia"/>
          <w:sz w:val="24"/>
        </w:rPr>
      </w:pPr>
      <w:r>
        <w:rPr>
          <w:rFonts w:hint="eastAsia" w:eastAsiaTheme="minorEastAsia"/>
          <w:sz w:val="24"/>
        </w:rPr>
        <w:t>二类疫病，是指可造成重大经济损失、需要采取严格控制、扑灭措施，防止扩散的疫病，主要指鸡传染性喉气管炎、鸡传染性支气管炎、传染性法氏囊病、马立克氏病、产蛋下降综合征、禽白血病、禽痘、禽霍乱、鸡白痢、禽伤寒、鸡败血支原体感染、鸡球虫病、低致病性禽流感、禽网状内皮组织增殖症等。</w:t>
      </w:r>
    </w:p>
    <w:p>
      <w:pPr>
        <w:spacing w:line="360" w:lineRule="auto"/>
        <w:ind w:firstLine="480" w:firstLineChars="200"/>
        <w:rPr>
          <w:rFonts w:eastAsiaTheme="minorEastAsia"/>
          <w:sz w:val="24"/>
        </w:rPr>
      </w:pPr>
      <w:r>
        <w:rPr>
          <w:rFonts w:hint="eastAsia" w:eastAsiaTheme="minorEastAsia"/>
          <w:sz w:val="24"/>
        </w:rPr>
        <w:t>三类疫病，是指常见多发、可能造成重大经济损失、需要控制和净化的疫病，主要指鸡病毒性关节炎、禽传染性脑脊髓炎、传染性鼻炎、禽结核病等。三类疫病的具体病种名录由国务院畜牧兽医行政管理部门规定并公布。</w:t>
      </w:r>
    </w:p>
    <w:p>
      <w:pPr>
        <w:spacing w:line="360" w:lineRule="auto"/>
        <w:ind w:firstLine="482" w:firstLineChars="200"/>
        <w:rPr>
          <w:rFonts w:eastAsiaTheme="minorEastAsia"/>
          <w:b/>
          <w:sz w:val="24"/>
        </w:rPr>
      </w:pPr>
      <w:r>
        <w:rPr>
          <w:rFonts w:hint="eastAsia" w:eastAsiaTheme="minorEastAsia"/>
          <w:b/>
          <w:sz w:val="24"/>
        </w:rPr>
        <w:t>2、养殖场鸡病预防及防治措施</w:t>
      </w:r>
    </w:p>
    <w:p>
      <w:pPr>
        <w:spacing w:line="360" w:lineRule="auto"/>
        <w:ind w:firstLine="480" w:firstLineChars="200"/>
        <w:rPr>
          <w:rFonts w:eastAsiaTheme="minorEastAsia"/>
          <w:sz w:val="24"/>
        </w:rPr>
      </w:pPr>
      <w:r>
        <w:rPr>
          <w:rFonts w:hint="eastAsia" w:eastAsiaTheme="minorEastAsia"/>
          <w:sz w:val="24"/>
        </w:rPr>
        <w:t>①采用按栋“全进全出”的饲养方式，有足够的空舍消毒时间;</w:t>
      </w:r>
    </w:p>
    <w:p>
      <w:pPr>
        <w:spacing w:line="360" w:lineRule="auto"/>
        <w:ind w:firstLine="480" w:firstLineChars="200"/>
        <w:rPr>
          <w:rFonts w:eastAsiaTheme="minorEastAsia"/>
          <w:sz w:val="24"/>
        </w:rPr>
      </w:pPr>
      <w:r>
        <w:rPr>
          <w:rFonts w:hint="eastAsia" w:eastAsiaTheme="minorEastAsia"/>
          <w:sz w:val="24"/>
        </w:rPr>
        <w:t>②严格“三区分离”制度，将办公区（含仓库)、养殖区和粪污处理处置区分离开来，防止交叉污染;</w:t>
      </w:r>
    </w:p>
    <w:p>
      <w:pPr>
        <w:spacing w:line="360" w:lineRule="auto"/>
        <w:ind w:firstLine="480" w:firstLineChars="200"/>
        <w:rPr>
          <w:rFonts w:eastAsiaTheme="minorEastAsia"/>
          <w:sz w:val="24"/>
        </w:rPr>
      </w:pPr>
      <w:r>
        <w:rPr>
          <w:rFonts w:hint="eastAsia" w:eastAsiaTheme="minorEastAsia"/>
          <w:sz w:val="24"/>
        </w:rPr>
        <w:t>③进入养殖区出入口设置消毒池，出入车辆必须经消毒池进行消毒处理，消毒池应设置防溢、防渗措施，防止雨水大量进入导致消毒液外溢污染;主场区门口设置紫外线消毒室，入区人员包括饲养员、兽医、管理员及一切外来人员必须经消毒室进行消毒处理，消毒时间不小于5分钟。在养殖区设置饲养员休息室，尽量避免饲养员经常出入养殖区，减降病菌交叉污染的几率；定期消灭养禽场内有害昆虫如蚁、蝇等和鼠类;引进禽种需来自无禽流感的养禽场；做好鸡只饲养管理。提高鸡只的抗病力，注意秋冬、冬春之交季节气候变化，做好保暖防寒工作;避免鸡只和野生鸟类接触，尤其是避免与水禽如鸭、鹅、野鸭等接触。养禽场内不饲养狗、猫等宠物。养禽场的职工不要饲养家禽或笼养鸟；采取封闭式饲养，严防野鸟从门、窗进入禽舍;防止水源和饲料被野禽粪便污染。</w:t>
      </w:r>
    </w:p>
    <w:p>
      <w:pPr>
        <w:spacing w:line="360" w:lineRule="auto"/>
        <w:ind w:firstLine="480" w:firstLineChars="200"/>
        <w:rPr>
          <w:rFonts w:eastAsiaTheme="minorEastAsia"/>
          <w:sz w:val="24"/>
        </w:rPr>
      </w:pPr>
      <w:r>
        <w:rPr>
          <w:rFonts w:hint="eastAsia" w:eastAsiaTheme="minorEastAsia"/>
          <w:sz w:val="24"/>
        </w:rPr>
        <w:t>④设置专门兽医和外事专干，外事专干员应能够保证与农、畜、环保等部门的经常沟通与交流；兽医室应配备专门防疫设备和通信装置，以保证兽医能够及时掌握养殖行业疾病防治和传播最新信息，做到防患于未然；提高鸡只的抗病力，注意秋冬、冬春之交季节气候变化，做好保暖防寒工作。</w:t>
      </w:r>
    </w:p>
    <w:p>
      <w:pPr>
        <w:spacing w:line="360" w:lineRule="auto"/>
        <w:ind w:firstLine="480" w:firstLineChars="200"/>
        <w:rPr>
          <w:rFonts w:eastAsiaTheme="minorEastAsia"/>
          <w:sz w:val="24"/>
        </w:rPr>
      </w:pPr>
      <w:r>
        <w:rPr>
          <w:rFonts w:hint="eastAsia" w:eastAsiaTheme="minorEastAsia"/>
          <w:sz w:val="24"/>
        </w:rPr>
        <w:t>⑤《畜禽养殖业污染防治技术规范》(HI/T81—2001)规定，养殖场场区、畜禽舍、器械等消毒应采用环境友好的消毒剂和消毒措施，防止产生氯代有机物及其它的二次污染物</w:t>
      </w:r>
      <w:r>
        <w:rPr>
          <w:rFonts w:hint="eastAsia" w:eastAsiaTheme="minorEastAsia"/>
          <w:sz w:val="24"/>
          <w:lang w:eastAsia="zh-CN"/>
        </w:rPr>
        <w:t>，</w:t>
      </w:r>
      <w:r>
        <w:rPr>
          <w:rFonts w:hint="eastAsia" w:eastAsiaTheme="minorEastAsia"/>
          <w:sz w:val="24"/>
        </w:rPr>
        <w:t>本项目采用聚维碘酮、过硫酸氢钾和浓戊二醛、氢氧化钠为鸡舍消毒剂，可有效消灭病毒和致病菌，并可防止产生氯代有机物及其它的二次污染物产生。</w:t>
      </w:r>
    </w:p>
    <w:p>
      <w:pPr>
        <w:spacing w:line="360" w:lineRule="auto"/>
        <w:ind w:firstLine="480" w:firstLineChars="200"/>
        <w:rPr>
          <w:rFonts w:eastAsiaTheme="minorEastAsia"/>
          <w:sz w:val="24"/>
        </w:rPr>
      </w:pPr>
      <w:r>
        <w:rPr>
          <w:rFonts w:hint="eastAsia" w:eastAsiaTheme="minorEastAsia"/>
          <w:sz w:val="24"/>
        </w:rPr>
        <w:t>发生疫情时出现的病死鸡，第一时间对病死鸡及所在鸡舍进行隔离，并向场内防疫人员及衡阳县动物防疫站进行汇报，在防疫站工作人员指导下进行无害化处理。一旦怀疑病死鸡含有高致病性禽流感病毒，立即按照《高致病性禽流感疫情处理技术规范》要求逐级上报兽医行政管理部门及人民政府，配合相关部门和人民政府安排的检查、隔离、封锁、捕杀、无害化及消毒工作。</w:t>
      </w:r>
    </w:p>
    <w:p>
      <w:pPr>
        <w:spacing w:line="360" w:lineRule="auto"/>
        <w:ind w:firstLine="480" w:firstLineChars="200"/>
        <w:rPr>
          <w:rFonts w:eastAsiaTheme="minorEastAsia"/>
          <w:sz w:val="24"/>
        </w:rPr>
      </w:pPr>
      <w:r>
        <w:rPr>
          <w:rFonts w:hint="eastAsia" w:eastAsiaTheme="minorEastAsia"/>
          <w:sz w:val="24"/>
        </w:rPr>
        <w:t>企业经严格的畜禽规范化管理措施后，其疾病控制能力将大大提高。</w:t>
      </w:r>
    </w:p>
    <w:p>
      <w:pPr>
        <w:spacing w:line="360" w:lineRule="auto"/>
        <w:ind w:firstLine="480" w:firstLineChars="200"/>
        <w:rPr>
          <w:rFonts w:eastAsiaTheme="minorEastAsia"/>
          <w:sz w:val="24"/>
        </w:rPr>
      </w:pPr>
      <w:r>
        <w:rPr>
          <w:rFonts w:hint="eastAsia" w:eastAsiaTheme="minorEastAsia"/>
          <w:sz w:val="24"/>
        </w:rPr>
        <w:t>（2）病死鸡尸体处置</w:t>
      </w:r>
    </w:p>
    <w:p>
      <w:pPr>
        <w:spacing w:line="360" w:lineRule="auto"/>
        <w:ind w:firstLine="480" w:firstLineChars="200"/>
        <w:rPr>
          <w:rFonts w:eastAsiaTheme="minorEastAsia"/>
          <w:sz w:val="24"/>
        </w:rPr>
      </w:pPr>
      <w:r>
        <w:rPr>
          <w:rFonts w:hint="eastAsia" w:eastAsiaTheme="minorEastAsia"/>
          <w:sz w:val="24"/>
        </w:rPr>
        <w:t>根据《畜禽养殖业污染防治技术规范》（HJ/T81-2001）的相关规定，企业对病死鸡尸体及时处理，不随意丢弃，不出售或作为饲料再利用。</w:t>
      </w:r>
    </w:p>
    <w:p>
      <w:pPr>
        <w:adjustRightInd w:val="0"/>
        <w:snapToGrid w:val="0"/>
        <w:spacing w:line="360" w:lineRule="auto"/>
        <w:ind w:firstLine="482" w:firstLineChars="200"/>
        <w:outlineLvl w:val="3"/>
        <w:rPr>
          <w:rFonts w:eastAsiaTheme="majorEastAsia"/>
          <w:b/>
          <w:sz w:val="24"/>
        </w:rPr>
      </w:pPr>
      <w:r>
        <w:rPr>
          <w:rFonts w:hint="eastAsia" w:eastAsiaTheme="majorEastAsia"/>
          <w:b/>
          <w:sz w:val="24"/>
        </w:rPr>
        <w:t>7.2.</w:t>
      </w:r>
      <w:r>
        <w:rPr>
          <w:rFonts w:hint="eastAsia" w:eastAsiaTheme="majorEastAsia"/>
          <w:b/>
          <w:sz w:val="24"/>
          <w:lang w:val="en-US" w:eastAsia="zh-CN"/>
        </w:rPr>
        <w:t>7</w:t>
      </w:r>
      <w:r>
        <w:rPr>
          <w:rFonts w:hint="eastAsia" w:eastAsiaTheme="majorEastAsia"/>
          <w:b/>
          <w:sz w:val="24"/>
        </w:rPr>
        <w:t>.3 环境风险应急预案</w:t>
      </w:r>
    </w:p>
    <w:p>
      <w:pPr>
        <w:spacing w:line="360" w:lineRule="auto"/>
        <w:ind w:firstLine="482" w:firstLineChars="200"/>
        <w:rPr>
          <w:rFonts w:eastAsiaTheme="minorEastAsia"/>
          <w:b/>
          <w:sz w:val="24"/>
        </w:rPr>
      </w:pPr>
      <w:r>
        <w:rPr>
          <w:rFonts w:hint="eastAsia" w:eastAsiaTheme="minorEastAsia"/>
          <w:b/>
          <w:sz w:val="24"/>
        </w:rPr>
        <w:t>1、应急救援机构、组织人员和职责</w:t>
      </w:r>
    </w:p>
    <w:p>
      <w:pPr>
        <w:spacing w:line="360" w:lineRule="auto"/>
        <w:ind w:firstLine="480" w:firstLineChars="200"/>
        <w:rPr>
          <w:rFonts w:eastAsiaTheme="minorEastAsia"/>
          <w:sz w:val="24"/>
        </w:rPr>
      </w:pPr>
      <w:r>
        <w:rPr>
          <w:rFonts w:hint="eastAsia" w:eastAsiaTheme="minorEastAsia"/>
          <w:sz w:val="24"/>
        </w:rPr>
        <w:t>（1）应急救援机构设置与职责：成立环境风险事故应急救援指挥部，负责公司“事故应急救援预案”的制定和修订。组织应急救援专业队伍，组织实施和演练应急预案。检查督促做好重大事故的预防措施和应急救援的各项目准备工作。</w:t>
      </w:r>
    </w:p>
    <w:p>
      <w:pPr>
        <w:spacing w:line="360" w:lineRule="auto"/>
        <w:ind w:firstLine="480" w:firstLineChars="200"/>
        <w:rPr>
          <w:rFonts w:eastAsiaTheme="minorEastAsia"/>
          <w:sz w:val="24"/>
        </w:rPr>
      </w:pPr>
      <w:r>
        <w:rPr>
          <w:rFonts w:hint="eastAsia" w:eastAsiaTheme="minorEastAsia"/>
          <w:sz w:val="24"/>
        </w:rPr>
        <w:t>发生重大事故时，指挥部成员立即到位，负责全公司应急救援工作的组织和指挥，由指挥部发布和解除应急救援命令、信号。组织救援队伍实施救援行动。向上级汇报和向友邻单位通报事故情况，必要时向有关单位发出救援请求，协调救援及周边民众撤离问题。组织事故调查，总结经验教训。</w:t>
      </w:r>
    </w:p>
    <w:p>
      <w:pPr>
        <w:spacing w:line="360" w:lineRule="auto"/>
        <w:ind w:firstLine="480" w:firstLineChars="200"/>
        <w:rPr>
          <w:rFonts w:eastAsiaTheme="minorEastAsia"/>
          <w:sz w:val="24"/>
        </w:rPr>
      </w:pPr>
      <w:r>
        <w:rPr>
          <w:rFonts w:hint="eastAsia" w:eastAsiaTheme="minorEastAsia"/>
          <w:sz w:val="24"/>
        </w:rPr>
        <w:t>（2）应急机构组织：事故应急救援指挥部下设生产调度组、消防抢险组、设备抢修组、安全保卫组四个工作组。各部人员各负其责。</w:t>
      </w:r>
    </w:p>
    <w:p>
      <w:pPr>
        <w:spacing w:line="360" w:lineRule="auto"/>
        <w:ind w:firstLine="480" w:firstLineChars="200"/>
        <w:rPr>
          <w:rFonts w:eastAsiaTheme="minorEastAsia"/>
          <w:sz w:val="24"/>
        </w:rPr>
      </w:pPr>
      <w:r>
        <w:rPr>
          <w:rFonts w:hint="eastAsia" w:eastAsiaTheme="minorEastAsia"/>
          <w:sz w:val="24"/>
        </w:rPr>
        <w:t>（3）建立应急机构图</w:t>
      </w:r>
    </w:p>
    <w:p>
      <w:pPr>
        <w:spacing w:line="360" w:lineRule="auto"/>
        <w:jc w:val="center"/>
        <w:rPr>
          <w:rFonts w:eastAsiaTheme="minorEastAsia"/>
          <w:sz w:val="24"/>
        </w:rPr>
      </w:pPr>
      <w:r>
        <w:rPr>
          <w:rFonts w:eastAsiaTheme="minorEastAsia"/>
          <w:sz w:val="24"/>
        </w:rPr>
        <w:drawing>
          <wp:inline distT="0" distB="0" distL="0" distR="0">
            <wp:extent cx="5235575" cy="1898650"/>
            <wp:effectExtent l="0" t="0" r="0" b="0"/>
            <wp:docPr id="12" name="图片 12" descr="C:\Users\JET\Documents\WeChat Files\wxid_32f6s68zf6ta12\FileStorage\Temp\16729456194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JET\Documents\WeChat Files\wxid_32f6s68zf6ta12\FileStorage\Temp\1672945619423(1).png"/>
                    <pic:cNvPicPr>
                      <a:picLocks noChangeAspect="1" noChangeArrowheads="1"/>
                    </pic:cNvPicPr>
                  </pic:nvPicPr>
                  <pic:blipFill>
                    <a:blip r:embed="rId41" cstate="print">
                      <a:extLst>
                        <a:ext uri="{28A0092B-C50C-407E-A947-70E740481C1C}">
                          <a14:useLocalDpi xmlns:a14="http://schemas.microsoft.com/office/drawing/2010/main" val="0"/>
                        </a:ext>
                      </a:extLst>
                    </a:blip>
                    <a:srcRect l="723" t="3236"/>
                    <a:stretch>
                      <a:fillRect/>
                    </a:stretch>
                  </pic:blipFill>
                  <pic:spPr>
                    <a:xfrm>
                      <a:off x="0" y="0"/>
                      <a:ext cx="5239990" cy="1900138"/>
                    </a:xfrm>
                    <a:prstGeom prst="rect">
                      <a:avLst/>
                    </a:prstGeom>
                    <a:noFill/>
                    <a:ln>
                      <a:noFill/>
                    </a:ln>
                  </pic:spPr>
                </pic:pic>
              </a:graphicData>
            </a:graphic>
          </wp:inline>
        </w:drawing>
      </w:r>
    </w:p>
    <w:p>
      <w:pPr>
        <w:spacing w:line="360" w:lineRule="auto"/>
        <w:ind w:firstLine="482" w:firstLineChars="200"/>
        <w:rPr>
          <w:rFonts w:eastAsiaTheme="minorEastAsia"/>
          <w:b/>
          <w:sz w:val="24"/>
        </w:rPr>
      </w:pPr>
      <w:r>
        <w:rPr>
          <w:rFonts w:hint="eastAsia" w:eastAsiaTheme="minorEastAsia"/>
          <w:b/>
          <w:sz w:val="24"/>
        </w:rPr>
        <w:t>2、预案分级启动条件</w:t>
      </w:r>
    </w:p>
    <w:p>
      <w:pPr>
        <w:spacing w:line="360" w:lineRule="auto"/>
        <w:ind w:firstLine="480" w:firstLineChars="200"/>
        <w:rPr>
          <w:rFonts w:eastAsiaTheme="minorEastAsia"/>
          <w:sz w:val="24"/>
        </w:rPr>
      </w:pPr>
      <w:r>
        <w:rPr>
          <w:rFonts w:hint="eastAsia" w:eastAsiaTheme="minorEastAsia"/>
          <w:sz w:val="24"/>
        </w:rPr>
        <w:t>当发生事故后，应急救援领导小组根据应急救援指挥中心值班室收集到的事故情况，对事故的影响和危害性进行判断，若为一般事故，只需启动一级应急救援相关程，由值班经理、现场值班的专职、兼职消防人员以及工艺操作人员组成一级应急队伍，开展抢险救援行动。若事故规模较大、危害较严重，应急救援领导小组应迅速成立现场应急救援指挥部，并根据事故现场抢险救援的需要，在专职和兼职应急救援人员的基础上，组建各抢险救援、医疗救护、警戒、通讯等专业队伍，全面投入应急救援行动中。</w:t>
      </w:r>
    </w:p>
    <w:p>
      <w:pPr>
        <w:spacing w:line="360" w:lineRule="auto"/>
        <w:ind w:firstLine="480" w:firstLineChars="200"/>
        <w:rPr>
          <w:rFonts w:eastAsiaTheme="minorEastAsia"/>
          <w:sz w:val="24"/>
        </w:rPr>
      </w:pPr>
      <w:r>
        <w:rPr>
          <w:rFonts w:hint="eastAsia" w:eastAsiaTheme="minorEastAsia"/>
          <w:sz w:val="24"/>
        </w:rPr>
        <w:t>根据事故危害性、需要投入的应急救援力量，把应急救援行动分成三级，分别为一级。应急（预警应急）、二级应急（现场应急）和三级应急（全体应急）。</w:t>
      </w:r>
    </w:p>
    <w:p>
      <w:pPr>
        <w:spacing w:line="360" w:lineRule="auto"/>
        <w:ind w:firstLine="480" w:firstLineChars="200"/>
        <w:rPr>
          <w:rFonts w:eastAsiaTheme="minorEastAsia"/>
          <w:sz w:val="24"/>
        </w:rPr>
      </w:pPr>
      <w:r>
        <w:rPr>
          <w:rFonts w:hint="eastAsia" w:eastAsiaTheme="minorEastAsia"/>
          <w:sz w:val="24"/>
        </w:rPr>
        <w:t>①一级应急：发生可控制的异常事件或者为容易控制的突发事件，例如小范围泄漏、设备失效等事故时，公司按照既定的程序进行堵漏、医疗救护、抢险抢修等应急行动；</w:t>
      </w:r>
    </w:p>
    <w:p>
      <w:pPr>
        <w:spacing w:line="360" w:lineRule="auto"/>
        <w:ind w:firstLine="480" w:firstLineChars="200"/>
        <w:rPr>
          <w:rFonts w:eastAsiaTheme="minorEastAsia"/>
          <w:sz w:val="24"/>
        </w:rPr>
      </w:pPr>
      <w:r>
        <w:rPr>
          <w:rFonts w:hint="eastAsia" w:eastAsiaTheme="minorEastAsia"/>
          <w:sz w:val="24"/>
        </w:rPr>
        <w:t>②二级应急：发生大面积污染物泄露、扩散，或火灾等事故，事故危害和影响超出一级应急救援力量的处置能力，需要公司内全体应急救援力量进行处置；</w:t>
      </w:r>
    </w:p>
    <w:p>
      <w:pPr>
        <w:spacing w:line="360" w:lineRule="auto"/>
        <w:ind w:firstLine="480" w:firstLineChars="200"/>
        <w:rPr>
          <w:rFonts w:eastAsiaTheme="minorEastAsia"/>
          <w:sz w:val="24"/>
        </w:rPr>
      </w:pPr>
      <w:r>
        <w:rPr>
          <w:rFonts w:hint="eastAsia" w:eastAsiaTheme="minorEastAsia"/>
          <w:sz w:val="24"/>
        </w:rPr>
        <w:t>③三级应急：事故的影响超越公司边界，需要公司应急救援领导机构协调周边民以及其他单位以取得社会救援力量支持等行动，最大限度地降低事故造成的人员伤亡、经济损失和社会影响。</w:t>
      </w:r>
    </w:p>
    <w:p>
      <w:pPr>
        <w:spacing w:line="360" w:lineRule="auto"/>
        <w:ind w:firstLine="480" w:firstLineChars="200"/>
        <w:rPr>
          <w:rFonts w:eastAsiaTheme="minorEastAsia"/>
          <w:sz w:val="24"/>
        </w:rPr>
      </w:pPr>
      <w:r>
        <w:rPr>
          <w:rFonts w:hint="eastAsia" w:eastAsiaTheme="minorEastAsia"/>
          <w:sz w:val="24"/>
        </w:rPr>
        <w:t>发现或发生紧急情况，必须先尽最大努力作出妥善处理，同时向有关方面报告，需要时，先处理后报告。工艺及电设备等发生异常情况时，应迅速采取措施，并通知有关岗位协调处理。发生停电、停水、停汽时，必须采取措施，防止系统超温、超压，同时尽快通知相关岗位，并向上级报告。</w:t>
      </w:r>
    </w:p>
    <w:p>
      <w:pPr>
        <w:spacing w:line="360" w:lineRule="auto"/>
        <w:ind w:firstLine="480" w:firstLineChars="200"/>
        <w:rPr>
          <w:rFonts w:eastAsiaTheme="minorEastAsia"/>
          <w:sz w:val="24"/>
        </w:rPr>
      </w:pPr>
      <w:r>
        <w:rPr>
          <w:rFonts w:hint="eastAsia" w:eastAsiaTheme="minorEastAsia"/>
          <w:sz w:val="24"/>
        </w:rPr>
        <w:t>对于不同等级（一级、二级、三级）应急预案，启动事故应急救援预案，向有关部门报告，必要时联系社会救援。</w:t>
      </w:r>
    </w:p>
    <w:p>
      <w:pPr>
        <w:spacing w:line="360" w:lineRule="auto"/>
        <w:ind w:firstLine="482" w:firstLineChars="200"/>
        <w:rPr>
          <w:rFonts w:eastAsiaTheme="minorEastAsia"/>
          <w:b/>
          <w:sz w:val="24"/>
        </w:rPr>
      </w:pPr>
      <w:r>
        <w:rPr>
          <w:rFonts w:hint="eastAsia" w:eastAsiaTheme="minorEastAsia"/>
          <w:b/>
          <w:sz w:val="24"/>
        </w:rPr>
        <w:t>3、报警、通讯联络方式</w:t>
      </w:r>
    </w:p>
    <w:p>
      <w:pPr>
        <w:spacing w:line="360" w:lineRule="auto"/>
        <w:ind w:firstLine="480" w:firstLineChars="200"/>
        <w:rPr>
          <w:rFonts w:eastAsiaTheme="minorEastAsia"/>
          <w:sz w:val="24"/>
        </w:rPr>
      </w:pPr>
      <w:r>
        <w:rPr>
          <w:rFonts w:hint="eastAsia" w:eastAsiaTheme="minorEastAsia"/>
          <w:sz w:val="24"/>
        </w:rPr>
        <w:t>（1）通讯设备及通讯网络</w:t>
      </w:r>
    </w:p>
    <w:p>
      <w:pPr>
        <w:spacing w:line="360" w:lineRule="auto"/>
        <w:ind w:firstLine="480" w:firstLineChars="200"/>
        <w:rPr>
          <w:rFonts w:eastAsiaTheme="minorEastAsia"/>
          <w:sz w:val="24"/>
        </w:rPr>
      </w:pPr>
      <w:r>
        <w:rPr>
          <w:rFonts w:hint="eastAsia" w:eastAsiaTheme="minorEastAsia"/>
          <w:sz w:val="24"/>
        </w:rPr>
        <w:t>公司内配有报警总机，电话分机和对讲机分布在公司各生产部和职能部门，可随时与消防队联系。</w:t>
      </w:r>
    </w:p>
    <w:p>
      <w:pPr>
        <w:spacing w:line="360" w:lineRule="auto"/>
        <w:ind w:firstLine="480" w:firstLineChars="200"/>
        <w:rPr>
          <w:rFonts w:eastAsiaTheme="minorEastAsia"/>
          <w:sz w:val="24"/>
        </w:rPr>
      </w:pPr>
      <w:r>
        <w:rPr>
          <w:rFonts w:hint="eastAsia" w:eastAsiaTheme="minorEastAsia"/>
          <w:sz w:val="24"/>
        </w:rPr>
        <w:t>（2）信号规定</w:t>
      </w:r>
    </w:p>
    <w:p>
      <w:pPr>
        <w:spacing w:line="360" w:lineRule="auto"/>
        <w:ind w:firstLine="480" w:firstLineChars="200"/>
        <w:rPr>
          <w:rFonts w:eastAsiaTheme="minorEastAsia"/>
          <w:sz w:val="24"/>
        </w:rPr>
      </w:pPr>
      <w:r>
        <w:rPr>
          <w:rFonts w:hint="eastAsia" w:eastAsiaTheme="minorEastAsia"/>
          <w:sz w:val="24"/>
        </w:rPr>
        <w:t>发生事故、通过现场报警、广播、对讲机、报警总机及电话报告信息。设置 24h公司应急指挥部（办公室）电话，并公布。</w:t>
      </w:r>
    </w:p>
    <w:p>
      <w:pPr>
        <w:spacing w:line="360" w:lineRule="auto"/>
        <w:ind w:firstLine="482" w:firstLineChars="200"/>
        <w:rPr>
          <w:rFonts w:eastAsiaTheme="minorEastAsia"/>
          <w:b/>
          <w:sz w:val="24"/>
        </w:rPr>
      </w:pPr>
      <w:r>
        <w:rPr>
          <w:rFonts w:hint="eastAsia" w:eastAsiaTheme="minorEastAsia"/>
          <w:b/>
          <w:sz w:val="24"/>
        </w:rPr>
        <w:t>4、环境事故应急救援设施和器材</w:t>
      </w:r>
    </w:p>
    <w:p>
      <w:pPr>
        <w:spacing w:line="360" w:lineRule="auto"/>
        <w:ind w:firstLine="480" w:firstLineChars="200"/>
        <w:rPr>
          <w:rFonts w:eastAsiaTheme="minorEastAsia"/>
          <w:sz w:val="24"/>
        </w:rPr>
      </w:pPr>
      <w:r>
        <w:rPr>
          <w:rFonts w:hint="eastAsia" w:eastAsiaTheme="minorEastAsia"/>
          <w:sz w:val="24"/>
        </w:rPr>
        <w:t>（1）灭火器配置</w:t>
      </w:r>
    </w:p>
    <w:p>
      <w:pPr>
        <w:spacing w:line="360" w:lineRule="auto"/>
        <w:ind w:firstLine="480" w:firstLineChars="200"/>
        <w:rPr>
          <w:rFonts w:eastAsiaTheme="minorEastAsia"/>
          <w:sz w:val="24"/>
        </w:rPr>
      </w:pPr>
      <w:r>
        <w:rPr>
          <w:rFonts w:hint="eastAsia" w:eastAsiaTheme="minorEastAsia"/>
          <w:sz w:val="24"/>
        </w:rPr>
        <w:t>根据本工程内各建筑物火灾种类的特征，按标准配置不同型式灭火器。</w:t>
      </w:r>
    </w:p>
    <w:p>
      <w:pPr>
        <w:spacing w:line="360" w:lineRule="auto"/>
        <w:ind w:firstLine="480" w:firstLineChars="200"/>
        <w:rPr>
          <w:rFonts w:eastAsiaTheme="minorEastAsia"/>
          <w:sz w:val="24"/>
        </w:rPr>
      </w:pPr>
      <w:r>
        <w:rPr>
          <w:rFonts w:hint="eastAsia" w:eastAsiaTheme="minorEastAsia"/>
          <w:sz w:val="24"/>
        </w:rPr>
        <w:t>（2）火灾报警器配置</w:t>
      </w:r>
    </w:p>
    <w:p>
      <w:pPr>
        <w:spacing w:line="360" w:lineRule="auto"/>
        <w:ind w:firstLine="480" w:firstLineChars="200"/>
        <w:rPr>
          <w:rFonts w:eastAsiaTheme="minorEastAsia"/>
          <w:sz w:val="24"/>
        </w:rPr>
      </w:pPr>
      <w:r>
        <w:rPr>
          <w:rFonts w:hint="eastAsia" w:eastAsiaTheme="minorEastAsia"/>
          <w:sz w:val="24"/>
        </w:rPr>
        <w:t>在有易燃物质危险区的范围内设可燃液体泄漏检测报警仪。</w:t>
      </w:r>
    </w:p>
    <w:p>
      <w:pPr>
        <w:spacing w:line="360" w:lineRule="auto"/>
        <w:ind w:firstLine="480" w:firstLineChars="200"/>
        <w:rPr>
          <w:rFonts w:eastAsiaTheme="minorEastAsia"/>
          <w:sz w:val="24"/>
        </w:rPr>
      </w:pPr>
      <w:r>
        <w:rPr>
          <w:rFonts w:hint="eastAsia" w:eastAsiaTheme="minorEastAsia"/>
          <w:sz w:val="24"/>
        </w:rPr>
        <w:t>（3）器材配置疏散、警戒、医疗救护器材配置</w:t>
      </w:r>
    </w:p>
    <w:p>
      <w:pPr>
        <w:spacing w:line="360" w:lineRule="auto"/>
        <w:ind w:firstLine="480" w:firstLineChars="200"/>
        <w:rPr>
          <w:rFonts w:eastAsiaTheme="minorEastAsia"/>
          <w:sz w:val="24"/>
        </w:rPr>
      </w:pPr>
      <w:r>
        <w:rPr>
          <w:rFonts w:hint="eastAsia" w:eastAsiaTheme="minorEastAsia"/>
          <w:sz w:val="24"/>
        </w:rPr>
        <w:t>配备隔离绳、通讯器材、担架、急救箱、药品、防毒面罩、隔热防护服等。</w:t>
      </w:r>
    </w:p>
    <w:p>
      <w:pPr>
        <w:spacing w:line="360" w:lineRule="auto"/>
        <w:ind w:firstLine="482" w:firstLineChars="200"/>
        <w:rPr>
          <w:rFonts w:eastAsiaTheme="minorEastAsia"/>
          <w:b/>
          <w:sz w:val="24"/>
        </w:rPr>
      </w:pPr>
      <w:r>
        <w:rPr>
          <w:rFonts w:hint="eastAsia" w:eastAsiaTheme="minorEastAsia"/>
          <w:b/>
          <w:sz w:val="24"/>
        </w:rPr>
        <w:t>5、应急救援保障</w:t>
      </w:r>
    </w:p>
    <w:p>
      <w:pPr>
        <w:spacing w:line="360" w:lineRule="auto"/>
        <w:ind w:firstLine="480" w:firstLineChars="200"/>
        <w:rPr>
          <w:rFonts w:eastAsiaTheme="minorEastAsia"/>
          <w:sz w:val="24"/>
        </w:rPr>
      </w:pPr>
      <w:r>
        <w:rPr>
          <w:rFonts w:hint="eastAsia" w:eastAsiaTheme="minorEastAsia"/>
          <w:sz w:val="24"/>
        </w:rPr>
        <w:t>（1）内部保障</w:t>
      </w:r>
    </w:p>
    <w:p>
      <w:pPr>
        <w:spacing w:line="360" w:lineRule="auto"/>
        <w:ind w:firstLine="480" w:firstLineChars="200"/>
        <w:rPr>
          <w:rFonts w:eastAsiaTheme="minorEastAsia"/>
          <w:sz w:val="24"/>
        </w:rPr>
      </w:pPr>
      <w:r>
        <w:rPr>
          <w:rFonts w:hint="eastAsia" w:eastAsiaTheme="minorEastAsia"/>
          <w:sz w:val="24"/>
        </w:rPr>
        <w:t>为确保应急救援工作的及时有效，事先配备有事故应急救援器材和药品配备，并由专门人员负责保管、检修、检验，确保各种应急器材和药品处于完好状态。明确紧急疏散示意图。建立畅通有效的应急通讯系统。公司内实行环境突发事件应急工作责任制，将责任明确落实到人。建立各项应急保障制度。</w:t>
      </w:r>
    </w:p>
    <w:p>
      <w:pPr>
        <w:spacing w:line="360" w:lineRule="auto"/>
        <w:ind w:firstLine="480" w:firstLineChars="200"/>
        <w:rPr>
          <w:rFonts w:eastAsiaTheme="minorEastAsia"/>
          <w:sz w:val="24"/>
        </w:rPr>
      </w:pPr>
      <w:r>
        <w:rPr>
          <w:rFonts w:hint="eastAsia" w:eastAsiaTheme="minorEastAsia"/>
          <w:sz w:val="24"/>
        </w:rPr>
        <w:t>（2）外部救援</w:t>
      </w:r>
    </w:p>
    <w:p>
      <w:pPr>
        <w:spacing w:line="360" w:lineRule="auto"/>
        <w:ind w:firstLine="480" w:firstLineChars="200"/>
        <w:rPr>
          <w:rFonts w:eastAsiaTheme="minorEastAsia"/>
          <w:sz w:val="24"/>
        </w:rPr>
      </w:pPr>
      <w:r>
        <w:rPr>
          <w:rFonts w:hint="eastAsia" w:eastAsiaTheme="minorEastAsia"/>
          <w:sz w:val="24"/>
        </w:rPr>
        <w:t>厂区内一旦发生重大事故，厂内抢险抢救力量不足或有可能危及社会安全时，指挥部必须立即向上级和相邻单位通报，需要时请求社会力量援助。社会救援队伍进入厂区时，指挥部责成疏散组警戒人员与之联络，引导并告之安全疏散事项。</w:t>
      </w:r>
    </w:p>
    <w:p>
      <w:pPr>
        <w:spacing w:line="360" w:lineRule="auto"/>
        <w:ind w:firstLine="482" w:firstLineChars="200"/>
        <w:rPr>
          <w:rFonts w:eastAsiaTheme="minorEastAsia"/>
          <w:b/>
          <w:sz w:val="24"/>
        </w:rPr>
      </w:pPr>
      <w:r>
        <w:rPr>
          <w:rFonts w:hint="eastAsia" w:eastAsiaTheme="minorEastAsia"/>
          <w:b/>
          <w:sz w:val="24"/>
        </w:rPr>
        <w:t>6、各类风险事故应急处理措施</w:t>
      </w:r>
    </w:p>
    <w:p>
      <w:pPr>
        <w:spacing w:line="360" w:lineRule="auto"/>
        <w:ind w:firstLine="480" w:firstLineChars="200"/>
        <w:rPr>
          <w:rFonts w:eastAsiaTheme="minorEastAsia"/>
          <w:sz w:val="24"/>
        </w:rPr>
      </w:pPr>
      <w:r>
        <w:rPr>
          <w:rFonts w:hint="eastAsia" w:eastAsiaTheme="minorEastAsia"/>
          <w:sz w:val="24"/>
        </w:rPr>
        <w:t>（1）柴油泄漏的应急措施</w:t>
      </w:r>
    </w:p>
    <w:p>
      <w:pPr>
        <w:spacing w:line="360" w:lineRule="auto"/>
        <w:ind w:firstLine="480" w:firstLineChars="200"/>
        <w:rPr>
          <w:rFonts w:eastAsiaTheme="minorEastAsia"/>
          <w:sz w:val="24"/>
        </w:rPr>
      </w:pPr>
      <w:r>
        <w:rPr>
          <w:rFonts w:hint="eastAsia" w:eastAsiaTheme="minorEastAsia"/>
          <w:sz w:val="24"/>
        </w:rPr>
        <w:t>启动应急预案同时采取如下措施：</w:t>
      </w:r>
    </w:p>
    <w:p>
      <w:pPr>
        <w:spacing w:line="360" w:lineRule="auto"/>
        <w:ind w:firstLine="480" w:firstLineChars="200"/>
        <w:rPr>
          <w:rFonts w:eastAsiaTheme="minorEastAsia"/>
          <w:sz w:val="24"/>
        </w:rPr>
      </w:pPr>
      <w:r>
        <w:rPr>
          <w:rFonts w:hint="eastAsia" w:eastAsiaTheme="minorEastAsia"/>
          <w:sz w:val="24"/>
        </w:rPr>
        <w:t>A、必要时立即拨打社会应急救援机构电话，向专业堵漏队求助，并向周边居民通报泄漏情况。</w:t>
      </w:r>
    </w:p>
    <w:p>
      <w:pPr>
        <w:spacing w:line="360" w:lineRule="auto"/>
        <w:ind w:firstLine="480" w:firstLineChars="200"/>
        <w:rPr>
          <w:rFonts w:eastAsiaTheme="minorEastAsia"/>
          <w:sz w:val="24"/>
        </w:rPr>
      </w:pPr>
      <w:r>
        <w:rPr>
          <w:rFonts w:hint="eastAsia" w:eastAsiaTheme="minorEastAsia"/>
          <w:sz w:val="24"/>
        </w:rPr>
        <w:t>B、立即疏散各风向可能受火灾影响区域人员，并敬告其他区域人员采取相应的防范措施。</w:t>
      </w:r>
    </w:p>
    <w:p>
      <w:pPr>
        <w:spacing w:line="360" w:lineRule="auto"/>
        <w:ind w:firstLine="480" w:firstLineChars="200"/>
        <w:rPr>
          <w:rFonts w:eastAsiaTheme="minorEastAsia"/>
          <w:sz w:val="24"/>
        </w:rPr>
      </w:pPr>
      <w:r>
        <w:rPr>
          <w:rFonts w:hint="eastAsia" w:eastAsiaTheme="minorEastAsia"/>
          <w:sz w:val="24"/>
        </w:rPr>
        <w:t>C、消防抢险组人员穿戴好防护用品，赶赴事故现场，划出警戒隔离区，杜绝无关人员的进入。</w:t>
      </w:r>
    </w:p>
    <w:p>
      <w:pPr>
        <w:spacing w:line="360" w:lineRule="auto"/>
        <w:ind w:firstLine="480" w:firstLineChars="200"/>
        <w:rPr>
          <w:rFonts w:eastAsiaTheme="minorEastAsia"/>
          <w:sz w:val="24"/>
        </w:rPr>
      </w:pPr>
      <w:r>
        <w:rPr>
          <w:rFonts w:hint="eastAsia" w:eastAsiaTheme="minorEastAsia"/>
          <w:sz w:val="24"/>
        </w:rPr>
        <w:t>（2）人员紧急疏散、撤离</w:t>
      </w:r>
    </w:p>
    <w:p>
      <w:pPr>
        <w:spacing w:line="360" w:lineRule="auto"/>
        <w:ind w:firstLine="480" w:firstLineChars="200"/>
        <w:rPr>
          <w:rFonts w:eastAsiaTheme="minorEastAsia"/>
          <w:sz w:val="24"/>
        </w:rPr>
      </w:pPr>
      <w:r>
        <w:rPr>
          <w:rFonts w:hint="eastAsia" w:eastAsiaTheme="minorEastAsia"/>
          <w:sz w:val="24"/>
        </w:rPr>
        <w:t>A、发生重大事故可能对厂区内人群安全构成威胁时，必须在统一指挥下，紧急疏散与事故应急救援无关的人员。</w:t>
      </w:r>
    </w:p>
    <w:p>
      <w:pPr>
        <w:spacing w:line="360" w:lineRule="auto"/>
        <w:ind w:firstLine="480" w:firstLineChars="200"/>
        <w:rPr>
          <w:rFonts w:eastAsiaTheme="minorEastAsia"/>
          <w:sz w:val="24"/>
        </w:rPr>
      </w:pPr>
      <w:r>
        <w:rPr>
          <w:rFonts w:hint="eastAsia" w:eastAsiaTheme="minorEastAsia"/>
          <w:sz w:val="24"/>
        </w:rPr>
        <w:t>B、公司在最高建筑物上设立“风向标”。疏散的方向、距离和集中地点，必须根据不同事故做出具体规定，总的原则是疏散安全点处于当时的上风向。</w:t>
      </w:r>
    </w:p>
    <w:p>
      <w:pPr>
        <w:spacing w:line="360" w:lineRule="auto"/>
        <w:ind w:firstLine="480" w:firstLineChars="200"/>
        <w:rPr>
          <w:rFonts w:eastAsiaTheme="minorEastAsia"/>
          <w:sz w:val="24"/>
        </w:rPr>
      </w:pPr>
      <w:r>
        <w:rPr>
          <w:rFonts w:hint="eastAsia" w:eastAsiaTheme="minorEastAsia"/>
          <w:sz w:val="24"/>
        </w:rPr>
        <w:t>C、当事故可能威胁到厂外居民安全时，应急指挥部应立即和当地有关部门联系，引导人员迅速撤离到安全地点。</w:t>
      </w:r>
    </w:p>
    <w:p>
      <w:pPr>
        <w:spacing w:line="360" w:lineRule="auto"/>
        <w:ind w:firstLine="480" w:firstLineChars="200"/>
        <w:rPr>
          <w:rFonts w:eastAsiaTheme="minorEastAsia"/>
          <w:sz w:val="24"/>
        </w:rPr>
      </w:pPr>
      <w:r>
        <w:rPr>
          <w:rFonts w:hint="eastAsia" w:eastAsiaTheme="minorEastAsia"/>
          <w:sz w:val="24"/>
        </w:rPr>
        <w:t>D、当一级警报发出后，全体员工应关闭正在操作设备，同时按照《紧急疏散示意图》到指定地点集合。</w:t>
      </w:r>
    </w:p>
    <w:p>
      <w:pPr>
        <w:spacing w:line="360" w:lineRule="auto"/>
        <w:ind w:firstLine="480" w:firstLineChars="200"/>
        <w:rPr>
          <w:rFonts w:eastAsiaTheme="minorEastAsia"/>
          <w:sz w:val="24"/>
        </w:rPr>
      </w:pPr>
      <w:r>
        <w:rPr>
          <w:rFonts w:hint="eastAsia" w:eastAsiaTheme="minorEastAsia"/>
          <w:sz w:val="24"/>
        </w:rPr>
        <w:t>E、厂区内所有工作人员必须熟悉有关疏散程序，撤离前应按要求关闭有关的设备和设施，必须在事故应急救援指挥部的统一领导下，严守纪律，通力合作，确保紧急疏散、撤离工作正常有序地展开。</w:t>
      </w:r>
    </w:p>
    <w:p>
      <w:pPr>
        <w:spacing w:line="360" w:lineRule="auto"/>
        <w:ind w:firstLine="480" w:firstLineChars="200"/>
        <w:rPr>
          <w:rFonts w:eastAsiaTheme="minorEastAsia"/>
          <w:sz w:val="24"/>
        </w:rPr>
      </w:pPr>
      <w:r>
        <w:rPr>
          <w:rFonts w:hint="eastAsia" w:eastAsiaTheme="minorEastAsia"/>
          <w:sz w:val="24"/>
        </w:rPr>
        <w:t>F、针对伤员，应根据伤员的症状进行分类，并作出相应的标志（红、黄、绿、黑色），即在伤员的前胸或上臂上佩带不同颜色的标牌以区分伤员的中毒情况，以便医护人员对危重伤员进行抢救，对轻微中毒人员给予必要的检查和处理。依据检伤结果对患者进行现场紧急抢救方案。</w:t>
      </w:r>
    </w:p>
    <w:p>
      <w:pPr>
        <w:spacing w:line="360" w:lineRule="auto"/>
        <w:ind w:firstLine="482" w:firstLineChars="200"/>
        <w:rPr>
          <w:rFonts w:eastAsiaTheme="minorEastAsia"/>
          <w:b/>
          <w:sz w:val="24"/>
        </w:rPr>
      </w:pPr>
      <w:r>
        <w:rPr>
          <w:rFonts w:hint="eastAsia" w:eastAsiaTheme="minorEastAsia"/>
          <w:b/>
          <w:sz w:val="24"/>
        </w:rPr>
        <w:t>7、现场善后处理与终止救援程序</w:t>
      </w:r>
    </w:p>
    <w:p>
      <w:pPr>
        <w:spacing w:line="360" w:lineRule="auto"/>
        <w:ind w:firstLine="480" w:firstLineChars="200"/>
        <w:rPr>
          <w:rFonts w:eastAsiaTheme="minorEastAsia"/>
          <w:sz w:val="24"/>
        </w:rPr>
      </w:pPr>
      <w:r>
        <w:rPr>
          <w:rFonts w:hint="eastAsia" w:eastAsiaTheme="minorEastAsia"/>
          <w:sz w:val="24"/>
        </w:rPr>
        <w:t>事故发生后产生的消防废水等各种废水不许直接外排，必须经废水处理站处理，经环保部门监测其污染物浓度达到排放标准后，方可外排环境。火灾、爆炸、有害有毒物质泄漏等事故的应急处置现场均应设洗消站，对应急处置过程中收集的泄漏物、消防废水等进行集中处理，对应急处置人员用过的器具进行洗消。利用救灾资金对损坏的设备、仪表、管线等进行维修，积极开展灾后重建工作。</w:t>
      </w:r>
    </w:p>
    <w:p>
      <w:pPr>
        <w:spacing w:line="360" w:lineRule="auto"/>
        <w:ind w:firstLine="480" w:firstLineChars="200"/>
        <w:rPr>
          <w:rFonts w:eastAsiaTheme="minorEastAsia"/>
          <w:sz w:val="24"/>
        </w:rPr>
      </w:pPr>
      <w:r>
        <w:rPr>
          <w:rFonts w:hint="eastAsia" w:eastAsiaTheme="minorEastAsia"/>
          <w:sz w:val="24"/>
        </w:rPr>
        <w:t>如果所有火灾均已扑灭，且没有重新点燃的危险；成功堵漏，所有固体、液体、气体泄漏物均已得到收集、隔离、洗消；可燃和有毒气体的浓度均已降到安全水平，并且符合我国相关环保标准的要求；伤亡人员均得到及时救护处置；危险建筑物残部得到处理，无坍塌、倾倒危险；或其他应该满足的条件时，由应急救援指挥中心宣布应急救援工作结束。</w:t>
      </w:r>
    </w:p>
    <w:p>
      <w:pPr>
        <w:spacing w:line="360" w:lineRule="auto"/>
        <w:ind w:firstLine="480" w:firstLineChars="200"/>
        <w:rPr>
          <w:rFonts w:eastAsiaTheme="minorEastAsia"/>
          <w:sz w:val="24"/>
        </w:rPr>
      </w:pPr>
      <w:r>
        <w:rPr>
          <w:rFonts w:hint="eastAsia" w:eastAsiaTheme="minorEastAsia"/>
          <w:sz w:val="24"/>
        </w:rPr>
        <w:t>由应急救援领导小组根据所发生危险化学品事故的危害和影响，组建事故调查组，彻底查清事故原因，明确事故责任，总结经验教训，并根据引发事故的直接原因和间接原因，提出整改建议和措施，形成事故调查报告。</w:t>
      </w:r>
    </w:p>
    <w:p>
      <w:pPr>
        <w:spacing w:line="360" w:lineRule="auto"/>
        <w:ind w:firstLine="482" w:firstLineChars="200"/>
        <w:rPr>
          <w:rFonts w:eastAsiaTheme="minorEastAsia"/>
          <w:b/>
          <w:sz w:val="24"/>
        </w:rPr>
      </w:pPr>
      <w:r>
        <w:rPr>
          <w:rFonts w:hint="eastAsia" w:eastAsiaTheme="minorEastAsia"/>
          <w:b/>
          <w:sz w:val="24"/>
        </w:rPr>
        <w:t>8、应急培训计划和演练计划</w:t>
      </w:r>
    </w:p>
    <w:p>
      <w:pPr>
        <w:spacing w:line="360" w:lineRule="auto"/>
        <w:ind w:firstLine="480" w:firstLineChars="200"/>
        <w:rPr>
          <w:rFonts w:eastAsiaTheme="minorEastAsia"/>
          <w:sz w:val="24"/>
        </w:rPr>
      </w:pPr>
      <w:r>
        <w:rPr>
          <w:rFonts w:hint="eastAsia" w:eastAsiaTheme="minorEastAsia"/>
          <w:sz w:val="24"/>
        </w:rPr>
        <w:t>开展面向员工的应对突发事故相关知识的培训，将突发事故预防、应急指挥、综合协调等作为重要培训内容，以提高公司人员应对突发事故的能力。同时还应坚持安全教育和定期组织演练，增强应急响应敏感度。</w:t>
      </w:r>
    </w:p>
    <w:p>
      <w:pPr>
        <w:spacing w:line="360" w:lineRule="auto"/>
        <w:ind w:firstLine="480" w:firstLineChars="200"/>
        <w:rPr>
          <w:rFonts w:eastAsiaTheme="minorEastAsia"/>
          <w:sz w:val="24"/>
        </w:rPr>
      </w:pPr>
      <w:r>
        <w:rPr>
          <w:rFonts w:hint="eastAsia" w:eastAsiaTheme="minorEastAsia"/>
          <w:sz w:val="24"/>
        </w:rPr>
        <w:t>为了在事故发生后，迅速准确、有条不紊地应对事故，尽可能减小事故造成的损失，平时必须做好应急救援的准备工作，具体措施有：落实应急救援组织。每年初要根据人员变化进行组织调整，确保救援组织的落实。按照任务分工做好物质器材准备，专人保管，定期维修，使其处于良好状态。每月定期检查应急救援工作落实情况及器材管理、维护情况。定期组织应急救援演练，每年进行2次由公司应急救援指挥部牵头进行的公司消防联合演习。</w:t>
      </w:r>
    </w:p>
    <w:p>
      <w:pPr>
        <w:adjustRightInd w:val="0"/>
        <w:snapToGrid w:val="0"/>
        <w:spacing w:line="360" w:lineRule="auto"/>
        <w:ind w:firstLine="482" w:firstLineChars="200"/>
        <w:outlineLvl w:val="3"/>
        <w:rPr>
          <w:rFonts w:eastAsiaTheme="majorEastAsia"/>
          <w:b/>
          <w:sz w:val="24"/>
        </w:rPr>
      </w:pPr>
      <w:r>
        <w:rPr>
          <w:rFonts w:hint="eastAsia" w:eastAsiaTheme="majorEastAsia"/>
          <w:b/>
          <w:sz w:val="24"/>
        </w:rPr>
        <w:t>7.2.</w:t>
      </w:r>
      <w:r>
        <w:rPr>
          <w:rFonts w:hint="eastAsia" w:eastAsiaTheme="majorEastAsia"/>
          <w:b/>
          <w:sz w:val="24"/>
          <w:lang w:val="en-US" w:eastAsia="zh-CN"/>
        </w:rPr>
        <w:t>7</w:t>
      </w:r>
      <w:r>
        <w:rPr>
          <w:rFonts w:hint="eastAsia" w:eastAsiaTheme="majorEastAsia"/>
          <w:b/>
          <w:sz w:val="24"/>
        </w:rPr>
        <w:t>.4 风险评价结论</w:t>
      </w:r>
    </w:p>
    <w:p>
      <w:pPr>
        <w:spacing w:line="360" w:lineRule="auto"/>
        <w:ind w:firstLine="480" w:firstLineChars="200"/>
        <w:rPr>
          <w:rFonts w:eastAsiaTheme="minorEastAsia"/>
          <w:sz w:val="24"/>
        </w:rPr>
      </w:pPr>
      <w:r>
        <w:rPr>
          <w:rFonts w:hint="eastAsia" w:eastAsiaTheme="minorEastAsia"/>
          <w:sz w:val="24"/>
        </w:rPr>
        <w:t>本项目运营期的环境风险主要来源于柴油储存间发生火灾事故，废水事故排放事故，疾病传染事故。分析表明，本项目通过采取风险防范措施、综合管理措施、制定风险应急预案等措施可以有效防止事故发生或降低事故的损害程度，从环境风险角度分析，本项目的环境风险是可以接受的。</w:t>
      </w:r>
    </w:p>
    <w:p>
      <w:pPr>
        <w:spacing w:line="360" w:lineRule="auto"/>
        <w:ind w:firstLine="480" w:firstLineChars="200"/>
        <w:rPr>
          <w:rFonts w:eastAsiaTheme="minorEastAsia"/>
          <w:sz w:val="24"/>
        </w:rPr>
      </w:pPr>
      <w:r>
        <w:rPr>
          <w:rFonts w:hint="eastAsia" w:eastAsiaTheme="minorEastAsia"/>
          <w:sz w:val="24"/>
        </w:rPr>
        <w:t>项目环境风险简单分析内容见表7.2-3。</w:t>
      </w:r>
    </w:p>
    <w:p>
      <w:pPr>
        <w:spacing w:beforeLines="50"/>
        <w:jc w:val="center"/>
        <w:rPr>
          <w:b/>
          <w:sz w:val="24"/>
        </w:rPr>
      </w:pPr>
      <w:r>
        <w:rPr>
          <w:b/>
        </w:rPr>
        <w:t>表</w:t>
      </w:r>
      <w:r>
        <w:rPr>
          <w:rFonts w:hint="eastAsia"/>
          <w:b/>
        </w:rPr>
        <w:t>7.2-3  项目建设项目环境风险简单分析内容表</w:t>
      </w:r>
    </w:p>
    <w:tbl>
      <w:tblPr>
        <w:tblStyle w:val="4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951"/>
        <w:gridCol w:w="1459"/>
        <w:gridCol w:w="1706"/>
        <w:gridCol w:w="1706"/>
        <w:gridCol w:w="17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951" w:type="dxa"/>
            <w:vAlign w:val="center"/>
          </w:tcPr>
          <w:p>
            <w:pPr>
              <w:jc w:val="center"/>
              <w:rPr>
                <w:b/>
                <w:szCs w:val="21"/>
              </w:rPr>
            </w:pPr>
            <w:r>
              <w:rPr>
                <w:b/>
                <w:szCs w:val="21"/>
              </w:rPr>
              <w:t>建设项目名称</w:t>
            </w:r>
          </w:p>
        </w:tc>
        <w:tc>
          <w:tcPr>
            <w:tcW w:w="6577" w:type="dxa"/>
            <w:gridSpan w:val="4"/>
            <w:vAlign w:val="center"/>
          </w:tcPr>
          <w:p>
            <w:pPr>
              <w:jc w:val="center"/>
              <w:rPr>
                <w:szCs w:val="21"/>
              </w:rPr>
            </w:pPr>
            <w:r>
              <w:rPr>
                <w:rFonts w:hint="eastAsia"/>
                <w:szCs w:val="21"/>
              </w:rPr>
              <w:t>湖南安发原生态农业旅游开发有限公司台源蛋鸡养殖二场建设项目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951" w:type="dxa"/>
            <w:vAlign w:val="center"/>
          </w:tcPr>
          <w:p>
            <w:pPr>
              <w:jc w:val="center"/>
              <w:rPr>
                <w:b/>
                <w:szCs w:val="21"/>
              </w:rPr>
            </w:pPr>
            <w:r>
              <w:rPr>
                <w:b/>
                <w:szCs w:val="21"/>
              </w:rPr>
              <w:t>建设地点</w:t>
            </w:r>
          </w:p>
        </w:tc>
        <w:tc>
          <w:tcPr>
            <w:tcW w:w="1459" w:type="dxa"/>
            <w:vAlign w:val="center"/>
          </w:tcPr>
          <w:p>
            <w:pPr>
              <w:jc w:val="center"/>
              <w:rPr>
                <w:szCs w:val="21"/>
              </w:rPr>
            </w:pPr>
            <w:r>
              <w:rPr>
                <w:szCs w:val="21"/>
              </w:rPr>
              <w:t>湖南省</w:t>
            </w:r>
          </w:p>
        </w:tc>
        <w:tc>
          <w:tcPr>
            <w:tcW w:w="1706" w:type="dxa"/>
            <w:vAlign w:val="center"/>
          </w:tcPr>
          <w:p>
            <w:pPr>
              <w:jc w:val="center"/>
              <w:rPr>
                <w:szCs w:val="21"/>
              </w:rPr>
            </w:pPr>
            <w:r>
              <w:rPr>
                <w:rFonts w:hint="eastAsia"/>
                <w:szCs w:val="21"/>
              </w:rPr>
              <w:t>衡阳县</w:t>
            </w:r>
          </w:p>
        </w:tc>
        <w:tc>
          <w:tcPr>
            <w:tcW w:w="1706" w:type="dxa"/>
            <w:vAlign w:val="center"/>
          </w:tcPr>
          <w:p>
            <w:pPr>
              <w:jc w:val="center"/>
              <w:rPr>
                <w:szCs w:val="21"/>
              </w:rPr>
            </w:pPr>
            <w:r>
              <w:rPr>
                <w:szCs w:val="21"/>
              </w:rPr>
              <w:t>台源镇</w:t>
            </w:r>
          </w:p>
        </w:tc>
        <w:tc>
          <w:tcPr>
            <w:tcW w:w="1706" w:type="dxa"/>
            <w:vAlign w:val="center"/>
          </w:tcPr>
          <w:p>
            <w:pPr>
              <w:jc w:val="center"/>
              <w:rPr>
                <w:szCs w:val="21"/>
              </w:rPr>
            </w:pPr>
            <w:r>
              <w:rPr>
                <w:rFonts w:hint="eastAsia"/>
                <w:bCs/>
                <w:szCs w:val="21"/>
              </w:rPr>
              <w:t>紫霞村、前进村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951" w:type="dxa"/>
            <w:vAlign w:val="center"/>
          </w:tcPr>
          <w:p>
            <w:pPr>
              <w:jc w:val="center"/>
              <w:rPr>
                <w:b/>
                <w:szCs w:val="21"/>
              </w:rPr>
            </w:pPr>
            <w:r>
              <w:rPr>
                <w:b/>
                <w:szCs w:val="21"/>
              </w:rPr>
              <w:t>地理坐标</w:t>
            </w:r>
          </w:p>
        </w:tc>
        <w:tc>
          <w:tcPr>
            <w:tcW w:w="1459" w:type="dxa"/>
            <w:vAlign w:val="center"/>
          </w:tcPr>
          <w:p>
            <w:pPr>
              <w:jc w:val="center"/>
              <w:rPr>
                <w:szCs w:val="21"/>
              </w:rPr>
            </w:pPr>
            <w:r>
              <w:rPr>
                <w:szCs w:val="21"/>
              </w:rPr>
              <w:t>经度</w:t>
            </w:r>
          </w:p>
        </w:tc>
        <w:tc>
          <w:tcPr>
            <w:tcW w:w="1706" w:type="dxa"/>
            <w:vAlign w:val="center"/>
          </w:tcPr>
          <w:p>
            <w:pPr>
              <w:jc w:val="center"/>
              <w:rPr>
                <w:szCs w:val="21"/>
              </w:rPr>
            </w:pPr>
            <w:r>
              <w:rPr>
                <w:szCs w:val="21"/>
              </w:rPr>
              <w:t>112.400339°</w:t>
            </w:r>
          </w:p>
        </w:tc>
        <w:tc>
          <w:tcPr>
            <w:tcW w:w="1706" w:type="dxa"/>
            <w:vAlign w:val="center"/>
          </w:tcPr>
          <w:p>
            <w:pPr>
              <w:jc w:val="center"/>
              <w:rPr>
                <w:szCs w:val="21"/>
              </w:rPr>
            </w:pPr>
            <w:r>
              <w:rPr>
                <w:szCs w:val="21"/>
              </w:rPr>
              <w:t>纬度</w:t>
            </w:r>
          </w:p>
        </w:tc>
        <w:tc>
          <w:tcPr>
            <w:tcW w:w="1706" w:type="dxa"/>
            <w:vAlign w:val="center"/>
          </w:tcPr>
          <w:p>
            <w:pPr>
              <w:jc w:val="center"/>
              <w:rPr>
                <w:szCs w:val="21"/>
              </w:rPr>
            </w:pPr>
            <w:r>
              <w:rPr>
                <w:szCs w:val="21"/>
              </w:rPr>
              <w:t>27.071417°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951" w:type="dxa"/>
            <w:vAlign w:val="center"/>
          </w:tcPr>
          <w:p>
            <w:pPr>
              <w:jc w:val="center"/>
              <w:rPr>
                <w:b/>
                <w:szCs w:val="21"/>
              </w:rPr>
            </w:pPr>
            <w:r>
              <w:rPr>
                <w:b/>
                <w:szCs w:val="21"/>
              </w:rPr>
              <w:t>主要危险物质及分布</w:t>
            </w:r>
          </w:p>
        </w:tc>
        <w:tc>
          <w:tcPr>
            <w:tcW w:w="6577" w:type="dxa"/>
            <w:gridSpan w:val="4"/>
            <w:vAlign w:val="center"/>
          </w:tcPr>
          <w:p>
            <w:pPr>
              <w:jc w:val="center"/>
              <w:rPr>
                <w:szCs w:val="21"/>
              </w:rPr>
            </w:pPr>
            <w:r>
              <w:rPr>
                <w:rFonts w:hint="eastAsia"/>
                <w:szCs w:val="21"/>
              </w:rPr>
              <w:t>柴油，柴油储存间，消毒剂，消毒剂储存间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951" w:type="dxa"/>
            <w:vAlign w:val="center"/>
          </w:tcPr>
          <w:p>
            <w:pPr>
              <w:jc w:val="center"/>
              <w:rPr>
                <w:b/>
                <w:szCs w:val="21"/>
              </w:rPr>
            </w:pPr>
            <w:r>
              <w:rPr>
                <w:b/>
                <w:szCs w:val="21"/>
              </w:rPr>
              <w:t>环境影响途径及危害后果</w:t>
            </w:r>
          </w:p>
        </w:tc>
        <w:tc>
          <w:tcPr>
            <w:tcW w:w="6577" w:type="dxa"/>
            <w:gridSpan w:val="4"/>
            <w:vAlign w:val="center"/>
          </w:tcPr>
          <w:p>
            <w:pPr>
              <w:jc w:val="center"/>
              <w:rPr>
                <w:szCs w:val="21"/>
              </w:rPr>
            </w:pPr>
            <w:r>
              <w:rPr>
                <w:rFonts w:hint="eastAsia"/>
                <w:szCs w:val="21"/>
              </w:rPr>
              <w:t>柴油储存建发生火灾事故，造成大气污染；废水事故排放，对区域地表水、土壤及地下水造成污染；病死鸡</w:t>
            </w:r>
            <w:r>
              <w:rPr>
                <w:rFonts w:hint="eastAsia"/>
                <w:szCs w:val="21"/>
                <w:lang w:eastAsia="zh-CN"/>
              </w:rPr>
              <w:t>冷柜</w:t>
            </w:r>
            <w:r>
              <w:rPr>
                <w:rFonts w:hint="eastAsia"/>
                <w:szCs w:val="21"/>
              </w:rPr>
              <w:t>故障导致病死鸡腐烂，产生恶臭污染大气；鸡发生疾病传染事故。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951" w:type="dxa"/>
            <w:vAlign w:val="center"/>
          </w:tcPr>
          <w:p>
            <w:pPr>
              <w:jc w:val="center"/>
              <w:rPr>
                <w:b/>
                <w:szCs w:val="21"/>
              </w:rPr>
            </w:pPr>
            <w:r>
              <w:rPr>
                <w:b/>
                <w:szCs w:val="21"/>
              </w:rPr>
              <w:t>风险防范措施要求</w:t>
            </w:r>
          </w:p>
        </w:tc>
        <w:tc>
          <w:tcPr>
            <w:tcW w:w="6577" w:type="dxa"/>
            <w:gridSpan w:val="4"/>
            <w:vAlign w:val="center"/>
          </w:tcPr>
          <w:p>
            <w:pPr>
              <w:jc w:val="center"/>
              <w:rPr>
                <w:szCs w:val="21"/>
              </w:rPr>
            </w:pPr>
            <w:r>
              <w:rPr>
                <w:rFonts w:hint="eastAsia"/>
                <w:szCs w:val="21"/>
              </w:rPr>
              <w:t>加强管理，场区分区防渗处理，加强环保设备的巡检；加强病死鸡</w:t>
            </w:r>
            <w:r>
              <w:rPr>
                <w:rFonts w:hint="eastAsia"/>
                <w:szCs w:val="21"/>
                <w:lang w:val="en-US" w:eastAsia="zh-CN"/>
              </w:rPr>
              <w:t>冷柜</w:t>
            </w:r>
            <w:r>
              <w:rPr>
                <w:rFonts w:hint="eastAsia"/>
                <w:szCs w:val="21"/>
              </w:rPr>
              <w:t>设备管理维护；做好场区车流、物流及人流消毒等</w:t>
            </w:r>
          </w:p>
        </w:tc>
      </w:tr>
    </w:tbl>
    <w:p>
      <w:pPr>
        <w:pStyle w:val="7"/>
        <w:adjustRightInd w:val="0"/>
        <w:snapToGrid w:val="0"/>
        <w:spacing w:before="0" w:after="0" w:line="360" w:lineRule="auto"/>
        <w:jc w:val="left"/>
        <w:rPr>
          <w:sz w:val="24"/>
          <w:szCs w:val="24"/>
        </w:rPr>
      </w:pPr>
      <w:r>
        <w:rPr>
          <w:rFonts w:hint="eastAsia"/>
          <w:sz w:val="24"/>
          <w:szCs w:val="24"/>
        </w:rPr>
        <w:t>7</w:t>
      </w:r>
      <w:r>
        <w:rPr>
          <w:sz w:val="24"/>
          <w:szCs w:val="24"/>
        </w:rPr>
        <w:t>.</w:t>
      </w:r>
      <w:r>
        <w:rPr>
          <w:rFonts w:hint="eastAsia"/>
          <w:sz w:val="24"/>
          <w:szCs w:val="24"/>
        </w:rPr>
        <w:t>2.</w:t>
      </w:r>
      <w:r>
        <w:rPr>
          <w:rFonts w:hint="eastAsia"/>
          <w:sz w:val="24"/>
          <w:szCs w:val="24"/>
          <w:lang w:val="en-US" w:eastAsia="zh-CN"/>
        </w:rPr>
        <w:t>8</w:t>
      </w:r>
      <w:r>
        <w:rPr>
          <w:rFonts w:hint="eastAsia"/>
          <w:sz w:val="24"/>
          <w:szCs w:val="24"/>
        </w:rPr>
        <w:t xml:space="preserve"> 交通运输污染防治措施</w:t>
      </w:r>
    </w:p>
    <w:p>
      <w:pPr>
        <w:spacing w:line="360" w:lineRule="auto"/>
        <w:ind w:firstLine="482" w:firstLineChars="200"/>
        <w:rPr>
          <w:b/>
          <w:kern w:val="0"/>
          <w:sz w:val="24"/>
          <w:szCs w:val="20"/>
        </w:rPr>
      </w:pPr>
      <w:r>
        <w:rPr>
          <w:rFonts w:hint="eastAsia"/>
          <w:b/>
          <w:kern w:val="0"/>
          <w:sz w:val="24"/>
          <w:szCs w:val="20"/>
        </w:rPr>
        <w:t>1、交通运输噪声防治措施</w:t>
      </w:r>
    </w:p>
    <w:p>
      <w:pPr>
        <w:spacing w:line="360" w:lineRule="auto"/>
        <w:ind w:firstLine="480" w:firstLineChars="200"/>
        <w:rPr>
          <w:kern w:val="0"/>
          <w:sz w:val="24"/>
          <w:szCs w:val="20"/>
        </w:rPr>
      </w:pPr>
      <w:r>
        <w:rPr>
          <w:rFonts w:hint="eastAsia"/>
          <w:kern w:val="0"/>
          <w:sz w:val="24"/>
          <w:szCs w:val="20"/>
        </w:rPr>
        <w:t>为了减轻因车辆的增加而引起交通噪声，建议加强一下措施进行防范：</w:t>
      </w:r>
    </w:p>
    <w:p>
      <w:pPr>
        <w:spacing w:line="360" w:lineRule="auto"/>
        <w:ind w:firstLine="480" w:firstLineChars="200"/>
        <w:rPr>
          <w:kern w:val="0"/>
          <w:sz w:val="24"/>
          <w:szCs w:val="20"/>
        </w:rPr>
      </w:pPr>
      <w:r>
        <w:rPr>
          <w:rFonts w:hint="eastAsia"/>
          <w:kern w:val="0"/>
          <w:sz w:val="24"/>
          <w:szCs w:val="20"/>
        </w:rPr>
        <w:t>①根据生产实际情况，合理调度汽车运输。汽车运输尽量选择白天进行，在夜间22时以后就必须停止任何运输活动，这样避免因夜间运输出现的声环境超标现象。</w:t>
      </w:r>
    </w:p>
    <w:p>
      <w:pPr>
        <w:spacing w:line="360" w:lineRule="auto"/>
        <w:ind w:firstLine="480" w:firstLineChars="200"/>
        <w:rPr>
          <w:kern w:val="0"/>
          <w:sz w:val="24"/>
          <w:szCs w:val="20"/>
        </w:rPr>
      </w:pPr>
      <w:r>
        <w:rPr>
          <w:rFonts w:hint="eastAsia"/>
          <w:kern w:val="0"/>
          <w:sz w:val="24"/>
          <w:szCs w:val="20"/>
        </w:rPr>
        <w:t>②优化运输路线，尽量选择距离居民敏感点较远、地域比较开阔的地段。</w:t>
      </w:r>
    </w:p>
    <w:p>
      <w:pPr>
        <w:spacing w:line="360" w:lineRule="auto"/>
        <w:ind w:firstLine="482" w:firstLineChars="200"/>
        <w:rPr>
          <w:b/>
          <w:kern w:val="0"/>
          <w:sz w:val="24"/>
          <w:szCs w:val="20"/>
        </w:rPr>
      </w:pPr>
      <w:r>
        <w:rPr>
          <w:rFonts w:hint="eastAsia"/>
          <w:b/>
          <w:kern w:val="0"/>
          <w:sz w:val="24"/>
          <w:szCs w:val="20"/>
        </w:rPr>
        <w:t>2、运输沿线恶臭防治措施</w:t>
      </w:r>
    </w:p>
    <w:p>
      <w:pPr>
        <w:spacing w:line="360" w:lineRule="auto"/>
        <w:ind w:firstLine="480" w:firstLineChars="200"/>
        <w:rPr>
          <w:kern w:val="0"/>
          <w:sz w:val="24"/>
          <w:szCs w:val="20"/>
        </w:rPr>
      </w:pPr>
      <w:r>
        <w:rPr>
          <w:rFonts w:hint="eastAsia"/>
          <w:kern w:val="0"/>
          <w:sz w:val="24"/>
          <w:szCs w:val="20"/>
        </w:rPr>
        <w:t>①运输车辆注意消毒，保持清洁。</w:t>
      </w:r>
    </w:p>
    <w:p>
      <w:pPr>
        <w:spacing w:line="360" w:lineRule="auto"/>
        <w:ind w:firstLine="480" w:firstLineChars="200"/>
        <w:rPr>
          <w:kern w:val="0"/>
          <w:sz w:val="24"/>
          <w:szCs w:val="20"/>
        </w:rPr>
      </w:pPr>
      <w:r>
        <w:rPr>
          <w:rFonts w:hint="eastAsia"/>
          <w:kern w:val="0"/>
          <w:sz w:val="24"/>
          <w:szCs w:val="20"/>
        </w:rPr>
        <w:t>②运输淘汰鸡的车辆车身尽量遮盖，运输有机肥采用密闭式车厢，防止恶臭溢出，减小恶臭对沿线居民的影响。</w:t>
      </w:r>
    </w:p>
    <w:p>
      <w:pPr>
        <w:spacing w:line="360" w:lineRule="auto"/>
        <w:ind w:firstLine="480" w:firstLineChars="200"/>
        <w:rPr>
          <w:kern w:val="0"/>
          <w:sz w:val="24"/>
          <w:szCs w:val="20"/>
        </w:rPr>
      </w:pPr>
      <w:r>
        <w:rPr>
          <w:rFonts w:hint="eastAsia"/>
          <w:kern w:val="0"/>
          <w:sz w:val="24"/>
          <w:szCs w:val="20"/>
        </w:rPr>
        <w:t>③运输车辆必须按定额载重量运输，严禁超载行驶。</w:t>
      </w:r>
    </w:p>
    <w:p>
      <w:pPr>
        <w:pStyle w:val="7"/>
        <w:adjustRightInd w:val="0"/>
        <w:snapToGrid w:val="0"/>
        <w:spacing w:before="0" w:after="0" w:line="360" w:lineRule="auto"/>
        <w:jc w:val="left"/>
        <w:rPr>
          <w:sz w:val="24"/>
          <w:szCs w:val="24"/>
        </w:rPr>
      </w:pPr>
      <w:r>
        <w:rPr>
          <w:rFonts w:hint="eastAsia"/>
          <w:sz w:val="24"/>
          <w:szCs w:val="24"/>
        </w:rPr>
        <w:t>7</w:t>
      </w:r>
      <w:r>
        <w:rPr>
          <w:sz w:val="24"/>
          <w:szCs w:val="24"/>
        </w:rPr>
        <w:t>.</w:t>
      </w:r>
      <w:r>
        <w:rPr>
          <w:rFonts w:hint="eastAsia"/>
          <w:sz w:val="24"/>
          <w:szCs w:val="24"/>
        </w:rPr>
        <w:t>2.</w:t>
      </w:r>
      <w:r>
        <w:rPr>
          <w:rFonts w:hint="eastAsia"/>
          <w:sz w:val="24"/>
          <w:szCs w:val="24"/>
          <w:lang w:val="en-US" w:eastAsia="zh-CN"/>
        </w:rPr>
        <w:t>9</w:t>
      </w:r>
      <w:r>
        <w:rPr>
          <w:rFonts w:hint="eastAsia"/>
          <w:sz w:val="24"/>
          <w:szCs w:val="24"/>
        </w:rPr>
        <w:t xml:space="preserve"> </w:t>
      </w:r>
      <w:r>
        <w:rPr>
          <w:sz w:val="24"/>
          <w:szCs w:val="24"/>
        </w:rPr>
        <w:t>绿化措施</w:t>
      </w:r>
    </w:p>
    <w:p>
      <w:pPr>
        <w:autoSpaceDE w:val="0"/>
        <w:autoSpaceDN w:val="0"/>
        <w:adjustRightInd w:val="0"/>
        <w:spacing w:line="360" w:lineRule="auto"/>
        <w:ind w:firstLine="480" w:firstLineChars="200"/>
        <w:rPr>
          <w:rFonts w:ascii="宋体" w:cs="宋体" w:hAnsiTheme="minorHAnsi"/>
          <w:kern w:val="0"/>
          <w:sz w:val="24"/>
        </w:rPr>
      </w:pPr>
      <w:r>
        <w:rPr>
          <w:rFonts w:hint="eastAsia" w:ascii="宋体" w:cs="宋体" w:hAnsiTheme="minorHAnsi"/>
          <w:kern w:val="0"/>
          <w:sz w:val="24"/>
        </w:rPr>
        <w:t>绿色植物是城市生态中不可缺少的一个重要组成部分。绿色植物不仅能美化城市、吸收二氧化碳制造氧气，而且具有吸收有害气体、吸附尘粒、杀菌、改善小气候、吸收太阳辐射、降低环境温度、避震、防噪音和监测空气污染等许多方面的长期和综合效果，这是任何其他措施所不能代替的。</w:t>
      </w:r>
    </w:p>
    <w:p>
      <w:pPr>
        <w:autoSpaceDE w:val="0"/>
        <w:autoSpaceDN w:val="0"/>
        <w:adjustRightInd w:val="0"/>
        <w:spacing w:line="360" w:lineRule="auto"/>
        <w:ind w:firstLine="480" w:firstLineChars="200"/>
        <w:rPr>
          <w:rFonts w:ascii="宋体" w:cs="宋体" w:hAnsiTheme="minorHAnsi"/>
          <w:kern w:val="0"/>
          <w:sz w:val="24"/>
        </w:rPr>
      </w:pPr>
      <w:r>
        <w:rPr>
          <w:rFonts w:hint="eastAsia" w:ascii="宋体" w:cs="宋体" w:hAnsiTheme="minorHAnsi"/>
          <w:kern w:val="0"/>
          <w:sz w:val="24"/>
        </w:rPr>
        <w:t>项目投入营运后，猪只粪尿、粪污储存间、污水处理设施会有恶臭产生。因此充分利用绿色植物的吸附、阻滞功能，积极在场区内外采取有效的绿化措施是非常必要的。项目拟在各幢猪舍间以绿化带或道路相隔，生产区四周由外至内建绿化林带。</w:t>
      </w:r>
    </w:p>
    <w:p>
      <w:pPr>
        <w:autoSpaceDE w:val="0"/>
        <w:autoSpaceDN w:val="0"/>
        <w:adjustRightInd w:val="0"/>
        <w:spacing w:line="360" w:lineRule="auto"/>
        <w:ind w:firstLine="480" w:firstLineChars="200"/>
        <w:rPr>
          <w:kern w:val="0"/>
          <w:sz w:val="24"/>
        </w:rPr>
      </w:pPr>
      <w:r>
        <w:rPr>
          <w:kern w:val="0"/>
          <w:sz w:val="24"/>
        </w:rPr>
        <w:t>绿色植物吸收有害气体主要靠叶面进行的。1万平方米高大森林，其叶面积可达75万平方米草坪，1万平方米草坪，其叶面积为22~28万平方米，庞大的叶面积在净化大气方面起到了重要作用。因此，建议场区周围及厂内道路两側种植対恶臭气体吸收能力较强的树木，吸收有害气体，杀灭细菌，降低其在周围环境中的浓度。</w:t>
      </w:r>
    </w:p>
    <w:p>
      <w:pPr>
        <w:autoSpaceDE w:val="0"/>
        <w:autoSpaceDN w:val="0"/>
        <w:adjustRightInd w:val="0"/>
        <w:spacing w:line="360" w:lineRule="auto"/>
        <w:ind w:firstLine="480" w:firstLineChars="200"/>
        <w:rPr>
          <w:kern w:val="0"/>
          <w:sz w:val="24"/>
        </w:rPr>
      </w:pPr>
      <w:r>
        <w:rPr>
          <w:rFonts w:hint="eastAsia"/>
          <w:kern w:val="0"/>
          <w:sz w:val="24"/>
        </w:rPr>
        <w:t>绿色植物，特别是树木，对粉尘也有明显的阻挡、过滤和吸附作用。树木的枝冠能降低风速，使灰尘下降，叶子表面不平，还分泌粘性的油汁和汁浆，能吸附空气中的尘埃。一般情况下，绿化树木能使尘量降低23~25%；而而飘尘量减少37~60%，落叶阔叶树比常绿阔叶树滞尘能力要强。</w:t>
      </w:r>
    </w:p>
    <w:p>
      <w:pPr>
        <w:autoSpaceDE w:val="0"/>
        <w:autoSpaceDN w:val="0"/>
        <w:adjustRightInd w:val="0"/>
        <w:spacing w:line="360" w:lineRule="auto"/>
        <w:ind w:firstLine="480" w:firstLineChars="200"/>
        <w:rPr>
          <w:kern w:val="0"/>
          <w:sz w:val="24"/>
        </w:rPr>
      </w:pPr>
      <w:r>
        <w:rPr>
          <w:rFonts w:hint="eastAsia"/>
          <w:kern w:val="0"/>
          <w:sz w:val="24"/>
        </w:rPr>
        <w:t>另外，树木的减噪作用也非常明显。据国外测定：40米的林带可减低噪声10~15分贝，30米的林带可减低噪声6~8分贝。</w:t>
      </w:r>
    </w:p>
    <w:p>
      <w:pPr>
        <w:autoSpaceDE w:val="0"/>
        <w:autoSpaceDN w:val="0"/>
        <w:adjustRightInd w:val="0"/>
        <w:spacing w:line="360" w:lineRule="auto"/>
        <w:ind w:firstLine="480" w:firstLineChars="200"/>
        <w:rPr>
          <w:rFonts w:hint="eastAsia"/>
          <w:kern w:val="0"/>
          <w:sz w:val="24"/>
        </w:rPr>
      </w:pPr>
      <w:r>
        <w:rPr>
          <w:rFonts w:hint="eastAsia"/>
          <w:kern w:val="0"/>
          <w:sz w:val="24"/>
        </w:rPr>
        <w:t>所以，为了减噪和净化空气，减少异味，保护环境，应在场区根据不同地段的要求，合理搭配各种植物。在绿化的同时，充分发挥植物净化、防尘、隔噪等效应。例如猪舍与办公生活区域之间应设置高大阔叶乔木林带，并选择降尘、吸收效果好的树种；而在发生噪声的猪舍及出猪台周围则应选择降噪效果明显的树种，设置较宽的防护林带。猪舍、</w:t>
      </w:r>
      <w:r>
        <w:rPr>
          <w:rFonts w:hint="eastAsia" w:ascii="宋体" w:cs="宋体" w:hAnsiTheme="minorHAnsi"/>
          <w:kern w:val="0"/>
          <w:sz w:val="24"/>
        </w:rPr>
        <w:t>固粪处理区</w:t>
      </w:r>
      <w:r>
        <w:rPr>
          <w:rFonts w:hint="eastAsia"/>
          <w:kern w:val="0"/>
          <w:sz w:val="24"/>
        </w:rPr>
        <w:t>、污水处理设施与生活办公区域之间应设置隔离带，选择吸附效果好的树种，达到既发展生产，又改善和保护环境的目的。</w:t>
      </w:r>
    </w:p>
    <w:p>
      <w:pPr>
        <w:pStyle w:val="7"/>
        <w:adjustRightInd w:val="0"/>
        <w:snapToGrid w:val="0"/>
        <w:spacing w:before="0" w:after="0" w:line="360" w:lineRule="auto"/>
        <w:jc w:val="left"/>
        <w:rPr>
          <w:rFonts w:hint="default" w:eastAsia="宋体"/>
          <w:sz w:val="24"/>
          <w:szCs w:val="24"/>
          <w:lang w:val="en-US" w:eastAsia="zh-CN"/>
        </w:rPr>
      </w:pPr>
      <w:r>
        <w:rPr>
          <w:rFonts w:hint="eastAsia"/>
          <w:sz w:val="24"/>
          <w:szCs w:val="24"/>
        </w:rPr>
        <w:t>7</w:t>
      </w:r>
      <w:r>
        <w:rPr>
          <w:sz w:val="24"/>
          <w:szCs w:val="24"/>
        </w:rPr>
        <w:t>.</w:t>
      </w:r>
      <w:r>
        <w:rPr>
          <w:rFonts w:hint="eastAsia"/>
          <w:sz w:val="24"/>
          <w:szCs w:val="24"/>
        </w:rPr>
        <w:t>2.1</w:t>
      </w:r>
      <w:r>
        <w:rPr>
          <w:rFonts w:hint="eastAsia"/>
          <w:sz w:val="24"/>
          <w:szCs w:val="24"/>
          <w:lang w:val="en-US" w:eastAsia="zh-CN"/>
        </w:rPr>
        <w:t>0</w:t>
      </w:r>
      <w:r>
        <w:rPr>
          <w:rFonts w:hint="eastAsia"/>
          <w:sz w:val="24"/>
          <w:szCs w:val="24"/>
        </w:rPr>
        <w:t xml:space="preserve"> </w:t>
      </w:r>
      <w:r>
        <w:rPr>
          <w:rFonts w:hint="eastAsia"/>
          <w:sz w:val="24"/>
          <w:szCs w:val="24"/>
          <w:lang w:val="en-US" w:eastAsia="zh-CN"/>
        </w:rPr>
        <w:t>人群健康保护措施</w:t>
      </w:r>
    </w:p>
    <w:p>
      <w:pPr>
        <w:pStyle w:val="14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运行期间在养殖区大门口设消毒池和消毒间，所有人员、车辆及相关用具等均须进行彻底消毒后方准进场。本场人员进场前要遵守生物防疫程序，经洗澡淋浴，更换干净的工作服(鞋)后方可进入生产区。严格控制外来人员进出生产区，特别情况下，外来人员经淋浴后穿戴消毒过的工作服经过紫外线消毒间后方可进入，要同时做好来访记录。在生产区内，工作人员和来访人员进出每栋鸡舍时，必须清洗消毒双手和鞋靴等。人员、动物和相关物品运转应采取单一流向，防止发生污染和疫病传播。饲养管理人员每年要定期进行健康检查，取得《健康证》后上岗。</w:t>
      </w:r>
    </w:p>
    <w:p>
      <w:pPr>
        <w:pStyle w:val="7"/>
        <w:adjustRightInd w:val="0"/>
        <w:snapToGrid w:val="0"/>
        <w:spacing w:before="0" w:after="0" w:line="360" w:lineRule="auto"/>
        <w:jc w:val="left"/>
        <w:rPr>
          <w:rFonts w:hint="default" w:eastAsia="宋体"/>
          <w:sz w:val="24"/>
          <w:szCs w:val="24"/>
          <w:lang w:val="en-US" w:eastAsia="zh-CN"/>
        </w:rPr>
      </w:pPr>
      <w:r>
        <w:rPr>
          <w:rFonts w:hint="eastAsia"/>
          <w:sz w:val="24"/>
          <w:szCs w:val="24"/>
        </w:rPr>
        <w:t>7</w:t>
      </w:r>
      <w:r>
        <w:rPr>
          <w:sz w:val="24"/>
          <w:szCs w:val="24"/>
        </w:rPr>
        <w:t>.</w:t>
      </w:r>
      <w:r>
        <w:rPr>
          <w:rFonts w:hint="eastAsia"/>
          <w:sz w:val="24"/>
          <w:szCs w:val="24"/>
        </w:rPr>
        <w:t>2.1</w:t>
      </w:r>
      <w:r>
        <w:rPr>
          <w:rFonts w:hint="eastAsia"/>
          <w:sz w:val="24"/>
          <w:szCs w:val="24"/>
          <w:lang w:val="en-US" w:eastAsia="zh-CN"/>
        </w:rPr>
        <w:t>1</w:t>
      </w:r>
      <w:r>
        <w:rPr>
          <w:rFonts w:hint="eastAsia"/>
          <w:sz w:val="24"/>
          <w:szCs w:val="24"/>
        </w:rPr>
        <w:t xml:space="preserve"> </w:t>
      </w:r>
      <w:r>
        <w:rPr>
          <w:rFonts w:hint="eastAsia"/>
          <w:sz w:val="24"/>
          <w:szCs w:val="24"/>
          <w:lang w:val="en-US" w:eastAsia="zh-CN"/>
        </w:rPr>
        <w:t>养殖场鼠害的防治措施</w:t>
      </w:r>
    </w:p>
    <w:p>
      <w:pPr>
        <w:pStyle w:val="46"/>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b/>
          <w:bCs/>
          <w:color w:val="auto"/>
          <w:kern w:val="0"/>
          <w:sz w:val="24"/>
          <w:szCs w:val="24"/>
          <w:lang w:val="en-US" w:eastAsia="zh-CN" w:bidi="ar-SA"/>
        </w:rPr>
      </w:pPr>
      <w:r>
        <w:rPr>
          <w:rFonts w:hint="eastAsia" w:ascii="Times New Roman" w:hAnsi="Times New Roman" w:eastAsia="宋体" w:cs="Times New Roman"/>
          <w:b/>
          <w:bCs/>
          <w:color w:val="auto"/>
          <w:kern w:val="0"/>
          <w:sz w:val="24"/>
          <w:szCs w:val="24"/>
          <w:lang w:val="en-US" w:eastAsia="zh-CN" w:bidi="ar-SA"/>
        </w:rPr>
        <w:t>1、防鼠措施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规划养鸡场时，应把防治鼠害充分考虑进去。鸡舍的地面要为5厘米厚的水泥地面，墙壁60厘米高以下都用水泥抹平，侧墙也要坚固，将门槛升高30厘米，门侧用铁皮包裹、内侧可以用塑胶填充；鸡舍大门要严紧，鸡舍的湿帘、通风孔和窗户等用空袭不超过6毫米的铁丝网封闭；地面排水管应安装孔径小于0.6厘米的金属栅网；搞好环境卫生，及时清除垃圾、杂物，减少老鼠的生存条件。</w:t>
      </w:r>
    </w:p>
    <w:p>
      <w:pPr>
        <w:pStyle w:val="46"/>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b/>
          <w:bCs/>
          <w:color w:val="auto"/>
          <w:kern w:val="0"/>
          <w:sz w:val="24"/>
          <w:szCs w:val="24"/>
          <w:lang w:val="en-US" w:eastAsia="zh-CN" w:bidi="ar-SA"/>
        </w:rPr>
      </w:pPr>
      <w:r>
        <w:rPr>
          <w:rFonts w:hint="eastAsia" w:ascii="Times New Roman" w:hAnsi="Times New Roman" w:eastAsia="宋体" w:cs="Times New Roman"/>
          <w:b/>
          <w:bCs/>
          <w:color w:val="auto"/>
          <w:kern w:val="0"/>
          <w:sz w:val="24"/>
          <w:szCs w:val="24"/>
          <w:lang w:val="en-US" w:eastAsia="zh-CN" w:bidi="ar-SA"/>
        </w:rPr>
        <w:t>2、防鼠管理措施</w:t>
      </w:r>
    </w:p>
    <w:p>
      <w:pPr>
        <w:pStyle w:val="286"/>
        <w:spacing w:after="0"/>
        <w:ind w:firstLine="480"/>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如发生鼠害时，可选用药剂灭鼠。在确保人育禽安全和防止环境污染的前提下，因地制宜选择高效灭鼠药剂。目前，灭鼠效果较好的是第二代抗凝血剂，包括溴敌隆、灭敌鼠、杀鼠隆等，各种鼠吃原药达到自身体重的百万分之必死无疑，并且对人和其它动物安全。由于老鼠对抗凝血剂耐药力强，可改用甘氟等。杀鼠灵、敌鼠、杀鼠醚杀灭褐家鼠及小家鼠效果都不错，且对鸡较安全。溴敌隆、杀鼠隆等药剂，由于对鸡只较为敏感，故应慎用或不用。另外，本评价建议由鼠害防治专家朱禾丰研制的新代抗凝血剂为主成份的高效、无污染、安全、适口性好的新型灭鼠剂“卫公”灭鼠剂，该技术是农业部推广使用的灭鼠经验，经农田、住宅、养殖场、仓库、林牧区等不同环境使用证明天鼠效果理想，对人畜禽及鼠类天敌安全，无二次中毒。其作用机理是破坏老鼠血液中的凝血酶原，使之失去活力，同时使毛细血管变脆，抗张力减退，血液渗透性增强，致使老鼠内脏致命的出血而死亡。</w:t>
      </w:r>
    </w:p>
    <w:p>
      <w:pPr>
        <w:spacing w:before="140" w:after="140"/>
        <w:outlineLvl w:val="1"/>
        <w:rPr>
          <w:b/>
          <w:bCs/>
          <w:sz w:val="30"/>
          <w:szCs w:val="30"/>
        </w:rPr>
      </w:pPr>
      <w:bookmarkStart w:id="344" w:name="_Toc123886424"/>
      <w:r>
        <w:rPr>
          <w:rFonts w:hint="eastAsia"/>
          <w:b/>
          <w:bCs/>
          <w:sz w:val="30"/>
          <w:szCs w:val="30"/>
        </w:rPr>
        <w:t>7.3</w:t>
      </w:r>
      <w:r>
        <w:rPr>
          <w:b/>
          <w:bCs/>
          <w:sz w:val="30"/>
          <w:szCs w:val="30"/>
        </w:rPr>
        <w:t xml:space="preserve"> 项目环保投资</w:t>
      </w:r>
      <w:r>
        <w:rPr>
          <w:rFonts w:hint="eastAsia"/>
          <w:b/>
          <w:bCs/>
          <w:sz w:val="30"/>
          <w:szCs w:val="30"/>
        </w:rPr>
        <w:t>估算</w:t>
      </w:r>
      <w:bookmarkEnd w:id="344"/>
    </w:p>
    <w:p>
      <w:pPr>
        <w:spacing w:line="360" w:lineRule="auto"/>
        <w:ind w:firstLine="480" w:firstLineChars="200"/>
        <w:rPr>
          <w:sz w:val="24"/>
        </w:rPr>
      </w:pPr>
      <w:r>
        <w:rPr>
          <w:rFonts w:hint="eastAsia"/>
          <w:sz w:val="24"/>
        </w:rPr>
        <w:t>项目施工期</w:t>
      </w:r>
      <w:r>
        <w:rPr>
          <w:sz w:val="24"/>
        </w:rPr>
        <w:t>环保投资见</w:t>
      </w:r>
      <w:r>
        <w:rPr>
          <w:rFonts w:hint="eastAsia"/>
          <w:sz w:val="24"/>
        </w:rPr>
        <w:t>表7.3-1。</w:t>
      </w:r>
    </w:p>
    <w:p>
      <w:pPr>
        <w:pStyle w:val="17"/>
        <w:spacing w:beforeLines="50"/>
        <w:rPr>
          <w:rFonts w:ascii="Times New Roman" w:hAnsi="Times New Roman" w:cs="Times New Roman"/>
          <w:color w:val="auto"/>
          <w:sz w:val="21"/>
        </w:rPr>
      </w:pPr>
      <w:r>
        <w:rPr>
          <w:rFonts w:ascii="Times New Roman" w:hAnsi="Times New Roman" w:cs="Times New Roman"/>
          <w:color w:val="auto"/>
          <w:sz w:val="21"/>
        </w:rPr>
        <w:t>表</w:t>
      </w:r>
      <w:r>
        <w:rPr>
          <w:rFonts w:hint="eastAsia" w:ascii="Times New Roman" w:hAnsi="Times New Roman" w:cs="Times New Roman"/>
          <w:color w:val="auto"/>
          <w:sz w:val="21"/>
        </w:rPr>
        <w:t>7.3</w:t>
      </w:r>
      <w:r>
        <w:rPr>
          <w:rFonts w:ascii="Times New Roman" w:hAnsi="Times New Roman" w:cs="Times New Roman"/>
          <w:color w:val="auto"/>
          <w:sz w:val="21"/>
        </w:rPr>
        <w:t>-1  施工期环保投资估算一览表</w:t>
      </w:r>
    </w:p>
    <w:tbl>
      <w:tblPr>
        <w:tblStyle w:val="4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74"/>
        <w:gridCol w:w="1561"/>
        <w:gridCol w:w="4678"/>
        <w:gridCol w:w="16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10" w:type="pct"/>
            <w:gridSpan w:val="2"/>
            <w:vAlign w:val="center"/>
          </w:tcPr>
          <w:p>
            <w:pPr>
              <w:pStyle w:val="17"/>
              <w:rPr>
                <w:rFonts w:ascii="Times New Roman" w:hAnsi="Times New Roman" w:cs="Times New Roman"/>
                <w:color w:val="auto"/>
                <w:sz w:val="21"/>
              </w:rPr>
            </w:pPr>
            <w:r>
              <w:rPr>
                <w:rFonts w:hint="eastAsia" w:ascii="Times New Roman" w:hAnsi="Times New Roman" w:cs="Times New Roman"/>
                <w:color w:val="auto"/>
                <w:sz w:val="21"/>
              </w:rPr>
              <w:t>污染源</w:t>
            </w:r>
          </w:p>
        </w:tc>
        <w:tc>
          <w:tcPr>
            <w:tcW w:w="2743" w:type="pct"/>
            <w:vAlign w:val="center"/>
          </w:tcPr>
          <w:p>
            <w:pPr>
              <w:pStyle w:val="17"/>
              <w:rPr>
                <w:rFonts w:ascii="Times New Roman" w:hAnsi="Times New Roman" w:cs="Times New Roman"/>
                <w:color w:val="auto"/>
                <w:sz w:val="21"/>
              </w:rPr>
            </w:pPr>
            <w:r>
              <w:rPr>
                <w:rFonts w:hint="eastAsia" w:ascii="Times New Roman" w:hAnsi="Times New Roman" w:cs="Times New Roman"/>
                <w:color w:val="auto"/>
                <w:sz w:val="21"/>
              </w:rPr>
              <w:t>环保设施名称</w:t>
            </w:r>
          </w:p>
        </w:tc>
        <w:tc>
          <w:tcPr>
            <w:tcW w:w="947" w:type="pct"/>
            <w:vAlign w:val="center"/>
          </w:tcPr>
          <w:p>
            <w:pPr>
              <w:pStyle w:val="17"/>
              <w:rPr>
                <w:rFonts w:ascii="Times New Roman" w:hAnsi="Times New Roman" w:cs="Times New Roman"/>
                <w:color w:val="auto"/>
                <w:sz w:val="21"/>
              </w:rPr>
            </w:pPr>
            <w:r>
              <w:rPr>
                <w:rFonts w:hint="eastAsia" w:ascii="Times New Roman" w:hAnsi="Times New Roman" w:cs="Times New Roman"/>
                <w:color w:val="auto"/>
                <w:sz w:val="21"/>
              </w:rPr>
              <w:t>投资（万元）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95" w:type="pct"/>
            <w:vMerge w:val="restar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施工期</w:t>
            </w:r>
          </w:p>
        </w:tc>
        <w:tc>
          <w:tcPr>
            <w:tcW w:w="915" w:type="pc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废水</w:t>
            </w:r>
          </w:p>
        </w:tc>
        <w:tc>
          <w:tcPr>
            <w:tcW w:w="2743" w:type="pc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施工废水沉淀池、隔油池、临时排水沟、施工材料防雨遮雨设施</w:t>
            </w:r>
          </w:p>
        </w:tc>
        <w:tc>
          <w:tcPr>
            <w:tcW w:w="947" w:type="pc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95" w:type="pct"/>
            <w:vMerge w:val="continue"/>
            <w:vAlign w:val="center"/>
          </w:tcPr>
          <w:p>
            <w:pPr>
              <w:pStyle w:val="17"/>
              <w:rPr>
                <w:rFonts w:ascii="Times New Roman" w:hAnsi="Times New Roman" w:cs="Times New Roman"/>
                <w:b w:val="0"/>
                <w:color w:val="auto"/>
                <w:sz w:val="21"/>
              </w:rPr>
            </w:pPr>
          </w:p>
        </w:tc>
        <w:tc>
          <w:tcPr>
            <w:tcW w:w="915" w:type="pc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废气</w:t>
            </w:r>
          </w:p>
        </w:tc>
        <w:tc>
          <w:tcPr>
            <w:tcW w:w="2743" w:type="pc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施工期遮挡围墙、帷幕、路面硬化、车辆冲洗设施、洒水抑尘</w:t>
            </w:r>
          </w:p>
        </w:tc>
        <w:tc>
          <w:tcPr>
            <w:tcW w:w="947" w:type="pc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95" w:type="pct"/>
            <w:vMerge w:val="continue"/>
            <w:vAlign w:val="center"/>
          </w:tcPr>
          <w:p>
            <w:pPr>
              <w:pStyle w:val="17"/>
              <w:rPr>
                <w:rFonts w:ascii="Times New Roman" w:hAnsi="Times New Roman" w:cs="Times New Roman"/>
                <w:b w:val="0"/>
                <w:color w:val="auto"/>
                <w:sz w:val="21"/>
              </w:rPr>
            </w:pPr>
          </w:p>
        </w:tc>
        <w:tc>
          <w:tcPr>
            <w:tcW w:w="915" w:type="pc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噪声</w:t>
            </w:r>
          </w:p>
        </w:tc>
        <w:tc>
          <w:tcPr>
            <w:tcW w:w="2743" w:type="pc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施工期临时隔声屏等临时降噪措施</w:t>
            </w:r>
          </w:p>
        </w:tc>
        <w:tc>
          <w:tcPr>
            <w:tcW w:w="947" w:type="pc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95" w:type="pct"/>
            <w:vMerge w:val="continue"/>
            <w:vAlign w:val="center"/>
          </w:tcPr>
          <w:p>
            <w:pPr>
              <w:pStyle w:val="17"/>
              <w:rPr>
                <w:rFonts w:ascii="Times New Roman" w:hAnsi="Times New Roman" w:cs="Times New Roman"/>
                <w:b w:val="0"/>
                <w:color w:val="auto"/>
                <w:sz w:val="21"/>
              </w:rPr>
            </w:pPr>
          </w:p>
        </w:tc>
        <w:tc>
          <w:tcPr>
            <w:tcW w:w="915" w:type="pc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固体废弃物</w:t>
            </w:r>
          </w:p>
        </w:tc>
        <w:tc>
          <w:tcPr>
            <w:tcW w:w="2743" w:type="pc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分类收集、合理处置</w:t>
            </w:r>
          </w:p>
        </w:tc>
        <w:tc>
          <w:tcPr>
            <w:tcW w:w="947" w:type="pc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95" w:type="pct"/>
            <w:vMerge w:val="continue"/>
            <w:vAlign w:val="center"/>
          </w:tcPr>
          <w:p>
            <w:pPr>
              <w:pStyle w:val="17"/>
              <w:rPr>
                <w:rFonts w:ascii="Times New Roman" w:hAnsi="Times New Roman" w:cs="Times New Roman"/>
                <w:b w:val="0"/>
                <w:color w:val="auto"/>
                <w:sz w:val="21"/>
              </w:rPr>
            </w:pPr>
          </w:p>
        </w:tc>
        <w:tc>
          <w:tcPr>
            <w:tcW w:w="915" w:type="pc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生态恢复</w:t>
            </w:r>
          </w:p>
        </w:tc>
        <w:tc>
          <w:tcPr>
            <w:tcW w:w="2743" w:type="pc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水土流失防治、料场堆场截排水设施、植被恢复</w:t>
            </w:r>
          </w:p>
        </w:tc>
        <w:tc>
          <w:tcPr>
            <w:tcW w:w="947" w:type="pc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53" w:type="pct"/>
            <w:gridSpan w:val="3"/>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合计</w:t>
            </w:r>
          </w:p>
        </w:tc>
        <w:tc>
          <w:tcPr>
            <w:tcW w:w="947" w:type="pc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90</w:t>
            </w:r>
          </w:p>
        </w:tc>
      </w:tr>
    </w:tbl>
    <w:p>
      <w:pPr>
        <w:spacing w:line="360" w:lineRule="auto"/>
        <w:ind w:firstLine="480" w:firstLineChars="200"/>
        <w:rPr>
          <w:color w:val="FF0000"/>
          <w:sz w:val="24"/>
          <w:u w:val="wave"/>
        </w:rPr>
      </w:pPr>
      <w:r>
        <w:rPr>
          <w:rFonts w:hint="eastAsia"/>
          <w:color w:val="FF0000"/>
          <w:sz w:val="24"/>
          <w:u w:val="wave"/>
        </w:rPr>
        <w:t>项目运营期</w:t>
      </w:r>
      <w:r>
        <w:rPr>
          <w:color w:val="FF0000"/>
          <w:sz w:val="24"/>
          <w:u w:val="wave"/>
        </w:rPr>
        <w:t>环保投资估算见</w:t>
      </w:r>
      <w:r>
        <w:rPr>
          <w:rFonts w:hint="eastAsia"/>
          <w:color w:val="FF0000"/>
          <w:sz w:val="24"/>
          <w:u w:val="wave"/>
        </w:rPr>
        <w:t>表7.3-2</w:t>
      </w:r>
      <w:r>
        <w:rPr>
          <w:color w:val="FF0000"/>
          <w:sz w:val="24"/>
          <w:u w:val="wave"/>
        </w:rPr>
        <w:t>。</w:t>
      </w:r>
    </w:p>
    <w:p>
      <w:pPr>
        <w:pStyle w:val="17"/>
        <w:spacing w:beforeLines="50"/>
        <w:rPr>
          <w:rFonts w:ascii="Times New Roman" w:hAnsi="Times New Roman" w:cs="Times New Roman"/>
          <w:color w:val="FF0000"/>
          <w:sz w:val="21"/>
          <w:u w:val="wave"/>
        </w:rPr>
      </w:pPr>
      <w:r>
        <w:rPr>
          <w:rFonts w:ascii="Times New Roman" w:hAnsi="Times New Roman" w:cs="Times New Roman"/>
          <w:color w:val="FF0000"/>
          <w:sz w:val="21"/>
          <w:u w:val="wave"/>
        </w:rPr>
        <w:t>表</w:t>
      </w:r>
      <w:r>
        <w:rPr>
          <w:rFonts w:hint="eastAsia" w:ascii="Times New Roman" w:hAnsi="Times New Roman" w:cs="Times New Roman"/>
          <w:color w:val="FF0000"/>
          <w:sz w:val="21"/>
          <w:u w:val="wave"/>
        </w:rPr>
        <w:t xml:space="preserve">7.3-2  </w:t>
      </w:r>
      <w:r>
        <w:rPr>
          <w:rFonts w:ascii="Times New Roman" w:hAnsi="Times New Roman" w:cs="Times New Roman"/>
          <w:color w:val="FF0000"/>
          <w:sz w:val="21"/>
          <w:u w:val="wave"/>
        </w:rPr>
        <w:t>项目运营期环保投资估算</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2"/>
        <w:gridCol w:w="6096"/>
        <w:gridCol w:w="13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6" w:type="pct"/>
            <w:vAlign w:val="center"/>
          </w:tcPr>
          <w:p>
            <w:pPr>
              <w:widowControl/>
              <w:jc w:val="center"/>
              <w:rPr>
                <w:rFonts w:eastAsiaTheme="minorEastAsia"/>
                <w:b/>
                <w:color w:val="FF0000"/>
                <w:kern w:val="0"/>
                <w:szCs w:val="21"/>
                <w:u w:val="wave"/>
              </w:rPr>
            </w:pPr>
            <w:r>
              <w:rPr>
                <w:rFonts w:hAnsiTheme="minorEastAsia" w:eastAsiaTheme="minorEastAsia"/>
                <w:b/>
                <w:color w:val="FF0000"/>
                <w:kern w:val="0"/>
                <w:szCs w:val="21"/>
                <w:u w:val="wave"/>
              </w:rPr>
              <w:t>类别</w:t>
            </w:r>
          </w:p>
        </w:tc>
        <w:tc>
          <w:tcPr>
            <w:tcW w:w="3574" w:type="pct"/>
            <w:vAlign w:val="center"/>
          </w:tcPr>
          <w:p>
            <w:pPr>
              <w:widowControl/>
              <w:jc w:val="center"/>
              <w:rPr>
                <w:rFonts w:eastAsiaTheme="minorEastAsia"/>
                <w:b/>
                <w:color w:val="FF0000"/>
                <w:kern w:val="0"/>
                <w:szCs w:val="21"/>
                <w:u w:val="wave"/>
              </w:rPr>
            </w:pPr>
            <w:r>
              <w:rPr>
                <w:rFonts w:hAnsiTheme="minorEastAsia" w:eastAsiaTheme="minorEastAsia"/>
                <w:b/>
                <w:color w:val="FF0000"/>
                <w:kern w:val="0"/>
                <w:szCs w:val="21"/>
                <w:u w:val="wave"/>
              </w:rPr>
              <w:t>防治措施</w:t>
            </w:r>
          </w:p>
        </w:tc>
        <w:tc>
          <w:tcPr>
            <w:tcW w:w="780" w:type="pct"/>
            <w:vAlign w:val="center"/>
          </w:tcPr>
          <w:p>
            <w:pPr>
              <w:widowControl/>
              <w:jc w:val="center"/>
              <w:rPr>
                <w:rFonts w:eastAsiaTheme="minorEastAsia"/>
                <w:b/>
                <w:color w:val="FF0000"/>
                <w:kern w:val="0"/>
                <w:szCs w:val="21"/>
                <w:u w:val="wave"/>
              </w:rPr>
            </w:pPr>
            <w:r>
              <w:rPr>
                <w:rFonts w:hAnsiTheme="minorEastAsia" w:eastAsiaTheme="minorEastAsia"/>
                <w:b/>
                <w:color w:val="FF0000"/>
                <w:kern w:val="0"/>
                <w:szCs w:val="21"/>
                <w:u w:val="wave"/>
              </w:rPr>
              <w:t>投资（万元）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6" w:type="pct"/>
            <w:vMerge w:val="restart"/>
            <w:vAlign w:val="center"/>
          </w:tcPr>
          <w:p>
            <w:pPr>
              <w:widowControl/>
              <w:jc w:val="center"/>
              <w:rPr>
                <w:rFonts w:eastAsiaTheme="minorEastAsia"/>
                <w:color w:val="FF0000"/>
                <w:kern w:val="0"/>
                <w:szCs w:val="21"/>
                <w:u w:val="wave"/>
              </w:rPr>
            </w:pPr>
            <w:r>
              <w:rPr>
                <w:rFonts w:hAnsiTheme="minorEastAsia" w:eastAsiaTheme="minorEastAsia"/>
                <w:color w:val="FF0000"/>
                <w:kern w:val="0"/>
                <w:szCs w:val="21"/>
                <w:u w:val="wave"/>
              </w:rPr>
              <w:t>废水污染防治</w:t>
            </w:r>
          </w:p>
        </w:tc>
        <w:tc>
          <w:tcPr>
            <w:tcW w:w="3574" w:type="pct"/>
            <w:vAlign w:val="center"/>
          </w:tcPr>
          <w:p>
            <w:pPr>
              <w:widowControl/>
              <w:jc w:val="center"/>
              <w:rPr>
                <w:rFonts w:hint="default" w:eastAsia="宋体"/>
                <w:color w:val="FF0000"/>
                <w:kern w:val="0"/>
                <w:szCs w:val="21"/>
                <w:u w:val="wave"/>
                <w:lang w:val="en-US" w:eastAsia="zh-CN"/>
              </w:rPr>
            </w:pPr>
            <w:r>
              <w:rPr>
                <w:rFonts w:hint="eastAsia" w:eastAsiaTheme="minorEastAsia"/>
                <w:color w:val="FF0000"/>
                <w:kern w:val="0"/>
                <w:szCs w:val="21"/>
                <w:u w:val="wave"/>
                <w:lang w:val="en-US" w:eastAsia="zh-CN"/>
              </w:rPr>
              <w:t>隔油池；污水处理站2座，设计总规格10m</w:t>
            </w:r>
            <w:r>
              <w:rPr>
                <w:rFonts w:hint="eastAsia" w:eastAsiaTheme="minorEastAsia"/>
                <w:color w:val="FF0000"/>
                <w:kern w:val="0"/>
                <w:szCs w:val="21"/>
                <w:u w:val="wave"/>
                <w:vertAlign w:val="superscript"/>
                <w:lang w:val="en-US" w:eastAsia="zh-CN"/>
              </w:rPr>
              <w:t>3</w:t>
            </w:r>
            <w:r>
              <w:rPr>
                <w:rFonts w:hint="eastAsia" w:eastAsiaTheme="minorEastAsia"/>
                <w:color w:val="FF0000"/>
                <w:kern w:val="0"/>
                <w:szCs w:val="21"/>
                <w:u w:val="wave"/>
                <w:lang w:val="en-US" w:eastAsia="zh-CN"/>
              </w:rPr>
              <w:t>/d；</w:t>
            </w:r>
            <w:r>
              <w:rPr>
                <w:color w:val="FF0000"/>
                <w:u w:val="wave"/>
              </w:rPr>
              <w:t>废水贮存池</w:t>
            </w:r>
            <w:r>
              <w:rPr>
                <w:rFonts w:hint="eastAsia"/>
                <w:color w:val="FF0000"/>
                <w:u w:val="wave"/>
                <w:lang w:eastAsia="zh-CN"/>
              </w:rPr>
              <w:t>；</w:t>
            </w:r>
            <w:r>
              <w:rPr>
                <w:color w:val="FF0000"/>
                <w:u w:val="wave"/>
              </w:rPr>
              <w:t>废水处理达标后</w:t>
            </w:r>
            <w:r>
              <w:rPr>
                <w:rFonts w:hint="eastAsia"/>
                <w:color w:val="FF0000"/>
                <w:szCs w:val="21"/>
                <w:u w:val="wave"/>
              </w:rPr>
              <w:t>回用于</w:t>
            </w:r>
            <w:r>
              <w:rPr>
                <w:rFonts w:hint="eastAsia"/>
                <w:color w:val="FF0000"/>
                <w:szCs w:val="21"/>
                <w:u w:val="wave"/>
                <w:lang w:val="en-US" w:eastAsia="zh-CN"/>
              </w:rPr>
              <w:t>周边种植基地</w:t>
            </w:r>
            <w:r>
              <w:rPr>
                <w:rFonts w:hint="eastAsia"/>
                <w:color w:val="FF0000"/>
                <w:szCs w:val="21"/>
                <w:u w:val="wave"/>
              </w:rPr>
              <w:t>灌溉</w:t>
            </w:r>
            <w:r>
              <w:rPr>
                <w:rFonts w:hint="eastAsia"/>
                <w:color w:val="FF0000"/>
                <w:szCs w:val="21"/>
                <w:u w:val="wave"/>
                <w:lang w:eastAsia="zh-CN"/>
              </w:rPr>
              <w:t>，</w:t>
            </w:r>
            <w:r>
              <w:rPr>
                <w:rFonts w:hint="eastAsia"/>
                <w:color w:val="FF0000"/>
                <w:szCs w:val="21"/>
                <w:u w:val="wave"/>
                <w:lang w:val="en-US" w:eastAsia="zh-CN"/>
              </w:rPr>
              <w:t>不外排</w:t>
            </w:r>
            <w:r>
              <w:rPr>
                <w:rFonts w:hint="eastAsia" w:eastAsiaTheme="minorEastAsia"/>
                <w:color w:val="FF0000"/>
                <w:kern w:val="0"/>
                <w:szCs w:val="21"/>
                <w:u w:val="wave"/>
                <w:lang w:eastAsia="zh-CN"/>
              </w:rPr>
              <w:t>；</w:t>
            </w:r>
            <w:r>
              <w:rPr>
                <w:rFonts w:hint="eastAsia" w:eastAsiaTheme="minorEastAsia"/>
                <w:color w:val="FF0000"/>
                <w:kern w:val="0"/>
                <w:szCs w:val="21"/>
                <w:u w:val="wave"/>
                <w:lang w:val="en-US" w:eastAsia="zh-CN"/>
              </w:rPr>
              <w:t>污水收集</w:t>
            </w:r>
            <w:r>
              <w:rPr>
                <w:rFonts w:eastAsiaTheme="minorEastAsia"/>
                <w:color w:val="FF0000"/>
                <w:kern w:val="0"/>
                <w:szCs w:val="21"/>
                <w:u w:val="wave"/>
              </w:rPr>
              <w:t>管网</w:t>
            </w:r>
          </w:p>
        </w:tc>
        <w:tc>
          <w:tcPr>
            <w:tcW w:w="780" w:type="pct"/>
            <w:vAlign w:val="center"/>
          </w:tcPr>
          <w:p>
            <w:pPr>
              <w:widowControl/>
              <w:jc w:val="center"/>
              <w:rPr>
                <w:rFonts w:eastAsiaTheme="minorEastAsia"/>
                <w:color w:val="FF0000"/>
                <w:kern w:val="0"/>
                <w:szCs w:val="21"/>
                <w:u w:val="wave"/>
              </w:rPr>
            </w:pPr>
            <w:r>
              <w:rPr>
                <w:rFonts w:hint="eastAsia" w:eastAsiaTheme="minorEastAsia"/>
                <w:color w:val="FF0000"/>
                <w:kern w:val="0"/>
                <w:szCs w:val="21"/>
                <w:u w:val="wave"/>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6" w:type="pct"/>
            <w:vMerge w:val="continue"/>
            <w:vAlign w:val="center"/>
          </w:tcPr>
          <w:p>
            <w:pPr>
              <w:widowControl/>
              <w:jc w:val="center"/>
              <w:rPr>
                <w:rFonts w:eastAsiaTheme="minorEastAsia"/>
                <w:color w:val="FF0000"/>
                <w:kern w:val="0"/>
                <w:szCs w:val="21"/>
                <w:u w:val="wave"/>
              </w:rPr>
            </w:pPr>
          </w:p>
        </w:tc>
        <w:tc>
          <w:tcPr>
            <w:tcW w:w="3574" w:type="pct"/>
            <w:vAlign w:val="center"/>
          </w:tcPr>
          <w:p>
            <w:pPr>
              <w:widowControl/>
              <w:jc w:val="center"/>
              <w:rPr>
                <w:rFonts w:eastAsiaTheme="minorEastAsia"/>
                <w:color w:val="FF0000"/>
                <w:kern w:val="0"/>
                <w:szCs w:val="21"/>
                <w:u w:val="wave"/>
              </w:rPr>
            </w:pPr>
            <w:r>
              <w:rPr>
                <w:rFonts w:eastAsiaTheme="minorEastAsia"/>
                <w:color w:val="FF0000"/>
                <w:kern w:val="0"/>
                <w:szCs w:val="21"/>
                <w:u w:val="wave"/>
              </w:rPr>
              <w:t>雨污分流，截排水沟，雨水及污水收集管网</w:t>
            </w:r>
          </w:p>
        </w:tc>
        <w:tc>
          <w:tcPr>
            <w:tcW w:w="780" w:type="pct"/>
            <w:vAlign w:val="center"/>
          </w:tcPr>
          <w:p>
            <w:pPr>
              <w:widowControl/>
              <w:jc w:val="center"/>
              <w:rPr>
                <w:rFonts w:eastAsiaTheme="minorEastAsia"/>
                <w:color w:val="FF0000"/>
                <w:kern w:val="0"/>
                <w:szCs w:val="21"/>
                <w:u w:val="wave"/>
              </w:rPr>
            </w:pPr>
            <w:r>
              <w:rPr>
                <w:rFonts w:hint="eastAsia" w:eastAsiaTheme="minorEastAsia"/>
                <w:color w:val="FF0000"/>
                <w:kern w:val="0"/>
                <w:szCs w:val="21"/>
                <w:u w:val="wave"/>
              </w:rPr>
              <w:t>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6" w:type="pct"/>
            <w:vAlign w:val="center"/>
          </w:tcPr>
          <w:p>
            <w:pPr>
              <w:widowControl/>
              <w:jc w:val="center"/>
              <w:rPr>
                <w:rFonts w:eastAsiaTheme="minorEastAsia"/>
                <w:color w:val="FF0000"/>
                <w:kern w:val="0"/>
                <w:szCs w:val="21"/>
                <w:u w:val="wave"/>
              </w:rPr>
            </w:pPr>
            <w:r>
              <w:rPr>
                <w:rFonts w:eastAsiaTheme="minorEastAsia"/>
                <w:color w:val="FF0000"/>
                <w:kern w:val="0"/>
                <w:szCs w:val="21"/>
                <w:u w:val="wave"/>
              </w:rPr>
              <w:t>地下水防渗措施</w:t>
            </w:r>
          </w:p>
        </w:tc>
        <w:tc>
          <w:tcPr>
            <w:tcW w:w="3574" w:type="pct"/>
            <w:vAlign w:val="center"/>
          </w:tcPr>
          <w:p>
            <w:pPr>
              <w:pStyle w:val="146"/>
              <w:ind w:firstLine="210"/>
              <w:jc w:val="center"/>
              <w:rPr>
                <w:rFonts w:ascii="Times New Roman" w:cs="Times New Roman" w:eastAsiaTheme="minorEastAsia"/>
                <w:color w:val="FF0000"/>
                <w:sz w:val="21"/>
                <w:szCs w:val="21"/>
                <w:u w:val="wave"/>
              </w:rPr>
            </w:pPr>
            <w:r>
              <w:rPr>
                <w:rFonts w:ascii="Times New Roman" w:cs="Times New Roman" w:eastAsiaTheme="minorEastAsia"/>
                <w:color w:val="FF0000"/>
                <w:sz w:val="21"/>
                <w:szCs w:val="21"/>
                <w:u w:val="wave"/>
              </w:rPr>
              <w:t>分区防渗、定期地下水监测等</w:t>
            </w:r>
          </w:p>
        </w:tc>
        <w:tc>
          <w:tcPr>
            <w:tcW w:w="780" w:type="pct"/>
            <w:vAlign w:val="center"/>
          </w:tcPr>
          <w:p>
            <w:pPr>
              <w:widowControl/>
              <w:jc w:val="center"/>
              <w:rPr>
                <w:rFonts w:eastAsiaTheme="minorEastAsia"/>
                <w:color w:val="FF0000"/>
                <w:kern w:val="0"/>
                <w:szCs w:val="21"/>
                <w:u w:val="wave"/>
              </w:rPr>
            </w:pPr>
            <w:r>
              <w:rPr>
                <w:rFonts w:hint="eastAsia" w:eastAsiaTheme="minorEastAsia"/>
                <w:color w:val="FF0000"/>
                <w:kern w:val="0"/>
                <w:szCs w:val="21"/>
                <w:u w:val="wave"/>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6" w:type="pct"/>
            <w:vMerge w:val="restart"/>
            <w:vAlign w:val="center"/>
          </w:tcPr>
          <w:p>
            <w:pPr>
              <w:widowControl/>
              <w:jc w:val="center"/>
              <w:rPr>
                <w:rFonts w:eastAsiaTheme="minorEastAsia"/>
                <w:color w:val="FF0000"/>
                <w:kern w:val="0"/>
                <w:szCs w:val="21"/>
                <w:u w:val="wave"/>
              </w:rPr>
            </w:pPr>
            <w:r>
              <w:rPr>
                <w:rFonts w:hAnsiTheme="minorEastAsia" w:eastAsiaTheme="minorEastAsia"/>
                <w:color w:val="FF0000"/>
                <w:kern w:val="0"/>
                <w:szCs w:val="21"/>
                <w:u w:val="wave"/>
              </w:rPr>
              <w:t>大气污染控制</w:t>
            </w:r>
          </w:p>
        </w:tc>
        <w:tc>
          <w:tcPr>
            <w:tcW w:w="3574" w:type="pct"/>
            <w:vAlign w:val="center"/>
          </w:tcPr>
          <w:p>
            <w:pPr>
              <w:pStyle w:val="146"/>
              <w:ind w:firstLine="210"/>
              <w:jc w:val="center"/>
              <w:rPr>
                <w:rFonts w:ascii="Times New Roman" w:hAnsi="Times New Roman" w:cs="Times New Roman" w:eastAsiaTheme="minorEastAsia"/>
                <w:color w:val="FF0000"/>
                <w:kern w:val="2"/>
                <w:sz w:val="21"/>
                <w:szCs w:val="21"/>
                <w:u w:val="wave"/>
                <w:lang w:val="en-US" w:eastAsia="zh-CN" w:bidi="ar-SA"/>
              </w:rPr>
            </w:pPr>
            <w:r>
              <w:rPr>
                <w:rFonts w:ascii="Times New Roman" w:hAnsi="Times New Roman" w:cs="Times New Roman" w:eastAsiaTheme="minorEastAsia"/>
                <w:color w:val="FF0000"/>
                <w:kern w:val="2"/>
                <w:sz w:val="21"/>
                <w:szCs w:val="21"/>
                <w:u w:val="wave"/>
                <w:lang w:val="en-US" w:eastAsia="zh-CN" w:bidi="ar-SA"/>
              </w:rPr>
              <w:t>鸡舍恶臭：</w:t>
            </w:r>
            <w:r>
              <w:rPr>
                <w:rFonts w:hint="eastAsia" w:ascii="Times New Roman" w:hAnsi="Times New Roman" w:cs="Times New Roman" w:eastAsiaTheme="minorEastAsia"/>
                <w:color w:val="FF0000"/>
                <w:kern w:val="2"/>
                <w:sz w:val="21"/>
                <w:szCs w:val="21"/>
                <w:u w:val="wave"/>
                <w:lang w:val="en-US" w:eastAsia="zh-CN" w:bidi="ar-SA"/>
              </w:rPr>
              <w:t>鸡粪采取带式自动清粪方式，日产日清，鸡舍定期喷洒生物处理液除臭；加强鸡舍通风；优化饲料配方，提高饲养技术，合理调配饲料，饲料中添加EM菌；加强场区内绿化管理，种植较高大的绿色植物</w:t>
            </w:r>
          </w:p>
        </w:tc>
        <w:tc>
          <w:tcPr>
            <w:tcW w:w="780" w:type="pct"/>
            <w:vAlign w:val="center"/>
          </w:tcPr>
          <w:p>
            <w:pPr>
              <w:widowControl/>
              <w:jc w:val="center"/>
              <w:rPr>
                <w:rFonts w:hint="default" w:eastAsiaTheme="minorEastAsia"/>
                <w:color w:val="FF0000"/>
                <w:kern w:val="0"/>
                <w:szCs w:val="21"/>
                <w:u w:val="wave"/>
                <w:lang w:val="en-US" w:eastAsia="zh-CN"/>
              </w:rPr>
            </w:pPr>
            <w:r>
              <w:rPr>
                <w:rFonts w:hint="eastAsia" w:eastAsiaTheme="minorEastAsia"/>
                <w:color w:val="FF0000"/>
                <w:kern w:val="0"/>
                <w:szCs w:val="21"/>
                <w:u w:val="wave"/>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6" w:type="pct"/>
            <w:vMerge w:val="continue"/>
            <w:vAlign w:val="center"/>
          </w:tcPr>
          <w:p>
            <w:pPr>
              <w:widowControl/>
              <w:jc w:val="center"/>
              <w:rPr>
                <w:rFonts w:eastAsiaTheme="minorEastAsia"/>
                <w:color w:val="FF0000"/>
                <w:kern w:val="0"/>
                <w:szCs w:val="21"/>
                <w:u w:val="wave"/>
              </w:rPr>
            </w:pPr>
          </w:p>
        </w:tc>
        <w:tc>
          <w:tcPr>
            <w:tcW w:w="3574" w:type="pct"/>
            <w:vAlign w:val="center"/>
          </w:tcPr>
          <w:p>
            <w:pPr>
              <w:pStyle w:val="146"/>
              <w:ind w:firstLine="210"/>
              <w:jc w:val="center"/>
              <w:rPr>
                <w:rFonts w:ascii="Times New Roman" w:hAnsi="Times New Roman" w:cs="Times New Roman" w:eastAsiaTheme="minorEastAsia"/>
                <w:color w:val="FF0000"/>
                <w:kern w:val="2"/>
                <w:sz w:val="21"/>
                <w:szCs w:val="21"/>
                <w:u w:val="wave"/>
                <w:lang w:val="en-US" w:eastAsia="zh-CN" w:bidi="ar-SA"/>
              </w:rPr>
            </w:pPr>
            <w:r>
              <w:rPr>
                <w:rFonts w:ascii="Times New Roman" w:hAnsi="Times New Roman" w:cs="Times New Roman" w:eastAsiaTheme="minorEastAsia"/>
                <w:color w:val="FF0000"/>
                <w:kern w:val="2"/>
                <w:sz w:val="21"/>
                <w:szCs w:val="21"/>
                <w:u w:val="wave"/>
                <w:lang w:val="en-US" w:eastAsia="zh-CN" w:bidi="ar-SA"/>
              </w:rPr>
              <w:t>鸡粪室外输送恶臭：</w:t>
            </w:r>
            <w:r>
              <w:rPr>
                <w:rFonts w:hint="eastAsia" w:ascii="Times New Roman" w:hAnsi="Times New Roman" w:cs="Times New Roman" w:eastAsiaTheme="minorEastAsia"/>
                <w:color w:val="FF0000"/>
                <w:kern w:val="2"/>
                <w:sz w:val="21"/>
                <w:szCs w:val="21"/>
                <w:u w:val="wave"/>
                <w:lang w:val="en-US" w:eastAsia="zh-CN" w:bidi="ar-SA"/>
              </w:rPr>
              <w:t>设置密封输送廊道、喷雾除臭、加强周边绿化</w:t>
            </w:r>
          </w:p>
        </w:tc>
        <w:tc>
          <w:tcPr>
            <w:tcW w:w="780" w:type="pct"/>
            <w:vAlign w:val="center"/>
          </w:tcPr>
          <w:p>
            <w:pPr>
              <w:widowControl/>
              <w:jc w:val="center"/>
              <w:rPr>
                <w:rFonts w:eastAsiaTheme="minorEastAsia"/>
                <w:color w:val="FF0000"/>
                <w:kern w:val="0"/>
                <w:szCs w:val="21"/>
                <w:u w:val="wave"/>
              </w:rPr>
            </w:pPr>
            <w:r>
              <w:rPr>
                <w:rFonts w:hint="eastAsia" w:eastAsiaTheme="minorEastAsia"/>
                <w:color w:val="FF0000"/>
                <w:kern w:val="0"/>
                <w:szCs w:val="21"/>
                <w:u w:val="wave"/>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6" w:type="pct"/>
            <w:vMerge w:val="continue"/>
            <w:vAlign w:val="center"/>
          </w:tcPr>
          <w:p>
            <w:pPr>
              <w:widowControl/>
              <w:jc w:val="center"/>
              <w:rPr>
                <w:rFonts w:eastAsiaTheme="minorEastAsia"/>
                <w:color w:val="FF0000"/>
                <w:kern w:val="0"/>
                <w:szCs w:val="21"/>
                <w:u w:val="wave"/>
              </w:rPr>
            </w:pPr>
          </w:p>
        </w:tc>
        <w:tc>
          <w:tcPr>
            <w:tcW w:w="3574" w:type="pct"/>
            <w:vAlign w:val="center"/>
          </w:tcPr>
          <w:p>
            <w:pPr>
              <w:pStyle w:val="146"/>
              <w:ind w:firstLine="210"/>
              <w:jc w:val="center"/>
              <w:rPr>
                <w:rFonts w:hint="default" w:ascii="Times New Roman" w:hAnsi="Times New Roman" w:cs="Times New Roman" w:eastAsiaTheme="minorEastAsia"/>
                <w:color w:val="FF0000"/>
                <w:kern w:val="2"/>
                <w:sz w:val="21"/>
                <w:szCs w:val="21"/>
                <w:u w:val="wave"/>
                <w:lang w:val="en-US" w:eastAsia="zh-CN" w:bidi="ar-SA"/>
              </w:rPr>
            </w:pPr>
            <w:r>
              <w:rPr>
                <w:rFonts w:hint="eastAsia" w:ascii="Times New Roman" w:hAnsi="Times New Roman" w:cs="Times New Roman" w:eastAsiaTheme="minorEastAsia"/>
                <w:color w:val="FF0000"/>
                <w:kern w:val="2"/>
                <w:sz w:val="21"/>
                <w:szCs w:val="21"/>
                <w:u w:val="wave"/>
                <w:lang w:val="en-US" w:eastAsia="zh-CN" w:bidi="ar-SA"/>
              </w:rPr>
              <w:t>鸡粪收集室恶臭：加强管理，确保鸡粪能够及时清运，冬季堆存时间不大于三天，夏天做到日产日清；保证鸡粪收集室干燥，做好防风、防雨、防渗措施；设置喷雾除臭</w:t>
            </w:r>
          </w:p>
        </w:tc>
        <w:tc>
          <w:tcPr>
            <w:tcW w:w="780" w:type="pct"/>
            <w:vAlign w:val="center"/>
          </w:tcPr>
          <w:p>
            <w:pPr>
              <w:widowControl/>
              <w:jc w:val="center"/>
              <w:rPr>
                <w:rFonts w:hint="default" w:eastAsiaTheme="minorEastAsia"/>
                <w:color w:val="FF0000"/>
                <w:kern w:val="0"/>
                <w:szCs w:val="21"/>
                <w:u w:val="wave"/>
                <w:lang w:val="en-US" w:eastAsia="zh-CN"/>
              </w:rPr>
            </w:pPr>
            <w:r>
              <w:rPr>
                <w:rFonts w:hint="eastAsia" w:eastAsiaTheme="minorEastAsia"/>
                <w:color w:val="FF0000"/>
                <w:kern w:val="0"/>
                <w:szCs w:val="21"/>
                <w:u w:val="wav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6" w:type="pct"/>
            <w:vMerge w:val="continue"/>
            <w:vAlign w:val="center"/>
          </w:tcPr>
          <w:p>
            <w:pPr>
              <w:widowControl/>
              <w:jc w:val="center"/>
              <w:rPr>
                <w:rFonts w:eastAsiaTheme="minorEastAsia"/>
                <w:color w:val="FF0000"/>
                <w:kern w:val="0"/>
                <w:szCs w:val="21"/>
                <w:u w:val="wave"/>
              </w:rPr>
            </w:pPr>
          </w:p>
        </w:tc>
        <w:tc>
          <w:tcPr>
            <w:tcW w:w="3574" w:type="pct"/>
            <w:vAlign w:val="center"/>
          </w:tcPr>
          <w:p>
            <w:pPr>
              <w:pStyle w:val="146"/>
              <w:ind w:firstLine="210"/>
              <w:jc w:val="center"/>
              <w:rPr>
                <w:rFonts w:ascii="Times New Roman" w:hAnsi="Times New Roman" w:cs="Times New Roman" w:eastAsiaTheme="minorEastAsia"/>
                <w:color w:val="FF0000"/>
                <w:kern w:val="2"/>
                <w:sz w:val="21"/>
                <w:szCs w:val="21"/>
                <w:u w:val="wave"/>
                <w:lang w:val="en-US" w:eastAsia="zh-CN" w:bidi="ar-SA"/>
              </w:rPr>
            </w:pPr>
            <w:r>
              <w:rPr>
                <w:rFonts w:hint="eastAsia" w:ascii="Times New Roman" w:hAnsi="Times New Roman" w:cs="Times New Roman" w:eastAsiaTheme="minorEastAsia"/>
                <w:color w:val="FF0000"/>
                <w:kern w:val="2"/>
                <w:sz w:val="21"/>
                <w:szCs w:val="21"/>
                <w:u w:val="wave"/>
                <w:lang w:val="en-US" w:eastAsia="zh-CN" w:bidi="ar-SA"/>
              </w:rPr>
              <w:t>粉尘</w:t>
            </w:r>
            <w:r>
              <w:rPr>
                <w:rFonts w:ascii="Times New Roman" w:hAnsi="Times New Roman" w:cs="Times New Roman" w:eastAsiaTheme="minorEastAsia"/>
                <w:color w:val="FF0000"/>
                <w:kern w:val="2"/>
                <w:sz w:val="21"/>
                <w:szCs w:val="21"/>
                <w:u w:val="wave"/>
                <w:lang w:val="en-US" w:eastAsia="zh-CN" w:bidi="ar-SA"/>
              </w:rPr>
              <w:t>：</w:t>
            </w:r>
            <w:r>
              <w:rPr>
                <w:rFonts w:hint="eastAsia" w:ascii="Times New Roman" w:hAnsi="Times New Roman" w:cs="Times New Roman" w:eastAsiaTheme="minorEastAsia"/>
                <w:color w:val="FF0000"/>
                <w:kern w:val="2"/>
                <w:sz w:val="21"/>
                <w:szCs w:val="21"/>
                <w:u w:val="wave"/>
                <w:lang w:val="en-US" w:eastAsia="zh-CN" w:bidi="ar-SA"/>
              </w:rPr>
              <w:t>鸡舍地面每日打扫，鸡舍排风尾端设置防尘间封闭，并在排放口上部布置防尘网，设置水雾喷淋系统</w:t>
            </w:r>
          </w:p>
        </w:tc>
        <w:tc>
          <w:tcPr>
            <w:tcW w:w="780" w:type="pct"/>
            <w:vAlign w:val="center"/>
          </w:tcPr>
          <w:p>
            <w:pPr>
              <w:widowControl/>
              <w:jc w:val="center"/>
              <w:rPr>
                <w:rFonts w:eastAsiaTheme="minorEastAsia"/>
                <w:color w:val="FF0000"/>
                <w:kern w:val="0"/>
                <w:szCs w:val="21"/>
                <w:u w:val="wave"/>
              </w:rPr>
            </w:pPr>
            <w:r>
              <w:rPr>
                <w:rFonts w:hint="eastAsia" w:eastAsiaTheme="minorEastAsia"/>
                <w:color w:val="FF0000"/>
                <w:kern w:val="0"/>
                <w:szCs w:val="21"/>
                <w:u w:val="wave"/>
              </w:rPr>
              <w:t>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6" w:type="pct"/>
            <w:vMerge w:val="continue"/>
            <w:vAlign w:val="center"/>
          </w:tcPr>
          <w:p>
            <w:pPr>
              <w:jc w:val="center"/>
              <w:rPr>
                <w:rFonts w:eastAsiaTheme="minorEastAsia"/>
                <w:color w:val="FF0000"/>
                <w:szCs w:val="21"/>
                <w:u w:val="wave"/>
              </w:rPr>
            </w:pPr>
          </w:p>
        </w:tc>
        <w:tc>
          <w:tcPr>
            <w:tcW w:w="3574" w:type="pct"/>
            <w:vAlign w:val="center"/>
          </w:tcPr>
          <w:p>
            <w:pPr>
              <w:jc w:val="center"/>
              <w:rPr>
                <w:rFonts w:ascii="Times New Roman" w:hAnsi="Times New Roman" w:cs="Times New Roman" w:eastAsiaTheme="minorEastAsia"/>
                <w:color w:val="FF0000"/>
                <w:kern w:val="2"/>
                <w:sz w:val="21"/>
                <w:szCs w:val="21"/>
                <w:u w:val="wave"/>
                <w:lang w:val="en-US" w:eastAsia="zh-CN" w:bidi="ar-SA"/>
              </w:rPr>
            </w:pPr>
            <w:r>
              <w:rPr>
                <w:rFonts w:ascii="Times New Roman" w:hAnsi="Times New Roman" w:cs="Times New Roman" w:eastAsiaTheme="minorEastAsia"/>
                <w:color w:val="FF0000"/>
                <w:kern w:val="2"/>
                <w:sz w:val="21"/>
                <w:szCs w:val="21"/>
                <w:u w:val="wave"/>
                <w:lang w:val="en-US" w:eastAsia="zh-CN" w:bidi="ar-SA"/>
              </w:rPr>
              <w:t>备用柴油发电机废气：</w:t>
            </w:r>
            <w:r>
              <w:rPr>
                <w:rFonts w:hint="eastAsia"/>
                <w:color w:val="FF0000"/>
                <w:szCs w:val="21"/>
                <w:u w:val="wave"/>
                <w:lang w:val="en-US" w:eastAsia="zh-CN"/>
              </w:rPr>
              <w:t>经设备自带尾气净化装置处理后专管高于楼顶排放</w:t>
            </w:r>
          </w:p>
        </w:tc>
        <w:tc>
          <w:tcPr>
            <w:tcW w:w="780" w:type="pct"/>
            <w:vAlign w:val="center"/>
          </w:tcPr>
          <w:p>
            <w:pPr>
              <w:widowControl/>
              <w:jc w:val="center"/>
              <w:rPr>
                <w:rFonts w:eastAsiaTheme="minorEastAsia"/>
                <w:color w:val="FF0000"/>
                <w:kern w:val="0"/>
                <w:szCs w:val="21"/>
                <w:u w:val="wave"/>
              </w:rPr>
            </w:pPr>
            <w:r>
              <w:rPr>
                <w:rFonts w:hint="eastAsia" w:eastAsiaTheme="minorEastAsia"/>
                <w:color w:val="FF0000"/>
                <w:kern w:val="0"/>
                <w:szCs w:val="21"/>
                <w:u w:val="wav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6" w:type="pct"/>
            <w:vMerge w:val="continue"/>
            <w:vAlign w:val="center"/>
          </w:tcPr>
          <w:p>
            <w:pPr>
              <w:jc w:val="center"/>
              <w:rPr>
                <w:rFonts w:eastAsiaTheme="minorEastAsia"/>
                <w:color w:val="FF0000"/>
                <w:szCs w:val="21"/>
                <w:u w:val="wave"/>
              </w:rPr>
            </w:pPr>
          </w:p>
        </w:tc>
        <w:tc>
          <w:tcPr>
            <w:tcW w:w="3574" w:type="pct"/>
            <w:vAlign w:val="center"/>
          </w:tcPr>
          <w:p>
            <w:pPr>
              <w:jc w:val="center"/>
              <w:rPr>
                <w:rFonts w:ascii="Times New Roman" w:hAnsi="Times New Roman" w:cs="Times New Roman" w:eastAsiaTheme="minorEastAsia"/>
                <w:color w:val="FF0000"/>
                <w:kern w:val="2"/>
                <w:sz w:val="21"/>
                <w:szCs w:val="21"/>
                <w:u w:val="wave"/>
                <w:lang w:val="en-US" w:eastAsia="zh-CN" w:bidi="ar-SA"/>
              </w:rPr>
            </w:pPr>
            <w:r>
              <w:rPr>
                <w:rFonts w:ascii="Times New Roman" w:hAnsi="Times New Roman" w:cs="Times New Roman" w:eastAsiaTheme="minorEastAsia"/>
                <w:color w:val="FF0000"/>
                <w:kern w:val="2"/>
                <w:sz w:val="21"/>
                <w:szCs w:val="21"/>
                <w:u w:val="wave"/>
                <w:lang w:val="en-US" w:eastAsia="zh-CN" w:bidi="ar-SA"/>
              </w:rPr>
              <w:t>食堂油烟：高效油烟净化器+引至楼面高空排放</w:t>
            </w:r>
          </w:p>
        </w:tc>
        <w:tc>
          <w:tcPr>
            <w:tcW w:w="780" w:type="pct"/>
            <w:vAlign w:val="center"/>
          </w:tcPr>
          <w:p>
            <w:pPr>
              <w:widowControl/>
              <w:jc w:val="center"/>
              <w:rPr>
                <w:rFonts w:eastAsiaTheme="minorEastAsia"/>
                <w:color w:val="FF0000"/>
                <w:kern w:val="0"/>
                <w:szCs w:val="21"/>
                <w:u w:val="wave"/>
              </w:rPr>
            </w:pPr>
            <w:r>
              <w:rPr>
                <w:rFonts w:hint="eastAsia" w:eastAsiaTheme="minorEastAsia"/>
                <w:color w:val="FF0000"/>
                <w:kern w:val="0"/>
                <w:szCs w:val="21"/>
                <w:u w:val="wave"/>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6" w:type="pct"/>
            <w:vAlign w:val="center"/>
          </w:tcPr>
          <w:p>
            <w:pPr>
              <w:widowControl/>
              <w:jc w:val="center"/>
              <w:rPr>
                <w:rFonts w:eastAsiaTheme="minorEastAsia"/>
                <w:color w:val="FF0000"/>
                <w:kern w:val="0"/>
                <w:szCs w:val="21"/>
                <w:u w:val="wave"/>
              </w:rPr>
            </w:pPr>
            <w:r>
              <w:rPr>
                <w:rFonts w:hAnsiTheme="minorEastAsia" w:eastAsiaTheme="minorEastAsia"/>
                <w:color w:val="FF0000"/>
                <w:kern w:val="0"/>
                <w:szCs w:val="21"/>
                <w:u w:val="wave"/>
              </w:rPr>
              <w:t>噪声控制</w:t>
            </w:r>
          </w:p>
        </w:tc>
        <w:tc>
          <w:tcPr>
            <w:tcW w:w="3574" w:type="pct"/>
            <w:vAlign w:val="center"/>
          </w:tcPr>
          <w:p>
            <w:pPr>
              <w:pStyle w:val="146"/>
              <w:ind w:firstLine="210"/>
              <w:jc w:val="center"/>
              <w:rPr>
                <w:rFonts w:ascii="Times New Roman" w:hAnsi="Times New Roman" w:cs="Times New Roman" w:eastAsiaTheme="minorEastAsia"/>
                <w:color w:val="FF0000"/>
                <w:sz w:val="21"/>
                <w:szCs w:val="21"/>
                <w:u w:val="wave"/>
              </w:rPr>
            </w:pPr>
            <w:r>
              <w:rPr>
                <w:rFonts w:hint="eastAsia" w:ascii="Times New Roman" w:hAnsi="Times New Roman" w:cs="Times New Roman" w:eastAsiaTheme="minorEastAsia"/>
                <w:color w:val="FF0000"/>
                <w:sz w:val="21"/>
                <w:szCs w:val="21"/>
                <w:u w:val="wave"/>
              </w:rPr>
              <w:t>选购性能良好的设备、隔声间、消声减震设施</w:t>
            </w:r>
          </w:p>
        </w:tc>
        <w:tc>
          <w:tcPr>
            <w:tcW w:w="780" w:type="pct"/>
            <w:vAlign w:val="center"/>
          </w:tcPr>
          <w:p>
            <w:pPr>
              <w:widowControl/>
              <w:jc w:val="center"/>
              <w:rPr>
                <w:rFonts w:eastAsiaTheme="minorEastAsia"/>
                <w:color w:val="FF0000"/>
                <w:kern w:val="0"/>
                <w:szCs w:val="21"/>
                <w:u w:val="wave"/>
              </w:rPr>
            </w:pPr>
            <w:r>
              <w:rPr>
                <w:rFonts w:hint="eastAsia" w:eastAsiaTheme="minorEastAsia"/>
                <w:color w:val="FF0000"/>
                <w:kern w:val="0"/>
                <w:szCs w:val="21"/>
                <w:u w:val="wav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6" w:type="pct"/>
            <w:vMerge w:val="restart"/>
            <w:vAlign w:val="center"/>
          </w:tcPr>
          <w:p>
            <w:pPr>
              <w:widowControl/>
              <w:jc w:val="center"/>
              <w:rPr>
                <w:rFonts w:eastAsiaTheme="minorEastAsia"/>
                <w:color w:val="FF0000"/>
                <w:kern w:val="0"/>
                <w:szCs w:val="21"/>
                <w:u w:val="wave"/>
              </w:rPr>
            </w:pPr>
            <w:r>
              <w:rPr>
                <w:rFonts w:hAnsiTheme="minorEastAsia" w:eastAsiaTheme="minorEastAsia"/>
                <w:color w:val="FF0000"/>
                <w:kern w:val="0"/>
                <w:szCs w:val="21"/>
                <w:u w:val="wave"/>
              </w:rPr>
              <w:t>固体废物处置</w:t>
            </w:r>
          </w:p>
        </w:tc>
        <w:tc>
          <w:tcPr>
            <w:tcW w:w="3574" w:type="pct"/>
            <w:vAlign w:val="center"/>
          </w:tcPr>
          <w:p>
            <w:pPr>
              <w:pStyle w:val="146"/>
              <w:ind w:firstLine="210"/>
              <w:jc w:val="center"/>
              <w:rPr>
                <w:rFonts w:ascii="Times New Roman" w:hAnsi="Times New Roman" w:cs="Times New Roman" w:eastAsiaTheme="minorEastAsia"/>
                <w:color w:val="FF0000"/>
                <w:sz w:val="21"/>
                <w:szCs w:val="21"/>
                <w:u w:val="wave"/>
              </w:rPr>
            </w:pPr>
            <w:r>
              <w:rPr>
                <w:rFonts w:hint="eastAsia" w:ascii="Times New Roman" w:hAnsi="Times New Roman" w:cs="Times New Roman" w:eastAsiaTheme="minorEastAsia"/>
                <w:color w:val="FF0000"/>
                <w:sz w:val="21"/>
                <w:szCs w:val="21"/>
                <w:u w:val="wave"/>
              </w:rPr>
              <w:t>鸡粪</w:t>
            </w:r>
            <w:r>
              <w:rPr>
                <w:rFonts w:ascii="Times New Roman" w:hAnsi="Times New Roman" w:cs="Times New Roman" w:eastAsiaTheme="minorEastAsia"/>
                <w:color w:val="FF0000"/>
                <w:sz w:val="21"/>
                <w:szCs w:val="21"/>
                <w:u w:val="wave"/>
              </w:rPr>
              <w:t>：</w:t>
            </w:r>
            <w:r>
              <w:rPr>
                <w:rFonts w:hint="eastAsia" w:ascii="Times New Roman" w:hAnsi="Times New Roman" w:cs="Times New Roman" w:eastAsiaTheme="minorEastAsia"/>
                <w:color w:val="FF0000"/>
                <w:sz w:val="21"/>
                <w:szCs w:val="21"/>
                <w:u w:val="wave"/>
              </w:rPr>
              <w:t>部分直接拉走依托台源蛋鸡养殖一场好氧发酵罐制有机肥；剩余部分则直接拉走外售衡阳县沛科生态科技有限责任公司制有机肥</w:t>
            </w:r>
          </w:p>
        </w:tc>
        <w:tc>
          <w:tcPr>
            <w:tcW w:w="780" w:type="pct"/>
            <w:vAlign w:val="center"/>
          </w:tcPr>
          <w:p>
            <w:pPr>
              <w:widowControl/>
              <w:jc w:val="center"/>
              <w:rPr>
                <w:rFonts w:eastAsiaTheme="minorEastAsia"/>
                <w:color w:val="FF0000"/>
                <w:kern w:val="0"/>
                <w:szCs w:val="21"/>
                <w:u w:val="wave"/>
              </w:rPr>
            </w:pPr>
            <w:r>
              <w:rPr>
                <w:rFonts w:hint="eastAsia" w:eastAsiaTheme="minorEastAsia"/>
                <w:color w:val="FF0000"/>
                <w:kern w:val="0"/>
                <w:szCs w:val="21"/>
                <w:u w:val="wav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6" w:type="pct"/>
            <w:vMerge w:val="continue"/>
            <w:vAlign w:val="center"/>
          </w:tcPr>
          <w:p>
            <w:pPr>
              <w:widowControl/>
              <w:jc w:val="center"/>
              <w:rPr>
                <w:rFonts w:eastAsiaTheme="minorEastAsia"/>
                <w:color w:val="FF0000"/>
                <w:kern w:val="0"/>
                <w:szCs w:val="21"/>
                <w:u w:val="wave"/>
              </w:rPr>
            </w:pPr>
          </w:p>
        </w:tc>
        <w:tc>
          <w:tcPr>
            <w:tcW w:w="3574" w:type="pct"/>
            <w:vAlign w:val="center"/>
          </w:tcPr>
          <w:p>
            <w:pPr>
              <w:widowControl/>
              <w:jc w:val="center"/>
              <w:rPr>
                <w:rFonts w:eastAsiaTheme="minorEastAsia"/>
                <w:color w:val="FF0000"/>
                <w:kern w:val="0"/>
                <w:szCs w:val="21"/>
                <w:u w:val="wave"/>
              </w:rPr>
            </w:pPr>
            <w:r>
              <w:rPr>
                <w:rFonts w:hint="eastAsia" w:eastAsiaTheme="minorEastAsia"/>
                <w:color w:val="FF0000"/>
                <w:kern w:val="0"/>
                <w:szCs w:val="21"/>
                <w:u w:val="wave"/>
              </w:rPr>
              <w:t>病死鸡</w:t>
            </w:r>
            <w:r>
              <w:rPr>
                <w:color w:val="FF0000"/>
                <w:szCs w:val="21"/>
                <w:u w:val="wave"/>
              </w:rPr>
              <w:t>：消</w:t>
            </w:r>
            <w:r>
              <w:rPr>
                <w:rFonts w:hint="eastAsia" w:eastAsiaTheme="minorEastAsia"/>
                <w:color w:val="FF0000"/>
                <w:kern w:val="0"/>
                <w:szCs w:val="21"/>
                <w:u w:val="wave"/>
              </w:rPr>
              <w:t>毒后袋装化，存放于病死鸡暂存间的冷冻冰柜中，病死鸡暂存间采取“四防”措施，并配备消毒液消毒，及时联系有资质的公司进行收集并集中无害化处理</w:t>
            </w:r>
          </w:p>
        </w:tc>
        <w:tc>
          <w:tcPr>
            <w:tcW w:w="780" w:type="pct"/>
            <w:vAlign w:val="center"/>
          </w:tcPr>
          <w:p>
            <w:pPr>
              <w:widowControl/>
              <w:jc w:val="center"/>
              <w:rPr>
                <w:rFonts w:eastAsiaTheme="minorEastAsia"/>
                <w:color w:val="FF0000"/>
                <w:kern w:val="0"/>
                <w:szCs w:val="21"/>
                <w:u w:val="wave"/>
              </w:rPr>
            </w:pPr>
            <w:r>
              <w:rPr>
                <w:rFonts w:hint="eastAsia" w:eastAsiaTheme="minorEastAsia"/>
                <w:color w:val="FF0000"/>
                <w:kern w:val="0"/>
                <w:szCs w:val="21"/>
                <w:u w:val="wav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6" w:type="pct"/>
            <w:vMerge w:val="continue"/>
            <w:vAlign w:val="center"/>
          </w:tcPr>
          <w:p>
            <w:pPr>
              <w:widowControl/>
              <w:jc w:val="center"/>
              <w:rPr>
                <w:rFonts w:eastAsiaTheme="minorEastAsia"/>
                <w:color w:val="FF0000"/>
                <w:kern w:val="0"/>
                <w:szCs w:val="21"/>
                <w:u w:val="wave"/>
              </w:rPr>
            </w:pPr>
          </w:p>
        </w:tc>
        <w:tc>
          <w:tcPr>
            <w:tcW w:w="3574" w:type="pct"/>
            <w:vAlign w:val="center"/>
          </w:tcPr>
          <w:p>
            <w:pPr>
              <w:widowControl/>
              <w:jc w:val="center"/>
              <w:rPr>
                <w:rFonts w:eastAsiaTheme="minorEastAsia"/>
                <w:color w:val="FF0000"/>
                <w:kern w:val="0"/>
                <w:szCs w:val="21"/>
                <w:u w:val="wave"/>
              </w:rPr>
            </w:pPr>
            <w:r>
              <w:rPr>
                <w:color w:val="FF0000"/>
                <w:szCs w:val="21"/>
                <w:u w:val="wave"/>
              </w:rPr>
              <w:t>废包装袋：</w:t>
            </w:r>
            <w:r>
              <w:rPr>
                <w:rFonts w:hint="eastAsia"/>
                <w:color w:val="FF0000"/>
                <w:szCs w:val="21"/>
                <w:u w:val="wave"/>
              </w:rPr>
              <w:t>外售废品回收站</w:t>
            </w:r>
          </w:p>
        </w:tc>
        <w:tc>
          <w:tcPr>
            <w:tcW w:w="780" w:type="pct"/>
            <w:vAlign w:val="center"/>
          </w:tcPr>
          <w:p>
            <w:pPr>
              <w:widowControl/>
              <w:jc w:val="center"/>
              <w:rPr>
                <w:rFonts w:eastAsiaTheme="minorEastAsia"/>
                <w:color w:val="FF0000"/>
                <w:kern w:val="0"/>
                <w:szCs w:val="21"/>
                <w:u w:val="wave"/>
              </w:rPr>
            </w:pPr>
            <w:r>
              <w:rPr>
                <w:rFonts w:hint="eastAsia" w:eastAsiaTheme="minorEastAsia"/>
                <w:color w:val="FF0000"/>
                <w:kern w:val="0"/>
                <w:szCs w:val="21"/>
                <w:u w:val="wav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6" w:type="pct"/>
            <w:vMerge w:val="continue"/>
            <w:vAlign w:val="center"/>
          </w:tcPr>
          <w:p>
            <w:pPr>
              <w:widowControl/>
              <w:jc w:val="center"/>
              <w:rPr>
                <w:rFonts w:eastAsiaTheme="minorEastAsia"/>
                <w:color w:val="FF0000"/>
                <w:kern w:val="0"/>
                <w:szCs w:val="21"/>
                <w:u w:val="wave"/>
              </w:rPr>
            </w:pPr>
          </w:p>
        </w:tc>
        <w:tc>
          <w:tcPr>
            <w:tcW w:w="3574" w:type="pct"/>
            <w:vAlign w:val="center"/>
          </w:tcPr>
          <w:p>
            <w:pPr>
              <w:widowControl/>
              <w:jc w:val="center"/>
              <w:rPr>
                <w:rFonts w:eastAsiaTheme="minorEastAsia"/>
                <w:color w:val="FF0000"/>
                <w:kern w:val="0"/>
                <w:szCs w:val="21"/>
                <w:u w:val="wave"/>
              </w:rPr>
            </w:pPr>
            <w:r>
              <w:rPr>
                <w:color w:val="FF0000"/>
                <w:szCs w:val="21"/>
                <w:u w:val="wave"/>
              </w:rPr>
              <w:t>不合格蛋：</w:t>
            </w:r>
            <w:r>
              <w:rPr>
                <w:rFonts w:hint="eastAsia"/>
                <w:color w:val="FF0000"/>
                <w:szCs w:val="21"/>
                <w:u w:val="wave"/>
              </w:rPr>
              <w:t>用作企业自养甲鱼饲料</w:t>
            </w:r>
          </w:p>
        </w:tc>
        <w:tc>
          <w:tcPr>
            <w:tcW w:w="780" w:type="pct"/>
            <w:vAlign w:val="center"/>
          </w:tcPr>
          <w:p>
            <w:pPr>
              <w:widowControl/>
              <w:jc w:val="center"/>
              <w:rPr>
                <w:rFonts w:eastAsiaTheme="minorEastAsia"/>
                <w:color w:val="FF0000"/>
                <w:kern w:val="0"/>
                <w:szCs w:val="21"/>
                <w:u w:val="wave"/>
              </w:rPr>
            </w:pPr>
            <w:r>
              <w:rPr>
                <w:rFonts w:hint="eastAsia" w:eastAsiaTheme="minorEastAsia"/>
                <w:color w:val="FF0000"/>
                <w:kern w:val="0"/>
                <w:szCs w:val="21"/>
                <w:u w:val="wav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6" w:type="pct"/>
            <w:vMerge w:val="continue"/>
            <w:vAlign w:val="center"/>
          </w:tcPr>
          <w:p>
            <w:pPr>
              <w:widowControl/>
              <w:jc w:val="center"/>
              <w:rPr>
                <w:rFonts w:eastAsiaTheme="minorEastAsia"/>
                <w:color w:val="FF0000"/>
                <w:kern w:val="0"/>
                <w:szCs w:val="21"/>
                <w:u w:val="wave"/>
              </w:rPr>
            </w:pPr>
          </w:p>
        </w:tc>
        <w:tc>
          <w:tcPr>
            <w:tcW w:w="3574" w:type="pct"/>
            <w:vAlign w:val="center"/>
          </w:tcPr>
          <w:p>
            <w:pPr>
              <w:widowControl/>
              <w:jc w:val="center"/>
              <w:rPr>
                <w:color w:val="FF0000"/>
                <w:szCs w:val="21"/>
                <w:u w:val="wave"/>
              </w:rPr>
            </w:pPr>
            <w:r>
              <w:rPr>
                <w:rFonts w:hint="eastAsia" w:eastAsiaTheme="minorEastAsia"/>
                <w:color w:val="FF0000"/>
                <w:szCs w:val="21"/>
                <w:u w:val="wave"/>
              </w:rPr>
              <w:t>饲料渣和脱落的羽毛：</w:t>
            </w:r>
            <w:r>
              <w:rPr>
                <w:rFonts w:hint="eastAsia"/>
                <w:color w:val="FF0000"/>
                <w:szCs w:val="21"/>
                <w:u w:val="wave"/>
              </w:rPr>
              <w:t>经收集后交由当地环卫部门处理</w:t>
            </w:r>
          </w:p>
        </w:tc>
        <w:tc>
          <w:tcPr>
            <w:tcW w:w="780" w:type="pct"/>
            <w:vAlign w:val="center"/>
          </w:tcPr>
          <w:p>
            <w:pPr>
              <w:widowControl/>
              <w:jc w:val="center"/>
              <w:rPr>
                <w:rFonts w:eastAsiaTheme="minorEastAsia"/>
                <w:color w:val="FF0000"/>
                <w:kern w:val="0"/>
                <w:szCs w:val="21"/>
                <w:u w:val="wav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6" w:type="pct"/>
            <w:vMerge w:val="continue"/>
            <w:vAlign w:val="center"/>
          </w:tcPr>
          <w:p>
            <w:pPr>
              <w:widowControl/>
              <w:jc w:val="center"/>
              <w:rPr>
                <w:rFonts w:eastAsiaTheme="minorEastAsia"/>
                <w:color w:val="FF0000"/>
                <w:kern w:val="0"/>
                <w:szCs w:val="21"/>
                <w:u w:val="wave"/>
              </w:rPr>
            </w:pPr>
          </w:p>
        </w:tc>
        <w:tc>
          <w:tcPr>
            <w:tcW w:w="3574" w:type="pct"/>
            <w:vAlign w:val="center"/>
          </w:tcPr>
          <w:p>
            <w:pPr>
              <w:widowControl/>
              <w:jc w:val="center"/>
              <w:rPr>
                <w:rFonts w:eastAsiaTheme="minorEastAsia"/>
                <w:color w:val="FF0000"/>
                <w:kern w:val="0"/>
                <w:szCs w:val="21"/>
                <w:u w:val="wave"/>
              </w:rPr>
            </w:pPr>
            <w:r>
              <w:rPr>
                <w:color w:val="FF0000"/>
                <w:szCs w:val="21"/>
                <w:u w:val="wave"/>
              </w:rPr>
              <w:t>医疗废物：</w:t>
            </w:r>
            <w:r>
              <w:rPr>
                <w:rFonts w:eastAsiaTheme="minorEastAsia"/>
                <w:color w:val="FF0000"/>
                <w:kern w:val="0"/>
                <w:szCs w:val="21"/>
                <w:u w:val="wave"/>
              </w:rPr>
              <w:t>危废暂存间内暂存后交由有资质单位代为处置</w:t>
            </w:r>
          </w:p>
        </w:tc>
        <w:tc>
          <w:tcPr>
            <w:tcW w:w="780" w:type="pct"/>
            <w:vAlign w:val="center"/>
          </w:tcPr>
          <w:p>
            <w:pPr>
              <w:widowControl/>
              <w:jc w:val="center"/>
              <w:rPr>
                <w:rFonts w:eastAsiaTheme="minorEastAsia"/>
                <w:color w:val="FF0000"/>
                <w:kern w:val="0"/>
                <w:szCs w:val="21"/>
                <w:u w:val="wave"/>
              </w:rPr>
            </w:pPr>
            <w:r>
              <w:rPr>
                <w:rFonts w:hint="eastAsia" w:eastAsiaTheme="minorEastAsia"/>
                <w:color w:val="FF0000"/>
                <w:kern w:val="0"/>
                <w:szCs w:val="21"/>
                <w:u w:val="wave"/>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6" w:type="pct"/>
            <w:vMerge w:val="continue"/>
            <w:vAlign w:val="center"/>
          </w:tcPr>
          <w:p>
            <w:pPr>
              <w:widowControl/>
              <w:jc w:val="center"/>
              <w:rPr>
                <w:rFonts w:eastAsiaTheme="minorEastAsia"/>
                <w:color w:val="FF0000"/>
                <w:kern w:val="0"/>
                <w:szCs w:val="21"/>
                <w:u w:val="wave"/>
              </w:rPr>
            </w:pPr>
          </w:p>
        </w:tc>
        <w:tc>
          <w:tcPr>
            <w:tcW w:w="3574" w:type="pct"/>
            <w:vAlign w:val="center"/>
          </w:tcPr>
          <w:p>
            <w:pPr>
              <w:widowControl/>
              <w:jc w:val="center"/>
              <w:rPr>
                <w:rFonts w:eastAsiaTheme="minorEastAsia"/>
                <w:color w:val="FF0000"/>
                <w:kern w:val="0"/>
                <w:szCs w:val="21"/>
                <w:u w:val="wave"/>
              </w:rPr>
            </w:pPr>
            <w:r>
              <w:rPr>
                <w:rFonts w:eastAsiaTheme="minorEastAsia"/>
                <w:color w:val="FF0000"/>
                <w:kern w:val="0"/>
                <w:szCs w:val="21"/>
                <w:u w:val="wave"/>
              </w:rPr>
              <w:t>生活垃圾：垃圾桶暂存，委托环卫部门定期清运处置</w:t>
            </w:r>
          </w:p>
        </w:tc>
        <w:tc>
          <w:tcPr>
            <w:tcW w:w="780" w:type="pct"/>
            <w:vAlign w:val="center"/>
          </w:tcPr>
          <w:p>
            <w:pPr>
              <w:widowControl/>
              <w:jc w:val="center"/>
              <w:rPr>
                <w:rFonts w:eastAsiaTheme="minorEastAsia"/>
                <w:color w:val="FF0000"/>
                <w:kern w:val="0"/>
                <w:szCs w:val="21"/>
                <w:u w:val="wave"/>
              </w:rPr>
            </w:pPr>
            <w:r>
              <w:rPr>
                <w:rFonts w:hint="eastAsia" w:eastAsiaTheme="minorEastAsia"/>
                <w:color w:val="FF0000"/>
                <w:kern w:val="0"/>
                <w:szCs w:val="21"/>
                <w:u w:val="wave"/>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6" w:type="pct"/>
            <w:vAlign w:val="center"/>
          </w:tcPr>
          <w:p>
            <w:pPr>
              <w:widowControl/>
              <w:jc w:val="center"/>
              <w:rPr>
                <w:rFonts w:eastAsiaTheme="minorEastAsia"/>
                <w:color w:val="FF0000"/>
                <w:kern w:val="0"/>
                <w:szCs w:val="21"/>
                <w:u w:val="wave"/>
              </w:rPr>
            </w:pPr>
            <w:r>
              <w:rPr>
                <w:rFonts w:eastAsiaTheme="minorEastAsia"/>
                <w:color w:val="FF0000"/>
                <w:kern w:val="0"/>
                <w:szCs w:val="21"/>
                <w:u w:val="wave"/>
              </w:rPr>
              <w:t>风险防范</w:t>
            </w:r>
          </w:p>
        </w:tc>
        <w:tc>
          <w:tcPr>
            <w:tcW w:w="3574" w:type="pct"/>
            <w:vAlign w:val="center"/>
          </w:tcPr>
          <w:p>
            <w:pPr>
              <w:pStyle w:val="146"/>
              <w:ind w:firstLine="210"/>
              <w:jc w:val="center"/>
              <w:rPr>
                <w:rFonts w:eastAsiaTheme="minorEastAsia"/>
                <w:color w:val="FF0000"/>
                <w:sz w:val="21"/>
                <w:szCs w:val="21"/>
                <w:u w:val="wave"/>
              </w:rPr>
            </w:pPr>
            <w:r>
              <w:rPr>
                <w:rFonts w:ascii="Times New Roman" w:hAnsi="Times New Roman" w:cs="Times New Roman" w:eastAsiaTheme="minorEastAsia"/>
                <w:color w:val="FF0000"/>
                <w:kern w:val="0"/>
                <w:sz w:val="21"/>
                <w:szCs w:val="21"/>
                <w:u w:val="wave"/>
                <w:lang w:val="en-US" w:eastAsia="zh-CN" w:bidi="ar-SA"/>
              </w:rPr>
              <w:t>设置风险管理机构，制定应急预案，定期培训，应急设施、设备及器材等</w:t>
            </w:r>
          </w:p>
        </w:tc>
        <w:tc>
          <w:tcPr>
            <w:tcW w:w="780" w:type="pct"/>
            <w:vAlign w:val="center"/>
          </w:tcPr>
          <w:p>
            <w:pPr>
              <w:widowControl/>
              <w:jc w:val="center"/>
              <w:rPr>
                <w:rFonts w:eastAsiaTheme="minorEastAsia"/>
                <w:color w:val="FF0000"/>
                <w:kern w:val="0"/>
                <w:szCs w:val="21"/>
                <w:u w:val="wave"/>
              </w:rPr>
            </w:pPr>
            <w:r>
              <w:rPr>
                <w:rFonts w:hint="eastAsia" w:eastAsiaTheme="minorEastAsia"/>
                <w:color w:val="FF0000"/>
                <w:kern w:val="0"/>
                <w:szCs w:val="21"/>
                <w:u w:val="wav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6" w:type="pct"/>
            <w:vAlign w:val="center"/>
          </w:tcPr>
          <w:p>
            <w:pPr>
              <w:widowControl/>
              <w:jc w:val="center"/>
              <w:rPr>
                <w:rFonts w:eastAsiaTheme="minorEastAsia"/>
                <w:color w:val="FF0000"/>
                <w:kern w:val="0"/>
                <w:szCs w:val="21"/>
                <w:u w:val="wave"/>
              </w:rPr>
            </w:pPr>
            <w:r>
              <w:rPr>
                <w:rFonts w:eastAsiaTheme="minorEastAsia"/>
                <w:color w:val="FF0000"/>
                <w:kern w:val="0"/>
                <w:szCs w:val="21"/>
                <w:u w:val="wave"/>
              </w:rPr>
              <w:t>环境管理</w:t>
            </w:r>
          </w:p>
        </w:tc>
        <w:tc>
          <w:tcPr>
            <w:tcW w:w="3574" w:type="pct"/>
            <w:vAlign w:val="center"/>
          </w:tcPr>
          <w:p>
            <w:pPr>
              <w:widowControl/>
              <w:jc w:val="center"/>
              <w:rPr>
                <w:rFonts w:ascii="Times New Roman" w:hAnsi="Times New Roman" w:eastAsia="宋体" w:cs="Times New Roman"/>
                <w:color w:val="FF0000"/>
                <w:szCs w:val="21"/>
                <w:u w:val="wave"/>
              </w:rPr>
            </w:pPr>
            <w:r>
              <w:rPr>
                <w:rFonts w:ascii="Times New Roman" w:hAnsi="Times New Roman" w:eastAsia="宋体" w:cs="Times New Roman"/>
                <w:color w:val="FF0000"/>
                <w:szCs w:val="21"/>
                <w:u w:val="wave"/>
              </w:rPr>
              <w:t>设置环保专员加强场区污染治理设施运行、维护、监督及管理；环境管理人员日常培训；定期开展监测；</w:t>
            </w:r>
            <w:r>
              <w:rPr>
                <w:rFonts w:hint="eastAsia" w:ascii="Times New Roman" w:cs="Times New Roman" w:hAnsiTheme="majorEastAsia" w:eastAsiaTheme="majorEastAsia"/>
                <w:b w:val="0"/>
                <w:color w:val="FF0000"/>
                <w:sz w:val="21"/>
                <w:u w:val="wave"/>
              </w:rPr>
              <w:t>规范</w:t>
            </w:r>
            <w:r>
              <w:rPr>
                <w:rFonts w:hint="eastAsia" w:ascii="Times New Roman" w:cs="Times New Roman" w:hAnsiTheme="majorEastAsia" w:eastAsiaTheme="majorEastAsia"/>
                <w:b w:val="0"/>
                <w:color w:val="FF0000"/>
                <w:sz w:val="21"/>
                <w:u w:val="wave"/>
                <w:lang w:val="en-US" w:eastAsia="zh-CN"/>
              </w:rPr>
              <w:t>雨水</w:t>
            </w:r>
            <w:r>
              <w:rPr>
                <w:rFonts w:hint="eastAsia" w:ascii="Times New Roman" w:cs="Times New Roman" w:hAnsiTheme="majorEastAsia" w:eastAsiaTheme="majorEastAsia"/>
                <w:b w:val="0"/>
                <w:color w:val="FF0000"/>
                <w:sz w:val="21"/>
                <w:u w:val="wave"/>
              </w:rPr>
              <w:t>排放口</w:t>
            </w:r>
            <w:r>
              <w:rPr>
                <w:rFonts w:hint="eastAsia" w:ascii="Times New Roman" w:cs="Times New Roman" w:hAnsiTheme="majorEastAsia" w:eastAsiaTheme="majorEastAsia"/>
                <w:b w:val="0"/>
                <w:color w:val="FF0000"/>
                <w:sz w:val="21"/>
                <w:u w:val="wave"/>
                <w:lang w:eastAsia="zh-CN"/>
              </w:rPr>
              <w:t>；</w:t>
            </w:r>
            <w:r>
              <w:rPr>
                <w:rFonts w:hint="eastAsia" w:ascii="Times New Roman" w:cs="Times New Roman" w:hAnsiTheme="majorEastAsia" w:eastAsiaTheme="majorEastAsia"/>
                <w:b w:val="0"/>
                <w:color w:val="FF0000"/>
                <w:sz w:val="21"/>
                <w:u w:val="wave"/>
                <w:lang w:val="en-US" w:eastAsia="zh-CN"/>
              </w:rPr>
              <w:t>规范设置标志牌</w:t>
            </w:r>
          </w:p>
        </w:tc>
        <w:tc>
          <w:tcPr>
            <w:tcW w:w="780" w:type="pct"/>
            <w:vAlign w:val="center"/>
          </w:tcPr>
          <w:p>
            <w:pPr>
              <w:widowControl/>
              <w:jc w:val="center"/>
              <w:rPr>
                <w:rFonts w:eastAsiaTheme="minorEastAsia"/>
                <w:color w:val="FF0000"/>
                <w:kern w:val="0"/>
                <w:szCs w:val="21"/>
                <w:u w:val="wave"/>
              </w:rPr>
            </w:pPr>
            <w:r>
              <w:rPr>
                <w:rFonts w:hint="eastAsia" w:eastAsiaTheme="minorEastAsia"/>
                <w:color w:val="FF0000"/>
                <w:kern w:val="0"/>
                <w:szCs w:val="21"/>
                <w:u w:val="wav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6" w:type="pct"/>
            <w:vAlign w:val="center"/>
          </w:tcPr>
          <w:p>
            <w:pPr>
              <w:widowControl/>
              <w:jc w:val="center"/>
              <w:rPr>
                <w:rFonts w:eastAsiaTheme="minorEastAsia"/>
                <w:color w:val="FF0000"/>
                <w:kern w:val="0"/>
                <w:szCs w:val="21"/>
                <w:u w:val="wave"/>
              </w:rPr>
            </w:pPr>
            <w:r>
              <w:rPr>
                <w:rFonts w:eastAsiaTheme="minorEastAsia"/>
                <w:color w:val="FF0000"/>
                <w:kern w:val="0"/>
                <w:szCs w:val="21"/>
                <w:u w:val="wave"/>
              </w:rPr>
              <w:t>绿化</w:t>
            </w:r>
          </w:p>
        </w:tc>
        <w:tc>
          <w:tcPr>
            <w:tcW w:w="3574" w:type="pct"/>
            <w:vAlign w:val="center"/>
          </w:tcPr>
          <w:p>
            <w:pPr>
              <w:widowControl/>
              <w:jc w:val="center"/>
              <w:rPr>
                <w:rFonts w:ascii="Times New Roman" w:hAnsi="Times New Roman" w:eastAsia="宋体" w:cs="Times New Roman"/>
                <w:color w:val="FF0000"/>
                <w:szCs w:val="21"/>
                <w:u w:val="wave"/>
              </w:rPr>
            </w:pPr>
            <w:r>
              <w:rPr>
                <w:rFonts w:ascii="Times New Roman" w:hAnsi="Times New Roman" w:eastAsia="宋体" w:cs="Times New Roman"/>
                <w:color w:val="FF0000"/>
                <w:szCs w:val="21"/>
                <w:u w:val="wave"/>
              </w:rPr>
              <w:t>加强厂区绿化</w:t>
            </w:r>
          </w:p>
        </w:tc>
        <w:tc>
          <w:tcPr>
            <w:tcW w:w="780" w:type="pct"/>
            <w:vAlign w:val="center"/>
          </w:tcPr>
          <w:p>
            <w:pPr>
              <w:widowControl/>
              <w:jc w:val="center"/>
              <w:rPr>
                <w:rFonts w:eastAsiaTheme="minorEastAsia"/>
                <w:color w:val="FF0000"/>
                <w:kern w:val="0"/>
                <w:szCs w:val="21"/>
                <w:u w:val="wave"/>
              </w:rPr>
            </w:pPr>
            <w:r>
              <w:rPr>
                <w:rFonts w:hint="eastAsia" w:eastAsiaTheme="minorEastAsia"/>
                <w:color w:val="FF0000"/>
                <w:kern w:val="0"/>
                <w:szCs w:val="21"/>
                <w:u w:val="wav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220" w:type="pct"/>
            <w:gridSpan w:val="2"/>
            <w:vAlign w:val="center"/>
          </w:tcPr>
          <w:p>
            <w:pPr>
              <w:widowControl/>
              <w:jc w:val="center"/>
              <w:rPr>
                <w:rFonts w:eastAsiaTheme="minorEastAsia"/>
                <w:color w:val="FF0000"/>
                <w:kern w:val="0"/>
                <w:szCs w:val="21"/>
                <w:u w:val="wave"/>
              </w:rPr>
            </w:pPr>
            <w:r>
              <w:rPr>
                <w:rFonts w:hAnsiTheme="minorEastAsia" w:eastAsiaTheme="minorEastAsia"/>
                <w:color w:val="FF0000"/>
                <w:kern w:val="0"/>
                <w:szCs w:val="21"/>
                <w:u w:val="wave"/>
              </w:rPr>
              <w:t>合计</w:t>
            </w:r>
          </w:p>
        </w:tc>
        <w:tc>
          <w:tcPr>
            <w:tcW w:w="780" w:type="pct"/>
            <w:vAlign w:val="center"/>
          </w:tcPr>
          <w:p>
            <w:pPr>
              <w:widowControl/>
              <w:jc w:val="center"/>
              <w:rPr>
                <w:rFonts w:eastAsiaTheme="minorEastAsia"/>
                <w:color w:val="FF0000"/>
                <w:kern w:val="0"/>
                <w:szCs w:val="21"/>
                <w:u w:val="wave"/>
              </w:rPr>
            </w:pPr>
            <w:r>
              <w:rPr>
                <w:rFonts w:hint="eastAsia" w:eastAsiaTheme="minorEastAsia"/>
                <w:color w:val="FF0000"/>
                <w:kern w:val="0"/>
                <w:szCs w:val="21"/>
                <w:u w:val="wave"/>
              </w:rPr>
              <w:t>310</w:t>
            </w:r>
          </w:p>
        </w:tc>
      </w:tr>
    </w:tbl>
    <w:p>
      <w:pPr>
        <w:spacing w:line="360" w:lineRule="auto"/>
        <w:ind w:firstLine="480" w:firstLineChars="200"/>
        <w:rPr>
          <w:rFonts w:hAnsi="宋体"/>
          <w:kern w:val="0"/>
          <w:sz w:val="24"/>
        </w:rPr>
      </w:pPr>
      <w:r>
        <w:rPr>
          <w:rFonts w:hAnsi="宋体"/>
          <w:kern w:val="0"/>
          <w:sz w:val="24"/>
        </w:rPr>
        <w:t>从表</w:t>
      </w:r>
      <w:r>
        <w:rPr>
          <w:rFonts w:hint="eastAsia"/>
          <w:kern w:val="0"/>
          <w:sz w:val="24"/>
        </w:rPr>
        <w:t>7.3</w:t>
      </w:r>
      <w:r>
        <w:rPr>
          <w:kern w:val="0"/>
          <w:sz w:val="24"/>
        </w:rPr>
        <w:t>-1和表</w:t>
      </w:r>
      <w:r>
        <w:rPr>
          <w:rFonts w:hint="eastAsia"/>
          <w:kern w:val="0"/>
          <w:sz w:val="24"/>
        </w:rPr>
        <w:t>7.3-2</w:t>
      </w:r>
      <w:r>
        <w:rPr>
          <w:rFonts w:hAnsi="宋体"/>
          <w:kern w:val="0"/>
          <w:sz w:val="24"/>
        </w:rPr>
        <w:t>可以看出，项目的环保投资为</w:t>
      </w:r>
      <w:r>
        <w:rPr>
          <w:rFonts w:hint="eastAsia"/>
          <w:kern w:val="0"/>
          <w:sz w:val="24"/>
        </w:rPr>
        <w:t>400</w:t>
      </w:r>
      <w:r>
        <w:rPr>
          <w:rFonts w:hAnsi="宋体"/>
          <w:kern w:val="0"/>
          <w:sz w:val="24"/>
        </w:rPr>
        <w:t>万元，总投资为</w:t>
      </w:r>
      <w:r>
        <w:rPr>
          <w:rFonts w:hint="eastAsia"/>
          <w:kern w:val="0"/>
          <w:sz w:val="24"/>
        </w:rPr>
        <w:t>15000</w:t>
      </w:r>
      <w:r>
        <w:rPr>
          <w:rFonts w:hAnsi="宋体"/>
          <w:kern w:val="0"/>
          <w:sz w:val="24"/>
        </w:rPr>
        <w:t>万元，占总投资</w:t>
      </w:r>
      <w:r>
        <w:rPr>
          <w:rFonts w:hint="eastAsia"/>
          <w:kern w:val="0"/>
          <w:sz w:val="24"/>
        </w:rPr>
        <w:t>2.67</w:t>
      </w:r>
      <w:r>
        <w:rPr>
          <w:kern w:val="0"/>
          <w:sz w:val="24"/>
        </w:rPr>
        <w:t>%。</w:t>
      </w:r>
    </w:p>
    <w:p>
      <w:pPr>
        <w:pStyle w:val="17"/>
        <w:spacing w:beforeLines="50"/>
        <w:rPr>
          <w:rFonts w:ascii="Times New Roman" w:hAnsi="Times New Roman" w:cs="Times New Roman"/>
          <w:color w:val="auto"/>
          <w:sz w:val="21"/>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4"/>
        <w:pageBreakBefore/>
        <w:numPr>
          <w:ilvl w:val="0"/>
          <w:numId w:val="0"/>
        </w:numPr>
        <w:spacing w:beforeLines="0" w:line="360" w:lineRule="auto"/>
        <w:jc w:val="center"/>
        <w:rPr>
          <w:rFonts w:eastAsia="宋体"/>
        </w:rPr>
      </w:pPr>
      <w:bookmarkStart w:id="345" w:name="_Toc123886425"/>
      <w:bookmarkStart w:id="346" w:name="_Toc517522349"/>
      <w:r>
        <w:rPr>
          <w:rFonts w:hint="eastAsia" w:eastAsia="宋体"/>
        </w:rPr>
        <w:t xml:space="preserve">8 </w:t>
      </w:r>
      <w:r>
        <w:rPr>
          <w:rFonts w:eastAsia="宋体"/>
        </w:rPr>
        <w:t>环境影响经济损益分析</w:t>
      </w:r>
      <w:bookmarkEnd w:id="345"/>
    </w:p>
    <w:p>
      <w:pPr>
        <w:spacing w:before="140" w:after="140"/>
        <w:outlineLvl w:val="1"/>
        <w:rPr>
          <w:b/>
          <w:bCs/>
          <w:sz w:val="30"/>
          <w:szCs w:val="30"/>
        </w:rPr>
      </w:pPr>
      <w:bookmarkStart w:id="347" w:name="_Toc123886426"/>
      <w:r>
        <w:rPr>
          <w:rFonts w:hint="eastAsia"/>
          <w:b/>
          <w:bCs/>
          <w:sz w:val="30"/>
          <w:szCs w:val="30"/>
        </w:rPr>
        <w:t>8</w:t>
      </w:r>
      <w:r>
        <w:rPr>
          <w:b/>
          <w:bCs/>
          <w:sz w:val="30"/>
          <w:szCs w:val="30"/>
        </w:rPr>
        <w:t>.1 环境经济效益分析方法</w:t>
      </w:r>
      <w:bookmarkEnd w:id="347"/>
    </w:p>
    <w:p>
      <w:pPr>
        <w:autoSpaceDE w:val="0"/>
        <w:autoSpaceDN w:val="0"/>
        <w:adjustRightInd w:val="0"/>
        <w:spacing w:line="360" w:lineRule="auto"/>
        <w:ind w:firstLine="480" w:firstLineChars="200"/>
        <w:rPr>
          <w:sz w:val="24"/>
        </w:rPr>
      </w:pPr>
      <w:r>
        <w:rPr>
          <w:rFonts w:hint="eastAsia"/>
          <w:sz w:val="24"/>
        </w:rPr>
        <w:t>环境影响经济损益分析主要是衡量项目的环保投资所能收到的环境效益和经济效益，建设项目应力争达到社会效益、环境效益、经济效益的统一，这样才能符合可持续发展的要求，实现经济的持续发展和环境质量的不断改善。本项目在生产过程中会产生大气、废水、噪声等污染源，是一个轻型污染型工程，它的建设在一定程度上给周围环境质量带来一些负面影响，因此有必要进行经济效益、社会效益、环境效益的综合分析，使本建设项目的建设论证更加充分可靠，工程的设计和实施更加完善，以实现社会的良性发展、经济的持续增长和环境质量的保持与改善。</w:t>
      </w:r>
    </w:p>
    <w:p>
      <w:pPr>
        <w:autoSpaceDE w:val="0"/>
        <w:autoSpaceDN w:val="0"/>
        <w:adjustRightInd w:val="0"/>
        <w:spacing w:line="360" w:lineRule="auto"/>
        <w:ind w:firstLine="480" w:firstLineChars="200"/>
        <w:rPr>
          <w:sz w:val="24"/>
        </w:rPr>
      </w:pPr>
      <w:r>
        <w:rPr>
          <w:sz w:val="24"/>
        </w:rPr>
        <w:t>本章通过对该项目的社会、经济、环境效益以及环境损失的分析，对该项目的环境经济损益状况作简要分析。</w:t>
      </w:r>
    </w:p>
    <w:p>
      <w:pPr>
        <w:spacing w:before="140" w:after="140"/>
        <w:outlineLvl w:val="1"/>
        <w:rPr>
          <w:b/>
          <w:bCs/>
          <w:sz w:val="30"/>
          <w:szCs w:val="30"/>
        </w:rPr>
      </w:pPr>
      <w:bookmarkStart w:id="348" w:name="_Toc123886427"/>
      <w:r>
        <w:rPr>
          <w:rFonts w:hint="eastAsia"/>
          <w:b/>
          <w:bCs/>
          <w:sz w:val="30"/>
          <w:szCs w:val="30"/>
        </w:rPr>
        <w:t>8</w:t>
      </w:r>
      <w:r>
        <w:rPr>
          <w:b/>
          <w:bCs/>
          <w:sz w:val="30"/>
          <w:szCs w:val="30"/>
        </w:rPr>
        <w:t>.2 项目社会效益分析</w:t>
      </w:r>
      <w:bookmarkEnd w:id="348"/>
    </w:p>
    <w:p>
      <w:pPr>
        <w:spacing w:line="360" w:lineRule="auto"/>
        <w:ind w:firstLine="480" w:firstLineChars="200"/>
        <w:rPr>
          <w:rFonts w:hint="eastAsia" w:ascii="Times New Roman" w:hAnsi="宋体" w:eastAsia="宋体" w:cs="Times New Roman"/>
          <w:kern w:val="0"/>
          <w:sz w:val="24"/>
        </w:rPr>
      </w:pPr>
      <w:r>
        <w:rPr>
          <w:rFonts w:hint="eastAsia" w:ascii="Times New Roman" w:hAnsi="宋体" w:eastAsia="宋体" w:cs="Times New Roman"/>
          <w:kern w:val="0"/>
          <w:sz w:val="24"/>
        </w:rPr>
        <w:t>本项目的建设对区域社会经济发展具有明显的推动作用，其对社会环境的正效益主要表现在：</w:t>
      </w:r>
    </w:p>
    <w:p>
      <w:pPr>
        <w:spacing w:line="360" w:lineRule="auto"/>
        <w:ind w:firstLine="480" w:firstLineChars="200"/>
        <w:rPr>
          <w:rFonts w:hint="eastAsia" w:ascii="Times New Roman" w:hAnsi="宋体" w:eastAsia="宋体" w:cs="Times New Roman"/>
          <w:kern w:val="0"/>
          <w:sz w:val="24"/>
        </w:rPr>
      </w:pPr>
      <w:r>
        <w:rPr>
          <w:rFonts w:hint="eastAsia" w:ascii="Times New Roman" w:hAnsi="宋体" w:eastAsia="宋体" w:cs="Times New Roman"/>
          <w:kern w:val="0"/>
          <w:sz w:val="24"/>
        </w:rPr>
        <w:t>①本项目的实施可有效消化部分剩余劳动力，解决剩余劳动力的出路，吸纳劳动力就业优势明显，对促进地方就业和社会安定团结起到了积极的作用。</w:t>
      </w:r>
    </w:p>
    <w:p>
      <w:pPr>
        <w:spacing w:line="360" w:lineRule="auto"/>
        <w:ind w:firstLine="480" w:firstLineChars="200"/>
        <w:rPr>
          <w:rFonts w:hint="eastAsia" w:ascii="Times New Roman" w:hAnsi="宋体" w:eastAsia="宋体" w:cs="Times New Roman"/>
          <w:kern w:val="0"/>
          <w:sz w:val="24"/>
        </w:rPr>
      </w:pPr>
      <w:r>
        <w:rPr>
          <w:rFonts w:hint="eastAsia" w:ascii="Times New Roman" w:hAnsi="宋体" w:eastAsia="宋体" w:cs="Times New Roman"/>
          <w:kern w:val="0"/>
          <w:sz w:val="24"/>
        </w:rPr>
        <w:t>②本项目的实施可以带动相关产业的发展，将对饲料、养殖、环保设施等相关行业的发展具有促进作用。</w:t>
      </w:r>
    </w:p>
    <w:p>
      <w:pPr>
        <w:spacing w:line="360" w:lineRule="auto"/>
        <w:ind w:firstLine="480" w:firstLineChars="200"/>
        <w:rPr>
          <w:rFonts w:hint="eastAsia" w:ascii="Times New Roman" w:hAnsi="宋体" w:eastAsia="宋体" w:cs="Times New Roman"/>
          <w:kern w:val="0"/>
          <w:sz w:val="24"/>
        </w:rPr>
      </w:pPr>
      <w:r>
        <w:rPr>
          <w:rFonts w:hint="eastAsia" w:ascii="Times New Roman" w:hAnsi="宋体" w:eastAsia="宋体" w:cs="Times New Roman"/>
          <w:kern w:val="0"/>
          <w:sz w:val="24"/>
        </w:rPr>
        <w:t>③本项目的投产可提高当地财政的税收收入，间接支援了当地的建设，从而取得进一步的社会效益。</w:t>
      </w:r>
    </w:p>
    <w:p>
      <w:pPr>
        <w:spacing w:before="140" w:after="140"/>
        <w:outlineLvl w:val="1"/>
        <w:rPr>
          <w:b/>
          <w:bCs/>
          <w:sz w:val="30"/>
          <w:szCs w:val="30"/>
        </w:rPr>
      </w:pPr>
      <w:bookmarkStart w:id="349" w:name="_Toc123886428"/>
      <w:r>
        <w:rPr>
          <w:rFonts w:hint="eastAsia"/>
          <w:b/>
          <w:bCs/>
          <w:sz w:val="30"/>
          <w:szCs w:val="30"/>
        </w:rPr>
        <w:t>8</w:t>
      </w:r>
      <w:r>
        <w:rPr>
          <w:b/>
          <w:bCs/>
          <w:sz w:val="30"/>
          <w:szCs w:val="30"/>
        </w:rPr>
        <w:t>.</w:t>
      </w:r>
      <w:r>
        <w:rPr>
          <w:rFonts w:hint="eastAsia"/>
          <w:b/>
          <w:bCs/>
          <w:sz w:val="30"/>
          <w:szCs w:val="30"/>
        </w:rPr>
        <w:t xml:space="preserve">3 </w:t>
      </w:r>
      <w:r>
        <w:rPr>
          <w:b/>
          <w:bCs/>
          <w:sz w:val="30"/>
          <w:szCs w:val="30"/>
        </w:rPr>
        <w:t>项目经济效益分析</w:t>
      </w:r>
      <w:bookmarkEnd w:id="349"/>
    </w:p>
    <w:p>
      <w:pPr>
        <w:spacing w:line="360" w:lineRule="auto"/>
        <w:ind w:firstLine="480" w:firstLineChars="200"/>
        <w:rPr>
          <w:kern w:val="0"/>
          <w:sz w:val="24"/>
        </w:rPr>
      </w:pPr>
      <w:r>
        <w:rPr>
          <w:rFonts w:hAnsi="宋体"/>
          <w:kern w:val="0"/>
          <w:sz w:val="24"/>
        </w:rPr>
        <w:t>项目总投资</w:t>
      </w:r>
      <w:r>
        <w:rPr>
          <w:rFonts w:hint="eastAsia" w:hAnsi="宋体"/>
          <w:kern w:val="0"/>
          <w:sz w:val="24"/>
        </w:rPr>
        <w:t>1.5亿元</w:t>
      </w:r>
      <w:r>
        <w:rPr>
          <w:rFonts w:hAnsi="宋体"/>
          <w:kern w:val="0"/>
          <w:sz w:val="24"/>
        </w:rPr>
        <w:t>，项目建成达到稳定生产后，</w:t>
      </w:r>
      <w:r>
        <w:rPr>
          <w:rFonts w:hint="eastAsia" w:hAnsi="宋体"/>
          <w:kern w:val="0"/>
          <w:sz w:val="24"/>
        </w:rPr>
        <w:t>年出售淘汰鸡51.465万羽，鸡蛋18342.126万枚</w:t>
      </w:r>
      <w:r>
        <w:rPr>
          <w:rFonts w:hAnsi="宋体"/>
          <w:kern w:val="0"/>
          <w:sz w:val="24"/>
        </w:rPr>
        <w:t>。</w:t>
      </w:r>
      <w:r>
        <w:rPr>
          <w:rFonts w:ascii="宋体" w:hAnsi="宋体" w:eastAsia="宋体" w:cs="宋体"/>
          <w:sz w:val="24"/>
          <w:szCs w:val="24"/>
        </w:rPr>
        <w:t>本项目的各项评价指标均优于基准值和同行业的平均水平，具有良好的财务盈利能力、清偿能力和较强的抗风险能力将取得较好的经济效益。企业通过不断技术创新，强化企业的核心技术，提高企业的专业化和社会化水平，使公司在产品生产与经营管理两个方面率先创新形成优势，提高公司的核心竞争力</w:t>
      </w:r>
      <w:r>
        <w:rPr>
          <w:rFonts w:hAnsi="宋体"/>
          <w:kern w:val="0"/>
          <w:sz w:val="24"/>
        </w:rPr>
        <w:t>。</w:t>
      </w:r>
    </w:p>
    <w:p>
      <w:pPr>
        <w:spacing w:before="140" w:after="140"/>
        <w:outlineLvl w:val="1"/>
        <w:rPr>
          <w:b/>
          <w:bCs/>
          <w:sz w:val="30"/>
          <w:szCs w:val="30"/>
        </w:rPr>
      </w:pPr>
      <w:bookmarkStart w:id="350" w:name="_Toc123886429"/>
      <w:r>
        <w:rPr>
          <w:rFonts w:hint="eastAsia"/>
          <w:b/>
          <w:bCs/>
          <w:sz w:val="30"/>
          <w:szCs w:val="30"/>
        </w:rPr>
        <w:t>8</w:t>
      </w:r>
      <w:r>
        <w:rPr>
          <w:b/>
          <w:bCs/>
          <w:sz w:val="30"/>
          <w:szCs w:val="30"/>
        </w:rPr>
        <w:t>.</w:t>
      </w:r>
      <w:r>
        <w:rPr>
          <w:rFonts w:hint="eastAsia"/>
          <w:b/>
          <w:bCs/>
          <w:sz w:val="30"/>
          <w:szCs w:val="30"/>
        </w:rPr>
        <w:t xml:space="preserve">4 </w:t>
      </w:r>
      <w:r>
        <w:rPr>
          <w:b/>
          <w:bCs/>
          <w:sz w:val="30"/>
          <w:szCs w:val="30"/>
        </w:rPr>
        <w:t>项目环境效益分析</w:t>
      </w:r>
      <w:bookmarkEnd w:id="350"/>
    </w:p>
    <w:p>
      <w:pPr>
        <w:spacing w:line="360" w:lineRule="auto"/>
        <w:ind w:firstLine="480" w:firstLineChars="200"/>
        <w:rPr>
          <w:rFonts w:hAnsi="宋体"/>
          <w:kern w:val="0"/>
          <w:sz w:val="24"/>
        </w:rPr>
      </w:pPr>
      <w:r>
        <w:rPr>
          <w:rFonts w:hAnsi="宋体"/>
          <w:kern w:val="0"/>
          <w:sz w:val="24"/>
        </w:rPr>
        <w:t>本项目建成投产后的社会效益和经济效益良好，其制约因素主要是环境保护问题。因此，为将环境影响减至最小程度，必须实施环境保护措施，投入必要的环保建设费用和运行费用，方能达到保护周边环境的要求。</w:t>
      </w:r>
    </w:p>
    <w:p>
      <w:pPr>
        <w:spacing w:line="360" w:lineRule="auto"/>
        <w:ind w:firstLine="480" w:firstLineChars="200"/>
        <w:rPr>
          <w:kern w:val="0"/>
          <w:sz w:val="24"/>
        </w:rPr>
      </w:pPr>
      <w:r>
        <w:rPr>
          <w:rFonts w:hint="eastAsia"/>
          <w:kern w:val="0"/>
          <w:sz w:val="24"/>
        </w:rPr>
        <w:t>本项目环保投资约400万，其中运营期环保投资约310万。</w:t>
      </w:r>
    </w:p>
    <w:p>
      <w:pPr>
        <w:pStyle w:val="7"/>
        <w:adjustRightInd w:val="0"/>
        <w:snapToGrid w:val="0"/>
        <w:spacing w:before="0" w:after="0" w:line="360" w:lineRule="auto"/>
        <w:jc w:val="left"/>
        <w:rPr>
          <w:sz w:val="24"/>
          <w:szCs w:val="24"/>
        </w:rPr>
      </w:pPr>
      <w:r>
        <w:rPr>
          <w:rFonts w:hint="eastAsia"/>
          <w:sz w:val="24"/>
          <w:szCs w:val="24"/>
        </w:rPr>
        <w:t>8</w:t>
      </w:r>
      <w:r>
        <w:rPr>
          <w:sz w:val="24"/>
          <w:szCs w:val="24"/>
        </w:rPr>
        <w:t>.</w:t>
      </w:r>
      <w:r>
        <w:rPr>
          <w:rFonts w:hint="eastAsia"/>
          <w:sz w:val="24"/>
          <w:szCs w:val="24"/>
        </w:rPr>
        <w:t>4</w:t>
      </w:r>
      <w:r>
        <w:rPr>
          <w:sz w:val="24"/>
          <w:szCs w:val="24"/>
        </w:rPr>
        <w:t>.</w:t>
      </w:r>
      <w:r>
        <w:rPr>
          <w:rFonts w:hint="eastAsia"/>
          <w:sz w:val="24"/>
          <w:szCs w:val="24"/>
        </w:rPr>
        <w:t>1 环境保护成本</w:t>
      </w:r>
    </w:p>
    <w:p>
      <w:pPr>
        <w:spacing w:line="360" w:lineRule="auto"/>
        <w:ind w:firstLine="480" w:firstLineChars="200"/>
        <w:rPr>
          <w:kern w:val="0"/>
          <w:sz w:val="24"/>
        </w:rPr>
      </w:pPr>
      <w:bookmarkStart w:id="351" w:name="_Toc27620"/>
      <w:bookmarkStart w:id="352" w:name="_Toc470618335"/>
      <w:bookmarkStart w:id="353" w:name="_Toc466538565"/>
      <w:r>
        <w:rPr>
          <w:rFonts w:hint="eastAsia"/>
          <w:kern w:val="0"/>
          <w:sz w:val="24"/>
        </w:rPr>
        <w:t>环保设施经营支出包括环保设施折旧费、运行费和环保管理费。</w:t>
      </w:r>
    </w:p>
    <w:p>
      <w:pPr>
        <w:spacing w:line="360" w:lineRule="auto"/>
        <w:ind w:firstLine="480" w:firstLineChars="200"/>
        <w:rPr>
          <w:kern w:val="0"/>
          <w:sz w:val="24"/>
        </w:rPr>
      </w:pPr>
      <w:r>
        <w:rPr>
          <w:rFonts w:hint="eastAsia"/>
          <w:kern w:val="0"/>
          <w:sz w:val="24"/>
        </w:rPr>
        <w:t>1、环保设施折旧费</w:t>
      </w:r>
    </w:p>
    <w:p>
      <w:pPr>
        <w:spacing w:line="360" w:lineRule="auto"/>
        <w:ind w:firstLine="480" w:firstLineChars="200"/>
        <w:rPr>
          <w:kern w:val="0"/>
          <w:sz w:val="24"/>
        </w:rPr>
      </w:pPr>
      <w:r>
        <w:rPr>
          <w:rFonts w:hint="eastAsia"/>
          <w:kern w:val="0"/>
          <w:sz w:val="24"/>
        </w:rPr>
        <w:t>本项目设备折旧按环保投资（）的5%计，则环保设施折旧费约为15.5万元。</w:t>
      </w:r>
    </w:p>
    <w:p>
      <w:pPr>
        <w:spacing w:line="360" w:lineRule="auto"/>
        <w:ind w:firstLine="480" w:firstLineChars="200"/>
        <w:rPr>
          <w:kern w:val="0"/>
          <w:sz w:val="24"/>
        </w:rPr>
      </w:pPr>
      <w:r>
        <w:rPr>
          <w:rFonts w:hint="eastAsia"/>
          <w:kern w:val="0"/>
          <w:sz w:val="24"/>
        </w:rPr>
        <w:t>2、“三废”运行成本。</w:t>
      </w:r>
    </w:p>
    <w:p>
      <w:pPr>
        <w:spacing w:line="360" w:lineRule="auto"/>
        <w:ind w:firstLine="480" w:firstLineChars="200"/>
        <w:rPr>
          <w:kern w:val="0"/>
          <w:sz w:val="24"/>
        </w:rPr>
      </w:pPr>
      <w:r>
        <w:rPr>
          <w:rFonts w:hint="eastAsia"/>
          <w:kern w:val="0"/>
          <w:sz w:val="24"/>
        </w:rPr>
        <w:t>根据国家税务总局湖南省税务局 湖南省环境保护厅关于发布《湖南省环境保护税核定计算管理办法》的公告（2018年第4号），湖南省大气污染物环境保护税适用税额为每污染当量2.4元，水污染物环境保护税适用税额为每污染当量3元，自2018年4月1日起施行。</w:t>
      </w:r>
    </w:p>
    <w:p>
      <w:pPr>
        <w:spacing w:line="360" w:lineRule="auto"/>
        <w:ind w:firstLine="480" w:firstLineChars="200"/>
        <w:rPr>
          <w:sz w:val="24"/>
          <w:szCs w:val="21"/>
        </w:rPr>
      </w:pPr>
      <w:r>
        <w:rPr>
          <w:rFonts w:hint="eastAsia"/>
          <w:kern w:val="0"/>
          <w:sz w:val="24"/>
        </w:rPr>
        <w:t>本项目不涉及污染物排至外环境中，无需</w:t>
      </w:r>
      <w:r>
        <w:rPr>
          <w:rFonts w:hint="eastAsia"/>
          <w:sz w:val="24"/>
          <w:szCs w:val="21"/>
        </w:rPr>
        <w:t>缴纳环境保护税。</w:t>
      </w:r>
    </w:p>
    <w:p>
      <w:pPr>
        <w:spacing w:line="360" w:lineRule="auto"/>
        <w:ind w:firstLine="480" w:firstLineChars="200"/>
        <w:rPr>
          <w:sz w:val="24"/>
          <w:szCs w:val="21"/>
        </w:rPr>
      </w:pPr>
      <w:r>
        <w:rPr>
          <w:rFonts w:hint="eastAsia"/>
          <w:sz w:val="24"/>
          <w:szCs w:val="21"/>
        </w:rPr>
        <w:t>3、环保设施维修</w:t>
      </w:r>
    </w:p>
    <w:p>
      <w:pPr>
        <w:spacing w:line="360" w:lineRule="auto"/>
        <w:ind w:firstLine="480" w:firstLineChars="200"/>
        <w:rPr>
          <w:sz w:val="24"/>
          <w:szCs w:val="21"/>
        </w:rPr>
      </w:pPr>
      <w:r>
        <w:rPr>
          <w:rFonts w:hint="eastAsia"/>
          <w:sz w:val="24"/>
          <w:szCs w:val="21"/>
        </w:rPr>
        <w:t>本项目环保设施维修费按环保投资的</w:t>
      </w:r>
      <w:r>
        <w:rPr>
          <w:sz w:val="24"/>
          <w:szCs w:val="21"/>
        </w:rPr>
        <w:t>1%</w:t>
      </w:r>
      <w:r>
        <w:rPr>
          <w:rFonts w:hint="eastAsia"/>
          <w:sz w:val="24"/>
          <w:szCs w:val="21"/>
        </w:rPr>
        <w:t>计，则每年维修费约3.1万元。</w:t>
      </w:r>
    </w:p>
    <w:p>
      <w:pPr>
        <w:spacing w:line="360" w:lineRule="auto"/>
        <w:ind w:firstLine="480" w:firstLineChars="200"/>
        <w:rPr>
          <w:sz w:val="24"/>
          <w:szCs w:val="21"/>
        </w:rPr>
      </w:pPr>
      <w:r>
        <w:rPr>
          <w:rFonts w:hint="eastAsia"/>
          <w:sz w:val="24"/>
          <w:szCs w:val="21"/>
        </w:rPr>
        <w:t>总上所述，本项目环境运行成本约为18.6万元。</w:t>
      </w:r>
    </w:p>
    <w:p>
      <w:pPr>
        <w:pStyle w:val="7"/>
        <w:adjustRightInd w:val="0"/>
        <w:snapToGrid w:val="0"/>
        <w:spacing w:before="0" w:after="0" w:line="360" w:lineRule="auto"/>
        <w:jc w:val="left"/>
        <w:rPr>
          <w:sz w:val="24"/>
          <w:szCs w:val="24"/>
        </w:rPr>
      </w:pPr>
      <w:r>
        <w:rPr>
          <w:rFonts w:hint="eastAsia"/>
          <w:sz w:val="24"/>
          <w:szCs w:val="24"/>
        </w:rPr>
        <w:t>8</w:t>
      </w:r>
      <w:r>
        <w:rPr>
          <w:sz w:val="24"/>
          <w:szCs w:val="24"/>
        </w:rPr>
        <w:t>.</w:t>
      </w:r>
      <w:r>
        <w:rPr>
          <w:rFonts w:hint="eastAsia"/>
          <w:sz w:val="24"/>
          <w:szCs w:val="24"/>
        </w:rPr>
        <w:t>4</w:t>
      </w:r>
      <w:r>
        <w:rPr>
          <w:sz w:val="24"/>
          <w:szCs w:val="24"/>
        </w:rPr>
        <w:t>.</w:t>
      </w:r>
      <w:r>
        <w:rPr>
          <w:rFonts w:hint="eastAsia"/>
          <w:sz w:val="24"/>
          <w:szCs w:val="24"/>
        </w:rPr>
        <w:t>1 环保投资收益</w:t>
      </w:r>
    </w:p>
    <w:p>
      <w:pPr>
        <w:spacing w:line="360" w:lineRule="auto"/>
        <w:ind w:firstLine="480" w:firstLineChars="200"/>
        <w:rPr>
          <w:sz w:val="24"/>
          <w:szCs w:val="21"/>
        </w:rPr>
      </w:pPr>
      <w:r>
        <w:rPr>
          <w:rFonts w:hint="eastAsia"/>
          <w:sz w:val="24"/>
          <w:szCs w:val="21"/>
        </w:rPr>
        <w:t>本项目环保设施运行后，预计可以实现以下环境效益：</w:t>
      </w:r>
    </w:p>
    <w:p>
      <w:pPr>
        <w:spacing w:line="360" w:lineRule="auto"/>
        <w:ind w:firstLine="480" w:firstLineChars="200"/>
        <w:rPr>
          <w:sz w:val="24"/>
          <w:szCs w:val="21"/>
        </w:rPr>
      </w:pPr>
      <w:r>
        <w:rPr>
          <w:rFonts w:hint="eastAsia"/>
          <w:sz w:val="24"/>
          <w:szCs w:val="21"/>
        </w:rPr>
        <w:t>（</w:t>
      </w:r>
      <w:r>
        <w:rPr>
          <w:sz w:val="24"/>
          <w:szCs w:val="21"/>
        </w:rPr>
        <w:t>1</w:t>
      </w:r>
      <w:r>
        <w:rPr>
          <w:rFonts w:hint="eastAsia"/>
          <w:sz w:val="24"/>
          <w:szCs w:val="21"/>
        </w:rPr>
        <w:t>）环保设施的完善及运营，使鸡舍环境得到改善，污染物达标排放，减轻对周围环境的影响；</w:t>
      </w:r>
    </w:p>
    <w:p>
      <w:pPr>
        <w:spacing w:line="360" w:lineRule="auto"/>
        <w:ind w:firstLine="480" w:firstLineChars="200"/>
        <w:rPr>
          <w:sz w:val="24"/>
          <w:szCs w:val="21"/>
        </w:rPr>
      </w:pPr>
      <w:r>
        <w:rPr>
          <w:rFonts w:hint="eastAsia"/>
          <w:sz w:val="24"/>
          <w:szCs w:val="21"/>
        </w:rPr>
        <w:t>（</w:t>
      </w:r>
      <w:r>
        <w:rPr>
          <w:sz w:val="24"/>
          <w:szCs w:val="21"/>
        </w:rPr>
        <w:t>2</w:t>
      </w:r>
      <w:r>
        <w:rPr>
          <w:rFonts w:hint="eastAsia"/>
          <w:sz w:val="24"/>
          <w:szCs w:val="21"/>
        </w:rPr>
        <w:t>）生产中的噪声源经消声降噪措施处理后，可缓解噪声对周围人群的影响，适当的改善场区周边声环境；</w:t>
      </w:r>
    </w:p>
    <w:p>
      <w:pPr>
        <w:spacing w:line="360" w:lineRule="auto"/>
        <w:ind w:firstLine="480" w:firstLineChars="200"/>
        <w:rPr>
          <w:sz w:val="24"/>
          <w:szCs w:val="21"/>
        </w:rPr>
      </w:pPr>
      <w:r>
        <w:rPr>
          <w:rFonts w:hint="eastAsia"/>
          <w:sz w:val="24"/>
          <w:szCs w:val="21"/>
        </w:rPr>
        <w:t>（</w:t>
      </w:r>
      <w:r>
        <w:rPr>
          <w:sz w:val="24"/>
          <w:szCs w:val="21"/>
        </w:rPr>
        <w:t>3</w:t>
      </w:r>
      <w:r>
        <w:rPr>
          <w:rFonts w:hint="eastAsia"/>
          <w:sz w:val="24"/>
          <w:szCs w:val="21"/>
        </w:rPr>
        <w:t>）建设项目完成后，对污染源都进行了有效地治理，使企业污染物均能达标排放，减轻对环境的污染。</w:t>
      </w:r>
    </w:p>
    <w:p>
      <w:pPr>
        <w:spacing w:line="360" w:lineRule="auto"/>
        <w:ind w:firstLine="480" w:firstLineChars="200"/>
        <w:rPr>
          <w:sz w:val="24"/>
          <w:szCs w:val="21"/>
        </w:rPr>
      </w:pPr>
      <w:r>
        <w:rPr>
          <w:rFonts w:hint="eastAsia"/>
          <w:sz w:val="24"/>
          <w:szCs w:val="21"/>
        </w:rPr>
        <w:t>（</w:t>
      </w:r>
      <w:r>
        <w:rPr>
          <w:sz w:val="24"/>
          <w:szCs w:val="21"/>
        </w:rPr>
        <w:t>4</w:t>
      </w:r>
      <w:r>
        <w:rPr>
          <w:rFonts w:hint="eastAsia"/>
          <w:sz w:val="24"/>
          <w:szCs w:val="21"/>
        </w:rPr>
        <w:t>）该项目将畜禽的粪便</w:t>
      </w:r>
      <w:r>
        <w:rPr>
          <w:rFonts w:hint="eastAsia"/>
          <w:sz w:val="24"/>
          <w:szCs w:val="21"/>
          <w:lang w:val="en-US" w:eastAsia="zh-CN"/>
        </w:rPr>
        <w:t>外售</w:t>
      </w:r>
      <w:r>
        <w:rPr>
          <w:rFonts w:hint="eastAsia"/>
          <w:sz w:val="24"/>
          <w:szCs w:val="21"/>
        </w:rPr>
        <w:t>综合利用，增加经济效益，</w:t>
      </w:r>
      <w:r>
        <w:rPr>
          <w:rFonts w:hint="eastAsia"/>
          <w:sz w:val="24"/>
          <w:szCs w:val="21"/>
          <w:lang w:val="en-US" w:eastAsia="zh-CN"/>
        </w:rPr>
        <w:t>同时</w:t>
      </w:r>
      <w:r>
        <w:rPr>
          <w:rFonts w:hint="eastAsia"/>
          <w:sz w:val="24"/>
          <w:szCs w:val="21"/>
        </w:rPr>
        <w:t>做到了废物利用，变废为宝，从根本上降低了污染源，大大减轻了对周边地区的环境压力。既美化了养殖场的自然环境，消除了臭味，防止了蚊蝇孳生，又改善了周边地区的生态环境，有利于农业的可持续发展，促进项目地区水土资源的合理利用和生态环境的良性循环，使项目地区规划科学、布局合理，为项目地区无公害、有机农业生产和可持续发展提供了良好的物资基础。</w:t>
      </w:r>
    </w:p>
    <w:p>
      <w:pPr>
        <w:spacing w:line="360" w:lineRule="auto"/>
        <w:ind w:firstLine="480" w:firstLineChars="200"/>
        <w:rPr>
          <w:sz w:val="24"/>
          <w:szCs w:val="21"/>
        </w:rPr>
      </w:pPr>
      <w:r>
        <w:rPr>
          <w:rFonts w:hint="eastAsia"/>
          <w:sz w:val="24"/>
          <w:szCs w:val="21"/>
        </w:rPr>
        <w:t>因此，从环保的角度看，本项目采取了有效的环保措施后环境效益是比较明显的。</w:t>
      </w:r>
    </w:p>
    <w:bookmarkEnd w:id="351"/>
    <w:bookmarkEnd w:id="352"/>
    <w:bookmarkEnd w:id="353"/>
    <w:p>
      <w:pPr>
        <w:spacing w:before="140" w:after="140"/>
        <w:outlineLvl w:val="1"/>
        <w:rPr>
          <w:b/>
          <w:bCs/>
          <w:sz w:val="30"/>
          <w:szCs w:val="30"/>
        </w:rPr>
      </w:pPr>
      <w:bookmarkStart w:id="354" w:name="_Toc123886430"/>
      <w:r>
        <w:rPr>
          <w:rFonts w:hint="eastAsia"/>
          <w:b/>
          <w:bCs/>
          <w:sz w:val="30"/>
          <w:szCs w:val="30"/>
        </w:rPr>
        <w:t>8</w:t>
      </w:r>
      <w:r>
        <w:rPr>
          <w:b/>
          <w:bCs/>
          <w:sz w:val="30"/>
          <w:szCs w:val="30"/>
        </w:rPr>
        <w:t>.</w:t>
      </w:r>
      <w:r>
        <w:rPr>
          <w:rFonts w:hint="eastAsia"/>
          <w:b/>
          <w:bCs/>
          <w:sz w:val="30"/>
          <w:szCs w:val="30"/>
        </w:rPr>
        <w:t xml:space="preserve">5 </w:t>
      </w:r>
      <w:r>
        <w:rPr>
          <w:b/>
          <w:bCs/>
          <w:sz w:val="30"/>
          <w:szCs w:val="30"/>
        </w:rPr>
        <w:t>综合评价</w:t>
      </w:r>
      <w:bookmarkEnd w:id="354"/>
    </w:p>
    <w:p>
      <w:pPr>
        <w:spacing w:line="360" w:lineRule="auto"/>
        <w:ind w:firstLine="480" w:firstLineChars="200"/>
        <w:rPr>
          <w:sz w:val="24"/>
          <w:szCs w:val="21"/>
        </w:rPr>
      </w:pPr>
      <w:r>
        <w:rPr>
          <w:rFonts w:hint="eastAsia"/>
          <w:sz w:val="24"/>
          <w:szCs w:val="21"/>
        </w:rPr>
        <w:t>在社会效益方面，本项目并对解决周边村民的就业、促进地方的经济发展有重要贡献。</w:t>
      </w:r>
    </w:p>
    <w:p>
      <w:pPr>
        <w:spacing w:line="360" w:lineRule="auto"/>
        <w:ind w:firstLine="480" w:firstLineChars="200"/>
        <w:rPr>
          <w:sz w:val="24"/>
          <w:szCs w:val="21"/>
        </w:rPr>
      </w:pPr>
      <w:r>
        <w:rPr>
          <w:rFonts w:hint="eastAsia"/>
          <w:sz w:val="24"/>
          <w:szCs w:val="21"/>
        </w:rPr>
        <w:t>在环境效益方面，本项目的建设和运营会对环境产生一定的影响，但在工程建设中，只要严格执行有关的法律、法规，环保措施执行“三同时”制度，可保证对环境的影响控制在允许范围之内。</w:t>
      </w:r>
    </w:p>
    <w:p>
      <w:pPr>
        <w:spacing w:line="360" w:lineRule="auto"/>
        <w:ind w:firstLine="480" w:firstLineChars="200"/>
        <w:rPr>
          <w:sz w:val="24"/>
          <w:szCs w:val="21"/>
        </w:rPr>
      </w:pPr>
      <w:r>
        <w:rPr>
          <w:rFonts w:hint="eastAsia"/>
          <w:sz w:val="24"/>
          <w:szCs w:val="21"/>
        </w:rPr>
        <w:t>在经济效益方面，项目投资利润率与投资利税率较高，有较好的经济效益。</w:t>
      </w:r>
    </w:p>
    <w:p>
      <w:pPr>
        <w:spacing w:line="360" w:lineRule="auto"/>
        <w:ind w:firstLine="480" w:firstLineChars="200"/>
        <w:rPr>
          <w:kern w:val="0"/>
          <w:sz w:val="24"/>
        </w:rPr>
      </w:pPr>
      <w:r>
        <w:rPr>
          <w:rFonts w:hint="eastAsia"/>
          <w:sz w:val="24"/>
          <w:szCs w:val="21"/>
        </w:rPr>
        <w:t>综合以上分析，本项目的开发建设，将带来相当大的社会效益，针对项目暴露出来的环境问题而采取相应的污染防治措施后，其环境代价较小。本项目所带来的社会和环境效益远远大于资源和环境污染造成的损失，从环境经济方面来看，项目具备可行性</w:t>
      </w:r>
      <w:r>
        <w:rPr>
          <w:rFonts w:hint="eastAsia" w:hAnsi="宋体"/>
          <w:kern w:val="0"/>
          <w:sz w:val="24"/>
        </w:rPr>
        <w:t>。</w:t>
      </w:r>
    </w:p>
    <w:p>
      <w:pPr>
        <w:pStyle w:val="5"/>
        <w:ind w:firstLine="210"/>
      </w:pPr>
    </w:p>
    <w:p>
      <w:pPr>
        <w:pStyle w:val="4"/>
        <w:pageBreakBefore/>
        <w:numPr>
          <w:ilvl w:val="0"/>
          <w:numId w:val="0"/>
        </w:numPr>
        <w:spacing w:beforeLines="0" w:line="360" w:lineRule="auto"/>
        <w:jc w:val="center"/>
        <w:rPr>
          <w:rFonts w:eastAsia="宋体"/>
        </w:rPr>
      </w:pPr>
      <w:bookmarkStart w:id="355" w:name="_Toc123886431"/>
      <w:r>
        <w:rPr>
          <w:rFonts w:hint="eastAsia" w:eastAsia="宋体"/>
        </w:rPr>
        <w:t>9 环境管理与监测计划</w:t>
      </w:r>
      <w:bookmarkEnd w:id="355"/>
    </w:p>
    <w:p>
      <w:pPr>
        <w:spacing w:before="140" w:after="140"/>
        <w:outlineLvl w:val="1"/>
        <w:rPr>
          <w:b/>
          <w:bCs/>
          <w:sz w:val="30"/>
          <w:szCs w:val="30"/>
        </w:rPr>
      </w:pPr>
      <w:bookmarkStart w:id="356" w:name="_Toc123886432"/>
      <w:r>
        <w:rPr>
          <w:rFonts w:hint="eastAsia"/>
          <w:b/>
          <w:bCs/>
          <w:sz w:val="30"/>
          <w:szCs w:val="30"/>
        </w:rPr>
        <w:t>9</w:t>
      </w:r>
      <w:r>
        <w:rPr>
          <w:b/>
          <w:bCs/>
          <w:sz w:val="30"/>
          <w:szCs w:val="30"/>
        </w:rPr>
        <w:t>.1 目的</w:t>
      </w:r>
      <w:bookmarkEnd w:id="356"/>
    </w:p>
    <w:p>
      <w:pPr>
        <w:spacing w:line="360" w:lineRule="auto"/>
        <w:ind w:firstLine="480" w:firstLineChars="200"/>
        <w:rPr>
          <w:rFonts w:hAnsi="宋体"/>
          <w:kern w:val="0"/>
          <w:sz w:val="24"/>
        </w:rPr>
      </w:pPr>
      <w:r>
        <w:rPr>
          <w:rFonts w:hint="eastAsia" w:hAnsi="宋体"/>
          <w:kern w:val="0"/>
          <w:sz w:val="24"/>
        </w:rPr>
        <w:t>环境管理是项目建设管理工作的重要组成部分，其主要目的是通过开展环境管理工作，促进项目建设单位和管理单位积极、主动地预防和控制各类环境问题的产生与扩散，促进项目建设生态环境的良性循环。制定出详尽的环境管理监控计划并加以贯彻实施，可以避免因管理不善而可能产生的各种环境污染和环境风险。为此，在项目施工建设及投入运营期间，应贯彻落实国家、地方政府制定的有关法规，正确处理好项目建设、发展与环境保护的协调关系，从而真正使项目的建设达到可持续发展的战略目标。拟建项目在施工期和运营期将对周围环境产生一定的影响，因此建设单位应在加强环境管理的同时，定期进行环境监测，以便及时了解项目排放的污染物对环境造成的影响情况，并及时采取相应措施，消除不利因素，减轻环境污染，使各项环保措施落到实处，以达到预定的目标</w:t>
      </w:r>
      <w:r>
        <w:rPr>
          <w:rFonts w:hAnsi="宋体"/>
          <w:kern w:val="0"/>
          <w:sz w:val="24"/>
        </w:rPr>
        <w:t>。</w:t>
      </w:r>
    </w:p>
    <w:p>
      <w:pPr>
        <w:spacing w:before="140" w:after="140"/>
        <w:outlineLvl w:val="1"/>
        <w:rPr>
          <w:b/>
          <w:bCs/>
          <w:sz w:val="30"/>
          <w:szCs w:val="30"/>
        </w:rPr>
      </w:pPr>
      <w:bookmarkStart w:id="357" w:name="_Toc123886433"/>
      <w:r>
        <w:rPr>
          <w:rFonts w:hint="eastAsia"/>
          <w:b/>
          <w:bCs/>
          <w:sz w:val="30"/>
          <w:szCs w:val="30"/>
        </w:rPr>
        <w:t>9</w:t>
      </w:r>
      <w:r>
        <w:rPr>
          <w:b/>
          <w:bCs/>
          <w:sz w:val="30"/>
          <w:szCs w:val="30"/>
        </w:rPr>
        <w:t>.</w:t>
      </w:r>
      <w:r>
        <w:rPr>
          <w:rFonts w:hint="eastAsia"/>
          <w:b/>
          <w:bCs/>
          <w:sz w:val="30"/>
          <w:szCs w:val="30"/>
        </w:rPr>
        <w:t xml:space="preserve">2 </w:t>
      </w:r>
      <w:r>
        <w:rPr>
          <w:b/>
          <w:bCs/>
          <w:sz w:val="30"/>
          <w:szCs w:val="30"/>
        </w:rPr>
        <w:t>环境管理</w:t>
      </w:r>
      <w:bookmarkEnd w:id="357"/>
    </w:p>
    <w:p>
      <w:pPr>
        <w:pStyle w:val="7"/>
        <w:adjustRightInd w:val="0"/>
        <w:snapToGrid w:val="0"/>
        <w:spacing w:before="0" w:after="0" w:line="360" w:lineRule="auto"/>
        <w:jc w:val="left"/>
        <w:rPr>
          <w:sz w:val="24"/>
          <w:szCs w:val="24"/>
        </w:rPr>
      </w:pPr>
      <w:r>
        <w:rPr>
          <w:rFonts w:hint="eastAsia"/>
          <w:sz w:val="24"/>
          <w:szCs w:val="24"/>
        </w:rPr>
        <w:t>9</w:t>
      </w:r>
      <w:r>
        <w:rPr>
          <w:sz w:val="24"/>
          <w:szCs w:val="24"/>
        </w:rPr>
        <w:t>.</w:t>
      </w:r>
      <w:r>
        <w:rPr>
          <w:rFonts w:hint="eastAsia"/>
          <w:sz w:val="24"/>
          <w:szCs w:val="24"/>
        </w:rPr>
        <w:t>2</w:t>
      </w:r>
      <w:r>
        <w:rPr>
          <w:sz w:val="24"/>
          <w:szCs w:val="24"/>
        </w:rPr>
        <w:t>.1 环境管理</w:t>
      </w:r>
    </w:p>
    <w:p>
      <w:pPr>
        <w:spacing w:line="360" w:lineRule="auto"/>
        <w:ind w:firstLine="480" w:firstLineChars="200"/>
        <w:rPr>
          <w:rFonts w:hAnsi="宋体"/>
          <w:kern w:val="0"/>
          <w:sz w:val="24"/>
        </w:rPr>
      </w:pPr>
      <w:r>
        <w:rPr>
          <w:rFonts w:hint="eastAsia" w:hAnsi="宋体"/>
          <w:kern w:val="0"/>
          <w:sz w:val="24"/>
        </w:rPr>
        <w:t>环境管理是环境保护的重要组成部分。环境管理的基本任务是以保护环境为目标，清洁生产为手段，发展生产与提高经济效益为目的。通过严格的环境管理可以有效地预防和控制生态破坏和环境污染，保护人们的生产和生活能健康、有序地进行，保障社会经济可持续发展。</w:t>
      </w:r>
    </w:p>
    <w:p>
      <w:pPr>
        <w:pStyle w:val="7"/>
        <w:adjustRightInd w:val="0"/>
        <w:snapToGrid w:val="0"/>
        <w:spacing w:before="0" w:after="0" w:line="360" w:lineRule="auto"/>
        <w:jc w:val="left"/>
        <w:rPr>
          <w:sz w:val="24"/>
          <w:szCs w:val="24"/>
        </w:rPr>
      </w:pPr>
      <w:r>
        <w:rPr>
          <w:rFonts w:hint="eastAsia"/>
          <w:sz w:val="24"/>
          <w:szCs w:val="24"/>
        </w:rPr>
        <w:t>9</w:t>
      </w:r>
      <w:r>
        <w:rPr>
          <w:sz w:val="24"/>
          <w:szCs w:val="24"/>
        </w:rPr>
        <w:t>.</w:t>
      </w:r>
      <w:r>
        <w:rPr>
          <w:rFonts w:hint="eastAsia"/>
          <w:sz w:val="24"/>
          <w:szCs w:val="24"/>
        </w:rPr>
        <w:t>2</w:t>
      </w:r>
      <w:r>
        <w:rPr>
          <w:sz w:val="24"/>
          <w:szCs w:val="24"/>
        </w:rPr>
        <w:t>.</w:t>
      </w:r>
      <w:r>
        <w:rPr>
          <w:rFonts w:hint="eastAsia"/>
          <w:sz w:val="24"/>
          <w:szCs w:val="24"/>
        </w:rPr>
        <w:t>2</w:t>
      </w:r>
      <w:r>
        <w:rPr>
          <w:sz w:val="24"/>
          <w:szCs w:val="24"/>
        </w:rPr>
        <w:t xml:space="preserve"> 环境管理目标</w:t>
      </w:r>
    </w:p>
    <w:p>
      <w:pPr>
        <w:spacing w:line="360" w:lineRule="auto"/>
        <w:ind w:firstLine="480" w:firstLineChars="200"/>
        <w:rPr>
          <w:rFonts w:hAnsi="宋体"/>
          <w:kern w:val="0"/>
          <w:sz w:val="24"/>
        </w:rPr>
      </w:pPr>
      <w:r>
        <w:rPr>
          <w:rFonts w:hAnsi="宋体"/>
          <w:kern w:val="0"/>
          <w:sz w:val="24"/>
        </w:rPr>
        <w:t>（</w:t>
      </w:r>
      <w:r>
        <w:rPr>
          <w:rFonts w:hint="eastAsia" w:hAnsi="宋体"/>
          <w:kern w:val="0"/>
          <w:sz w:val="24"/>
        </w:rPr>
        <w:t>1</w:t>
      </w:r>
      <w:r>
        <w:rPr>
          <w:rFonts w:hAnsi="宋体"/>
          <w:kern w:val="0"/>
          <w:sz w:val="24"/>
        </w:rPr>
        <w:t>）</w:t>
      </w:r>
      <w:r>
        <w:rPr>
          <w:rFonts w:hint="eastAsia" w:hAnsi="宋体"/>
          <w:kern w:val="0"/>
          <w:sz w:val="24"/>
        </w:rPr>
        <w:t>项目在营运期，全面推行清洁生产技术，对全体员工进行清洁生产培训，在企业内部全面施行清洁生产，所有的生产行为都必须符合清洁生产的要求。</w:t>
      </w:r>
    </w:p>
    <w:p>
      <w:pPr>
        <w:spacing w:line="360" w:lineRule="auto"/>
        <w:ind w:firstLine="480" w:firstLineChars="200"/>
        <w:rPr>
          <w:rFonts w:hAnsi="宋体"/>
          <w:kern w:val="0"/>
          <w:sz w:val="24"/>
        </w:rPr>
      </w:pPr>
      <w:r>
        <w:rPr>
          <w:rFonts w:hint="eastAsia" w:hAnsi="宋体"/>
          <w:kern w:val="0"/>
          <w:sz w:val="24"/>
        </w:rPr>
        <w:t>（2）严格控制污染源和污染物的排放，对项目的污染物进行全面处理和全面达标控制。</w:t>
      </w:r>
    </w:p>
    <w:p>
      <w:pPr>
        <w:spacing w:line="360" w:lineRule="auto"/>
        <w:ind w:firstLine="480" w:firstLineChars="200"/>
        <w:rPr>
          <w:rFonts w:hAnsi="宋体"/>
          <w:kern w:val="0"/>
          <w:sz w:val="24"/>
        </w:rPr>
      </w:pPr>
      <w:r>
        <w:rPr>
          <w:rFonts w:hint="eastAsia" w:hAnsi="宋体"/>
          <w:kern w:val="0"/>
          <w:sz w:val="24"/>
        </w:rPr>
        <w:t>（3）坚持生态保护与污染防治相结合，生态建设与生态保护并举，大力推进区域生态建设的步伐。</w:t>
      </w:r>
    </w:p>
    <w:p>
      <w:pPr>
        <w:spacing w:line="360" w:lineRule="auto"/>
        <w:ind w:firstLine="480" w:firstLineChars="200"/>
        <w:rPr>
          <w:rFonts w:hAnsi="宋体"/>
          <w:kern w:val="0"/>
          <w:sz w:val="24"/>
        </w:rPr>
      </w:pPr>
      <w:r>
        <w:rPr>
          <w:rFonts w:hint="eastAsia" w:hAnsi="宋体"/>
          <w:kern w:val="0"/>
          <w:sz w:val="24"/>
        </w:rPr>
        <w:t>（4）加强环境管理能力建设，提高企业环境管理水平。</w:t>
      </w:r>
    </w:p>
    <w:p>
      <w:pPr>
        <w:pStyle w:val="7"/>
        <w:adjustRightInd w:val="0"/>
        <w:snapToGrid w:val="0"/>
        <w:spacing w:before="0" w:after="0" w:line="360" w:lineRule="auto"/>
        <w:jc w:val="left"/>
        <w:rPr>
          <w:sz w:val="24"/>
          <w:szCs w:val="24"/>
        </w:rPr>
      </w:pPr>
      <w:r>
        <w:rPr>
          <w:rFonts w:hint="eastAsia"/>
          <w:sz w:val="24"/>
          <w:szCs w:val="24"/>
        </w:rPr>
        <w:t>9</w:t>
      </w:r>
      <w:r>
        <w:rPr>
          <w:sz w:val="24"/>
          <w:szCs w:val="24"/>
        </w:rPr>
        <w:t>.</w:t>
      </w:r>
      <w:r>
        <w:rPr>
          <w:rFonts w:hint="eastAsia"/>
          <w:sz w:val="24"/>
          <w:szCs w:val="24"/>
        </w:rPr>
        <w:t>2</w:t>
      </w:r>
      <w:r>
        <w:rPr>
          <w:sz w:val="24"/>
          <w:szCs w:val="24"/>
        </w:rPr>
        <w:t>.</w:t>
      </w:r>
      <w:r>
        <w:rPr>
          <w:rFonts w:hint="eastAsia"/>
          <w:sz w:val="24"/>
          <w:szCs w:val="24"/>
        </w:rPr>
        <w:t>3</w:t>
      </w:r>
      <w:r>
        <w:rPr>
          <w:sz w:val="24"/>
          <w:szCs w:val="24"/>
        </w:rPr>
        <w:t xml:space="preserve"> 环境管理机构的设置</w:t>
      </w:r>
    </w:p>
    <w:p>
      <w:pPr>
        <w:spacing w:line="360" w:lineRule="auto"/>
        <w:ind w:firstLine="480" w:firstLineChars="200"/>
        <w:rPr>
          <w:rFonts w:hAnsi="宋体"/>
          <w:kern w:val="0"/>
          <w:sz w:val="24"/>
        </w:rPr>
      </w:pPr>
      <w:r>
        <w:rPr>
          <w:rFonts w:hint="eastAsia" w:hAnsi="宋体"/>
          <w:kern w:val="0"/>
          <w:sz w:val="24"/>
        </w:rPr>
        <w:t>为了做好生产全过程的环境保护工作，减轻本项目外排污染物对环境的影响程度，建设单位应高度重视环境保护工作。建议设立内部环境保护管理机构，专人负责。环境保护工作，实行定岗定员，岗位责任制，负责各生产环节的环境保护管理，保证环保设施的正常运行。工程投入运行后，应设立安环部门，专管项目的环境保护事宜。安环部门负责环境管理和环境监控两大职能，受当地环保主管部门的指导和监督，该机构可定员2人。</w:t>
      </w:r>
    </w:p>
    <w:p>
      <w:pPr>
        <w:pStyle w:val="7"/>
        <w:adjustRightInd w:val="0"/>
        <w:snapToGrid w:val="0"/>
        <w:spacing w:before="0" w:after="0" w:line="360" w:lineRule="auto"/>
        <w:jc w:val="left"/>
        <w:rPr>
          <w:sz w:val="24"/>
          <w:szCs w:val="24"/>
        </w:rPr>
      </w:pPr>
      <w:r>
        <w:rPr>
          <w:rFonts w:hint="eastAsia"/>
          <w:sz w:val="24"/>
          <w:szCs w:val="24"/>
        </w:rPr>
        <w:t>9</w:t>
      </w:r>
      <w:r>
        <w:rPr>
          <w:sz w:val="24"/>
          <w:szCs w:val="24"/>
        </w:rPr>
        <w:t>.</w:t>
      </w:r>
      <w:r>
        <w:rPr>
          <w:rFonts w:hint="eastAsia"/>
          <w:sz w:val="24"/>
          <w:szCs w:val="24"/>
        </w:rPr>
        <w:t xml:space="preserve">2.4 </w:t>
      </w:r>
      <w:r>
        <w:rPr>
          <w:sz w:val="24"/>
          <w:szCs w:val="24"/>
        </w:rPr>
        <w:t>环境管理机构的职责</w:t>
      </w:r>
    </w:p>
    <w:p>
      <w:pPr>
        <w:widowControl/>
        <w:tabs>
          <w:tab w:val="left" w:pos="3120"/>
        </w:tabs>
        <w:spacing w:line="360" w:lineRule="auto"/>
        <w:ind w:firstLine="480" w:firstLineChars="200"/>
        <w:rPr>
          <w:rFonts w:ascii="宋体" w:hAnsi="宋体" w:cs="宋体"/>
          <w:kern w:val="0"/>
          <w:sz w:val="24"/>
        </w:rPr>
      </w:pPr>
      <w:r>
        <w:rPr>
          <w:rFonts w:hint="eastAsia" w:ascii="宋体" w:hAnsi="宋体" w:cs="宋体"/>
          <w:kern w:val="0"/>
          <w:sz w:val="24"/>
        </w:rPr>
        <w:t>企业内部的环境管理机构是做好企业环境保护工作的主要机构,它的基本任务是负责组织、落实、监督本公司的环境保护工作。公司的环境管理应由总经理(副总经理)负责领导，公司配备专职人员负责环保，车间设立兼职环境保护监督员。</w:t>
      </w:r>
    </w:p>
    <w:p>
      <w:pPr>
        <w:widowControl/>
        <w:tabs>
          <w:tab w:val="left" w:pos="3120"/>
        </w:tabs>
        <w:spacing w:line="360" w:lineRule="auto"/>
        <w:ind w:firstLine="480" w:firstLineChars="200"/>
        <w:rPr>
          <w:rFonts w:ascii="宋体" w:hAnsi="宋体" w:cs="宋体"/>
          <w:kern w:val="0"/>
          <w:sz w:val="24"/>
        </w:rPr>
      </w:pPr>
      <w:r>
        <w:rPr>
          <w:rFonts w:hint="eastAsia" w:ascii="宋体" w:hAnsi="宋体" w:cs="宋体"/>
          <w:kern w:val="0"/>
          <w:sz w:val="24"/>
        </w:rPr>
        <w:t>环境管理机构主要职能是研究决策本公司环保工作的重大事宜,并负责公司环境保护的规划和管理以及环境保护治理设施管理、维修、操作，并下设实验室，负责公司的环境监测，是环境管理工作的具体执行部门。其主要职责如下：</w:t>
      </w:r>
    </w:p>
    <w:p>
      <w:pPr>
        <w:widowControl/>
        <w:tabs>
          <w:tab w:val="left" w:pos="3120"/>
        </w:tabs>
        <w:spacing w:line="360" w:lineRule="auto"/>
        <w:ind w:firstLine="480" w:firstLineChars="200"/>
        <w:rPr>
          <w:kern w:val="0"/>
          <w:sz w:val="24"/>
        </w:rPr>
      </w:pPr>
      <w:r>
        <w:rPr>
          <w:rFonts w:hAnsi="宋体"/>
          <w:kern w:val="0"/>
          <w:sz w:val="24"/>
        </w:rPr>
        <w:t>（</w:t>
      </w:r>
      <w:r>
        <w:rPr>
          <w:kern w:val="0"/>
          <w:sz w:val="24"/>
        </w:rPr>
        <w:t>1</w:t>
      </w:r>
      <w:r>
        <w:rPr>
          <w:rFonts w:hAnsi="宋体"/>
          <w:kern w:val="0"/>
          <w:sz w:val="24"/>
        </w:rPr>
        <w:t>）根据公司规模、性质、特点和国家法律、法规，制定全公司环保规划和环境方针，并负责以多种形式向相关方面宣传；</w:t>
      </w:r>
    </w:p>
    <w:p>
      <w:pPr>
        <w:widowControl/>
        <w:tabs>
          <w:tab w:val="left" w:pos="3120"/>
        </w:tabs>
        <w:spacing w:line="360" w:lineRule="auto"/>
        <w:ind w:firstLine="480" w:firstLineChars="200"/>
        <w:rPr>
          <w:kern w:val="0"/>
          <w:sz w:val="24"/>
        </w:rPr>
      </w:pPr>
      <w:r>
        <w:rPr>
          <w:rFonts w:hAnsi="宋体"/>
          <w:kern w:val="0"/>
          <w:sz w:val="24"/>
        </w:rPr>
        <w:t>（</w:t>
      </w:r>
      <w:r>
        <w:rPr>
          <w:kern w:val="0"/>
          <w:sz w:val="24"/>
        </w:rPr>
        <w:t>2</w:t>
      </w:r>
      <w:r>
        <w:rPr>
          <w:rFonts w:hAnsi="宋体"/>
          <w:kern w:val="0"/>
          <w:sz w:val="24"/>
        </w:rPr>
        <w:t>）负责获取、更新使用于本企业的与环境相关的法律、法规，负责把适用的法律、法规发放到相关部门；</w:t>
      </w:r>
    </w:p>
    <w:p>
      <w:pPr>
        <w:widowControl/>
        <w:tabs>
          <w:tab w:val="left" w:pos="3120"/>
        </w:tabs>
        <w:spacing w:line="360" w:lineRule="auto"/>
        <w:ind w:firstLine="480" w:firstLineChars="200"/>
        <w:rPr>
          <w:kern w:val="0"/>
          <w:sz w:val="24"/>
        </w:rPr>
      </w:pPr>
      <w:r>
        <w:rPr>
          <w:rFonts w:hAnsi="宋体"/>
          <w:kern w:val="0"/>
          <w:sz w:val="24"/>
        </w:rPr>
        <w:t>（</w:t>
      </w:r>
      <w:r>
        <w:rPr>
          <w:kern w:val="0"/>
          <w:sz w:val="24"/>
        </w:rPr>
        <w:t>3</w:t>
      </w:r>
      <w:r>
        <w:rPr>
          <w:rFonts w:hAnsi="宋体"/>
          <w:kern w:val="0"/>
          <w:sz w:val="24"/>
        </w:rPr>
        <w:t>）协助各车间制定车间的环保规划，并协调和监督各单位具体实施；</w:t>
      </w:r>
    </w:p>
    <w:p>
      <w:pPr>
        <w:widowControl/>
        <w:tabs>
          <w:tab w:val="left" w:pos="3120"/>
        </w:tabs>
        <w:spacing w:line="360" w:lineRule="auto"/>
        <w:ind w:firstLine="480" w:firstLineChars="200"/>
        <w:rPr>
          <w:kern w:val="0"/>
          <w:sz w:val="24"/>
        </w:rPr>
      </w:pPr>
      <w:r>
        <w:rPr>
          <w:rFonts w:hAnsi="宋体"/>
          <w:kern w:val="0"/>
          <w:sz w:val="24"/>
        </w:rPr>
        <w:t>（</w:t>
      </w:r>
      <w:r>
        <w:rPr>
          <w:kern w:val="0"/>
          <w:sz w:val="24"/>
        </w:rPr>
        <w:t>4</w:t>
      </w:r>
      <w:r>
        <w:rPr>
          <w:rFonts w:hAnsi="宋体"/>
          <w:kern w:val="0"/>
          <w:sz w:val="24"/>
        </w:rPr>
        <w:t>）负责制定和实施公司的年度环保培训计划；</w:t>
      </w:r>
    </w:p>
    <w:p>
      <w:pPr>
        <w:widowControl/>
        <w:tabs>
          <w:tab w:val="left" w:pos="3120"/>
        </w:tabs>
        <w:spacing w:line="360" w:lineRule="auto"/>
        <w:ind w:firstLine="480" w:firstLineChars="200"/>
        <w:rPr>
          <w:kern w:val="0"/>
          <w:sz w:val="24"/>
        </w:rPr>
      </w:pPr>
      <w:r>
        <w:rPr>
          <w:rFonts w:hAnsi="宋体"/>
          <w:kern w:val="0"/>
          <w:sz w:val="24"/>
        </w:rPr>
        <w:t>（</w:t>
      </w:r>
      <w:r>
        <w:rPr>
          <w:kern w:val="0"/>
          <w:sz w:val="24"/>
        </w:rPr>
        <w:t>5</w:t>
      </w:r>
      <w:r>
        <w:rPr>
          <w:rFonts w:hAnsi="宋体"/>
          <w:kern w:val="0"/>
          <w:sz w:val="24"/>
        </w:rPr>
        <w:t>）负责公司内外部的环境工作信息交流；</w:t>
      </w:r>
    </w:p>
    <w:p>
      <w:pPr>
        <w:widowControl/>
        <w:tabs>
          <w:tab w:val="left" w:pos="3120"/>
        </w:tabs>
        <w:spacing w:line="360" w:lineRule="auto"/>
        <w:ind w:firstLine="480" w:firstLineChars="200"/>
        <w:rPr>
          <w:kern w:val="0"/>
          <w:sz w:val="24"/>
        </w:rPr>
      </w:pPr>
      <w:r>
        <w:rPr>
          <w:rFonts w:hAnsi="宋体"/>
          <w:kern w:val="0"/>
          <w:sz w:val="24"/>
        </w:rPr>
        <w:t>（</w:t>
      </w:r>
      <w:r>
        <w:rPr>
          <w:kern w:val="0"/>
          <w:sz w:val="24"/>
        </w:rPr>
        <w:t>6</w:t>
      </w:r>
      <w:r>
        <w:rPr>
          <w:rFonts w:hAnsi="宋体"/>
          <w:kern w:val="0"/>
          <w:sz w:val="24"/>
        </w:rPr>
        <w:t>）监督检查各部门环保设施的运行管理，尤其是了解污染治理设备的运行状况以及治理效率；</w:t>
      </w:r>
    </w:p>
    <w:p>
      <w:pPr>
        <w:widowControl/>
        <w:tabs>
          <w:tab w:val="left" w:pos="3120"/>
        </w:tabs>
        <w:spacing w:line="360" w:lineRule="auto"/>
        <w:ind w:firstLine="480" w:firstLineChars="200"/>
        <w:rPr>
          <w:kern w:val="0"/>
          <w:sz w:val="24"/>
        </w:rPr>
      </w:pPr>
      <w:r>
        <w:rPr>
          <w:rFonts w:hAnsi="宋体"/>
          <w:kern w:val="0"/>
          <w:sz w:val="24"/>
        </w:rPr>
        <w:t>（</w:t>
      </w:r>
      <w:r>
        <w:rPr>
          <w:kern w:val="0"/>
          <w:sz w:val="24"/>
        </w:rPr>
        <w:t>7</w:t>
      </w:r>
      <w:r>
        <w:rPr>
          <w:rFonts w:hAnsi="宋体"/>
          <w:kern w:val="0"/>
          <w:sz w:val="24"/>
        </w:rPr>
        <w:t>）监督检查各生产工艺设备的运行情况，确保无非正常工况生产事故的发生；</w:t>
      </w:r>
    </w:p>
    <w:p>
      <w:pPr>
        <w:widowControl/>
        <w:tabs>
          <w:tab w:val="left" w:pos="3120"/>
        </w:tabs>
        <w:spacing w:line="360" w:lineRule="auto"/>
        <w:ind w:firstLine="480" w:firstLineChars="200"/>
        <w:rPr>
          <w:kern w:val="0"/>
          <w:sz w:val="24"/>
        </w:rPr>
      </w:pPr>
      <w:r>
        <w:rPr>
          <w:rFonts w:hAnsi="宋体"/>
          <w:kern w:val="0"/>
          <w:sz w:val="24"/>
        </w:rPr>
        <w:t>（</w:t>
      </w:r>
      <w:r>
        <w:rPr>
          <w:kern w:val="0"/>
          <w:sz w:val="24"/>
        </w:rPr>
        <w:t>8</w:t>
      </w:r>
      <w:r>
        <w:rPr>
          <w:rFonts w:hAnsi="宋体"/>
          <w:kern w:val="0"/>
          <w:sz w:val="24"/>
        </w:rPr>
        <w:t>）负责对新、改、扩建项目环保工程及</w:t>
      </w:r>
      <w:r>
        <w:rPr>
          <w:rFonts w:asciiTheme="majorEastAsia" w:hAnsiTheme="majorEastAsia" w:eastAsiaTheme="majorEastAsia"/>
          <w:kern w:val="0"/>
          <w:sz w:val="24"/>
        </w:rPr>
        <w:t>其“三同时”</w:t>
      </w:r>
      <w:r>
        <w:rPr>
          <w:rFonts w:hAnsi="宋体"/>
          <w:kern w:val="0"/>
          <w:sz w:val="24"/>
        </w:rPr>
        <w:t>执行情况进行环境监测、数据分析、验收评估；</w:t>
      </w:r>
    </w:p>
    <w:p>
      <w:pPr>
        <w:widowControl/>
        <w:tabs>
          <w:tab w:val="left" w:pos="3120"/>
        </w:tabs>
        <w:spacing w:line="360" w:lineRule="auto"/>
        <w:ind w:firstLine="480" w:firstLineChars="200"/>
        <w:rPr>
          <w:kern w:val="0"/>
          <w:sz w:val="24"/>
        </w:rPr>
      </w:pPr>
      <w:r>
        <w:rPr>
          <w:rFonts w:hAnsi="宋体"/>
          <w:kern w:val="0"/>
          <w:sz w:val="24"/>
        </w:rPr>
        <w:t>（</w:t>
      </w:r>
      <w:r>
        <w:rPr>
          <w:kern w:val="0"/>
          <w:sz w:val="24"/>
        </w:rPr>
        <w:t>9</w:t>
      </w:r>
      <w:r>
        <w:rPr>
          <w:rFonts w:hAnsi="宋体"/>
          <w:kern w:val="0"/>
          <w:sz w:val="24"/>
        </w:rPr>
        <w:t>）负责应急计划的监督、检查；负责应急事故的协调处理；指导各单位对环保设施的管理；指导各单位应急与预防工作；对公司范围内重点危险区域部署监控措施；</w:t>
      </w:r>
    </w:p>
    <w:p>
      <w:pPr>
        <w:widowControl/>
        <w:tabs>
          <w:tab w:val="left" w:pos="3120"/>
        </w:tabs>
        <w:spacing w:line="360" w:lineRule="auto"/>
        <w:ind w:firstLine="480" w:firstLineChars="200"/>
        <w:rPr>
          <w:kern w:val="0"/>
          <w:sz w:val="24"/>
        </w:rPr>
      </w:pPr>
      <w:r>
        <w:rPr>
          <w:rFonts w:hAnsi="宋体"/>
          <w:kern w:val="0"/>
          <w:sz w:val="24"/>
        </w:rPr>
        <w:t>（</w:t>
      </w:r>
      <w:r>
        <w:rPr>
          <w:kern w:val="0"/>
          <w:sz w:val="24"/>
        </w:rPr>
        <w:t>10</w:t>
      </w:r>
      <w:r>
        <w:rPr>
          <w:rFonts w:hAnsi="宋体"/>
          <w:kern w:val="0"/>
          <w:sz w:val="24"/>
        </w:rPr>
        <w:t>）负责公司环境监测技术数据统计管理；</w:t>
      </w:r>
    </w:p>
    <w:p>
      <w:pPr>
        <w:widowControl/>
        <w:tabs>
          <w:tab w:val="left" w:pos="3120"/>
        </w:tabs>
        <w:spacing w:line="360" w:lineRule="auto"/>
        <w:ind w:firstLine="480" w:firstLineChars="200"/>
        <w:rPr>
          <w:kern w:val="0"/>
          <w:sz w:val="24"/>
        </w:rPr>
      </w:pPr>
      <w:r>
        <w:rPr>
          <w:rFonts w:hAnsi="宋体"/>
          <w:kern w:val="0"/>
          <w:sz w:val="24"/>
        </w:rPr>
        <w:t>（</w:t>
      </w:r>
      <w:r>
        <w:rPr>
          <w:kern w:val="0"/>
          <w:sz w:val="24"/>
        </w:rPr>
        <w:t>11</w:t>
      </w:r>
      <w:r>
        <w:rPr>
          <w:rFonts w:hAnsi="宋体"/>
          <w:kern w:val="0"/>
          <w:sz w:val="24"/>
        </w:rPr>
        <w:t>）负责全公司环保管理工作的监督和检查；</w:t>
      </w:r>
    </w:p>
    <w:p>
      <w:pPr>
        <w:widowControl/>
        <w:tabs>
          <w:tab w:val="left" w:pos="3120"/>
        </w:tabs>
        <w:spacing w:line="360" w:lineRule="auto"/>
        <w:ind w:firstLine="480" w:firstLineChars="200"/>
        <w:rPr>
          <w:kern w:val="0"/>
          <w:sz w:val="24"/>
        </w:rPr>
      </w:pPr>
      <w:r>
        <w:rPr>
          <w:rFonts w:hAnsi="宋体"/>
          <w:kern w:val="0"/>
          <w:sz w:val="24"/>
        </w:rPr>
        <w:t>（</w:t>
      </w:r>
      <w:r>
        <w:rPr>
          <w:kern w:val="0"/>
          <w:sz w:val="24"/>
        </w:rPr>
        <w:t>12</w:t>
      </w:r>
      <w:r>
        <w:rPr>
          <w:rFonts w:hAnsi="宋体"/>
          <w:kern w:val="0"/>
          <w:sz w:val="24"/>
        </w:rPr>
        <w:t>）组织实施全公司环境年度评审工作；</w:t>
      </w:r>
    </w:p>
    <w:p>
      <w:pPr>
        <w:widowControl/>
        <w:tabs>
          <w:tab w:val="left" w:pos="3120"/>
        </w:tabs>
        <w:spacing w:line="360" w:lineRule="auto"/>
        <w:ind w:firstLine="480" w:firstLineChars="200"/>
        <w:rPr>
          <w:kern w:val="0"/>
          <w:sz w:val="24"/>
        </w:rPr>
      </w:pPr>
      <w:r>
        <w:rPr>
          <w:rFonts w:hAnsi="宋体"/>
          <w:kern w:val="0"/>
          <w:sz w:val="24"/>
        </w:rPr>
        <w:t>（</w:t>
      </w:r>
      <w:r>
        <w:rPr>
          <w:kern w:val="0"/>
          <w:sz w:val="24"/>
        </w:rPr>
        <w:t>13</w:t>
      </w:r>
      <w:r>
        <w:rPr>
          <w:rFonts w:hAnsi="宋体"/>
          <w:kern w:val="0"/>
          <w:sz w:val="24"/>
        </w:rPr>
        <w:t>）负责公司的环境教育、培训、宣传，让环境保护意识深入职工心中；</w:t>
      </w:r>
    </w:p>
    <w:p>
      <w:pPr>
        <w:widowControl/>
        <w:tabs>
          <w:tab w:val="left" w:pos="3120"/>
        </w:tabs>
        <w:spacing w:line="360" w:lineRule="auto"/>
        <w:ind w:firstLine="480" w:firstLineChars="200"/>
        <w:rPr>
          <w:kern w:val="0"/>
          <w:sz w:val="24"/>
        </w:rPr>
      </w:pPr>
      <w:r>
        <w:rPr>
          <w:rFonts w:hAnsi="宋体"/>
          <w:kern w:val="0"/>
          <w:sz w:val="24"/>
        </w:rPr>
        <w:t>（</w:t>
      </w:r>
      <w:r>
        <w:rPr>
          <w:kern w:val="0"/>
          <w:sz w:val="24"/>
        </w:rPr>
        <w:t>14</w:t>
      </w:r>
      <w:r>
        <w:rPr>
          <w:rFonts w:hAnsi="宋体"/>
          <w:kern w:val="0"/>
          <w:sz w:val="24"/>
        </w:rPr>
        <w:t>）建立环境管理台账制度</w:t>
      </w:r>
      <w:r>
        <w:rPr>
          <w:kern w:val="0"/>
          <w:sz w:val="24"/>
        </w:rPr>
        <w:t>;</w:t>
      </w:r>
    </w:p>
    <w:p>
      <w:pPr>
        <w:widowControl/>
        <w:tabs>
          <w:tab w:val="left" w:pos="3120"/>
        </w:tabs>
        <w:spacing w:line="360" w:lineRule="auto"/>
        <w:ind w:firstLine="480" w:firstLineChars="200"/>
        <w:rPr>
          <w:rFonts w:hAnsi="宋体"/>
          <w:kern w:val="0"/>
          <w:sz w:val="24"/>
        </w:rPr>
      </w:pPr>
      <w:r>
        <w:rPr>
          <w:rFonts w:hAnsi="宋体"/>
          <w:kern w:val="0"/>
          <w:sz w:val="24"/>
        </w:rPr>
        <w:t>（</w:t>
      </w:r>
      <w:r>
        <w:rPr>
          <w:kern w:val="0"/>
          <w:sz w:val="24"/>
        </w:rPr>
        <w:t>15</w:t>
      </w:r>
      <w:r>
        <w:rPr>
          <w:rFonts w:hAnsi="宋体"/>
          <w:kern w:val="0"/>
          <w:sz w:val="24"/>
        </w:rPr>
        <w:t>）预留资金转款用于各项环境保护措施和设施的技术改造、运行和维护。</w:t>
      </w:r>
    </w:p>
    <w:p>
      <w:pPr>
        <w:pStyle w:val="7"/>
        <w:adjustRightInd w:val="0"/>
        <w:snapToGrid w:val="0"/>
        <w:spacing w:before="0" w:after="0" w:line="360" w:lineRule="auto"/>
        <w:jc w:val="left"/>
        <w:rPr>
          <w:sz w:val="24"/>
          <w:szCs w:val="24"/>
        </w:rPr>
      </w:pPr>
      <w:r>
        <w:rPr>
          <w:rFonts w:hint="eastAsia"/>
          <w:sz w:val="24"/>
          <w:szCs w:val="24"/>
        </w:rPr>
        <w:t>9</w:t>
      </w:r>
      <w:r>
        <w:rPr>
          <w:sz w:val="24"/>
          <w:szCs w:val="24"/>
        </w:rPr>
        <w:t>.</w:t>
      </w:r>
      <w:r>
        <w:rPr>
          <w:rFonts w:hint="eastAsia"/>
          <w:sz w:val="24"/>
          <w:szCs w:val="24"/>
        </w:rPr>
        <w:t xml:space="preserve">2.5 </w:t>
      </w:r>
      <w:r>
        <w:rPr>
          <w:sz w:val="24"/>
          <w:szCs w:val="24"/>
        </w:rPr>
        <w:t>环境管理体系</w:t>
      </w:r>
    </w:p>
    <w:p>
      <w:pPr>
        <w:widowControl/>
        <w:tabs>
          <w:tab w:val="left" w:pos="3120"/>
        </w:tabs>
        <w:spacing w:line="360" w:lineRule="auto"/>
        <w:ind w:firstLine="480" w:firstLineChars="200"/>
        <w:rPr>
          <w:rFonts w:hAnsi="宋体"/>
          <w:kern w:val="0"/>
          <w:sz w:val="24"/>
        </w:rPr>
      </w:pPr>
      <w:r>
        <w:rPr>
          <w:rFonts w:hint="eastAsia" w:hAnsi="宋体"/>
          <w:kern w:val="0"/>
          <w:sz w:val="24"/>
        </w:rPr>
        <w:t>建议参照GB/T24001-1996、ISO14000 标准建立企业的环境管理体系文件并实施，通过有计划地评审和持续改进的循环，促进企业环境管理体系的不断完善与提高，创造条件争取通过国家认证。</w:t>
      </w:r>
    </w:p>
    <w:p>
      <w:pPr>
        <w:widowControl/>
        <w:tabs>
          <w:tab w:val="left" w:pos="3120"/>
        </w:tabs>
        <w:spacing w:line="360" w:lineRule="auto"/>
        <w:ind w:firstLine="480" w:firstLineChars="200"/>
        <w:rPr>
          <w:rFonts w:hAnsi="宋体"/>
          <w:kern w:val="0"/>
          <w:sz w:val="24"/>
        </w:rPr>
      </w:pPr>
      <w:r>
        <w:rPr>
          <w:rFonts w:hint="eastAsia" w:hAnsi="宋体"/>
          <w:kern w:val="0"/>
          <w:sz w:val="24"/>
        </w:rPr>
        <w:t>其环境管理体系的要点是：</w:t>
      </w:r>
    </w:p>
    <w:p>
      <w:pPr>
        <w:widowControl/>
        <w:tabs>
          <w:tab w:val="left" w:pos="3120"/>
        </w:tabs>
        <w:spacing w:line="360" w:lineRule="auto"/>
        <w:ind w:firstLine="480" w:firstLineChars="200"/>
        <w:rPr>
          <w:rFonts w:hAnsi="宋体"/>
          <w:kern w:val="0"/>
          <w:sz w:val="24"/>
        </w:rPr>
      </w:pPr>
      <w:r>
        <w:rPr>
          <w:rFonts w:hint="eastAsia" w:hAnsi="宋体"/>
          <w:kern w:val="0"/>
          <w:sz w:val="24"/>
        </w:rPr>
        <w:t>（1）应根据企业的环境要素制定公司的环境方针，包括其持续改进和污染预防的承诺、遵守国家环境法律、法规及其他要求的承诺；</w:t>
      </w:r>
    </w:p>
    <w:p>
      <w:pPr>
        <w:widowControl/>
        <w:tabs>
          <w:tab w:val="left" w:pos="3120"/>
        </w:tabs>
        <w:spacing w:line="360" w:lineRule="auto"/>
        <w:ind w:firstLine="480" w:firstLineChars="200"/>
        <w:rPr>
          <w:rFonts w:hAnsi="宋体"/>
          <w:kern w:val="0"/>
          <w:sz w:val="24"/>
        </w:rPr>
      </w:pPr>
      <w:r>
        <w:rPr>
          <w:rFonts w:hint="eastAsia" w:hAnsi="宋体"/>
          <w:kern w:val="0"/>
          <w:sz w:val="24"/>
        </w:rPr>
        <w:t>（2）制定企业的环境目标、指标以及各种运行程序和文件；</w:t>
      </w:r>
    </w:p>
    <w:p>
      <w:pPr>
        <w:widowControl/>
        <w:tabs>
          <w:tab w:val="left" w:pos="3120"/>
        </w:tabs>
        <w:spacing w:line="360" w:lineRule="auto"/>
        <w:ind w:firstLine="480" w:firstLineChars="200"/>
        <w:rPr>
          <w:rFonts w:hAnsi="宋体"/>
          <w:kern w:val="0"/>
          <w:sz w:val="24"/>
        </w:rPr>
      </w:pPr>
      <w:r>
        <w:rPr>
          <w:rFonts w:hint="eastAsia" w:hAnsi="宋体"/>
          <w:kern w:val="0"/>
          <w:sz w:val="24"/>
        </w:rPr>
        <w:t>（3）通过培训、实施运营的各种程序；</w:t>
      </w:r>
    </w:p>
    <w:p>
      <w:pPr>
        <w:widowControl/>
        <w:tabs>
          <w:tab w:val="left" w:pos="3120"/>
        </w:tabs>
        <w:spacing w:line="360" w:lineRule="auto"/>
        <w:ind w:firstLine="480" w:firstLineChars="200"/>
        <w:rPr>
          <w:rFonts w:hAnsi="宋体"/>
          <w:kern w:val="0"/>
          <w:sz w:val="24"/>
        </w:rPr>
      </w:pPr>
      <w:r>
        <w:rPr>
          <w:rFonts w:hint="eastAsia" w:hAnsi="宋体"/>
          <w:kern w:val="0"/>
          <w:sz w:val="24"/>
        </w:rPr>
        <w:t>（4）不断地监测、检查和纠正；</w:t>
      </w:r>
    </w:p>
    <w:p>
      <w:pPr>
        <w:widowControl/>
        <w:tabs>
          <w:tab w:val="left" w:pos="3120"/>
        </w:tabs>
        <w:spacing w:line="360" w:lineRule="auto"/>
        <w:ind w:firstLine="480" w:firstLineChars="200"/>
        <w:rPr>
          <w:rFonts w:hAnsi="宋体"/>
          <w:kern w:val="0"/>
          <w:sz w:val="24"/>
        </w:rPr>
      </w:pPr>
      <w:r>
        <w:rPr>
          <w:rFonts w:hint="eastAsia" w:hAnsi="宋体"/>
          <w:kern w:val="0"/>
          <w:sz w:val="24"/>
        </w:rPr>
        <w:t>（5）经过内部管理评审和外部审核，不断地持续改进循环。</w:t>
      </w:r>
    </w:p>
    <w:p>
      <w:pPr>
        <w:pStyle w:val="7"/>
        <w:adjustRightInd w:val="0"/>
        <w:snapToGrid w:val="0"/>
        <w:spacing w:before="0" w:after="0" w:line="360" w:lineRule="auto"/>
        <w:jc w:val="left"/>
        <w:rPr>
          <w:sz w:val="24"/>
          <w:szCs w:val="24"/>
        </w:rPr>
      </w:pPr>
      <w:r>
        <w:rPr>
          <w:rFonts w:hint="eastAsia"/>
          <w:sz w:val="24"/>
          <w:szCs w:val="24"/>
        </w:rPr>
        <w:t>9</w:t>
      </w:r>
      <w:r>
        <w:rPr>
          <w:sz w:val="24"/>
          <w:szCs w:val="24"/>
        </w:rPr>
        <w:t>.</w:t>
      </w:r>
      <w:r>
        <w:rPr>
          <w:rFonts w:hint="eastAsia"/>
          <w:sz w:val="24"/>
          <w:szCs w:val="24"/>
        </w:rPr>
        <w:t xml:space="preserve">2.6 </w:t>
      </w:r>
      <w:r>
        <w:rPr>
          <w:sz w:val="24"/>
          <w:szCs w:val="24"/>
        </w:rPr>
        <w:t>环境管理计划</w:t>
      </w:r>
    </w:p>
    <w:p>
      <w:pPr>
        <w:widowControl/>
        <w:tabs>
          <w:tab w:val="left" w:pos="3120"/>
        </w:tabs>
        <w:spacing w:line="360" w:lineRule="auto"/>
        <w:ind w:firstLine="480" w:firstLineChars="200"/>
        <w:rPr>
          <w:rFonts w:hAnsi="宋体"/>
          <w:kern w:val="0"/>
          <w:sz w:val="24"/>
        </w:rPr>
      </w:pPr>
      <w:r>
        <w:rPr>
          <w:rFonts w:hint="eastAsia" w:hAnsi="宋体"/>
          <w:kern w:val="0"/>
          <w:sz w:val="24"/>
        </w:rPr>
        <w:t>阶段污染防治、运行阶段的环保设施管理、信息反馈和群众监督各方面形成网络一体化管理，对环境管理工作计划，其工作重点应放在制定环境管理规章制度，减少污染物排放，降低对生态环境影响等方面，见表9.2-1。</w:t>
      </w:r>
    </w:p>
    <w:p>
      <w:pPr>
        <w:pStyle w:val="17"/>
        <w:spacing w:beforeLines="50"/>
        <w:rPr>
          <w:rFonts w:ascii="Times New Roman" w:hAnsi="Times New Roman" w:cs="Times New Roman"/>
          <w:color w:val="auto"/>
          <w:sz w:val="21"/>
        </w:rPr>
      </w:pPr>
      <w:r>
        <w:rPr>
          <w:rFonts w:ascii="Times New Roman" w:hAnsi="Times New Roman" w:cs="Times New Roman"/>
          <w:color w:val="auto"/>
          <w:sz w:val="21"/>
        </w:rPr>
        <w:t>表</w:t>
      </w:r>
      <w:r>
        <w:rPr>
          <w:rFonts w:hint="eastAsia" w:ascii="Times New Roman" w:hAnsi="Times New Roman" w:cs="Times New Roman"/>
          <w:color w:val="auto"/>
          <w:sz w:val="21"/>
        </w:rPr>
        <w:t>9</w:t>
      </w:r>
      <w:r>
        <w:rPr>
          <w:rFonts w:ascii="Times New Roman" w:hAnsi="Times New Roman" w:cs="Times New Roman"/>
          <w:color w:val="auto"/>
          <w:sz w:val="21"/>
        </w:rPr>
        <w:t>.</w:t>
      </w:r>
      <w:r>
        <w:rPr>
          <w:rFonts w:hint="eastAsia" w:ascii="Times New Roman" w:hAnsi="Times New Roman" w:cs="Times New Roman"/>
          <w:color w:val="auto"/>
          <w:sz w:val="21"/>
        </w:rPr>
        <w:t>2-1  项目环境管理计划</w:t>
      </w:r>
    </w:p>
    <w:tbl>
      <w:tblPr>
        <w:tblStyle w:val="4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59"/>
        <w:gridCol w:w="1559"/>
        <w:gridCol w:w="4820"/>
        <w:gridCol w:w="11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9" w:type="dxa"/>
            <w:vAlign w:val="center"/>
          </w:tcPr>
          <w:p>
            <w:pPr>
              <w:jc w:val="center"/>
              <w:rPr>
                <w:b/>
              </w:rPr>
            </w:pPr>
            <w:r>
              <w:rPr>
                <w:b/>
              </w:rPr>
              <w:t>阶段</w:t>
            </w:r>
          </w:p>
        </w:tc>
        <w:tc>
          <w:tcPr>
            <w:tcW w:w="1559" w:type="dxa"/>
            <w:vAlign w:val="center"/>
          </w:tcPr>
          <w:p>
            <w:pPr>
              <w:jc w:val="center"/>
              <w:rPr>
                <w:b/>
              </w:rPr>
            </w:pPr>
            <w:r>
              <w:rPr>
                <w:b/>
              </w:rPr>
              <w:t>环境问题</w:t>
            </w:r>
          </w:p>
        </w:tc>
        <w:tc>
          <w:tcPr>
            <w:tcW w:w="4820" w:type="dxa"/>
            <w:vAlign w:val="center"/>
          </w:tcPr>
          <w:p>
            <w:pPr>
              <w:jc w:val="center"/>
              <w:rPr>
                <w:b/>
              </w:rPr>
            </w:pPr>
            <w:r>
              <w:rPr>
                <w:b/>
              </w:rPr>
              <w:t>环境管理内容</w:t>
            </w:r>
          </w:p>
        </w:tc>
        <w:tc>
          <w:tcPr>
            <w:tcW w:w="1190" w:type="dxa"/>
            <w:vAlign w:val="center"/>
          </w:tcPr>
          <w:p>
            <w:pPr>
              <w:jc w:val="center"/>
              <w:rPr>
                <w:b/>
              </w:rPr>
            </w:pPr>
            <w:r>
              <w:rPr>
                <w:b/>
              </w:rPr>
              <w:t>责任单位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9" w:type="dxa"/>
            <w:vMerge w:val="restart"/>
            <w:vAlign w:val="center"/>
          </w:tcPr>
          <w:p>
            <w:pPr>
              <w:jc w:val="center"/>
            </w:pPr>
            <w:r>
              <w:t>施工期</w:t>
            </w:r>
          </w:p>
        </w:tc>
        <w:tc>
          <w:tcPr>
            <w:tcW w:w="1559" w:type="dxa"/>
            <w:vAlign w:val="center"/>
          </w:tcPr>
          <w:p>
            <w:pPr>
              <w:jc w:val="center"/>
            </w:pPr>
            <w:r>
              <w:t>大气污染防治</w:t>
            </w:r>
          </w:p>
        </w:tc>
        <w:tc>
          <w:tcPr>
            <w:tcW w:w="4820" w:type="dxa"/>
            <w:vAlign w:val="center"/>
          </w:tcPr>
          <w:p>
            <w:pPr>
              <w:jc w:val="left"/>
            </w:pPr>
            <w:r>
              <w:rPr>
                <w:rFonts w:hint="eastAsia"/>
              </w:rPr>
              <w:t>采取合理的措施，包括洒水等，以降低施工期大气污染物的浓度</w:t>
            </w:r>
          </w:p>
        </w:tc>
        <w:tc>
          <w:tcPr>
            <w:tcW w:w="1190" w:type="dxa"/>
            <w:vMerge w:val="restart"/>
            <w:vAlign w:val="center"/>
          </w:tcPr>
          <w:p>
            <w:pPr>
              <w:jc w:val="center"/>
            </w:pPr>
            <w:r>
              <w:t>建设单位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9" w:type="dxa"/>
            <w:vMerge w:val="continue"/>
            <w:vAlign w:val="center"/>
          </w:tcPr>
          <w:p>
            <w:pPr>
              <w:jc w:val="center"/>
            </w:pPr>
          </w:p>
        </w:tc>
        <w:tc>
          <w:tcPr>
            <w:tcW w:w="1559" w:type="dxa"/>
            <w:vAlign w:val="center"/>
          </w:tcPr>
          <w:p>
            <w:pPr>
              <w:jc w:val="center"/>
            </w:pPr>
            <w:r>
              <w:t>水污染防治</w:t>
            </w:r>
          </w:p>
        </w:tc>
        <w:tc>
          <w:tcPr>
            <w:tcW w:w="4820" w:type="dxa"/>
            <w:vAlign w:val="center"/>
          </w:tcPr>
          <w:p>
            <w:pPr>
              <w:jc w:val="left"/>
            </w:pPr>
            <w:r>
              <w:rPr>
                <w:rFonts w:hint="eastAsia"/>
              </w:rPr>
              <w:t>施工人员的生活污水经化粪池后，用于周围林地浇灌，施工废水经隔油沉砂后回用</w:t>
            </w:r>
          </w:p>
        </w:tc>
        <w:tc>
          <w:tcPr>
            <w:tcW w:w="1190" w:type="dxa"/>
            <w:vMerge w:val="continue"/>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9" w:type="dxa"/>
            <w:vMerge w:val="continue"/>
            <w:vAlign w:val="center"/>
          </w:tcPr>
          <w:p>
            <w:pPr>
              <w:jc w:val="center"/>
            </w:pPr>
          </w:p>
        </w:tc>
        <w:tc>
          <w:tcPr>
            <w:tcW w:w="1559" w:type="dxa"/>
            <w:vAlign w:val="center"/>
          </w:tcPr>
          <w:p>
            <w:pPr>
              <w:jc w:val="center"/>
            </w:pPr>
            <w:r>
              <w:t>噪声污染防治</w:t>
            </w:r>
          </w:p>
        </w:tc>
        <w:tc>
          <w:tcPr>
            <w:tcW w:w="4820" w:type="dxa"/>
            <w:vAlign w:val="center"/>
          </w:tcPr>
          <w:p>
            <w:pPr>
              <w:jc w:val="left"/>
            </w:pPr>
            <w:r>
              <w:rPr>
                <w:rFonts w:hint="eastAsia"/>
              </w:rPr>
              <w:t>尽量选用低噪声施工机械，最大限度减少噪声对环境的影响</w:t>
            </w:r>
          </w:p>
        </w:tc>
        <w:tc>
          <w:tcPr>
            <w:tcW w:w="1190" w:type="dxa"/>
            <w:vMerge w:val="continue"/>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9" w:type="dxa"/>
            <w:vMerge w:val="continue"/>
            <w:vAlign w:val="center"/>
          </w:tcPr>
          <w:p>
            <w:pPr>
              <w:jc w:val="center"/>
            </w:pPr>
          </w:p>
        </w:tc>
        <w:tc>
          <w:tcPr>
            <w:tcW w:w="1559" w:type="dxa"/>
            <w:vAlign w:val="center"/>
          </w:tcPr>
          <w:p>
            <w:pPr>
              <w:jc w:val="center"/>
            </w:pPr>
            <w:r>
              <w:t>固废处置</w:t>
            </w:r>
          </w:p>
        </w:tc>
        <w:tc>
          <w:tcPr>
            <w:tcW w:w="4820" w:type="dxa"/>
            <w:vAlign w:val="center"/>
          </w:tcPr>
          <w:p>
            <w:pPr>
              <w:jc w:val="left"/>
            </w:pPr>
            <w:r>
              <w:rPr>
                <w:rFonts w:hint="eastAsia"/>
              </w:rPr>
              <w:t>建筑垃圾运往城建部门指定地点堆放，处置好施工期的生活垃圾，防止污染环境</w:t>
            </w:r>
          </w:p>
        </w:tc>
        <w:tc>
          <w:tcPr>
            <w:tcW w:w="1190" w:type="dxa"/>
            <w:vMerge w:val="continue"/>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9" w:type="dxa"/>
            <w:vMerge w:val="restart"/>
            <w:vAlign w:val="center"/>
          </w:tcPr>
          <w:p>
            <w:pPr>
              <w:jc w:val="center"/>
            </w:pPr>
            <w:r>
              <w:t>运营期</w:t>
            </w:r>
          </w:p>
        </w:tc>
        <w:tc>
          <w:tcPr>
            <w:tcW w:w="1559" w:type="dxa"/>
            <w:vAlign w:val="center"/>
          </w:tcPr>
          <w:p>
            <w:pPr>
              <w:jc w:val="center"/>
            </w:pPr>
            <w:r>
              <w:t>大气污染防治</w:t>
            </w:r>
          </w:p>
        </w:tc>
        <w:tc>
          <w:tcPr>
            <w:tcW w:w="4820" w:type="dxa"/>
            <w:vAlign w:val="center"/>
          </w:tcPr>
          <w:p>
            <w:pPr>
              <w:jc w:val="left"/>
            </w:pPr>
            <w:r>
              <w:rPr>
                <w:rFonts w:hint="eastAsia"/>
              </w:rPr>
              <w:t>检查废气处理系统，确保设备正常运行，加强恶臭防治管理</w:t>
            </w:r>
          </w:p>
        </w:tc>
        <w:tc>
          <w:tcPr>
            <w:tcW w:w="1190" w:type="dxa"/>
            <w:vMerge w:val="restart"/>
            <w:vAlign w:val="center"/>
          </w:tcPr>
          <w:p>
            <w:pPr>
              <w:jc w:val="center"/>
            </w:pPr>
            <w:r>
              <w:t>建设单位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9" w:type="dxa"/>
            <w:vMerge w:val="continue"/>
            <w:vAlign w:val="center"/>
          </w:tcPr>
          <w:p>
            <w:pPr>
              <w:jc w:val="center"/>
            </w:pPr>
          </w:p>
        </w:tc>
        <w:tc>
          <w:tcPr>
            <w:tcW w:w="1559" w:type="dxa"/>
            <w:vAlign w:val="center"/>
          </w:tcPr>
          <w:p>
            <w:pPr>
              <w:jc w:val="center"/>
            </w:pPr>
            <w:r>
              <w:t>水污染防治</w:t>
            </w:r>
          </w:p>
        </w:tc>
        <w:tc>
          <w:tcPr>
            <w:tcW w:w="4820" w:type="dxa"/>
            <w:vAlign w:val="center"/>
          </w:tcPr>
          <w:p>
            <w:pPr>
              <w:jc w:val="left"/>
            </w:pPr>
            <w:r>
              <w:rPr>
                <w:rFonts w:hint="eastAsia"/>
              </w:rPr>
              <w:t>加强污水设施的运行管理，确保废水合理处置</w:t>
            </w:r>
          </w:p>
        </w:tc>
        <w:tc>
          <w:tcPr>
            <w:tcW w:w="1190" w:type="dxa"/>
            <w:vMerge w:val="continue"/>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9" w:type="dxa"/>
            <w:vMerge w:val="continue"/>
            <w:vAlign w:val="center"/>
          </w:tcPr>
          <w:p>
            <w:pPr>
              <w:jc w:val="center"/>
            </w:pPr>
          </w:p>
        </w:tc>
        <w:tc>
          <w:tcPr>
            <w:tcW w:w="1559" w:type="dxa"/>
            <w:vAlign w:val="center"/>
          </w:tcPr>
          <w:p>
            <w:pPr>
              <w:jc w:val="center"/>
            </w:pPr>
            <w:r>
              <w:t>噪声污染防治</w:t>
            </w:r>
          </w:p>
        </w:tc>
        <w:tc>
          <w:tcPr>
            <w:tcW w:w="4820" w:type="dxa"/>
            <w:vAlign w:val="center"/>
          </w:tcPr>
          <w:p>
            <w:pPr>
              <w:jc w:val="left"/>
            </w:pPr>
            <w:r>
              <w:rPr>
                <w:rFonts w:hint="eastAsia"/>
              </w:rPr>
              <w:t>选用低噪声设备，做好减震、隔声措施，确保场界噪声达标</w:t>
            </w:r>
          </w:p>
        </w:tc>
        <w:tc>
          <w:tcPr>
            <w:tcW w:w="1190" w:type="dxa"/>
            <w:vMerge w:val="continue"/>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959" w:type="dxa"/>
            <w:vMerge w:val="continue"/>
            <w:vAlign w:val="center"/>
          </w:tcPr>
          <w:p>
            <w:pPr>
              <w:jc w:val="center"/>
            </w:pPr>
          </w:p>
        </w:tc>
        <w:tc>
          <w:tcPr>
            <w:tcW w:w="1559" w:type="dxa"/>
            <w:vAlign w:val="center"/>
          </w:tcPr>
          <w:p>
            <w:pPr>
              <w:jc w:val="center"/>
            </w:pPr>
            <w:r>
              <w:t>固废处置</w:t>
            </w:r>
          </w:p>
        </w:tc>
        <w:tc>
          <w:tcPr>
            <w:tcW w:w="4820" w:type="dxa"/>
            <w:vAlign w:val="center"/>
          </w:tcPr>
          <w:p>
            <w:pPr>
              <w:jc w:val="left"/>
            </w:pPr>
            <w:r>
              <w:rPr>
                <w:rFonts w:hint="eastAsia"/>
              </w:rPr>
              <w:t>生活垃圾及时清运；确保鸡粪、病死鸡、废包装物料、不合格蛋、饲料渣及脱落的羽毛妥善处置；按环评要求设置一般固废及危险废物暂存设施</w:t>
            </w:r>
          </w:p>
        </w:tc>
        <w:tc>
          <w:tcPr>
            <w:tcW w:w="1190" w:type="dxa"/>
            <w:vMerge w:val="continue"/>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18" w:type="dxa"/>
            <w:gridSpan w:val="2"/>
            <w:vAlign w:val="center"/>
          </w:tcPr>
          <w:p>
            <w:pPr>
              <w:jc w:val="center"/>
            </w:pPr>
            <w:r>
              <w:t>环境风险管理</w:t>
            </w:r>
          </w:p>
        </w:tc>
        <w:tc>
          <w:tcPr>
            <w:tcW w:w="4820" w:type="dxa"/>
            <w:vAlign w:val="center"/>
          </w:tcPr>
          <w:p>
            <w:pPr>
              <w:jc w:val="left"/>
            </w:pPr>
            <w:r>
              <w:rPr>
                <w:rFonts w:hint="eastAsia"/>
              </w:rPr>
              <w:t>①加强环保设施的管理，一旦发现不能正常运行应立即采取措施。一旦发生事故能够迅速做出反应，及时上报并能采取有效控制；</w:t>
            </w:r>
          </w:p>
          <w:p>
            <w:pPr>
              <w:jc w:val="left"/>
            </w:pPr>
            <w:r>
              <w:rPr>
                <w:rFonts w:hint="eastAsia"/>
              </w:rPr>
              <w:t>②加强职工培训，建全安全生产制度，防止生产事故发生，确保无污染事故发生；</w:t>
            </w:r>
          </w:p>
          <w:p>
            <w:pPr>
              <w:jc w:val="left"/>
            </w:pPr>
            <w:r>
              <w:rPr>
                <w:rFonts w:hint="eastAsia"/>
              </w:rPr>
              <w:t>③配备污染事故应急处理设备，制订相应处理措施，明确人员和操作规程，一旦发生污染事故能够迅速做出反应，及时上报并能采取有效控制</w:t>
            </w:r>
          </w:p>
        </w:tc>
        <w:tc>
          <w:tcPr>
            <w:tcW w:w="1190" w:type="dxa"/>
            <w:vAlign w:val="center"/>
          </w:tcPr>
          <w:p>
            <w:pPr>
              <w:jc w:val="center"/>
            </w:pPr>
            <w:r>
              <w:t>建设单位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18" w:type="dxa"/>
            <w:gridSpan w:val="2"/>
            <w:vAlign w:val="center"/>
          </w:tcPr>
          <w:p>
            <w:pPr>
              <w:jc w:val="center"/>
            </w:pPr>
            <w:r>
              <w:t>环境监测</w:t>
            </w:r>
          </w:p>
        </w:tc>
        <w:tc>
          <w:tcPr>
            <w:tcW w:w="4820" w:type="dxa"/>
            <w:vAlign w:val="center"/>
          </w:tcPr>
          <w:p>
            <w:pPr>
              <w:jc w:val="left"/>
            </w:pPr>
            <w:r>
              <w:rPr>
                <w:rFonts w:hint="eastAsia"/>
              </w:rPr>
              <w:t>按照环境监测技术规范和国家环保局颁布的监测标准、方法执行</w:t>
            </w:r>
          </w:p>
        </w:tc>
        <w:tc>
          <w:tcPr>
            <w:tcW w:w="1190" w:type="dxa"/>
            <w:vAlign w:val="center"/>
          </w:tcPr>
          <w:p>
            <w:pPr>
              <w:jc w:val="center"/>
            </w:pPr>
            <w:r>
              <w:t>建设单位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18" w:type="dxa"/>
            <w:gridSpan w:val="2"/>
            <w:vAlign w:val="center"/>
          </w:tcPr>
          <w:p>
            <w:pPr>
              <w:jc w:val="center"/>
            </w:pPr>
            <w:r>
              <w:t>台账管理</w:t>
            </w:r>
          </w:p>
        </w:tc>
        <w:tc>
          <w:tcPr>
            <w:tcW w:w="4820" w:type="dxa"/>
            <w:vAlign w:val="center"/>
          </w:tcPr>
          <w:p>
            <w:pPr>
              <w:jc w:val="left"/>
            </w:pPr>
            <w:r>
              <w:rPr>
                <w:rFonts w:hint="eastAsia"/>
              </w:rPr>
              <w:t>①应对本项目所有污染排放口的名称、位置、数量以及排放污染物名称、数量等内容进行统计，并登记上报当地生态环境部门，以便进行验收和排放口的规范化管理。</w:t>
            </w:r>
          </w:p>
          <w:p>
            <w:pPr>
              <w:jc w:val="left"/>
            </w:pPr>
            <w:r>
              <w:rPr>
                <w:rFonts w:hint="eastAsia"/>
              </w:rPr>
              <w:t>②对各项环保设施运行状况进行记录，对重要的环境因素、单位环保检查、环境事件、非常规“三废”排放、环保设施的常规检测形成相应的台账存档</w:t>
            </w:r>
          </w:p>
        </w:tc>
        <w:tc>
          <w:tcPr>
            <w:tcW w:w="1190" w:type="dxa"/>
            <w:vAlign w:val="center"/>
          </w:tcPr>
          <w:p>
            <w:pPr>
              <w:jc w:val="center"/>
            </w:pPr>
            <w:r>
              <w:t>建设单位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18" w:type="dxa"/>
            <w:gridSpan w:val="2"/>
            <w:vAlign w:val="center"/>
          </w:tcPr>
          <w:p>
            <w:pPr>
              <w:jc w:val="center"/>
            </w:pPr>
            <w:r>
              <w:t>组织机构</w:t>
            </w:r>
          </w:p>
        </w:tc>
        <w:tc>
          <w:tcPr>
            <w:tcW w:w="4820" w:type="dxa"/>
            <w:vAlign w:val="center"/>
          </w:tcPr>
          <w:p>
            <w:pPr>
              <w:jc w:val="left"/>
            </w:pPr>
            <w:r>
              <w:rPr>
                <w:rFonts w:hint="eastAsia"/>
              </w:rPr>
              <w:t>组织环保管理队伍，负责公司的日常环境管理和环保设备的运行、维护</w:t>
            </w:r>
          </w:p>
        </w:tc>
        <w:tc>
          <w:tcPr>
            <w:tcW w:w="1190" w:type="dxa"/>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18" w:type="dxa"/>
            <w:gridSpan w:val="2"/>
            <w:vAlign w:val="center"/>
          </w:tcPr>
          <w:p>
            <w:pPr>
              <w:jc w:val="center"/>
            </w:pPr>
            <w:r>
              <w:t>信息公开</w:t>
            </w:r>
          </w:p>
        </w:tc>
        <w:tc>
          <w:tcPr>
            <w:tcW w:w="4820" w:type="dxa"/>
            <w:vAlign w:val="center"/>
          </w:tcPr>
          <w:p>
            <w:pPr>
              <w:jc w:val="left"/>
            </w:pPr>
            <w:r>
              <w:rPr>
                <w:rFonts w:hint="eastAsia"/>
              </w:rPr>
              <w:t>根据生态环境部发布的《企业事业单位环境信息公开办法》（（2014）部令第31号），参照《国家重点监控企业自行监测及信息公开办法（试行）》、</w:t>
            </w:r>
            <w:r>
              <w:rPr>
                <w:rFonts w:hint="eastAsia" w:ascii="宋体" w:hAnsi="宋体"/>
              </w:rPr>
              <w:t>“</w:t>
            </w:r>
            <w:r>
              <w:rPr>
                <w:rFonts w:hint="eastAsia"/>
              </w:rPr>
              <w:t>《国家重点监控企业污染源监督性监测及信息公开办法（试行）》的通知</w:t>
            </w:r>
            <w:r>
              <w:rPr>
                <w:rFonts w:hint="eastAsia" w:ascii="宋体" w:hAnsi="宋体"/>
              </w:rPr>
              <w:t>”</w:t>
            </w:r>
            <w:r>
              <w:rPr>
                <w:rFonts w:hint="eastAsia"/>
              </w:rPr>
              <w:t>（环发[2013]81号）执行</w:t>
            </w:r>
          </w:p>
        </w:tc>
        <w:tc>
          <w:tcPr>
            <w:tcW w:w="1190" w:type="dxa"/>
            <w:vAlign w:val="center"/>
          </w:tcPr>
          <w:p>
            <w:pPr>
              <w:jc w:val="center"/>
            </w:pPr>
            <w:r>
              <w:t>建设单位</w:t>
            </w:r>
          </w:p>
        </w:tc>
      </w:tr>
    </w:tbl>
    <w:p>
      <w:pPr>
        <w:pStyle w:val="7"/>
        <w:adjustRightInd w:val="0"/>
        <w:snapToGrid w:val="0"/>
        <w:spacing w:before="0" w:after="0" w:line="360" w:lineRule="auto"/>
        <w:jc w:val="left"/>
        <w:rPr>
          <w:sz w:val="24"/>
          <w:szCs w:val="24"/>
        </w:rPr>
      </w:pPr>
      <w:r>
        <w:rPr>
          <w:rFonts w:hint="eastAsia"/>
          <w:sz w:val="24"/>
          <w:szCs w:val="24"/>
        </w:rPr>
        <w:t>9</w:t>
      </w:r>
      <w:r>
        <w:rPr>
          <w:sz w:val="24"/>
          <w:szCs w:val="24"/>
        </w:rPr>
        <w:t>.</w:t>
      </w:r>
      <w:r>
        <w:rPr>
          <w:rFonts w:hint="eastAsia"/>
          <w:sz w:val="24"/>
          <w:szCs w:val="24"/>
        </w:rPr>
        <w:t>2</w:t>
      </w:r>
      <w:r>
        <w:rPr>
          <w:sz w:val="24"/>
          <w:szCs w:val="24"/>
        </w:rPr>
        <w:t>.</w:t>
      </w:r>
      <w:r>
        <w:rPr>
          <w:rFonts w:hint="eastAsia"/>
          <w:sz w:val="24"/>
          <w:szCs w:val="24"/>
        </w:rPr>
        <w:t>7</w:t>
      </w:r>
      <w:r>
        <w:rPr>
          <w:sz w:val="24"/>
          <w:szCs w:val="24"/>
        </w:rPr>
        <w:t xml:space="preserve"> 企业日常监管计划</w:t>
      </w:r>
    </w:p>
    <w:p>
      <w:pPr>
        <w:widowControl/>
        <w:tabs>
          <w:tab w:val="left" w:pos="3120"/>
        </w:tabs>
        <w:spacing w:line="360" w:lineRule="auto"/>
        <w:ind w:firstLine="480" w:firstLineChars="200"/>
        <w:rPr>
          <w:rFonts w:hAnsi="宋体"/>
          <w:kern w:val="0"/>
          <w:sz w:val="24"/>
        </w:rPr>
      </w:pPr>
      <w:r>
        <w:rPr>
          <w:rFonts w:hint="eastAsia" w:hAnsi="宋体"/>
          <w:kern w:val="0"/>
          <w:sz w:val="24"/>
        </w:rPr>
        <w:t>项目运行过程均对周围环境存在潜在的污染影响或风险，企业需加强日常监管，采取一定有效的管理监控措施，使其对周围环境的影响程度降到最低，其日常监管计划如下表。</w:t>
      </w:r>
    </w:p>
    <w:p>
      <w:pPr>
        <w:pStyle w:val="17"/>
        <w:spacing w:beforeLines="50"/>
        <w:rPr>
          <w:rFonts w:ascii="Times New Roman" w:hAnsi="Times New Roman" w:cs="Times New Roman"/>
          <w:color w:val="auto"/>
          <w:sz w:val="21"/>
        </w:rPr>
      </w:pPr>
      <w:r>
        <w:rPr>
          <w:rFonts w:ascii="Times New Roman" w:hAnsi="Times New Roman" w:cs="Times New Roman"/>
          <w:color w:val="auto"/>
          <w:sz w:val="21"/>
        </w:rPr>
        <w:t>表</w:t>
      </w:r>
      <w:r>
        <w:rPr>
          <w:rFonts w:hint="eastAsia" w:ascii="Times New Roman" w:hAnsi="Times New Roman" w:cs="Times New Roman"/>
          <w:color w:val="auto"/>
          <w:sz w:val="21"/>
        </w:rPr>
        <w:t>9</w:t>
      </w:r>
      <w:r>
        <w:rPr>
          <w:rFonts w:ascii="Times New Roman" w:hAnsi="Times New Roman" w:cs="Times New Roman"/>
          <w:color w:val="auto"/>
          <w:sz w:val="21"/>
        </w:rPr>
        <w:t>.</w:t>
      </w:r>
      <w:r>
        <w:rPr>
          <w:rFonts w:hint="eastAsia" w:ascii="Times New Roman" w:hAnsi="Times New Roman" w:cs="Times New Roman"/>
          <w:color w:val="auto"/>
          <w:sz w:val="21"/>
        </w:rPr>
        <w:t>2-2  企业日常监管计划一览表</w:t>
      </w:r>
    </w:p>
    <w:tbl>
      <w:tblPr>
        <w:tblStyle w:val="48"/>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2"/>
        <w:gridCol w:w="5245"/>
        <w:gridCol w:w="204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42" w:type="dxa"/>
            <w:vAlign w:val="center"/>
          </w:tcPr>
          <w:p>
            <w:pPr>
              <w:jc w:val="center"/>
              <w:rPr>
                <w:b/>
              </w:rPr>
            </w:pPr>
            <w:r>
              <w:rPr>
                <w:rFonts w:hint="eastAsia"/>
                <w:b/>
              </w:rPr>
              <w:t>影响要素</w:t>
            </w:r>
          </w:p>
        </w:tc>
        <w:tc>
          <w:tcPr>
            <w:tcW w:w="5245" w:type="dxa"/>
            <w:vAlign w:val="center"/>
          </w:tcPr>
          <w:p>
            <w:pPr>
              <w:jc w:val="center"/>
              <w:rPr>
                <w:b/>
              </w:rPr>
            </w:pPr>
            <w:r>
              <w:rPr>
                <w:rFonts w:hint="eastAsia"/>
                <w:b/>
              </w:rPr>
              <w:t>企业监管内容</w:t>
            </w:r>
          </w:p>
        </w:tc>
        <w:tc>
          <w:tcPr>
            <w:tcW w:w="2041" w:type="dxa"/>
            <w:vAlign w:val="center"/>
          </w:tcPr>
          <w:p>
            <w:pPr>
              <w:jc w:val="center"/>
              <w:rPr>
                <w:b/>
              </w:rPr>
            </w:pPr>
            <w:r>
              <w:rPr>
                <w:rFonts w:hint="eastAsia"/>
                <w:b/>
              </w:rPr>
              <w:t>实施机构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1242" w:type="dxa"/>
            <w:vAlign w:val="center"/>
          </w:tcPr>
          <w:p>
            <w:pPr>
              <w:jc w:val="center"/>
            </w:pPr>
            <w:r>
              <w:rPr>
                <w:rFonts w:hint="eastAsia"/>
              </w:rPr>
              <w:t>地表水</w:t>
            </w:r>
          </w:p>
        </w:tc>
        <w:tc>
          <w:tcPr>
            <w:tcW w:w="5245" w:type="dxa"/>
            <w:vAlign w:val="center"/>
          </w:tcPr>
          <w:p>
            <w:pPr>
              <w:jc w:val="left"/>
            </w:pPr>
            <w:r>
              <w:rPr>
                <w:rFonts w:hint="eastAsia"/>
              </w:rPr>
              <w:t>①雨污分流、是否有跑冒滴漏；</w:t>
            </w:r>
          </w:p>
          <w:p>
            <w:pPr>
              <w:jc w:val="left"/>
            </w:pPr>
            <w:r>
              <w:rPr>
                <w:rFonts w:hint="eastAsia"/>
              </w:rPr>
              <w:t>②废水经污水处理</w:t>
            </w:r>
            <w:r>
              <w:rPr>
                <w:rFonts w:hint="eastAsia"/>
                <w:lang w:val="en-US" w:eastAsia="zh-CN"/>
              </w:rPr>
              <w:t>站</w:t>
            </w:r>
            <w:r>
              <w:rPr>
                <w:rFonts w:hint="eastAsia"/>
              </w:rPr>
              <w:t>处理后是否合理消纳；</w:t>
            </w:r>
          </w:p>
          <w:p>
            <w:pPr>
              <w:jc w:val="left"/>
            </w:pPr>
            <w:r>
              <w:rPr>
                <w:rFonts w:hint="eastAsia"/>
              </w:rPr>
              <w:t>③不得偷排漏排。</w:t>
            </w:r>
          </w:p>
        </w:tc>
        <w:tc>
          <w:tcPr>
            <w:tcW w:w="2041" w:type="dxa"/>
            <w:vMerge w:val="restart"/>
            <w:vAlign w:val="center"/>
          </w:tcPr>
          <w:p>
            <w:pPr>
              <w:jc w:val="center"/>
            </w:pPr>
            <w:r>
              <w:rPr>
                <w:rFonts w:hint="eastAsia"/>
              </w:rPr>
              <w:t>建设单位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42" w:type="dxa"/>
            <w:vAlign w:val="center"/>
          </w:tcPr>
          <w:p>
            <w:pPr>
              <w:jc w:val="center"/>
            </w:pPr>
            <w:r>
              <w:rPr>
                <w:rFonts w:hint="eastAsia"/>
              </w:rPr>
              <w:t>地下水</w:t>
            </w:r>
          </w:p>
        </w:tc>
        <w:tc>
          <w:tcPr>
            <w:tcW w:w="5245" w:type="dxa"/>
            <w:vAlign w:val="center"/>
          </w:tcPr>
          <w:p>
            <w:pPr>
              <w:jc w:val="left"/>
            </w:pPr>
            <w:r>
              <w:rPr>
                <w:rFonts w:hint="eastAsia"/>
              </w:rPr>
              <w:t>①场区管道收集系统防渗效果；</w:t>
            </w:r>
          </w:p>
          <w:p>
            <w:pPr>
              <w:jc w:val="left"/>
            </w:pPr>
            <w:r>
              <w:rPr>
                <w:rFonts w:hint="eastAsia"/>
              </w:rPr>
              <w:t>②污水处理站</w:t>
            </w:r>
            <w:r>
              <w:rPr>
                <w:rFonts w:hint="eastAsia"/>
                <w:lang w:val="en-US" w:eastAsia="zh-CN"/>
              </w:rPr>
              <w:t>池体</w:t>
            </w:r>
            <w:r>
              <w:rPr>
                <w:rFonts w:hint="eastAsia"/>
              </w:rPr>
              <w:t>防渗效果；</w:t>
            </w:r>
          </w:p>
          <w:p>
            <w:pPr>
              <w:jc w:val="left"/>
            </w:pPr>
            <w:r>
              <w:rPr>
                <w:rFonts w:hint="eastAsia"/>
              </w:rPr>
              <w:t>③企业周边的观察监测井。</w:t>
            </w:r>
          </w:p>
        </w:tc>
        <w:tc>
          <w:tcPr>
            <w:tcW w:w="2041" w:type="dxa"/>
            <w:vMerge w:val="continue"/>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42" w:type="dxa"/>
            <w:vAlign w:val="center"/>
          </w:tcPr>
          <w:p>
            <w:pPr>
              <w:jc w:val="center"/>
            </w:pPr>
            <w:r>
              <w:rPr>
                <w:rFonts w:hint="eastAsia"/>
              </w:rPr>
              <w:t>空气</w:t>
            </w:r>
          </w:p>
        </w:tc>
        <w:tc>
          <w:tcPr>
            <w:tcW w:w="5245" w:type="dxa"/>
            <w:vAlign w:val="center"/>
          </w:tcPr>
          <w:p>
            <w:pPr>
              <w:jc w:val="left"/>
            </w:pPr>
            <w:r>
              <w:rPr>
                <w:rFonts w:hint="eastAsia"/>
              </w:rPr>
              <w:t>①鸡舍通风及除臭装置；</w:t>
            </w:r>
          </w:p>
          <w:p>
            <w:pPr>
              <w:jc w:val="left"/>
            </w:pPr>
            <w:r>
              <w:rPr>
                <w:rFonts w:hint="eastAsia"/>
              </w:rPr>
              <w:t>②在鸡舍、鸡粪输送带等通过喷酒除臭剂来控制恶臭，多用强氧化剂和杀菌剂等消除微生物产生的臭味或化学氧化臭味物质；</w:t>
            </w:r>
          </w:p>
          <w:p>
            <w:pPr>
              <w:jc w:val="left"/>
            </w:pPr>
            <w:r>
              <w:rPr>
                <w:rFonts w:hint="eastAsia"/>
              </w:rPr>
              <w:t>③食堂油烟安装油烟净化器处理。</w:t>
            </w:r>
          </w:p>
        </w:tc>
        <w:tc>
          <w:tcPr>
            <w:tcW w:w="2041" w:type="dxa"/>
            <w:vMerge w:val="continue"/>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42" w:type="dxa"/>
            <w:vAlign w:val="center"/>
          </w:tcPr>
          <w:p>
            <w:pPr>
              <w:jc w:val="center"/>
            </w:pPr>
            <w:r>
              <w:rPr>
                <w:rFonts w:hint="eastAsia"/>
              </w:rPr>
              <w:t>噪声</w:t>
            </w:r>
          </w:p>
        </w:tc>
        <w:tc>
          <w:tcPr>
            <w:tcW w:w="5245" w:type="dxa"/>
            <w:vAlign w:val="center"/>
          </w:tcPr>
          <w:p>
            <w:pPr>
              <w:jc w:val="left"/>
            </w:pPr>
            <w:r>
              <w:rPr>
                <w:rFonts w:hint="eastAsia"/>
              </w:rPr>
              <w:t>①选用低噪声的设备；</w:t>
            </w:r>
          </w:p>
          <w:p>
            <w:pPr>
              <w:jc w:val="left"/>
            </w:pPr>
            <w:r>
              <w:rPr>
                <w:rFonts w:hint="eastAsia"/>
              </w:rPr>
              <w:t>②对高噪声设备作消声、减振、隔声处理。</w:t>
            </w:r>
          </w:p>
        </w:tc>
        <w:tc>
          <w:tcPr>
            <w:tcW w:w="2041" w:type="dxa"/>
            <w:vMerge w:val="continue"/>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42" w:type="dxa"/>
            <w:vAlign w:val="center"/>
          </w:tcPr>
          <w:p>
            <w:pPr>
              <w:jc w:val="center"/>
            </w:pPr>
            <w:r>
              <w:rPr>
                <w:rFonts w:hint="eastAsia"/>
              </w:rPr>
              <w:t>固废</w:t>
            </w:r>
          </w:p>
        </w:tc>
        <w:tc>
          <w:tcPr>
            <w:tcW w:w="5245" w:type="dxa"/>
            <w:vAlign w:val="center"/>
          </w:tcPr>
          <w:p>
            <w:pPr>
              <w:jc w:val="left"/>
            </w:pPr>
            <w:r>
              <w:rPr>
                <w:rFonts w:hint="eastAsia"/>
              </w:rPr>
              <w:t>①病死鸡是否无害化处理；</w:t>
            </w:r>
          </w:p>
          <w:p>
            <w:pPr>
              <w:jc w:val="left"/>
            </w:pPr>
            <w:r>
              <w:rPr>
                <w:rFonts w:hint="eastAsia"/>
              </w:rPr>
              <w:t>②采用干清粪工艺，鸡粪日产日清，依托或外售制肥；</w:t>
            </w:r>
          </w:p>
          <w:p>
            <w:pPr>
              <w:jc w:val="left"/>
            </w:pPr>
            <w:r>
              <w:rPr>
                <w:rFonts w:hint="eastAsia"/>
              </w:rPr>
              <w:t>③生活垃圾委托环卫部门清运处理；</w:t>
            </w:r>
          </w:p>
          <w:p>
            <w:pPr>
              <w:jc w:val="left"/>
            </w:pPr>
            <w:r>
              <w:rPr>
                <w:rFonts w:hint="eastAsia"/>
              </w:rPr>
              <w:t>④医疗固废是否临时存放在危废暂存间专用存储容器中，暂存间的管理是否按照国家有关要求，定期交由有资质的单位处置并检查台账。</w:t>
            </w:r>
          </w:p>
        </w:tc>
        <w:tc>
          <w:tcPr>
            <w:tcW w:w="2041" w:type="dxa"/>
            <w:vMerge w:val="continue"/>
            <w:vAlign w:val="center"/>
          </w:tcPr>
          <w:p>
            <w:pPr>
              <w:jc w:val="cente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242" w:type="dxa"/>
            <w:vAlign w:val="center"/>
          </w:tcPr>
          <w:p>
            <w:pPr>
              <w:jc w:val="center"/>
            </w:pPr>
            <w:r>
              <w:rPr>
                <w:rFonts w:hint="eastAsia"/>
              </w:rPr>
              <w:t>环境监测</w:t>
            </w:r>
          </w:p>
        </w:tc>
        <w:tc>
          <w:tcPr>
            <w:tcW w:w="5245" w:type="dxa"/>
            <w:vAlign w:val="center"/>
          </w:tcPr>
          <w:p>
            <w:pPr>
              <w:jc w:val="center"/>
            </w:pPr>
            <w:r>
              <w:rPr>
                <w:rFonts w:hint="eastAsia"/>
              </w:rPr>
              <w:t>按照环境监测技术规范及国家环保局颁布的监测标准、方法执行</w:t>
            </w:r>
          </w:p>
        </w:tc>
        <w:tc>
          <w:tcPr>
            <w:tcW w:w="2041" w:type="dxa"/>
            <w:vAlign w:val="center"/>
          </w:tcPr>
          <w:p>
            <w:pPr>
              <w:jc w:val="center"/>
            </w:pPr>
            <w:r>
              <w:rPr>
                <w:rFonts w:hint="eastAsia"/>
              </w:rPr>
              <w:t>建设单位委托第三方监测单位开展</w:t>
            </w:r>
          </w:p>
        </w:tc>
      </w:tr>
    </w:tbl>
    <w:p>
      <w:pPr>
        <w:pStyle w:val="7"/>
        <w:adjustRightInd w:val="0"/>
        <w:snapToGrid w:val="0"/>
        <w:spacing w:before="0" w:after="0" w:line="360" w:lineRule="auto"/>
        <w:jc w:val="left"/>
        <w:rPr>
          <w:sz w:val="24"/>
          <w:szCs w:val="24"/>
        </w:rPr>
      </w:pPr>
      <w:r>
        <w:rPr>
          <w:rFonts w:hint="eastAsia"/>
          <w:sz w:val="24"/>
          <w:szCs w:val="24"/>
        </w:rPr>
        <w:t>9</w:t>
      </w:r>
      <w:r>
        <w:rPr>
          <w:sz w:val="24"/>
          <w:szCs w:val="24"/>
        </w:rPr>
        <w:t>.</w:t>
      </w:r>
      <w:r>
        <w:rPr>
          <w:rFonts w:hint="eastAsia"/>
          <w:sz w:val="24"/>
          <w:szCs w:val="24"/>
        </w:rPr>
        <w:t>2</w:t>
      </w:r>
      <w:r>
        <w:rPr>
          <w:sz w:val="24"/>
          <w:szCs w:val="24"/>
        </w:rPr>
        <w:t>.</w:t>
      </w:r>
      <w:r>
        <w:rPr>
          <w:rFonts w:hint="eastAsia"/>
          <w:sz w:val="24"/>
          <w:szCs w:val="24"/>
        </w:rPr>
        <w:t>8</w:t>
      </w:r>
      <w:r>
        <w:rPr>
          <w:sz w:val="24"/>
          <w:szCs w:val="24"/>
        </w:rPr>
        <w:t xml:space="preserve"> 总量控制</w:t>
      </w:r>
    </w:p>
    <w:p>
      <w:pPr>
        <w:adjustRightInd w:val="0"/>
        <w:snapToGrid w:val="0"/>
        <w:spacing w:line="360" w:lineRule="auto"/>
        <w:ind w:firstLine="480" w:firstLineChars="200"/>
        <w:rPr>
          <w:rFonts w:hAnsi="宋体"/>
          <w:sz w:val="24"/>
        </w:rPr>
      </w:pPr>
      <w:r>
        <w:rPr>
          <w:rFonts w:hint="eastAsia" w:hAnsi="宋体"/>
          <w:sz w:val="24"/>
        </w:rPr>
        <w:t>评价按照国家级地方生态环境部门总量控制的要求，提出项目完成后污染物总量控制建议指标，作为地方环境管理的依据。</w:t>
      </w:r>
    </w:p>
    <w:p>
      <w:pPr>
        <w:spacing w:line="360" w:lineRule="auto"/>
        <w:ind w:firstLine="480" w:firstLineChars="200"/>
        <w:rPr>
          <w:kern w:val="0"/>
          <w:sz w:val="24"/>
        </w:rPr>
      </w:pPr>
      <w:r>
        <w:rPr>
          <w:rFonts w:hint="eastAsia" w:ascii="宋体" w:cs="宋体" w:hAnsiTheme="minorHAnsi"/>
          <w:kern w:val="0"/>
          <w:sz w:val="24"/>
        </w:rPr>
        <w:t>本项目废水不外排</w:t>
      </w:r>
      <w:r>
        <w:rPr>
          <w:rFonts w:hint="eastAsia" w:ascii="宋体" w:cs="宋体" w:hAnsiTheme="minorHAnsi"/>
          <w:kern w:val="0"/>
          <w:sz w:val="24"/>
          <w:lang w:eastAsia="zh-CN"/>
        </w:rPr>
        <w:t>；</w:t>
      </w:r>
      <w:r>
        <w:rPr>
          <w:rFonts w:hint="eastAsia" w:ascii="宋体" w:cs="宋体" w:hAnsiTheme="minorHAnsi"/>
          <w:kern w:val="0"/>
          <w:sz w:val="24"/>
        </w:rPr>
        <w:t>鸡粪日产日清，</w:t>
      </w:r>
      <w:r>
        <w:rPr>
          <w:rFonts w:hint="eastAsia" w:ascii="宋体" w:cs="宋体" w:hAnsiTheme="minorHAnsi"/>
          <w:kern w:val="0"/>
          <w:sz w:val="24"/>
          <w:lang w:val="en-US" w:eastAsia="zh-CN"/>
        </w:rPr>
        <w:t>依托</w:t>
      </w:r>
      <w:r>
        <w:rPr>
          <w:rFonts w:hint="eastAsia" w:ascii="宋体" w:cs="宋体" w:hAnsiTheme="minorHAnsi"/>
          <w:kern w:val="0"/>
          <w:sz w:val="24"/>
        </w:rPr>
        <w:t>或外售</w:t>
      </w:r>
      <w:r>
        <w:rPr>
          <w:rFonts w:hint="eastAsia" w:ascii="宋体" w:cs="宋体" w:hAnsiTheme="minorHAnsi"/>
          <w:kern w:val="0"/>
          <w:sz w:val="24"/>
          <w:lang w:val="en-US" w:eastAsia="zh-CN"/>
        </w:rPr>
        <w:t>制肥</w:t>
      </w:r>
      <w:r>
        <w:rPr>
          <w:rFonts w:hint="eastAsia" w:ascii="宋体" w:cs="宋体" w:hAnsiTheme="minorHAnsi"/>
          <w:kern w:val="0"/>
          <w:sz w:val="24"/>
          <w:lang w:eastAsia="zh-CN"/>
        </w:rPr>
        <w:t>；</w:t>
      </w:r>
      <w:r>
        <w:rPr>
          <w:rFonts w:hint="eastAsia" w:ascii="宋体" w:cs="宋体" w:hAnsiTheme="minorHAnsi"/>
          <w:kern w:val="0"/>
          <w:sz w:val="24"/>
        </w:rPr>
        <w:t>废气中仅</w:t>
      </w:r>
      <w:r>
        <w:rPr>
          <w:rFonts w:hint="eastAsia" w:ascii="宋体" w:cs="宋体" w:hAnsiTheme="minorHAnsi"/>
          <w:kern w:val="0"/>
          <w:sz w:val="24"/>
          <w:lang w:eastAsia="zh-CN"/>
        </w:rPr>
        <w:t>备用柴油发电机尾气</w:t>
      </w:r>
      <w:r>
        <w:rPr>
          <w:rFonts w:hint="eastAsia" w:ascii="宋体" w:cs="宋体" w:hAnsiTheme="minorHAnsi"/>
          <w:kern w:val="0"/>
          <w:sz w:val="24"/>
        </w:rPr>
        <w:t>中含少量二氧化硫、氮氧化物排放，废气排放量很小，忽略不计，因此不设置总量控制</w:t>
      </w:r>
      <w:r>
        <w:rPr>
          <w:rFonts w:hint="eastAsia"/>
          <w:kern w:val="0"/>
          <w:sz w:val="24"/>
        </w:rPr>
        <w:t>。</w:t>
      </w:r>
    </w:p>
    <w:p>
      <w:pPr>
        <w:spacing w:before="140" w:after="140"/>
        <w:outlineLvl w:val="1"/>
        <w:rPr>
          <w:b/>
          <w:bCs/>
          <w:sz w:val="30"/>
          <w:szCs w:val="30"/>
        </w:rPr>
      </w:pPr>
      <w:bookmarkStart w:id="358" w:name="_Toc123886434"/>
      <w:r>
        <w:rPr>
          <w:rFonts w:hint="eastAsia"/>
          <w:b/>
          <w:bCs/>
          <w:sz w:val="30"/>
          <w:szCs w:val="30"/>
        </w:rPr>
        <w:t>9</w:t>
      </w:r>
      <w:r>
        <w:rPr>
          <w:b/>
          <w:bCs/>
          <w:sz w:val="30"/>
          <w:szCs w:val="30"/>
        </w:rPr>
        <w:t>.</w:t>
      </w:r>
      <w:r>
        <w:rPr>
          <w:rFonts w:hint="eastAsia"/>
          <w:b/>
          <w:bCs/>
          <w:sz w:val="30"/>
          <w:szCs w:val="30"/>
        </w:rPr>
        <w:t xml:space="preserve">3 </w:t>
      </w:r>
      <w:r>
        <w:rPr>
          <w:b/>
          <w:bCs/>
          <w:sz w:val="30"/>
          <w:szCs w:val="30"/>
        </w:rPr>
        <w:t>信息公开</w:t>
      </w:r>
      <w:bookmarkEnd w:id="358"/>
    </w:p>
    <w:p>
      <w:pPr>
        <w:widowControl/>
        <w:tabs>
          <w:tab w:val="left" w:pos="3120"/>
        </w:tabs>
        <w:spacing w:line="360" w:lineRule="auto"/>
        <w:ind w:firstLine="480" w:firstLineChars="200"/>
        <w:rPr>
          <w:kern w:val="0"/>
          <w:sz w:val="24"/>
        </w:rPr>
      </w:pPr>
      <w:r>
        <w:rPr>
          <w:kern w:val="0"/>
          <w:sz w:val="24"/>
        </w:rPr>
        <w:t>根据《企业事业单位环境信息公开办法》（环境保护部令第31号），企业事业单位应当按照强制公开和自愿公开相结合的原则，及时、如实地公开其环境信息。企业事业单位应当建立健全本单位环境信息公开制度，指定机构负责本单位环境信息公开日常工作，排污单位应当公开以下信息：</w:t>
      </w:r>
    </w:p>
    <w:p>
      <w:pPr>
        <w:widowControl/>
        <w:tabs>
          <w:tab w:val="left" w:pos="3120"/>
        </w:tabs>
        <w:spacing w:line="360" w:lineRule="auto"/>
        <w:ind w:firstLine="480" w:firstLineChars="200"/>
        <w:rPr>
          <w:kern w:val="0"/>
          <w:sz w:val="24"/>
        </w:rPr>
      </w:pPr>
      <w:r>
        <w:rPr>
          <w:kern w:val="0"/>
          <w:sz w:val="24"/>
        </w:rPr>
        <w:t>（一）基础信息，包括单位名称、组织机构代码、法定代表人、生产地址、联系方式，以及生产经营和管理服务的主要内容、产品及规模；</w:t>
      </w:r>
    </w:p>
    <w:p>
      <w:pPr>
        <w:widowControl/>
        <w:tabs>
          <w:tab w:val="left" w:pos="3120"/>
        </w:tabs>
        <w:spacing w:line="360" w:lineRule="auto"/>
        <w:ind w:firstLine="480" w:firstLineChars="200"/>
        <w:rPr>
          <w:kern w:val="0"/>
          <w:sz w:val="24"/>
        </w:rPr>
      </w:pPr>
      <w:r>
        <w:rPr>
          <w:kern w:val="0"/>
          <w:sz w:val="24"/>
        </w:rPr>
        <w:t>（二）排污信息，包括主要污染物及特征污染物的名称、排放方式、排放口数量和分布情况、排放浓度和总量、超标情况，以及执行的污染物排放标准、核定的排放总量；</w:t>
      </w:r>
    </w:p>
    <w:p>
      <w:pPr>
        <w:widowControl/>
        <w:tabs>
          <w:tab w:val="left" w:pos="3120"/>
        </w:tabs>
        <w:spacing w:line="360" w:lineRule="auto"/>
        <w:ind w:firstLine="480" w:firstLineChars="200"/>
        <w:rPr>
          <w:kern w:val="0"/>
          <w:sz w:val="24"/>
        </w:rPr>
      </w:pPr>
      <w:r>
        <w:rPr>
          <w:kern w:val="0"/>
          <w:sz w:val="24"/>
        </w:rPr>
        <w:t>（三）防治污染设施的建设和运行情况；</w:t>
      </w:r>
    </w:p>
    <w:p>
      <w:pPr>
        <w:widowControl/>
        <w:tabs>
          <w:tab w:val="left" w:pos="3120"/>
        </w:tabs>
        <w:spacing w:line="360" w:lineRule="auto"/>
        <w:ind w:firstLine="480" w:firstLineChars="200"/>
        <w:rPr>
          <w:kern w:val="0"/>
          <w:sz w:val="24"/>
        </w:rPr>
      </w:pPr>
      <w:r>
        <w:rPr>
          <w:kern w:val="0"/>
          <w:sz w:val="24"/>
        </w:rPr>
        <w:t>（四）建设项目环境影响评价及其他环境保护行政许可情况；</w:t>
      </w:r>
    </w:p>
    <w:p>
      <w:pPr>
        <w:widowControl/>
        <w:tabs>
          <w:tab w:val="left" w:pos="3120"/>
        </w:tabs>
        <w:spacing w:line="360" w:lineRule="auto"/>
        <w:ind w:firstLine="480" w:firstLineChars="200"/>
        <w:rPr>
          <w:kern w:val="0"/>
          <w:sz w:val="24"/>
        </w:rPr>
      </w:pPr>
      <w:r>
        <w:rPr>
          <w:kern w:val="0"/>
          <w:sz w:val="24"/>
        </w:rPr>
        <w:t>（五）突发环境事件应急预案；</w:t>
      </w:r>
    </w:p>
    <w:p>
      <w:pPr>
        <w:widowControl/>
        <w:tabs>
          <w:tab w:val="left" w:pos="3120"/>
        </w:tabs>
        <w:spacing w:line="360" w:lineRule="auto"/>
        <w:ind w:firstLine="480" w:firstLineChars="200"/>
        <w:rPr>
          <w:kern w:val="0"/>
          <w:sz w:val="24"/>
        </w:rPr>
      </w:pPr>
      <w:r>
        <w:rPr>
          <w:kern w:val="0"/>
          <w:sz w:val="24"/>
        </w:rPr>
        <w:t>（六）其他应当公开的环境信息。</w:t>
      </w:r>
    </w:p>
    <w:p>
      <w:pPr>
        <w:widowControl/>
        <w:tabs>
          <w:tab w:val="left" w:pos="3120"/>
        </w:tabs>
        <w:spacing w:line="360" w:lineRule="auto"/>
        <w:ind w:firstLine="480" w:firstLineChars="200"/>
        <w:rPr>
          <w:kern w:val="0"/>
          <w:sz w:val="24"/>
        </w:rPr>
      </w:pPr>
      <w:r>
        <w:rPr>
          <w:kern w:val="0"/>
          <w:sz w:val="24"/>
        </w:rPr>
        <w:t>列入国家重点监控企业名单的重点排污单位还应当公开其环境自行监测方案。</w:t>
      </w:r>
    </w:p>
    <w:p>
      <w:pPr>
        <w:widowControl/>
        <w:tabs>
          <w:tab w:val="left" w:pos="3120"/>
        </w:tabs>
        <w:spacing w:line="360" w:lineRule="auto"/>
        <w:ind w:firstLine="480" w:firstLineChars="200"/>
        <w:rPr>
          <w:kern w:val="0"/>
          <w:sz w:val="24"/>
        </w:rPr>
      </w:pPr>
      <w:r>
        <w:rPr>
          <w:rFonts w:hint="eastAsia"/>
          <w:kern w:val="0"/>
          <w:sz w:val="24"/>
          <w:lang w:eastAsia="zh-CN"/>
        </w:rPr>
        <w:t>湖南安发原生态农业旅游开发有限公司</w:t>
      </w:r>
      <w:r>
        <w:rPr>
          <w:kern w:val="0"/>
          <w:sz w:val="24"/>
        </w:rPr>
        <w:t>按照上述要求自愿公开企业环境信息。环境信息公开途径包括：</w:t>
      </w:r>
      <w:r>
        <w:rPr>
          <w:rFonts w:hint="eastAsia" w:ascii="宋体" w:hAnsi="宋体" w:cs="宋体"/>
          <w:kern w:val="0"/>
          <w:sz w:val="24"/>
        </w:rPr>
        <w:t>①</w:t>
      </w:r>
      <w:r>
        <w:rPr>
          <w:kern w:val="0"/>
          <w:sz w:val="24"/>
        </w:rPr>
        <w:t>公告或者公开发行的信息专刊；</w:t>
      </w:r>
      <w:r>
        <w:rPr>
          <w:rFonts w:hint="eastAsia" w:ascii="宋体" w:hAnsi="宋体" w:cs="宋体"/>
          <w:kern w:val="0"/>
          <w:sz w:val="24"/>
        </w:rPr>
        <w:t>②</w:t>
      </w:r>
      <w:r>
        <w:rPr>
          <w:kern w:val="0"/>
          <w:sz w:val="24"/>
        </w:rPr>
        <w:t>广播、电视等新闻媒体；</w:t>
      </w:r>
      <w:r>
        <w:rPr>
          <w:rFonts w:hint="eastAsia" w:ascii="宋体" w:hAnsi="宋体" w:cs="宋体"/>
          <w:kern w:val="0"/>
          <w:sz w:val="24"/>
        </w:rPr>
        <w:t>③</w:t>
      </w:r>
      <w:r>
        <w:rPr>
          <w:kern w:val="0"/>
          <w:sz w:val="24"/>
        </w:rPr>
        <w:t>信息公开服务、监督热线电话；</w:t>
      </w:r>
      <w:r>
        <w:rPr>
          <w:rFonts w:hint="eastAsia" w:ascii="宋体" w:hAnsi="宋体" w:cs="宋体"/>
          <w:kern w:val="0"/>
          <w:sz w:val="24"/>
        </w:rPr>
        <w:t>④</w:t>
      </w:r>
      <w:r>
        <w:rPr>
          <w:kern w:val="0"/>
          <w:sz w:val="24"/>
        </w:rPr>
        <w:t>本单位的资料索取点、信息公开栏、信息亭、电子屏幕、电子触摸屏等场所或者设施；</w:t>
      </w:r>
      <w:r>
        <w:rPr>
          <w:rFonts w:hint="eastAsia" w:ascii="宋体" w:hAnsi="宋体" w:cs="宋体"/>
          <w:kern w:val="0"/>
          <w:sz w:val="24"/>
        </w:rPr>
        <w:t>⑤</w:t>
      </w:r>
      <w:r>
        <w:rPr>
          <w:kern w:val="0"/>
          <w:sz w:val="24"/>
        </w:rPr>
        <w:t>其他便于公众及时、准确获得信息的方式。</w:t>
      </w:r>
    </w:p>
    <w:p>
      <w:pPr>
        <w:spacing w:before="140" w:after="140"/>
        <w:outlineLvl w:val="1"/>
        <w:rPr>
          <w:b/>
          <w:bCs/>
          <w:sz w:val="30"/>
          <w:szCs w:val="30"/>
        </w:rPr>
      </w:pPr>
      <w:bookmarkStart w:id="359" w:name="_Toc123886435"/>
      <w:r>
        <w:rPr>
          <w:rFonts w:hint="eastAsia"/>
          <w:b/>
          <w:bCs/>
          <w:sz w:val="30"/>
          <w:szCs w:val="30"/>
        </w:rPr>
        <w:t>9</w:t>
      </w:r>
      <w:r>
        <w:rPr>
          <w:b/>
          <w:bCs/>
          <w:sz w:val="30"/>
          <w:szCs w:val="30"/>
        </w:rPr>
        <w:t>.</w:t>
      </w:r>
      <w:r>
        <w:rPr>
          <w:rFonts w:hint="eastAsia"/>
          <w:b/>
          <w:bCs/>
          <w:sz w:val="30"/>
          <w:szCs w:val="30"/>
        </w:rPr>
        <w:t xml:space="preserve">4 </w:t>
      </w:r>
      <w:r>
        <w:rPr>
          <w:b/>
          <w:bCs/>
          <w:sz w:val="30"/>
          <w:szCs w:val="30"/>
        </w:rPr>
        <w:t>排污口信息</w:t>
      </w:r>
      <w:bookmarkEnd w:id="359"/>
    </w:p>
    <w:p>
      <w:pPr>
        <w:pStyle w:val="7"/>
        <w:adjustRightInd w:val="0"/>
        <w:snapToGrid w:val="0"/>
        <w:spacing w:before="0" w:after="0" w:line="360" w:lineRule="auto"/>
        <w:jc w:val="left"/>
        <w:rPr>
          <w:sz w:val="24"/>
          <w:szCs w:val="24"/>
        </w:rPr>
      </w:pPr>
      <w:r>
        <w:rPr>
          <w:rFonts w:hint="eastAsia"/>
          <w:sz w:val="24"/>
          <w:szCs w:val="24"/>
        </w:rPr>
        <w:t>9</w:t>
      </w:r>
      <w:r>
        <w:rPr>
          <w:sz w:val="24"/>
          <w:szCs w:val="24"/>
        </w:rPr>
        <w:t>.</w:t>
      </w:r>
      <w:r>
        <w:rPr>
          <w:rFonts w:hint="eastAsia"/>
          <w:sz w:val="24"/>
          <w:szCs w:val="24"/>
        </w:rPr>
        <w:t>4.1 排污口规范化管理</w:t>
      </w:r>
    </w:p>
    <w:p>
      <w:pPr>
        <w:autoSpaceDE w:val="0"/>
        <w:autoSpaceDN w:val="0"/>
        <w:adjustRightInd w:val="0"/>
        <w:spacing w:line="360" w:lineRule="auto"/>
        <w:ind w:firstLine="480" w:firstLineChars="200"/>
        <w:rPr>
          <w:rFonts w:hAnsi="宋体"/>
          <w:kern w:val="0"/>
          <w:sz w:val="24"/>
        </w:rPr>
      </w:pPr>
      <w:r>
        <w:rPr>
          <w:rFonts w:hAnsi="宋体"/>
          <w:kern w:val="0"/>
          <w:sz w:val="24"/>
        </w:rPr>
        <w:t>排污口是企业污染物进入环境、污染环境的通道，强化排污口的管理是实施污染物总量控制的基础工作，也是区域环境管理逐步实现污染物排放科学化、定量化的重要手段。本工程排污口应实行规范化设置与管理，具体管理原则如下：</w:t>
      </w:r>
    </w:p>
    <w:p>
      <w:pPr>
        <w:autoSpaceDE w:val="0"/>
        <w:autoSpaceDN w:val="0"/>
        <w:adjustRightInd w:val="0"/>
        <w:spacing w:line="360" w:lineRule="auto"/>
        <w:ind w:firstLine="480" w:firstLineChars="200"/>
        <w:rPr>
          <w:rFonts w:hAnsi="宋体"/>
          <w:kern w:val="0"/>
          <w:sz w:val="24"/>
        </w:rPr>
      </w:pPr>
      <w:r>
        <w:rPr>
          <w:rFonts w:hAnsi="宋体"/>
          <w:kern w:val="0"/>
          <w:sz w:val="24"/>
        </w:rPr>
        <w:t>（1）排污口必须规范化设置，废水排放口建议设置流量计；排污口应便于采样与计量监测，便于日常监督检查，应有观测、取样、维修通道。</w:t>
      </w:r>
    </w:p>
    <w:p>
      <w:pPr>
        <w:autoSpaceDE w:val="0"/>
        <w:autoSpaceDN w:val="0"/>
        <w:adjustRightInd w:val="0"/>
        <w:spacing w:line="360" w:lineRule="auto"/>
        <w:ind w:firstLine="480" w:firstLineChars="200"/>
        <w:rPr>
          <w:rFonts w:hAnsi="宋体"/>
          <w:kern w:val="0"/>
          <w:sz w:val="24"/>
        </w:rPr>
      </w:pPr>
      <w:r>
        <w:rPr>
          <w:rFonts w:hAnsi="宋体"/>
          <w:kern w:val="0"/>
          <w:sz w:val="24"/>
        </w:rPr>
        <w:t>（2）如实向环保管理部门申报排污口数量、位置及所排放的主要污染物种类、数量、浓度、排放去向等情况。。</w:t>
      </w:r>
    </w:p>
    <w:p>
      <w:pPr>
        <w:pStyle w:val="7"/>
        <w:adjustRightInd w:val="0"/>
        <w:snapToGrid w:val="0"/>
        <w:spacing w:before="0" w:after="0" w:line="360" w:lineRule="auto"/>
        <w:jc w:val="left"/>
        <w:rPr>
          <w:sz w:val="24"/>
          <w:szCs w:val="24"/>
        </w:rPr>
      </w:pPr>
      <w:r>
        <w:rPr>
          <w:rFonts w:hint="eastAsia"/>
          <w:sz w:val="24"/>
          <w:szCs w:val="24"/>
        </w:rPr>
        <w:t>9</w:t>
      </w:r>
      <w:r>
        <w:rPr>
          <w:sz w:val="24"/>
          <w:szCs w:val="24"/>
        </w:rPr>
        <w:t>.</w:t>
      </w:r>
      <w:r>
        <w:rPr>
          <w:rFonts w:hint="eastAsia"/>
          <w:sz w:val="24"/>
          <w:szCs w:val="24"/>
        </w:rPr>
        <w:t xml:space="preserve">4.2 </w:t>
      </w:r>
      <w:r>
        <w:rPr>
          <w:sz w:val="24"/>
          <w:szCs w:val="24"/>
        </w:rPr>
        <w:t>项目排污口信息</w:t>
      </w:r>
    </w:p>
    <w:p>
      <w:pPr>
        <w:autoSpaceDE w:val="0"/>
        <w:autoSpaceDN w:val="0"/>
        <w:adjustRightInd w:val="0"/>
        <w:spacing w:line="360" w:lineRule="auto"/>
        <w:ind w:firstLine="482" w:firstLineChars="200"/>
        <w:rPr>
          <w:b/>
          <w:kern w:val="0"/>
          <w:sz w:val="24"/>
        </w:rPr>
      </w:pPr>
      <w:r>
        <w:rPr>
          <w:b/>
          <w:kern w:val="0"/>
          <w:sz w:val="24"/>
        </w:rPr>
        <w:t>1、污（废）水排放口</w:t>
      </w:r>
    </w:p>
    <w:p>
      <w:pPr>
        <w:autoSpaceDE w:val="0"/>
        <w:autoSpaceDN w:val="0"/>
        <w:adjustRightInd w:val="0"/>
        <w:spacing w:line="360" w:lineRule="auto"/>
        <w:ind w:firstLine="480" w:firstLineChars="200"/>
        <w:rPr>
          <w:kern w:val="0"/>
          <w:sz w:val="24"/>
        </w:rPr>
      </w:pPr>
      <w:r>
        <w:rPr>
          <w:rFonts w:hint="eastAsia"/>
          <w:kern w:val="0"/>
          <w:sz w:val="24"/>
        </w:rPr>
        <w:t>本项目排水系统应按“雨污分流”原则设计，本项目设置雨水排放口，不设置污水排放口</w:t>
      </w:r>
      <w:r>
        <w:rPr>
          <w:kern w:val="0"/>
          <w:sz w:val="24"/>
        </w:rPr>
        <w:t>。</w:t>
      </w:r>
    </w:p>
    <w:p>
      <w:pPr>
        <w:autoSpaceDE w:val="0"/>
        <w:autoSpaceDN w:val="0"/>
        <w:adjustRightInd w:val="0"/>
        <w:spacing w:line="360" w:lineRule="auto"/>
        <w:ind w:firstLine="482" w:firstLineChars="200"/>
        <w:rPr>
          <w:b/>
          <w:kern w:val="0"/>
          <w:sz w:val="24"/>
        </w:rPr>
      </w:pPr>
      <w:r>
        <w:rPr>
          <w:rFonts w:hint="eastAsia"/>
          <w:b/>
          <w:kern w:val="0"/>
          <w:sz w:val="24"/>
        </w:rPr>
        <w:t>2、</w:t>
      </w:r>
      <w:r>
        <w:rPr>
          <w:b/>
          <w:kern w:val="0"/>
          <w:sz w:val="24"/>
        </w:rPr>
        <w:t>废气排放口</w:t>
      </w:r>
    </w:p>
    <w:p>
      <w:pPr>
        <w:autoSpaceDE w:val="0"/>
        <w:autoSpaceDN w:val="0"/>
        <w:adjustRightInd w:val="0"/>
        <w:spacing w:line="360" w:lineRule="auto"/>
        <w:ind w:firstLine="480" w:firstLineChars="200"/>
        <w:rPr>
          <w:kern w:val="0"/>
          <w:sz w:val="24"/>
        </w:rPr>
      </w:pPr>
      <w:r>
        <w:rPr>
          <w:rFonts w:hint="eastAsia"/>
          <w:kern w:val="0"/>
          <w:sz w:val="24"/>
        </w:rPr>
        <w:t>本项目</w:t>
      </w:r>
      <w:r>
        <w:rPr>
          <w:rFonts w:hint="eastAsia"/>
          <w:kern w:val="0"/>
          <w:sz w:val="24"/>
          <w:lang w:val="en-US" w:eastAsia="zh-CN"/>
        </w:rPr>
        <w:t>不设置废气排放口</w:t>
      </w:r>
      <w:r>
        <w:rPr>
          <w:kern w:val="0"/>
          <w:sz w:val="24"/>
        </w:rPr>
        <w:t>。</w:t>
      </w:r>
    </w:p>
    <w:p>
      <w:pPr>
        <w:autoSpaceDE w:val="0"/>
        <w:autoSpaceDN w:val="0"/>
        <w:adjustRightInd w:val="0"/>
        <w:spacing w:line="360" w:lineRule="auto"/>
        <w:ind w:firstLine="482" w:firstLineChars="200"/>
        <w:rPr>
          <w:b/>
          <w:kern w:val="0"/>
          <w:sz w:val="24"/>
        </w:rPr>
      </w:pPr>
      <w:r>
        <w:rPr>
          <w:rFonts w:hint="eastAsia"/>
          <w:b/>
          <w:kern w:val="0"/>
          <w:sz w:val="24"/>
        </w:rPr>
        <w:t>3、固体废物贮存（处置）场所</w:t>
      </w:r>
    </w:p>
    <w:p>
      <w:pPr>
        <w:autoSpaceDE w:val="0"/>
        <w:autoSpaceDN w:val="0"/>
        <w:adjustRightInd w:val="0"/>
        <w:spacing w:line="360" w:lineRule="auto"/>
        <w:ind w:firstLine="480" w:firstLineChars="200"/>
        <w:rPr>
          <w:kern w:val="0"/>
          <w:sz w:val="24"/>
        </w:rPr>
      </w:pPr>
      <w:r>
        <w:rPr>
          <w:rFonts w:hint="eastAsia"/>
          <w:kern w:val="0"/>
          <w:sz w:val="24"/>
        </w:rPr>
        <w:t>①固体废物贮存场所要防扬散、防流失、防渗漏、防雨、防洪水。</w:t>
      </w:r>
    </w:p>
    <w:p>
      <w:pPr>
        <w:autoSpaceDE w:val="0"/>
        <w:autoSpaceDN w:val="0"/>
        <w:adjustRightInd w:val="0"/>
        <w:spacing w:line="360" w:lineRule="auto"/>
        <w:ind w:firstLine="480" w:firstLineChars="200"/>
        <w:rPr>
          <w:kern w:val="0"/>
          <w:sz w:val="24"/>
        </w:rPr>
      </w:pPr>
      <w:r>
        <w:rPr>
          <w:rFonts w:hint="eastAsia"/>
          <w:kern w:val="0"/>
          <w:sz w:val="24"/>
        </w:rPr>
        <w:t>②一般固体贮废物存场所在醒目处设置一个标志牌。</w:t>
      </w:r>
    </w:p>
    <w:p>
      <w:pPr>
        <w:autoSpaceDE w:val="0"/>
        <w:autoSpaceDN w:val="0"/>
        <w:adjustRightInd w:val="0"/>
        <w:spacing w:line="360" w:lineRule="auto"/>
        <w:ind w:firstLine="480" w:firstLineChars="200"/>
        <w:rPr>
          <w:kern w:val="0"/>
          <w:sz w:val="24"/>
        </w:rPr>
      </w:pPr>
      <w:r>
        <w:rPr>
          <w:rFonts w:hint="eastAsia"/>
          <w:kern w:val="0"/>
          <w:sz w:val="24"/>
        </w:rPr>
        <w:t>③危险废物贮存场所的边界采用墙体封闭，并在边界各进出路口设置明显标志牌。</w:t>
      </w:r>
    </w:p>
    <w:p>
      <w:pPr>
        <w:autoSpaceDE w:val="0"/>
        <w:autoSpaceDN w:val="0"/>
        <w:adjustRightInd w:val="0"/>
        <w:spacing w:line="360" w:lineRule="auto"/>
        <w:ind w:firstLine="480" w:firstLineChars="200"/>
        <w:rPr>
          <w:kern w:val="0"/>
          <w:sz w:val="24"/>
        </w:rPr>
      </w:pPr>
      <w:r>
        <w:rPr>
          <w:rFonts w:hint="eastAsia"/>
          <w:kern w:val="0"/>
          <w:sz w:val="24"/>
        </w:rPr>
        <w:t>④固体废物贮存场所在醒目处设置标志牌。固废环境保护图形标志牌按照《环境保护图形标志》（GB15562.1-1995，GB15562.2-1995）</w:t>
      </w:r>
      <w:r>
        <w:rPr>
          <w:rFonts w:hint="eastAsia"/>
          <w:kern w:val="0"/>
          <w:sz w:val="24"/>
          <w:lang w:eastAsia="zh-CN"/>
        </w:rPr>
        <w:t>、《危险废物识别标志设置技术规范（HJ 1276—2022）》</w:t>
      </w:r>
      <w:r>
        <w:rPr>
          <w:rFonts w:hint="eastAsia"/>
          <w:kern w:val="0"/>
          <w:sz w:val="24"/>
        </w:rPr>
        <w:t>规定制作</w:t>
      </w:r>
      <w:r>
        <w:rPr>
          <w:kern w:val="0"/>
          <w:sz w:val="24"/>
        </w:rPr>
        <w:t>。</w:t>
      </w:r>
    </w:p>
    <w:p>
      <w:pPr>
        <w:autoSpaceDE w:val="0"/>
        <w:autoSpaceDN w:val="0"/>
        <w:adjustRightInd w:val="0"/>
        <w:spacing w:line="360" w:lineRule="auto"/>
        <w:ind w:firstLine="482" w:firstLineChars="200"/>
        <w:rPr>
          <w:b/>
          <w:kern w:val="0"/>
          <w:sz w:val="24"/>
        </w:rPr>
      </w:pPr>
      <w:r>
        <w:rPr>
          <w:rFonts w:hint="eastAsia" w:ascii="宋体" w:hAnsi="宋体" w:cs="宋体"/>
          <w:b/>
          <w:kern w:val="0"/>
          <w:sz w:val="24"/>
        </w:rPr>
        <w:t>4、</w:t>
      </w:r>
      <w:r>
        <w:rPr>
          <w:rFonts w:hint="eastAsia"/>
          <w:b/>
          <w:kern w:val="0"/>
          <w:sz w:val="24"/>
        </w:rPr>
        <w:t>固定噪声源扰民处</w:t>
      </w:r>
    </w:p>
    <w:p>
      <w:pPr>
        <w:autoSpaceDE w:val="0"/>
        <w:autoSpaceDN w:val="0"/>
        <w:adjustRightInd w:val="0"/>
        <w:spacing w:line="360" w:lineRule="auto"/>
        <w:ind w:firstLine="480" w:firstLineChars="200"/>
        <w:rPr>
          <w:kern w:val="0"/>
          <w:sz w:val="24"/>
        </w:rPr>
      </w:pPr>
      <w:r>
        <w:rPr>
          <w:rFonts w:hint="eastAsia"/>
          <w:kern w:val="0"/>
          <w:sz w:val="24"/>
        </w:rPr>
        <w:t>在固定噪声污染源附近醒目处设置环境保护图形标志</w:t>
      </w:r>
      <w:r>
        <w:rPr>
          <w:kern w:val="0"/>
          <w:sz w:val="24"/>
        </w:rPr>
        <w:t>。</w:t>
      </w:r>
    </w:p>
    <w:p>
      <w:pPr>
        <w:pStyle w:val="7"/>
        <w:adjustRightInd w:val="0"/>
        <w:snapToGrid w:val="0"/>
        <w:spacing w:before="0" w:after="0" w:line="360" w:lineRule="auto"/>
        <w:jc w:val="left"/>
        <w:rPr>
          <w:sz w:val="24"/>
          <w:szCs w:val="24"/>
        </w:rPr>
      </w:pPr>
      <w:r>
        <w:rPr>
          <w:rFonts w:hint="eastAsia"/>
          <w:sz w:val="24"/>
          <w:szCs w:val="24"/>
        </w:rPr>
        <w:t>9</w:t>
      </w:r>
      <w:r>
        <w:rPr>
          <w:sz w:val="24"/>
          <w:szCs w:val="24"/>
        </w:rPr>
        <w:t>.</w:t>
      </w:r>
      <w:r>
        <w:rPr>
          <w:rFonts w:hint="eastAsia"/>
          <w:sz w:val="24"/>
          <w:szCs w:val="24"/>
        </w:rPr>
        <w:t xml:space="preserve">4.3 </w:t>
      </w:r>
      <w:r>
        <w:rPr>
          <w:sz w:val="24"/>
          <w:szCs w:val="24"/>
        </w:rPr>
        <w:t>项目排污口建设要求</w:t>
      </w:r>
    </w:p>
    <w:p>
      <w:pPr>
        <w:autoSpaceDE w:val="0"/>
        <w:autoSpaceDN w:val="0"/>
        <w:adjustRightInd w:val="0"/>
        <w:spacing w:line="360" w:lineRule="auto"/>
        <w:ind w:firstLine="480" w:firstLineChars="200"/>
        <w:rPr>
          <w:kern w:val="0"/>
          <w:sz w:val="24"/>
        </w:rPr>
      </w:pPr>
      <w:r>
        <w:rPr>
          <w:kern w:val="0"/>
          <w:sz w:val="24"/>
        </w:rPr>
        <w:t>工程建设应根据国家《环境保护图形标志》（GB15562.1~2-95）的规定，针对各污染物排放口及噪声排放源分别设置国家环保局统一制作的环境保护图形标志牌，排放口图形标志牌见图</w:t>
      </w:r>
      <w:r>
        <w:rPr>
          <w:rFonts w:hint="eastAsia"/>
          <w:kern w:val="0"/>
          <w:sz w:val="24"/>
        </w:rPr>
        <w:t>9.4</w:t>
      </w:r>
      <w:r>
        <w:rPr>
          <w:kern w:val="0"/>
          <w:sz w:val="24"/>
        </w:rPr>
        <w:t>-1。</w:t>
      </w:r>
      <w:r>
        <w:rPr>
          <w:rFonts w:hint="eastAsia"/>
          <w:kern w:val="0"/>
          <w:sz w:val="24"/>
        </w:rPr>
        <w:t>。</w:t>
      </w:r>
    </w:p>
    <w:p>
      <w:pPr>
        <w:pStyle w:val="17"/>
        <w:spacing w:beforeLines="50"/>
        <w:rPr>
          <w:rFonts w:ascii="Times New Roman" w:hAnsi="Times New Roman" w:cs="Times New Roman"/>
          <w:color w:val="auto"/>
          <w:sz w:val="21"/>
        </w:rPr>
      </w:pPr>
      <w:r>
        <w:rPr>
          <w:rFonts w:ascii="Times New Roman" w:hAnsi="Times New Roman" w:cs="Times New Roman"/>
          <w:color w:val="auto"/>
          <w:sz w:val="21"/>
        </w:rPr>
        <w:t>表</w:t>
      </w:r>
      <w:r>
        <w:rPr>
          <w:rFonts w:hint="eastAsia" w:ascii="Times New Roman" w:hAnsi="Times New Roman" w:cs="Times New Roman"/>
          <w:color w:val="auto"/>
          <w:sz w:val="21"/>
        </w:rPr>
        <w:t>9</w:t>
      </w:r>
      <w:r>
        <w:rPr>
          <w:rFonts w:ascii="Times New Roman" w:hAnsi="Times New Roman" w:cs="Times New Roman"/>
          <w:color w:val="auto"/>
          <w:sz w:val="21"/>
        </w:rPr>
        <w:t>.</w:t>
      </w:r>
      <w:r>
        <w:rPr>
          <w:rFonts w:hint="eastAsia" w:ascii="Times New Roman" w:hAnsi="Times New Roman" w:cs="Times New Roman"/>
          <w:color w:val="auto"/>
          <w:sz w:val="21"/>
        </w:rPr>
        <w:t xml:space="preserve">4-1  </w:t>
      </w:r>
      <w:r>
        <w:rPr>
          <w:rFonts w:ascii="Times New Roman" w:hAnsi="Times New Roman" w:cs="Times New Roman"/>
          <w:color w:val="auto"/>
          <w:sz w:val="21"/>
        </w:rPr>
        <w:t>各排污口（源、场）提示标志牌示意图</w:t>
      </w:r>
    </w:p>
    <w:tbl>
      <w:tblPr>
        <w:tblStyle w:val="4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1591"/>
        <w:gridCol w:w="1758"/>
        <w:gridCol w:w="1511"/>
        <w:gridCol w:w="30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0"/>
            <w:vAlign w:val="center"/>
          </w:tcPr>
          <w:p>
            <w:pPr>
              <w:pStyle w:val="288"/>
              <w:rPr>
                <w:b/>
                <w:color w:val="auto"/>
                <w:u w:val="none"/>
              </w:rPr>
            </w:pPr>
            <w:r>
              <w:rPr>
                <w:rFonts w:hint="eastAsia" w:ascii="宋体" w:hAnsi="宋体" w:eastAsia="宋体" w:cs="宋体"/>
                <w:b/>
                <w:color w:val="auto"/>
                <w:u w:val="none"/>
              </w:rPr>
              <w:t>序号</w:t>
            </w:r>
          </w:p>
        </w:tc>
        <w:tc>
          <w:tcPr>
            <w:tcW w:w="933" w:type="pct"/>
            <w:noWrap w:val="0"/>
            <w:vAlign w:val="center"/>
          </w:tcPr>
          <w:p>
            <w:pPr>
              <w:pStyle w:val="288"/>
              <w:rPr>
                <w:b/>
                <w:color w:val="auto"/>
                <w:u w:val="none"/>
              </w:rPr>
            </w:pPr>
            <w:r>
              <w:rPr>
                <w:rFonts w:hint="eastAsia" w:ascii="宋体" w:hAnsi="宋体" w:eastAsia="宋体" w:cs="宋体"/>
                <w:b/>
                <w:color w:val="auto"/>
                <w:u w:val="none"/>
              </w:rPr>
              <w:t>提示图形符号</w:t>
            </w:r>
          </w:p>
        </w:tc>
        <w:tc>
          <w:tcPr>
            <w:tcW w:w="1031" w:type="pct"/>
            <w:noWrap w:val="0"/>
            <w:vAlign w:val="center"/>
          </w:tcPr>
          <w:p>
            <w:pPr>
              <w:pStyle w:val="288"/>
              <w:rPr>
                <w:b/>
                <w:color w:val="auto"/>
                <w:u w:val="none"/>
              </w:rPr>
            </w:pPr>
            <w:r>
              <w:rPr>
                <w:rFonts w:hint="eastAsia" w:ascii="宋体" w:hAnsi="宋体" w:eastAsia="宋体" w:cs="宋体"/>
                <w:b/>
                <w:color w:val="auto"/>
                <w:u w:val="none"/>
              </w:rPr>
              <w:t>警告图形符号</w:t>
            </w:r>
          </w:p>
        </w:tc>
        <w:tc>
          <w:tcPr>
            <w:tcW w:w="886" w:type="pct"/>
            <w:noWrap w:val="0"/>
            <w:vAlign w:val="center"/>
          </w:tcPr>
          <w:p>
            <w:pPr>
              <w:pStyle w:val="288"/>
              <w:rPr>
                <w:b/>
                <w:color w:val="auto"/>
                <w:u w:val="none"/>
              </w:rPr>
            </w:pPr>
            <w:r>
              <w:rPr>
                <w:rFonts w:hint="eastAsia" w:ascii="宋体" w:hAnsi="宋体" w:eastAsia="宋体" w:cs="宋体"/>
                <w:b/>
                <w:color w:val="auto"/>
                <w:u w:val="none"/>
              </w:rPr>
              <w:t>名称</w:t>
            </w:r>
          </w:p>
        </w:tc>
        <w:tc>
          <w:tcPr>
            <w:tcW w:w="1767" w:type="pct"/>
            <w:noWrap w:val="0"/>
            <w:vAlign w:val="center"/>
          </w:tcPr>
          <w:p>
            <w:pPr>
              <w:pStyle w:val="288"/>
              <w:rPr>
                <w:b/>
                <w:color w:val="auto"/>
                <w:u w:val="none"/>
              </w:rPr>
            </w:pPr>
            <w:r>
              <w:rPr>
                <w:rFonts w:hint="eastAsia" w:ascii="宋体" w:hAnsi="宋体" w:eastAsia="宋体" w:cs="宋体"/>
                <w:b/>
                <w:color w:val="auto"/>
                <w:u w:val="none"/>
              </w:rPr>
              <w:t>功能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0"/>
            <w:vAlign w:val="center"/>
          </w:tcPr>
          <w:p>
            <w:pPr>
              <w:pStyle w:val="288"/>
              <w:rPr>
                <w:color w:val="auto"/>
                <w:u w:val="none"/>
              </w:rPr>
            </w:pPr>
            <w:r>
              <w:rPr>
                <w:color w:val="auto"/>
                <w:u w:val="none"/>
              </w:rPr>
              <w:t>1</w:t>
            </w:r>
          </w:p>
        </w:tc>
        <w:tc>
          <w:tcPr>
            <w:tcW w:w="933" w:type="pct"/>
            <w:noWrap w:val="0"/>
            <w:vAlign w:val="center"/>
          </w:tcPr>
          <w:p>
            <w:pPr>
              <w:pStyle w:val="288"/>
              <w:rPr>
                <w:color w:val="auto"/>
                <w:u w:val="none"/>
              </w:rPr>
            </w:pPr>
            <w:r>
              <w:rPr>
                <w:color w:val="auto"/>
                <w:u w:val="none"/>
              </w:rPr>
              <w:drawing>
                <wp:inline distT="0" distB="0" distL="114300" distR="114300">
                  <wp:extent cx="647700" cy="657225"/>
                  <wp:effectExtent l="0" t="0" r="0" b="3175"/>
                  <wp:docPr id="5" name="图片 8" descr="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13001"/>
                          <pic:cNvPicPr>
                            <a:picLocks noChangeAspect="1"/>
                          </pic:cNvPicPr>
                        </pic:nvPicPr>
                        <pic:blipFill>
                          <a:blip r:embed="rId42"/>
                          <a:stretch>
                            <a:fillRect/>
                          </a:stretch>
                        </pic:blipFill>
                        <pic:spPr>
                          <a:xfrm>
                            <a:off x="0" y="0"/>
                            <a:ext cx="647700" cy="657225"/>
                          </a:xfrm>
                          <a:prstGeom prst="rect">
                            <a:avLst/>
                          </a:prstGeom>
                          <a:noFill/>
                          <a:ln>
                            <a:noFill/>
                          </a:ln>
                        </pic:spPr>
                      </pic:pic>
                    </a:graphicData>
                  </a:graphic>
                </wp:inline>
              </w:drawing>
            </w:r>
          </w:p>
        </w:tc>
        <w:tc>
          <w:tcPr>
            <w:tcW w:w="1031" w:type="pct"/>
            <w:noWrap w:val="0"/>
            <w:vAlign w:val="center"/>
          </w:tcPr>
          <w:p>
            <w:pPr>
              <w:pStyle w:val="288"/>
              <w:rPr>
                <w:color w:val="auto"/>
                <w:u w:val="none"/>
              </w:rPr>
            </w:pPr>
            <w:r>
              <w:rPr>
                <w:color w:val="auto"/>
                <w:u w:val="none"/>
              </w:rPr>
              <w:drawing>
                <wp:inline distT="0" distB="0" distL="114300" distR="114300">
                  <wp:extent cx="648970" cy="651510"/>
                  <wp:effectExtent l="0" t="0" r="11430" b="8890"/>
                  <wp:docPr id="6" name="图片 9" descr="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descr="13002"/>
                          <pic:cNvPicPr>
                            <a:picLocks noChangeAspect="1"/>
                          </pic:cNvPicPr>
                        </pic:nvPicPr>
                        <pic:blipFill>
                          <a:blip r:embed="rId43"/>
                          <a:stretch>
                            <a:fillRect/>
                          </a:stretch>
                        </pic:blipFill>
                        <pic:spPr>
                          <a:xfrm>
                            <a:off x="0" y="0"/>
                            <a:ext cx="648970" cy="651510"/>
                          </a:xfrm>
                          <a:prstGeom prst="rect">
                            <a:avLst/>
                          </a:prstGeom>
                          <a:noFill/>
                          <a:ln>
                            <a:noFill/>
                          </a:ln>
                        </pic:spPr>
                      </pic:pic>
                    </a:graphicData>
                  </a:graphic>
                </wp:inline>
              </w:drawing>
            </w:r>
          </w:p>
        </w:tc>
        <w:tc>
          <w:tcPr>
            <w:tcW w:w="886" w:type="pct"/>
            <w:noWrap w:val="0"/>
            <w:vAlign w:val="center"/>
          </w:tcPr>
          <w:p>
            <w:pPr>
              <w:pStyle w:val="288"/>
              <w:rPr>
                <w:color w:val="auto"/>
                <w:u w:val="none"/>
              </w:rPr>
            </w:pPr>
            <w:r>
              <w:rPr>
                <w:rFonts w:hint="eastAsia" w:ascii="宋体" w:hAnsi="宋体" w:eastAsia="宋体" w:cs="宋体"/>
                <w:color w:val="auto"/>
                <w:u w:val="none"/>
              </w:rPr>
              <w:t>废水排放口</w:t>
            </w:r>
          </w:p>
        </w:tc>
        <w:tc>
          <w:tcPr>
            <w:tcW w:w="1767" w:type="pct"/>
            <w:noWrap w:val="0"/>
            <w:vAlign w:val="center"/>
          </w:tcPr>
          <w:p>
            <w:pPr>
              <w:pStyle w:val="288"/>
              <w:rPr>
                <w:color w:val="auto"/>
                <w:u w:val="none"/>
              </w:rPr>
            </w:pPr>
            <w:r>
              <w:rPr>
                <w:rFonts w:hint="eastAsia" w:ascii="宋体" w:hAnsi="宋体" w:eastAsia="宋体" w:cs="宋体"/>
                <w:color w:val="auto"/>
                <w:u w:val="none"/>
              </w:rPr>
              <w:t>表示废水向水环境排放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0"/>
            <w:vAlign w:val="center"/>
          </w:tcPr>
          <w:p>
            <w:pPr>
              <w:pStyle w:val="288"/>
              <w:rPr>
                <w:color w:val="auto"/>
                <w:u w:val="none"/>
              </w:rPr>
            </w:pPr>
            <w:r>
              <w:rPr>
                <w:color w:val="auto"/>
                <w:u w:val="none"/>
              </w:rPr>
              <w:t>2</w:t>
            </w:r>
          </w:p>
        </w:tc>
        <w:tc>
          <w:tcPr>
            <w:tcW w:w="933" w:type="pct"/>
            <w:noWrap w:val="0"/>
            <w:vAlign w:val="center"/>
          </w:tcPr>
          <w:p>
            <w:pPr>
              <w:pStyle w:val="288"/>
              <w:rPr>
                <w:color w:val="auto"/>
                <w:u w:val="none"/>
              </w:rPr>
            </w:pPr>
            <w:r>
              <w:rPr>
                <w:color w:val="auto"/>
                <w:u w:val="none"/>
              </w:rPr>
              <w:drawing>
                <wp:inline distT="0" distB="0" distL="114300" distR="114300">
                  <wp:extent cx="624205" cy="628650"/>
                  <wp:effectExtent l="0" t="0" r="10795" b="6350"/>
                  <wp:docPr id="10" name="图片 10" descr="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3003"/>
                          <pic:cNvPicPr>
                            <a:picLocks noChangeAspect="1"/>
                          </pic:cNvPicPr>
                        </pic:nvPicPr>
                        <pic:blipFill>
                          <a:blip r:embed="rId44"/>
                          <a:stretch>
                            <a:fillRect/>
                          </a:stretch>
                        </pic:blipFill>
                        <pic:spPr>
                          <a:xfrm>
                            <a:off x="0" y="0"/>
                            <a:ext cx="624205" cy="628650"/>
                          </a:xfrm>
                          <a:prstGeom prst="rect">
                            <a:avLst/>
                          </a:prstGeom>
                          <a:noFill/>
                          <a:ln>
                            <a:noFill/>
                          </a:ln>
                        </pic:spPr>
                      </pic:pic>
                    </a:graphicData>
                  </a:graphic>
                </wp:inline>
              </w:drawing>
            </w:r>
          </w:p>
        </w:tc>
        <w:tc>
          <w:tcPr>
            <w:tcW w:w="1031" w:type="pct"/>
            <w:noWrap w:val="0"/>
            <w:vAlign w:val="center"/>
          </w:tcPr>
          <w:p>
            <w:pPr>
              <w:pStyle w:val="288"/>
              <w:rPr>
                <w:color w:val="auto"/>
                <w:u w:val="none"/>
              </w:rPr>
            </w:pPr>
            <w:r>
              <w:rPr>
                <w:color w:val="auto"/>
                <w:u w:val="none"/>
              </w:rPr>
              <w:drawing>
                <wp:inline distT="0" distB="0" distL="114300" distR="114300">
                  <wp:extent cx="687070" cy="685800"/>
                  <wp:effectExtent l="0" t="0" r="11430" b="0"/>
                  <wp:docPr id="20"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4"/>
                          <pic:cNvPicPr>
                            <a:picLocks noChangeAspect="1"/>
                          </pic:cNvPicPr>
                        </pic:nvPicPr>
                        <pic:blipFill>
                          <a:blip r:embed="rId45"/>
                          <a:stretch>
                            <a:fillRect/>
                          </a:stretch>
                        </pic:blipFill>
                        <pic:spPr>
                          <a:xfrm>
                            <a:off x="0" y="0"/>
                            <a:ext cx="687070" cy="685800"/>
                          </a:xfrm>
                          <a:prstGeom prst="rect">
                            <a:avLst/>
                          </a:prstGeom>
                          <a:noFill/>
                          <a:ln>
                            <a:noFill/>
                          </a:ln>
                        </pic:spPr>
                      </pic:pic>
                    </a:graphicData>
                  </a:graphic>
                </wp:inline>
              </w:drawing>
            </w:r>
          </w:p>
        </w:tc>
        <w:tc>
          <w:tcPr>
            <w:tcW w:w="886" w:type="pct"/>
            <w:noWrap w:val="0"/>
            <w:vAlign w:val="center"/>
          </w:tcPr>
          <w:p>
            <w:pPr>
              <w:pStyle w:val="288"/>
              <w:rPr>
                <w:color w:val="auto"/>
                <w:u w:val="none"/>
              </w:rPr>
            </w:pPr>
            <w:r>
              <w:rPr>
                <w:rFonts w:hint="eastAsia" w:ascii="宋体" w:hAnsi="宋体" w:eastAsia="宋体" w:cs="宋体"/>
                <w:color w:val="auto"/>
                <w:u w:val="none"/>
              </w:rPr>
              <w:t>废气排放口</w:t>
            </w:r>
          </w:p>
        </w:tc>
        <w:tc>
          <w:tcPr>
            <w:tcW w:w="1767" w:type="pct"/>
            <w:noWrap w:val="0"/>
            <w:vAlign w:val="center"/>
          </w:tcPr>
          <w:p>
            <w:pPr>
              <w:pStyle w:val="288"/>
              <w:rPr>
                <w:color w:val="auto"/>
                <w:u w:val="none"/>
              </w:rPr>
            </w:pPr>
            <w:r>
              <w:rPr>
                <w:rFonts w:hint="eastAsia" w:ascii="宋体" w:hAnsi="宋体" w:eastAsia="宋体" w:cs="宋体"/>
                <w:color w:val="auto"/>
                <w:u w:val="none"/>
              </w:rPr>
              <w:t>表示废气向大气环境排放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0"/>
            <w:vAlign w:val="center"/>
          </w:tcPr>
          <w:p>
            <w:pPr>
              <w:pStyle w:val="288"/>
              <w:rPr>
                <w:color w:val="auto"/>
                <w:u w:val="none"/>
              </w:rPr>
            </w:pPr>
            <w:r>
              <w:rPr>
                <w:color w:val="auto"/>
                <w:u w:val="none"/>
              </w:rPr>
              <w:t>3</w:t>
            </w:r>
          </w:p>
        </w:tc>
        <w:tc>
          <w:tcPr>
            <w:tcW w:w="933" w:type="pct"/>
            <w:noWrap w:val="0"/>
            <w:vAlign w:val="center"/>
          </w:tcPr>
          <w:p>
            <w:pPr>
              <w:pStyle w:val="288"/>
              <w:rPr>
                <w:color w:val="auto"/>
                <w:u w:val="none"/>
              </w:rPr>
            </w:pPr>
            <w:r>
              <w:rPr>
                <w:color w:val="auto"/>
                <w:u w:val="none"/>
              </w:rPr>
              <w:drawing>
                <wp:inline distT="0" distB="0" distL="114300" distR="114300">
                  <wp:extent cx="657225" cy="666115"/>
                  <wp:effectExtent l="0" t="0" r="3175" b="6985"/>
                  <wp:docPr id="8" name="图片 12"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14001"/>
                          <pic:cNvPicPr>
                            <a:picLocks noChangeAspect="1"/>
                          </pic:cNvPicPr>
                        </pic:nvPicPr>
                        <pic:blipFill>
                          <a:blip r:embed="rId46"/>
                          <a:stretch>
                            <a:fillRect/>
                          </a:stretch>
                        </pic:blipFill>
                        <pic:spPr>
                          <a:xfrm>
                            <a:off x="0" y="0"/>
                            <a:ext cx="657225" cy="666115"/>
                          </a:xfrm>
                          <a:prstGeom prst="rect">
                            <a:avLst/>
                          </a:prstGeom>
                          <a:noFill/>
                          <a:ln>
                            <a:noFill/>
                          </a:ln>
                        </pic:spPr>
                      </pic:pic>
                    </a:graphicData>
                  </a:graphic>
                </wp:inline>
              </w:drawing>
            </w:r>
          </w:p>
        </w:tc>
        <w:tc>
          <w:tcPr>
            <w:tcW w:w="1031" w:type="pct"/>
            <w:noWrap w:val="0"/>
            <w:vAlign w:val="center"/>
          </w:tcPr>
          <w:p>
            <w:pPr>
              <w:pStyle w:val="288"/>
              <w:rPr>
                <w:color w:val="auto"/>
                <w:u w:val="none"/>
              </w:rPr>
            </w:pPr>
            <w:r>
              <w:rPr>
                <w:color w:val="auto"/>
                <w:u w:val="none"/>
              </w:rPr>
              <w:drawing>
                <wp:inline distT="0" distB="0" distL="114300" distR="114300">
                  <wp:extent cx="723265" cy="681355"/>
                  <wp:effectExtent l="0" t="0" r="635" b="4445"/>
                  <wp:docPr id="21" name="图片 13" descr="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14002"/>
                          <pic:cNvPicPr>
                            <a:picLocks noChangeAspect="1"/>
                          </pic:cNvPicPr>
                        </pic:nvPicPr>
                        <pic:blipFill>
                          <a:blip r:embed="rId47"/>
                          <a:stretch>
                            <a:fillRect/>
                          </a:stretch>
                        </pic:blipFill>
                        <pic:spPr>
                          <a:xfrm>
                            <a:off x="0" y="0"/>
                            <a:ext cx="723265" cy="681355"/>
                          </a:xfrm>
                          <a:prstGeom prst="rect">
                            <a:avLst/>
                          </a:prstGeom>
                          <a:noFill/>
                          <a:ln>
                            <a:noFill/>
                          </a:ln>
                        </pic:spPr>
                      </pic:pic>
                    </a:graphicData>
                  </a:graphic>
                </wp:inline>
              </w:drawing>
            </w:r>
          </w:p>
        </w:tc>
        <w:tc>
          <w:tcPr>
            <w:tcW w:w="886" w:type="pct"/>
            <w:noWrap w:val="0"/>
            <w:vAlign w:val="center"/>
          </w:tcPr>
          <w:p>
            <w:pPr>
              <w:pStyle w:val="288"/>
              <w:rPr>
                <w:color w:val="auto"/>
                <w:u w:val="none"/>
              </w:rPr>
            </w:pPr>
            <w:r>
              <w:rPr>
                <w:rFonts w:hint="eastAsia" w:ascii="宋体" w:hAnsi="宋体" w:eastAsia="宋体" w:cs="宋体"/>
                <w:color w:val="auto"/>
                <w:u w:val="none"/>
              </w:rPr>
              <w:t>一般固体废物</w:t>
            </w:r>
          </w:p>
        </w:tc>
        <w:tc>
          <w:tcPr>
            <w:tcW w:w="1767" w:type="pct"/>
            <w:noWrap w:val="0"/>
            <w:vAlign w:val="center"/>
          </w:tcPr>
          <w:p>
            <w:pPr>
              <w:pStyle w:val="288"/>
              <w:rPr>
                <w:color w:val="auto"/>
                <w:u w:val="none"/>
              </w:rPr>
            </w:pPr>
            <w:r>
              <w:rPr>
                <w:rFonts w:hint="eastAsia" w:ascii="宋体" w:hAnsi="宋体" w:eastAsia="宋体" w:cs="宋体"/>
                <w:color w:val="auto"/>
                <w:u w:val="none"/>
              </w:rPr>
              <w:t>表示一般固体废物贮存、处置场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0"/>
            <w:vAlign w:val="center"/>
          </w:tcPr>
          <w:p>
            <w:pPr>
              <w:pStyle w:val="288"/>
              <w:rPr>
                <w:color w:val="auto"/>
                <w:u w:val="none"/>
              </w:rPr>
            </w:pPr>
            <w:r>
              <w:rPr>
                <w:color w:val="auto"/>
                <w:u w:val="none"/>
              </w:rPr>
              <w:t>4</w:t>
            </w:r>
          </w:p>
        </w:tc>
        <w:tc>
          <w:tcPr>
            <w:tcW w:w="933" w:type="pct"/>
            <w:noWrap w:val="0"/>
            <w:vAlign w:val="center"/>
          </w:tcPr>
          <w:p>
            <w:pPr>
              <w:pStyle w:val="288"/>
              <w:rPr>
                <w:color w:val="auto"/>
                <w:u w:val="none"/>
              </w:rPr>
            </w:pPr>
            <w:r>
              <w:rPr>
                <w:color w:val="auto"/>
                <w:u w:val="none"/>
              </w:rPr>
              <w:drawing>
                <wp:inline distT="0" distB="0" distL="114300" distR="114300">
                  <wp:extent cx="647700" cy="647700"/>
                  <wp:effectExtent l="0" t="0" r="0" b="0"/>
                  <wp:docPr id="15" name="图片 14" descr="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200602201518049853"/>
                          <pic:cNvPicPr>
                            <a:picLocks noChangeAspect="1"/>
                          </pic:cNvPicPr>
                        </pic:nvPicPr>
                        <pic:blipFill>
                          <a:blip r:embed="rId48"/>
                          <a:stretch>
                            <a:fillRect/>
                          </a:stretch>
                        </pic:blipFill>
                        <pic:spPr>
                          <a:xfrm>
                            <a:off x="0" y="0"/>
                            <a:ext cx="647700" cy="647700"/>
                          </a:xfrm>
                          <a:prstGeom prst="rect">
                            <a:avLst/>
                          </a:prstGeom>
                          <a:noFill/>
                          <a:ln>
                            <a:noFill/>
                          </a:ln>
                        </pic:spPr>
                      </pic:pic>
                    </a:graphicData>
                  </a:graphic>
                </wp:inline>
              </w:drawing>
            </w:r>
          </w:p>
        </w:tc>
        <w:tc>
          <w:tcPr>
            <w:tcW w:w="1031" w:type="pct"/>
            <w:noWrap w:val="0"/>
            <w:vAlign w:val="center"/>
          </w:tcPr>
          <w:p>
            <w:pPr>
              <w:pStyle w:val="288"/>
              <w:rPr>
                <w:color w:val="auto"/>
                <w:u w:val="none"/>
              </w:rPr>
            </w:pPr>
            <w:r>
              <w:rPr>
                <w:color w:val="auto"/>
                <w:u w:val="none"/>
              </w:rPr>
              <w:drawing>
                <wp:inline distT="0" distB="0" distL="114300" distR="114300">
                  <wp:extent cx="676275" cy="600710"/>
                  <wp:effectExtent l="0" t="0" r="9525" b="8890"/>
                  <wp:docPr id="7" name="图片 15" descr="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200602201519018631"/>
                          <pic:cNvPicPr>
                            <a:picLocks noChangeAspect="1"/>
                          </pic:cNvPicPr>
                        </pic:nvPicPr>
                        <pic:blipFill>
                          <a:blip r:embed="rId49"/>
                          <a:stretch>
                            <a:fillRect/>
                          </a:stretch>
                        </pic:blipFill>
                        <pic:spPr>
                          <a:xfrm>
                            <a:off x="0" y="0"/>
                            <a:ext cx="676275" cy="600710"/>
                          </a:xfrm>
                          <a:prstGeom prst="rect">
                            <a:avLst/>
                          </a:prstGeom>
                          <a:noFill/>
                          <a:ln>
                            <a:noFill/>
                          </a:ln>
                        </pic:spPr>
                      </pic:pic>
                    </a:graphicData>
                  </a:graphic>
                </wp:inline>
              </w:drawing>
            </w:r>
          </w:p>
        </w:tc>
        <w:tc>
          <w:tcPr>
            <w:tcW w:w="886" w:type="pct"/>
            <w:noWrap w:val="0"/>
            <w:vAlign w:val="center"/>
          </w:tcPr>
          <w:p>
            <w:pPr>
              <w:pStyle w:val="288"/>
              <w:rPr>
                <w:color w:val="auto"/>
                <w:u w:val="none"/>
              </w:rPr>
            </w:pPr>
            <w:r>
              <w:rPr>
                <w:rFonts w:hint="eastAsia" w:ascii="宋体" w:hAnsi="宋体" w:eastAsia="宋体" w:cs="宋体"/>
                <w:color w:val="auto"/>
                <w:u w:val="none"/>
              </w:rPr>
              <w:t>噪声排放源</w:t>
            </w:r>
          </w:p>
        </w:tc>
        <w:tc>
          <w:tcPr>
            <w:tcW w:w="1767" w:type="pct"/>
            <w:noWrap w:val="0"/>
            <w:vAlign w:val="center"/>
          </w:tcPr>
          <w:p>
            <w:pPr>
              <w:pStyle w:val="288"/>
              <w:rPr>
                <w:color w:val="auto"/>
                <w:u w:val="none"/>
              </w:rPr>
            </w:pPr>
            <w:r>
              <w:rPr>
                <w:rFonts w:hint="eastAsia" w:ascii="宋体" w:hAnsi="宋体" w:eastAsia="宋体" w:cs="宋体"/>
                <w:color w:val="auto"/>
                <w:u w:val="none"/>
              </w:rPr>
              <w:t>表示噪声向外环境排放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3" w:type="pct"/>
            <w:noWrap w:val="0"/>
            <w:vAlign w:val="center"/>
          </w:tcPr>
          <w:p>
            <w:pPr>
              <w:pStyle w:val="288"/>
              <w:rPr>
                <w:color w:val="auto"/>
                <w:u w:val="none"/>
              </w:rPr>
            </w:pPr>
            <w:r>
              <w:rPr>
                <w:color w:val="auto"/>
                <w:u w:val="none"/>
              </w:rPr>
              <w:t>5</w:t>
            </w:r>
          </w:p>
        </w:tc>
        <w:tc>
          <w:tcPr>
            <w:tcW w:w="933" w:type="pct"/>
            <w:noWrap w:val="0"/>
            <w:vAlign w:val="center"/>
          </w:tcPr>
          <w:p>
            <w:pPr>
              <w:pStyle w:val="288"/>
              <w:rPr>
                <w:color w:val="auto"/>
                <w:u w:val="none"/>
              </w:rPr>
            </w:pPr>
          </w:p>
        </w:tc>
        <w:tc>
          <w:tcPr>
            <w:tcW w:w="1031" w:type="pct"/>
            <w:noWrap w:val="0"/>
            <w:vAlign w:val="center"/>
          </w:tcPr>
          <w:p>
            <w:pPr>
              <w:pStyle w:val="288"/>
              <w:adjustRightInd w:val="0"/>
              <w:rPr>
                <w:color w:val="auto"/>
                <w:u w:val="none"/>
              </w:rPr>
            </w:pPr>
            <w:r>
              <w:drawing>
                <wp:inline distT="0" distB="0" distL="114300" distR="114300">
                  <wp:extent cx="858520" cy="822325"/>
                  <wp:effectExtent l="0" t="0" r="5080" b="317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50"/>
                          <a:stretch>
                            <a:fillRect/>
                          </a:stretch>
                        </pic:blipFill>
                        <pic:spPr>
                          <a:xfrm>
                            <a:off x="0" y="0"/>
                            <a:ext cx="858520" cy="822325"/>
                          </a:xfrm>
                          <a:prstGeom prst="rect">
                            <a:avLst/>
                          </a:prstGeom>
                          <a:noFill/>
                          <a:ln>
                            <a:noFill/>
                          </a:ln>
                        </pic:spPr>
                      </pic:pic>
                    </a:graphicData>
                  </a:graphic>
                </wp:inline>
              </w:drawing>
            </w:r>
          </w:p>
        </w:tc>
        <w:tc>
          <w:tcPr>
            <w:tcW w:w="886" w:type="pct"/>
            <w:noWrap w:val="0"/>
            <w:vAlign w:val="center"/>
          </w:tcPr>
          <w:p>
            <w:pPr>
              <w:pStyle w:val="288"/>
              <w:rPr>
                <w:color w:val="auto"/>
                <w:u w:val="none"/>
              </w:rPr>
            </w:pPr>
            <w:r>
              <w:rPr>
                <w:rFonts w:hint="eastAsia" w:ascii="宋体" w:hAnsi="宋体" w:eastAsia="宋体" w:cs="宋体"/>
                <w:color w:val="auto"/>
                <w:u w:val="none"/>
              </w:rPr>
              <w:t>危险废物</w:t>
            </w:r>
          </w:p>
        </w:tc>
        <w:tc>
          <w:tcPr>
            <w:tcW w:w="1767" w:type="pct"/>
            <w:noWrap w:val="0"/>
            <w:vAlign w:val="center"/>
          </w:tcPr>
          <w:p>
            <w:pPr>
              <w:pStyle w:val="288"/>
              <w:rPr>
                <w:color w:val="auto"/>
                <w:u w:val="none"/>
              </w:rPr>
            </w:pPr>
            <w:r>
              <w:rPr>
                <w:rFonts w:hint="eastAsia" w:ascii="宋体" w:hAnsi="宋体" w:eastAsia="宋体" w:cs="宋体"/>
                <w:color w:val="auto"/>
                <w:u w:val="none"/>
              </w:rPr>
              <w:t>表示危险废物贮存、处置场</w:t>
            </w:r>
          </w:p>
        </w:tc>
      </w:tr>
    </w:tbl>
    <w:p>
      <w:pPr>
        <w:widowControl/>
        <w:tabs>
          <w:tab w:val="left" w:pos="3120"/>
        </w:tabs>
        <w:spacing w:line="360" w:lineRule="auto"/>
        <w:ind w:firstLine="480" w:firstLineChars="200"/>
        <w:rPr>
          <w:rFonts w:hAnsi="宋体"/>
          <w:kern w:val="0"/>
          <w:sz w:val="24"/>
        </w:rPr>
      </w:pPr>
      <w:r>
        <w:rPr>
          <w:rFonts w:hAnsi="宋体"/>
          <w:kern w:val="0"/>
          <w:sz w:val="24"/>
        </w:rPr>
        <w:t>（1）排污口的环保图形标志牌应设置在靠近排放点的醒目处，标志牌设置高度为其上边缘距离地面约2米。</w:t>
      </w:r>
    </w:p>
    <w:p>
      <w:pPr>
        <w:widowControl/>
        <w:tabs>
          <w:tab w:val="left" w:pos="3120"/>
        </w:tabs>
        <w:spacing w:line="360" w:lineRule="auto"/>
        <w:ind w:firstLine="480" w:firstLineChars="200"/>
        <w:rPr>
          <w:rFonts w:hAnsi="宋体"/>
          <w:kern w:val="0"/>
          <w:sz w:val="24"/>
        </w:rPr>
      </w:pPr>
      <w:r>
        <w:rPr>
          <w:rFonts w:hAnsi="宋体"/>
          <w:kern w:val="0"/>
          <w:sz w:val="24"/>
        </w:rPr>
        <w:t>（2）排污口和固体废物堆置场以设置方形标志牌为主，亦可根据情况设置立面或平面固定式标志牌。</w:t>
      </w:r>
    </w:p>
    <w:p>
      <w:pPr>
        <w:widowControl/>
        <w:tabs>
          <w:tab w:val="left" w:pos="3120"/>
        </w:tabs>
        <w:spacing w:line="360" w:lineRule="auto"/>
        <w:ind w:firstLine="480" w:firstLineChars="200"/>
        <w:rPr>
          <w:rFonts w:hAnsi="宋体"/>
          <w:kern w:val="0"/>
          <w:sz w:val="24"/>
        </w:rPr>
      </w:pPr>
      <w:r>
        <w:rPr>
          <w:rFonts w:hAnsi="宋体"/>
          <w:kern w:val="0"/>
          <w:sz w:val="24"/>
        </w:rPr>
        <w:t>（3）废水排放口和固体废物堆场，应设置提示性环境保护图形标志牌。</w:t>
      </w:r>
    </w:p>
    <w:p>
      <w:pPr>
        <w:pStyle w:val="7"/>
        <w:adjustRightInd w:val="0"/>
        <w:snapToGrid w:val="0"/>
        <w:spacing w:before="0" w:after="0" w:line="360" w:lineRule="auto"/>
        <w:jc w:val="left"/>
        <w:rPr>
          <w:sz w:val="24"/>
          <w:szCs w:val="24"/>
        </w:rPr>
      </w:pPr>
      <w:r>
        <w:rPr>
          <w:rFonts w:hint="eastAsia"/>
          <w:sz w:val="24"/>
          <w:szCs w:val="24"/>
        </w:rPr>
        <w:t>9</w:t>
      </w:r>
      <w:r>
        <w:rPr>
          <w:sz w:val="24"/>
          <w:szCs w:val="24"/>
        </w:rPr>
        <w:t>.</w:t>
      </w:r>
      <w:r>
        <w:rPr>
          <w:rFonts w:hint="eastAsia"/>
          <w:sz w:val="24"/>
          <w:szCs w:val="24"/>
        </w:rPr>
        <w:t>4.4 排污口建档管理</w:t>
      </w:r>
    </w:p>
    <w:p>
      <w:pPr>
        <w:widowControl/>
        <w:spacing w:line="360" w:lineRule="auto"/>
        <w:ind w:firstLine="480" w:firstLineChars="200"/>
        <w:rPr>
          <w:rFonts w:hAnsi="宋体"/>
          <w:kern w:val="0"/>
          <w:sz w:val="24"/>
        </w:rPr>
      </w:pPr>
      <w:r>
        <w:rPr>
          <w:rFonts w:hAnsi="宋体"/>
          <w:kern w:val="0"/>
          <w:sz w:val="24"/>
        </w:rPr>
        <w:t>（1）本项目应使用国家环保局统一印制的《中华人民共和国规范化排污口标志登记证》，并按要求填写有关内容。</w:t>
      </w:r>
    </w:p>
    <w:p>
      <w:pPr>
        <w:widowControl/>
        <w:spacing w:line="360" w:lineRule="auto"/>
        <w:ind w:firstLine="480" w:firstLineChars="200"/>
        <w:rPr>
          <w:rFonts w:hAnsi="宋体"/>
          <w:kern w:val="0"/>
          <w:sz w:val="24"/>
        </w:rPr>
      </w:pPr>
      <w:r>
        <w:rPr>
          <w:rFonts w:hAnsi="宋体"/>
          <w:kern w:val="0"/>
          <w:sz w:val="24"/>
        </w:rPr>
        <w:t>（2）根据排污口管理内容要求，项目建成投产后，应将主要污染物种类、数量、浓度、排放去向、立标情况及设施运行情况记录于档。</w:t>
      </w:r>
    </w:p>
    <w:p>
      <w:pPr>
        <w:spacing w:before="140" w:after="140"/>
        <w:outlineLvl w:val="1"/>
        <w:rPr>
          <w:b/>
          <w:bCs/>
          <w:sz w:val="30"/>
          <w:szCs w:val="30"/>
        </w:rPr>
      </w:pPr>
      <w:bookmarkStart w:id="360" w:name="_Toc123886436"/>
      <w:r>
        <w:rPr>
          <w:rFonts w:hint="eastAsia"/>
          <w:b/>
          <w:bCs/>
          <w:sz w:val="30"/>
          <w:szCs w:val="30"/>
        </w:rPr>
        <w:t>9</w:t>
      </w:r>
      <w:r>
        <w:rPr>
          <w:b/>
          <w:bCs/>
          <w:sz w:val="30"/>
          <w:szCs w:val="30"/>
        </w:rPr>
        <w:t>.</w:t>
      </w:r>
      <w:r>
        <w:rPr>
          <w:rFonts w:hint="eastAsia"/>
          <w:b/>
          <w:bCs/>
          <w:sz w:val="30"/>
          <w:szCs w:val="30"/>
        </w:rPr>
        <w:t xml:space="preserve">5 </w:t>
      </w:r>
      <w:r>
        <w:rPr>
          <w:b/>
          <w:bCs/>
          <w:sz w:val="30"/>
          <w:szCs w:val="30"/>
        </w:rPr>
        <w:t>环境监测计划</w:t>
      </w:r>
      <w:bookmarkEnd w:id="360"/>
    </w:p>
    <w:p>
      <w:pPr>
        <w:widowControl/>
        <w:spacing w:line="360" w:lineRule="auto"/>
        <w:ind w:firstLine="480" w:firstLineChars="200"/>
        <w:rPr>
          <w:rFonts w:hAnsi="宋体"/>
          <w:kern w:val="0"/>
          <w:sz w:val="24"/>
        </w:rPr>
      </w:pPr>
      <w:r>
        <w:rPr>
          <w:rFonts w:hint="eastAsia" w:hAnsi="宋体"/>
          <w:kern w:val="0"/>
          <w:sz w:val="24"/>
        </w:rPr>
        <w:t>环境监测是环境管理的基础，是执行环保法规、标准，判断环境质量现状和评价环保设施处理效果的重要手段，是开展环境科学研究、防止环境破坏和污染的重要依据。监测数据是环境管理的基础数据，因而企业搞好环境监测是至关重要的。</w:t>
      </w:r>
    </w:p>
    <w:p>
      <w:pPr>
        <w:widowControl/>
        <w:spacing w:line="360" w:lineRule="auto"/>
        <w:ind w:firstLine="480" w:firstLineChars="200"/>
        <w:rPr>
          <w:rFonts w:hAnsi="宋体"/>
          <w:kern w:val="0"/>
          <w:sz w:val="24"/>
        </w:rPr>
      </w:pPr>
      <w:r>
        <w:rPr>
          <w:rFonts w:hint="eastAsia" w:hAnsi="宋体"/>
          <w:kern w:val="0"/>
          <w:sz w:val="24"/>
        </w:rPr>
        <w:t>根据《排污单位自行监测技术指南总则》（HJ819-2017）、《排污许可证申请与核发技术规范 畜禽养殖行业》（HJ1029-2019）、《排污单位自行监测技术指南 畜禽养殖行业》（HJ1252-2022）、等相关文件要求，结合本项目的性质特点，制定本项目环境监测计划，考虑本项目废水不外排，因此废水不开展自行监测。建设单位应当在投入生产或使用并产生实际排污行为之前完成自行监测方案的编制及相关准备工作</w:t>
      </w:r>
      <w:r>
        <w:rPr>
          <w:rFonts w:hAnsi="宋体"/>
          <w:kern w:val="0"/>
          <w:sz w:val="24"/>
        </w:rPr>
        <w:t>。</w:t>
      </w:r>
    </w:p>
    <w:p>
      <w:pPr>
        <w:pStyle w:val="7"/>
        <w:adjustRightInd w:val="0"/>
        <w:snapToGrid w:val="0"/>
        <w:spacing w:before="0" w:after="0" w:line="360" w:lineRule="auto"/>
        <w:jc w:val="left"/>
        <w:rPr>
          <w:sz w:val="24"/>
          <w:szCs w:val="24"/>
        </w:rPr>
      </w:pPr>
      <w:r>
        <w:rPr>
          <w:rFonts w:hint="eastAsia"/>
          <w:sz w:val="24"/>
          <w:szCs w:val="24"/>
        </w:rPr>
        <w:t>9.5</w:t>
      </w:r>
      <w:r>
        <w:rPr>
          <w:sz w:val="24"/>
          <w:szCs w:val="24"/>
        </w:rPr>
        <w:t>.1 运营期环境监测计划</w:t>
      </w:r>
    </w:p>
    <w:p>
      <w:pPr>
        <w:widowControl/>
        <w:spacing w:line="360" w:lineRule="auto"/>
        <w:ind w:firstLine="480" w:firstLineChars="200"/>
        <w:rPr>
          <w:rFonts w:eastAsiaTheme="majorEastAsia"/>
          <w:color w:val="FF0000"/>
          <w:kern w:val="0"/>
          <w:sz w:val="24"/>
          <w:u w:val="wave"/>
        </w:rPr>
      </w:pPr>
      <w:r>
        <w:rPr>
          <w:rFonts w:hAnsiTheme="majorEastAsia" w:eastAsiaTheme="majorEastAsia"/>
          <w:color w:val="FF0000"/>
          <w:kern w:val="0"/>
          <w:sz w:val="24"/>
          <w:u w:val="wave"/>
        </w:rPr>
        <w:t>项目运营期环境监测内容见表</w:t>
      </w:r>
      <w:r>
        <w:rPr>
          <w:rFonts w:eastAsiaTheme="majorEastAsia"/>
          <w:color w:val="FF0000"/>
          <w:kern w:val="0"/>
          <w:sz w:val="24"/>
          <w:u w:val="wave"/>
        </w:rPr>
        <w:t>9.</w:t>
      </w:r>
      <w:r>
        <w:rPr>
          <w:rFonts w:hint="eastAsia" w:eastAsiaTheme="majorEastAsia"/>
          <w:color w:val="FF0000"/>
          <w:kern w:val="0"/>
          <w:sz w:val="24"/>
          <w:u w:val="wave"/>
        </w:rPr>
        <w:t>5</w:t>
      </w:r>
      <w:r>
        <w:rPr>
          <w:rFonts w:eastAsiaTheme="majorEastAsia"/>
          <w:color w:val="FF0000"/>
          <w:kern w:val="0"/>
          <w:sz w:val="24"/>
          <w:u w:val="wave"/>
        </w:rPr>
        <w:t>-1</w:t>
      </w:r>
      <w:r>
        <w:rPr>
          <w:rFonts w:hAnsiTheme="majorEastAsia" w:eastAsiaTheme="majorEastAsia"/>
          <w:color w:val="FF0000"/>
          <w:kern w:val="0"/>
          <w:sz w:val="24"/>
          <w:u w:val="wave"/>
        </w:rPr>
        <w:t>。环境监测方法应参考《环境监测技术规范》、《排污单位自行监测技术指南</w:t>
      </w:r>
      <w:r>
        <w:rPr>
          <w:rFonts w:eastAsiaTheme="majorEastAsia"/>
          <w:color w:val="FF0000"/>
          <w:kern w:val="0"/>
          <w:sz w:val="24"/>
          <w:u w:val="wave"/>
        </w:rPr>
        <w:t xml:space="preserve"> </w:t>
      </w:r>
      <w:r>
        <w:rPr>
          <w:rFonts w:hAnsiTheme="majorEastAsia" w:eastAsiaTheme="majorEastAsia"/>
          <w:color w:val="FF0000"/>
          <w:kern w:val="0"/>
          <w:sz w:val="24"/>
          <w:u w:val="wave"/>
        </w:rPr>
        <w:t>总则（</w:t>
      </w:r>
      <w:r>
        <w:rPr>
          <w:rFonts w:eastAsiaTheme="majorEastAsia"/>
          <w:color w:val="FF0000"/>
          <w:kern w:val="0"/>
          <w:sz w:val="24"/>
          <w:u w:val="wave"/>
        </w:rPr>
        <w:t>HJ819-2017</w:t>
      </w:r>
      <w:r>
        <w:rPr>
          <w:rFonts w:hAnsiTheme="majorEastAsia" w:eastAsiaTheme="majorEastAsia"/>
          <w:color w:val="FF0000"/>
          <w:kern w:val="0"/>
          <w:sz w:val="24"/>
          <w:u w:val="wave"/>
        </w:rPr>
        <w:t>）》</w:t>
      </w:r>
      <w:r>
        <w:rPr>
          <w:rFonts w:hint="eastAsia" w:hAnsiTheme="majorEastAsia" w:eastAsiaTheme="majorEastAsia"/>
          <w:color w:val="FF0000"/>
          <w:kern w:val="0"/>
          <w:sz w:val="24"/>
          <w:u w:val="wave"/>
        </w:rPr>
        <w:t>、《排污许可证申请与核发技术规范畜禽 养殖行业》（</w:t>
      </w:r>
      <w:r>
        <w:rPr>
          <w:rFonts w:hAnsiTheme="majorEastAsia" w:eastAsiaTheme="majorEastAsia"/>
          <w:color w:val="FF0000"/>
          <w:kern w:val="0"/>
          <w:sz w:val="24"/>
          <w:u w:val="wave"/>
        </w:rPr>
        <w:t>HJ1029-2019</w:t>
      </w:r>
      <w:r>
        <w:rPr>
          <w:rFonts w:hint="eastAsia" w:hAnsiTheme="majorEastAsia" w:eastAsiaTheme="majorEastAsia"/>
          <w:color w:val="FF0000"/>
          <w:kern w:val="0"/>
          <w:sz w:val="24"/>
          <w:u w:val="wave"/>
        </w:rPr>
        <w:t>）</w:t>
      </w:r>
      <w:r>
        <w:rPr>
          <w:rFonts w:hAnsiTheme="majorEastAsia" w:eastAsiaTheme="majorEastAsia"/>
          <w:color w:val="FF0000"/>
          <w:kern w:val="0"/>
          <w:sz w:val="24"/>
          <w:u w:val="wave"/>
        </w:rPr>
        <w:t>规定的方法，可委托有资质监测单位进行监测或建设单位自行监测。每次监测都应有完整的记录。监测数据应及时整理、统计，按时向管理部门、调度部门报告，做好监测资料的归档工作。监测结果如有异常，应及时反馈生产管理部门，查找原因，及时解决。</w:t>
      </w:r>
    </w:p>
    <w:p>
      <w:pPr>
        <w:pStyle w:val="17"/>
        <w:spacing w:beforeLines="50"/>
        <w:rPr>
          <w:rFonts w:ascii="Times New Roman" w:hAnsi="Times New Roman" w:cs="Times New Roman"/>
          <w:color w:val="FF0000"/>
          <w:sz w:val="21"/>
          <w:u w:val="wave"/>
        </w:rPr>
      </w:pPr>
      <w:r>
        <w:rPr>
          <w:rFonts w:ascii="Times New Roman" w:hAnsi="Times New Roman" w:cs="Times New Roman"/>
          <w:color w:val="FF0000"/>
          <w:sz w:val="21"/>
          <w:u w:val="wave"/>
        </w:rPr>
        <w:t>表</w:t>
      </w:r>
      <w:r>
        <w:rPr>
          <w:rFonts w:hint="eastAsia" w:ascii="Times New Roman" w:hAnsi="Times New Roman" w:cs="Times New Roman"/>
          <w:color w:val="FF0000"/>
          <w:sz w:val="21"/>
          <w:u w:val="wave"/>
        </w:rPr>
        <w:t>9</w:t>
      </w:r>
      <w:r>
        <w:rPr>
          <w:rFonts w:ascii="Times New Roman" w:hAnsi="Times New Roman" w:cs="Times New Roman"/>
          <w:color w:val="FF0000"/>
          <w:sz w:val="21"/>
          <w:u w:val="wave"/>
        </w:rPr>
        <w:t>.</w:t>
      </w:r>
      <w:r>
        <w:rPr>
          <w:rFonts w:hint="eastAsia" w:ascii="Times New Roman" w:hAnsi="Times New Roman" w:cs="Times New Roman"/>
          <w:color w:val="FF0000"/>
          <w:sz w:val="21"/>
          <w:u w:val="wave"/>
        </w:rPr>
        <w:t>5</w:t>
      </w:r>
      <w:r>
        <w:rPr>
          <w:rFonts w:ascii="Times New Roman" w:hAnsi="Times New Roman" w:cs="Times New Roman"/>
          <w:color w:val="FF0000"/>
          <w:sz w:val="21"/>
          <w:u w:val="wave"/>
        </w:rPr>
        <w:t xml:space="preserve">-1 </w:t>
      </w:r>
      <w:r>
        <w:rPr>
          <w:rFonts w:hint="eastAsia" w:ascii="Times New Roman" w:hAnsi="Times New Roman" w:cs="Times New Roman"/>
          <w:color w:val="FF0000"/>
          <w:sz w:val="21"/>
          <w:u w:val="wave"/>
        </w:rPr>
        <w:t xml:space="preserve"> </w:t>
      </w:r>
      <w:r>
        <w:rPr>
          <w:rFonts w:ascii="Times New Roman" w:hAnsi="Times New Roman" w:cs="Times New Roman"/>
          <w:color w:val="FF0000"/>
          <w:sz w:val="21"/>
          <w:u w:val="wave"/>
        </w:rPr>
        <w:t>环境监测内容一览表</w:t>
      </w:r>
    </w:p>
    <w:tbl>
      <w:tblPr>
        <w:tblStyle w:val="47"/>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92"/>
        <w:gridCol w:w="1092"/>
        <w:gridCol w:w="1567"/>
        <w:gridCol w:w="2026"/>
        <w:gridCol w:w="27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0" w:type="pct"/>
            <w:vAlign w:val="center"/>
          </w:tcPr>
          <w:p>
            <w:pPr>
              <w:widowControl/>
              <w:jc w:val="center"/>
              <w:rPr>
                <w:b/>
                <w:color w:val="FF0000"/>
                <w:kern w:val="0"/>
                <w:szCs w:val="21"/>
                <w:u w:val="wave"/>
              </w:rPr>
            </w:pPr>
            <w:r>
              <w:rPr>
                <w:b/>
                <w:color w:val="FF0000"/>
                <w:kern w:val="0"/>
                <w:szCs w:val="21"/>
                <w:u w:val="wave"/>
              </w:rPr>
              <w:t>监测计划</w:t>
            </w:r>
          </w:p>
        </w:tc>
        <w:tc>
          <w:tcPr>
            <w:tcW w:w="640" w:type="pct"/>
            <w:vAlign w:val="center"/>
          </w:tcPr>
          <w:p>
            <w:pPr>
              <w:widowControl/>
              <w:jc w:val="center"/>
              <w:rPr>
                <w:b/>
                <w:color w:val="FF0000"/>
                <w:kern w:val="0"/>
                <w:szCs w:val="21"/>
                <w:u w:val="wave"/>
              </w:rPr>
            </w:pPr>
            <w:r>
              <w:rPr>
                <w:b/>
                <w:color w:val="FF0000"/>
                <w:kern w:val="0"/>
                <w:szCs w:val="21"/>
                <w:u w:val="wave"/>
              </w:rPr>
              <w:t>项目</w:t>
            </w:r>
          </w:p>
        </w:tc>
        <w:tc>
          <w:tcPr>
            <w:tcW w:w="918" w:type="pct"/>
            <w:vAlign w:val="center"/>
          </w:tcPr>
          <w:p>
            <w:pPr>
              <w:widowControl/>
              <w:jc w:val="center"/>
              <w:rPr>
                <w:b/>
                <w:color w:val="FF0000"/>
                <w:kern w:val="0"/>
                <w:szCs w:val="21"/>
                <w:u w:val="wave"/>
              </w:rPr>
            </w:pPr>
            <w:r>
              <w:rPr>
                <w:b/>
                <w:color w:val="FF0000"/>
                <w:kern w:val="0"/>
                <w:szCs w:val="21"/>
                <w:u w:val="wave"/>
              </w:rPr>
              <w:t>监测点位</w:t>
            </w:r>
          </w:p>
        </w:tc>
        <w:tc>
          <w:tcPr>
            <w:tcW w:w="1187" w:type="pct"/>
            <w:vAlign w:val="center"/>
          </w:tcPr>
          <w:p>
            <w:pPr>
              <w:widowControl/>
              <w:jc w:val="center"/>
              <w:rPr>
                <w:b/>
                <w:color w:val="FF0000"/>
                <w:kern w:val="0"/>
                <w:szCs w:val="21"/>
                <w:u w:val="wave"/>
              </w:rPr>
            </w:pPr>
            <w:r>
              <w:rPr>
                <w:b/>
                <w:color w:val="FF0000"/>
                <w:kern w:val="0"/>
                <w:szCs w:val="21"/>
                <w:u w:val="wave"/>
              </w:rPr>
              <w:t>监测因子</w:t>
            </w:r>
          </w:p>
        </w:tc>
        <w:tc>
          <w:tcPr>
            <w:tcW w:w="1612" w:type="pct"/>
            <w:vAlign w:val="center"/>
          </w:tcPr>
          <w:p>
            <w:pPr>
              <w:widowControl/>
              <w:jc w:val="center"/>
              <w:rPr>
                <w:b/>
                <w:color w:val="FF0000"/>
                <w:kern w:val="0"/>
                <w:szCs w:val="21"/>
                <w:u w:val="wave"/>
              </w:rPr>
            </w:pPr>
            <w:r>
              <w:rPr>
                <w:b/>
                <w:color w:val="FF0000"/>
                <w:kern w:val="0"/>
                <w:szCs w:val="21"/>
                <w:u w:val="wave"/>
              </w:rPr>
              <w:t>监测频次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0" w:type="pct"/>
            <w:vMerge w:val="restart"/>
            <w:vAlign w:val="center"/>
          </w:tcPr>
          <w:p>
            <w:pPr>
              <w:jc w:val="center"/>
              <w:rPr>
                <w:color w:val="FF0000"/>
                <w:kern w:val="0"/>
                <w:szCs w:val="21"/>
                <w:u w:val="wave"/>
              </w:rPr>
            </w:pPr>
            <w:r>
              <w:rPr>
                <w:color w:val="FF0000"/>
                <w:kern w:val="0"/>
                <w:szCs w:val="21"/>
                <w:u w:val="wave"/>
              </w:rPr>
              <w:t>污染源监测</w:t>
            </w:r>
          </w:p>
        </w:tc>
        <w:tc>
          <w:tcPr>
            <w:tcW w:w="640" w:type="pct"/>
            <w:vAlign w:val="center"/>
          </w:tcPr>
          <w:p>
            <w:pPr>
              <w:jc w:val="center"/>
              <w:rPr>
                <w:color w:val="FF0000"/>
                <w:kern w:val="0"/>
                <w:szCs w:val="21"/>
                <w:u w:val="wave"/>
              </w:rPr>
            </w:pPr>
            <w:r>
              <w:rPr>
                <w:color w:val="FF0000"/>
                <w:kern w:val="0"/>
                <w:szCs w:val="21"/>
                <w:u w:val="wave"/>
              </w:rPr>
              <w:t>废气</w:t>
            </w:r>
          </w:p>
        </w:tc>
        <w:tc>
          <w:tcPr>
            <w:tcW w:w="918" w:type="pct"/>
            <w:vAlign w:val="center"/>
          </w:tcPr>
          <w:p>
            <w:pPr>
              <w:widowControl/>
              <w:jc w:val="center"/>
              <w:rPr>
                <w:rFonts w:ascii="Times New Roman" w:hAnsi="Times New Roman" w:eastAsia="宋体" w:cs="Times New Roman"/>
                <w:color w:val="FF0000"/>
                <w:kern w:val="0"/>
                <w:sz w:val="21"/>
                <w:szCs w:val="21"/>
                <w:u w:val="wave"/>
                <w:lang w:val="en-US" w:eastAsia="zh-CN" w:bidi="ar-SA"/>
              </w:rPr>
            </w:pPr>
            <w:r>
              <w:rPr>
                <w:color w:val="FF0000"/>
                <w:kern w:val="0"/>
                <w:szCs w:val="21"/>
                <w:u w:val="wave"/>
              </w:rPr>
              <w:t>厂界（点位：上风向1个、下风向2个）</w:t>
            </w:r>
          </w:p>
        </w:tc>
        <w:tc>
          <w:tcPr>
            <w:tcW w:w="1187" w:type="pct"/>
            <w:vAlign w:val="center"/>
          </w:tcPr>
          <w:p>
            <w:pPr>
              <w:widowControl/>
              <w:jc w:val="center"/>
              <w:rPr>
                <w:rFonts w:hint="default" w:ascii="Times New Roman" w:hAnsi="Times New Roman" w:eastAsia="宋体" w:cs="Times New Roman"/>
                <w:color w:val="FF0000"/>
                <w:kern w:val="0"/>
                <w:sz w:val="21"/>
                <w:szCs w:val="21"/>
                <w:u w:val="wave"/>
                <w:lang w:val="en-US" w:eastAsia="zh-CN" w:bidi="ar-SA"/>
              </w:rPr>
            </w:pPr>
            <w:r>
              <w:rPr>
                <w:color w:val="FF0000"/>
                <w:kern w:val="0"/>
                <w:szCs w:val="21"/>
                <w:u w:val="wave"/>
              </w:rPr>
              <w:t>NH</w:t>
            </w:r>
            <w:r>
              <w:rPr>
                <w:color w:val="FF0000"/>
                <w:kern w:val="0"/>
                <w:szCs w:val="21"/>
                <w:u w:val="wave"/>
                <w:vertAlign w:val="subscript"/>
              </w:rPr>
              <w:t>3</w:t>
            </w:r>
            <w:r>
              <w:rPr>
                <w:color w:val="FF0000"/>
                <w:kern w:val="0"/>
                <w:szCs w:val="21"/>
                <w:u w:val="wave"/>
              </w:rPr>
              <w:t>、H</w:t>
            </w:r>
            <w:r>
              <w:rPr>
                <w:color w:val="FF0000"/>
                <w:kern w:val="0"/>
                <w:szCs w:val="21"/>
                <w:u w:val="wave"/>
                <w:vertAlign w:val="subscript"/>
              </w:rPr>
              <w:t>2</w:t>
            </w:r>
            <w:r>
              <w:rPr>
                <w:color w:val="FF0000"/>
                <w:kern w:val="0"/>
                <w:szCs w:val="21"/>
                <w:u w:val="wave"/>
              </w:rPr>
              <w:t>S、臭气浓度</w:t>
            </w:r>
            <w:r>
              <w:rPr>
                <w:rFonts w:hint="eastAsia"/>
                <w:color w:val="FF0000"/>
                <w:kern w:val="0"/>
                <w:szCs w:val="21"/>
                <w:u w:val="wave"/>
                <w:lang w:eastAsia="zh-CN"/>
              </w:rPr>
              <w:t>、</w:t>
            </w:r>
            <w:r>
              <w:rPr>
                <w:rFonts w:hint="eastAsia"/>
                <w:color w:val="FF0000"/>
                <w:kern w:val="0"/>
                <w:szCs w:val="21"/>
                <w:u w:val="wave"/>
                <w:lang w:val="en-US" w:eastAsia="zh-CN"/>
              </w:rPr>
              <w:t>颗粒物</w:t>
            </w:r>
          </w:p>
        </w:tc>
        <w:tc>
          <w:tcPr>
            <w:tcW w:w="1612" w:type="pct"/>
            <w:vAlign w:val="center"/>
          </w:tcPr>
          <w:p>
            <w:pPr>
              <w:widowControl/>
              <w:jc w:val="center"/>
              <w:rPr>
                <w:rFonts w:ascii="Times New Roman" w:hAnsi="Times New Roman" w:eastAsia="宋体" w:cs="Times New Roman"/>
                <w:color w:val="FF0000"/>
                <w:kern w:val="0"/>
                <w:sz w:val="21"/>
                <w:szCs w:val="21"/>
                <w:u w:val="wave"/>
                <w:lang w:val="en-US" w:eastAsia="zh-CN" w:bidi="ar-SA"/>
              </w:rPr>
            </w:pPr>
            <w:r>
              <w:rPr>
                <w:color w:val="FF0000"/>
                <w:kern w:val="0"/>
                <w:szCs w:val="21"/>
                <w:u w:val="wave"/>
              </w:rPr>
              <w:t>每</w:t>
            </w:r>
            <w:r>
              <w:rPr>
                <w:rFonts w:hint="eastAsia"/>
                <w:color w:val="FF0000"/>
                <w:kern w:val="0"/>
                <w:szCs w:val="21"/>
                <w:u w:val="wave"/>
              </w:rPr>
              <w:t>年</w:t>
            </w:r>
            <w:r>
              <w:rPr>
                <w:color w:val="FF0000"/>
                <w:kern w:val="0"/>
                <w:szCs w:val="21"/>
                <w:u w:val="wave"/>
              </w:rPr>
              <w:t>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0" w:type="pct"/>
            <w:vMerge w:val="continue"/>
            <w:vAlign w:val="center"/>
          </w:tcPr>
          <w:p>
            <w:pPr>
              <w:widowControl/>
              <w:jc w:val="center"/>
              <w:rPr>
                <w:color w:val="FF0000"/>
                <w:kern w:val="0"/>
                <w:szCs w:val="21"/>
                <w:u w:val="wave"/>
              </w:rPr>
            </w:pPr>
          </w:p>
        </w:tc>
        <w:tc>
          <w:tcPr>
            <w:tcW w:w="640" w:type="pct"/>
            <w:vAlign w:val="center"/>
          </w:tcPr>
          <w:p>
            <w:pPr>
              <w:widowControl/>
              <w:jc w:val="center"/>
              <w:rPr>
                <w:color w:val="FF0000"/>
                <w:kern w:val="0"/>
                <w:szCs w:val="21"/>
                <w:u w:val="wave"/>
              </w:rPr>
            </w:pPr>
            <w:r>
              <w:rPr>
                <w:color w:val="FF0000"/>
                <w:kern w:val="0"/>
                <w:szCs w:val="21"/>
                <w:u w:val="wave"/>
              </w:rPr>
              <w:t>噪声</w:t>
            </w:r>
          </w:p>
        </w:tc>
        <w:tc>
          <w:tcPr>
            <w:tcW w:w="918" w:type="pct"/>
            <w:vAlign w:val="center"/>
          </w:tcPr>
          <w:p>
            <w:pPr>
              <w:widowControl/>
              <w:jc w:val="center"/>
              <w:rPr>
                <w:color w:val="FF0000"/>
                <w:kern w:val="0"/>
                <w:szCs w:val="21"/>
                <w:u w:val="wave"/>
              </w:rPr>
            </w:pPr>
            <w:r>
              <w:rPr>
                <w:color w:val="FF0000"/>
                <w:kern w:val="0"/>
                <w:szCs w:val="21"/>
                <w:u w:val="wave"/>
              </w:rPr>
              <w:t>东、南、西、北四厂界</w:t>
            </w:r>
          </w:p>
        </w:tc>
        <w:tc>
          <w:tcPr>
            <w:tcW w:w="1187" w:type="pct"/>
            <w:vAlign w:val="center"/>
          </w:tcPr>
          <w:p>
            <w:pPr>
              <w:widowControl/>
              <w:jc w:val="center"/>
              <w:rPr>
                <w:color w:val="FF0000"/>
                <w:kern w:val="0"/>
                <w:szCs w:val="21"/>
                <w:u w:val="wave"/>
              </w:rPr>
            </w:pPr>
            <w:r>
              <w:rPr>
                <w:color w:val="FF0000"/>
                <w:kern w:val="0"/>
                <w:szCs w:val="21"/>
                <w:u w:val="wave"/>
              </w:rPr>
              <w:t>等效A声级</w:t>
            </w:r>
          </w:p>
        </w:tc>
        <w:tc>
          <w:tcPr>
            <w:tcW w:w="1612" w:type="pct"/>
            <w:vAlign w:val="center"/>
          </w:tcPr>
          <w:p>
            <w:pPr>
              <w:widowControl/>
              <w:jc w:val="center"/>
              <w:rPr>
                <w:color w:val="FF0000"/>
                <w:kern w:val="0"/>
                <w:szCs w:val="21"/>
                <w:u w:val="wave"/>
              </w:rPr>
            </w:pPr>
            <w:r>
              <w:rPr>
                <w:color w:val="FF0000"/>
                <w:kern w:val="0"/>
                <w:szCs w:val="21"/>
                <w:u w:val="wave"/>
              </w:rPr>
              <w:t>每</w:t>
            </w:r>
            <w:r>
              <w:rPr>
                <w:rFonts w:hint="eastAsia"/>
                <w:color w:val="FF0000"/>
                <w:kern w:val="0"/>
                <w:szCs w:val="21"/>
                <w:u w:val="wave"/>
              </w:rPr>
              <w:t>季度</w:t>
            </w:r>
            <w:r>
              <w:rPr>
                <w:color w:val="FF0000"/>
                <w:kern w:val="0"/>
                <w:szCs w:val="21"/>
                <w:u w:val="wave"/>
              </w:rPr>
              <w:t>1次，昼夜各1次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0" w:type="pct"/>
            <w:vMerge w:val="continue"/>
            <w:vAlign w:val="center"/>
          </w:tcPr>
          <w:p>
            <w:pPr>
              <w:widowControl/>
              <w:jc w:val="center"/>
              <w:rPr>
                <w:color w:val="FF0000"/>
                <w:kern w:val="0"/>
                <w:szCs w:val="21"/>
                <w:u w:val="wave"/>
              </w:rPr>
            </w:pPr>
          </w:p>
        </w:tc>
        <w:tc>
          <w:tcPr>
            <w:tcW w:w="640" w:type="pct"/>
            <w:vAlign w:val="center"/>
          </w:tcPr>
          <w:p>
            <w:pPr>
              <w:widowControl/>
              <w:jc w:val="center"/>
              <w:rPr>
                <w:rFonts w:ascii="Times New Roman" w:hAnsi="Times New Roman" w:eastAsia="宋体" w:cs="Times New Roman"/>
                <w:color w:val="FF0000"/>
                <w:kern w:val="0"/>
                <w:sz w:val="21"/>
                <w:szCs w:val="21"/>
                <w:u w:val="wave"/>
                <w:lang w:val="en-US" w:eastAsia="zh-CN" w:bidi="ar-SA"/>
              </w:rPr>
            </w:pPr>
            <w:r>
              <w:rPr>
                <w:color w:val="FF0000"/>
                <w:kern w:val="0"/>
                <w:szCs w:val="21"/>
                <w:u w:val="wave"/>
              </w:rPr>
              <w:t>地下水</w:t>
            </w:r>
          </w:p>
        </w:tc>
        <w:tc>
          <w:tcPr>
            <w:tcW w:w="918" w:type="pct"/>
            <w:vAlign w:val="center"/>
          </w:tcPr>
          <w:p>
            <w:pPr>
              <w:widowControl/>
              <w:jc w:val="center"/>
              <w:rPr>
                <w:rFonts w:ascii="Times New Roman" w:hAnsi="Times New Roman" w:eastAsia="宋体" w:cs="Times New Roman"/>
                <w:color w:val="FF0000"/>
                <w:kern w:val="0"/>
                <w:sz w:val="21"/>
                <w:szCs w:val="21"/>
                <w:u w:val="wave"/>
                <w:lang w:val="en-US" w:eastAsia="zh-CN" w:bidi="ar-SA"/>
              </w:rPr>
            </w:pPr>
            <w:r>
              <w:rPr>
                <w:rFonts w:hint="eastAsia"/>
                <w:color w:val="FF0000"/>
                <w:kern w:val="0"/>
                <w:szCs w:val="21"/>
                <w:u w:val="wave"/>
              </w:rPr>
              <w:t>厂区</w:t>
            </w:r>
            <w:r>
              <w:rPr>
                <w:color w:val="FF0000"/>
                <w:kern w:val="0"/>
                <w:szCs w:val="21"/>
                <w:u w:val="wave"/>
              </w:rPr>
              <w:t>水井</w:t>
            </w:r>
          </w:p>
        </w:tc>
        <w:tc>
          <w:tcPr>
            <w:tcW w:w="1187" w:type="pct"/>
            <w:vAlign w:val="center"/>
          </w:tcPr>
          <w:p>
            <w:pPr>
              <w:widowControl/>
              <w:jc w:val="center"/>
              <w:rPr>
                <w:rFonts w:ascii="Times New Roman" w:hAnsi="Times New Roman" w:eastAsia="宋体" w:cs="Times New Roman"/>
                <w:color w:val="FF0000"/>
                <w:kern w:val="0"/>
                <w:sz w:val="21"/>
                <w:szCs w:val="21"/>
                <w:u w:val="wave"/>
                <w:lang w:val="en-US" w:eastAsia="zh-CN" w:bidi="ar-SA"/>
              </w:rPr>
            </w:pPr>
            <w:r>
              <w:rPr>
                <w:rFonts w:hint="eastAsia"/>
                <w:color w:val="FF0000"/>
                <w:kern w:val="0"/>
                <w:szCs w:val="21"/>
                <w:u w:val="wave"/>
              </w:rPr>
              <w:t>钙离子、镁离子、钠离子、钾离子、碳酸根离子、碳酸氢根离子、硫酸根离子、氯离子、pH、硝酸盐、氨氮、总大肠菌群</w:t>
            </w:r>
          </w:p>
        </w:tc>
        <w:tc>
          <w:tcPr>
            <w:tcW w:w="1612" w:type="pct"/>
            <w:vAlign w:val="center"/>
          </w:tcPr>
          <w:p>
            <w:pPr>
              <w:autoSpaceDE w:val="0"/>
              <w:autoSpaceDN w:val="0"/>
              <w:adjustRightInd w:val="0"/>
              <w:jc w:val="center"/>
              <w:rPr>
                <w:rFonts w:ascii="Times New Roman" w:hAnsi="Times New Roman" w:eastAsia="宋体" w:cs="Times New Roman"/>
                <w:color w:val="FF0000"/>
                <w:kern w:val="0"/>
                <w:sz w:val="21"/>
                <w:szCs w:val="21"/>
                <w:u w:val="wave"/>
                <w:lang w:val="en-US" w:eastAsia="zh-CN" w:bidi="ar-SA"/>
              </w:rPr>
            </w:pPr>
            <w:r>
              <w:rPr>
                <w:rFonts w:hint="eastAsia"/>
                <w:color w:val="FF0000"/>
                <w:kern w:val="0"/>
                <w:szCs w:val="21"/>
                <w:u w:val="wave"/>
              </w:rPr>
              <w:t>在项目所在地、上游、下游各布设一个地下水跟踪监测点。潜水监测频率应不小于每年两次（丰水期和枯水期各1次），承压水监测频率可以根据质量变化情况确定，宜每年1次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40" w:type="pct"/>
            <w:vAlign w:val="center"/>
          </w:tcPr>
          <w:p>
            <w:pPr>
              <w:widowControl/>
              <w:jc w:val="center"/>
              <w:rPr>
                <w:color w:val="FF0000"/>
                <w:kern w:val="0"/>
                <w:szCs w:val="21"/>
                <w:u w:val="wave"/>
              </w:rPr>
            </w:pPr>
            <w:r>
              <w:rPr>
                <w:color w:val="FF0000"/>
                <w:kern w:val="0"/>
                <w:szCs w:val="21"/>
                <w:u w:val="wave"/>
              </w:rPr>
              <w:t>环境监测</w:t>
            </w:r>
          </w:p>
        </w:tc>
        <w:tc>
          <w:tcPr>
            <w:tcW w:w="640" w:type="pct"/>
            <w:vAlign w:val="center"/>
          </w:tcPr>
          <w:p>
            <w:pPr>
              <w:widowControl/>
              <w:jc w:val="center"/>
              <w:rPr>
                <w:rFonts w:hint="default" w:eastAsia="宋体"/>
                <w:color w:val="FF0000"/>
                <w:kern w:val="0"/>
                <w:szCs w:val="21"/>
                <w:u w:val="wave"/>
                <w:lang w:val="en-US" w:eastAsia="zh-CN"/>
              </w:rPr>
            </w:pPr>
            <w:r>
              <w:rPr>
                <w:color w:val="FF0000"/>
                <w:kern w:val="0"/>
                <w:szCs w:val="21"/>
                <w:u w:val="wave"/>
              </w:rPr>
              <w:t>废气</w:t>
            </w:r>
          </w:p>
        </w:tc>
        <w:tc>
          <w:tcPr>
            <w:tcW w:w="918" w:type="pct"/>
            <w:vAlign w:val="center"/>
          </w:tcPr>
          <w:p>
            <w:pPr>
              <w:widowControl/>
              <w:jc w:val="center"/>
              <w:rPr>
                <w:color w:val="FF0000"/>
                <w:kern w:val="0"/>
                <w:szCs w:val="21"/>
                <w:u w:val="wave"/>
              </w:rPr>
            </w:pPr>
            <w:r>
              <w:rPr>
                <w:rFonts w:hint="eastAsia"/>
                <w:color w:val="FF0000"/>
                <w:kern w:val="0"/>
                <w:szCs w:val="21"/>
                <w:u w:val="wave"/>
                <w:lang w:val="en-US" w:eastAsia="zh-CN"/>
              </w:rPr>
              <w:t>南侧楼堂居民</w:t>
            </w:r>
          </w:p>
        </w:tc>
        <w:tc>
          <w:tcPr>
            <w:tcW w:w="1187" w:type="pct"/>
            <w:vAlign w:val="center"/>
          </w:tcPr>
          <w:p>
            <w:pPr>
              <w:widowControl/>
              <w:jc w:val="center"/>
              <w:rPr>
                <w:color w:val="FF0000"/>
                <w:kern w:val="0"/>
                <w:szCs w:val="21"/>
                <w:u w:val="wave"/>
              </w:rPr>
            </w:pPr>
            <w:r>
              <w:rPr>
                <w:color w:val="FF0000"/>
                <w:kern w:val="0"/>
                <w:szCs w:val="21"/>
                <w:u w:val="wave"/>
              </w:rPr>
              <w:t>NH</w:t>
            </w:r>
            <w:r>
              <w:rPr>
                <w:color w:val="FF0000"/>
                <w:kern w:val="0"/>
                <w:szCs w:val="21"/>
                <w:u w:val="wave"/>
                <w:vertAlign w:val="subscript"/>
              </w:rPr>
              <w:t>3</w:t>
            </w:r>
            <w:r>
              <w:rPr>
                <w:color w:val="FF0000"/>
                <w:kern w:val="0"/>
                <w:szCs w:val="21"/>
                <w:u w:val="wave"/>
              </w:rPr>
              <w:t>、H</w:t>
            </w:r>
            <w:r>
              <w:rPr>
                <w:color w:val="FF0000"/>
                <w:kern w:val="0"/>
                <w:szCs w:val="21"/>
                <w:u w:val="wave"/>
                <w:vertAlign w:val="subscript"/>
              </w:rPr>
              <w:t>2</w:t>
            </w:r>
            <w:r>
              <w:rPr>
                <w:color w:val="FF0000"/>
                <w:kern w:val="0"/>
                <w:szCs w:val="21"/>
                <w:u w:val="wave"/>
              </w:rPr>
              <w:t>S</w:t>
            </w:r>
          </w:p>
        </w:tc>
        <w:tc>
          <w:tcPr>
            <w:tcW w:w="1612" w:type="pct"/>
            <w:vAlign w:val="center"/>
          </w:tcPr>
          <w:p>
            <w:pPr>
              <w:autoSpaceDE w:val="0"/>
              <w:autoSpaceDN w:val="0"/>
              <w:adjustRightInd w:val="0"/>
              <w:jc w:val="center"/>
              <w:rPr>
                <w:color w:val="FF0000"/>
                <w:kern w:val="0"/>
                <w:szCs w:val="21"/>
                <w:u w:val="wave"/>
              </w:rPr>
            </w:pPr>
            <w:r>
              <w:rPr>
                <w:color w:val="FF0000"/>
                <w:kern w:val="0"/>
                <w:szCs w:val="21"/>
                <w:u w:val="wave"/>
              </w:rPr>
              <w:t>每</w:t>
            </w:r>
            <w:r>
              <w:rPr>
                <w:rFonts w:hint="eastAsia"/>
                <w:color w:val="FF0000"/>
                <w:kern w:val="0"/>
                <w:szCs w:val="21"/>
                <w:u w:val="wave"/>
              </w:rPr>
              <w:t>年</w:t>
            </w:r>
            <w:r>
              <w:rPr>
                <w:color w:val="FF0000"/>
                <w:kern w:val="0"/>
                <w:szCs w:val="21"/>
                <w:u w:val="wave"/>
              </w:rPr>
              <w:t>一次</w:t>
            </w:r>
          </w:p>
        </w:tc>
      </w:tr>
    </w:tbl>
    <w:p>
      <w:pPr>
        <w:pStyle w:val="7"/>
        <w:adjustRightInd w:val="0"/>
        <w:snapToGrid w:val="0"/>
        <w:spacing w:before="0" w:after="0" w:line="360" w:lineRule="auto"/>
        <w:jc w:val="left"/>
        <w:rPr>
          <w:sz w:val="24"/>
          <w:szCs w:val="24"/>
        </w:rPr>
      </w:pPr>
      <w:r>
        <w:rPr>
          <w:rFonts w:hint="eastAsia"/>
          <w:sz w:val="24"/>
          <w:szCs w:val="24"/>
        </w:rPr>
        <w:t>9</w:t>
      </w:r>
      <w:r>
        <w:rPr>
          <w:sz w:val="24"/>
          <w:szCs w:val="24"/>
        </w:rPr>
        <w:t>.</w:t>
      </w:r>
      <w:r>
        <w:rPr>
          <w:rFonts w:hint="eastAsia"/>
          <w:sz w:val="24"/>
          <w:szCs w:val="24"/>
        </w:rPr>
        <w:t>5.2 监测实施和成果的管理</w:t>
      </w:r>
    </w:p>
    <w:p>
      <w:pPr>
        <w:autoSpaceDE w:val="0"/>
        <w:autoSpaceDN w:val="0"/>
        <w:adjustRightInd w:val="0"/>
        <w:spacing w:line="360" w:lineRule="auto"/>
        <w:ind w:firstLine="480" w:firstLineChars="200"/>
        <w:rPr>
          <w:rFonts w:ascii="宋体" w:hAnsi="宋体" w:cs="宋体"/>
          <w:kern w:val="0"/>
          <w:sz w:val="24"/>
        </w:rPr>
      </w:pPr>
      <w:r>
        <w:rPr>
          <w:rFonts w:hint="eastAsia" w:ascii="宋体" w:hAnsi="宋体" w:cs="宋体"/>
          <w:kern w:val="0"/>
          <w:sz w:val="24"/>
        </w:rPr>
        <w:t>在项目试运行后立即委托监测机构进行一次污染源的全面监测，并对废气治理设备、污水处理设施以及噪声控制设施、固废储存处置情况进行一次全面的验收。主要验证污染物排放是否达到排放标准和总量控制的规定以确定有无达到本报告书的要求，并将结果上报当地环保主管部门。</w:t>
      </w:r>
    </w:p>
    <w:p>
      <w:pPr>
        <w:autoSpaceDE w:val="0"/>
        <w:autoSpaceDN w:val="0"/>
        <w:adjustRightInd w:val="0"/>
        <w:spacing w:line="360" w:lineRule="auto"/>
        <w:ind w:firstLine="480" w:firstLineChars="200"/>
        <w:rPr>
          <w:rFonts w:ascii="宋体" w:hAnsi="宋体" w:cs="宋体"/>
          <w:kern w:val="0"/>
          <w:sz w:val="24"/>
        </w:rPr>
      </w:pPr>
      <w:r>
        <w:rPr>
          <w:rFonts w:hint="eastAsia" w:ascii="宋体" w:hAnsi="宋体" w:cs="宋体"/>
          <w:kern w:val="0"/>
          <w:sz w:val="24"/>
        </w:rPr>
        <w:t>工程验收合格后，企业应根据监测计划，定期对污染源进行监测，监测结果在监测结束后一个月内上报当地环保主管部门。</w:t>
      </w:r>
    </w:p>
    <w:p>
      <w:pPr>
        <w:spacing w:line="360" w:lineRule="auto"/>
        <w:ind w:firstLine="480" w:firstLineChars="200"/>
        <w:rPr>
          <w:rFonts w:ascii="宋体" w:hAnsi="宋体" w:cs="宋体"/>
          <w:kern w:val="0"/>
          <w:sz w:val="24"/>
        </w:rPr>
      </w:pPr>
      <w:r>
        <w:rPr>
          <w:rFonts w:hint="eastAsia" w:ascii="宋体" w:hAnsi="宋体" w:cs="宋体"/>
          <w:kern w:val="0"/>
          <w:sz w:val="24"/>
        </w:rPr>
        <w:t>监测数据应由本公司和当地环境监测站分别建立数据库统一存档，作为编制环境质量报告书和监测年鉴的原始材料。监测数据应长期保存，并定期接受当地环保主管部门的考核。</w:t>
      </w:r>
    </w:p>
    <w:p>
      <w:pPr>
        <w:spacing w:before="140" w:after="140"/>
        <w:outlineLvl w:val="1"/>
        <w:rPr>
          <w:b/>
          <w:bCs/>
          <w:sz w:val="30"/>
          <w:szCs w:val="30"/>
        </w:rPr>
      </w:pPr>
      <w:bookmarkStart w:id="361" w:name="_Toc123886437"/>
      <w:r>
        <w:rPr>
          <w:rFonts w:hint="eastAsia"/>
          <w:b/>
          <w:bCs/>
          <w:sz w:val="30"/>
          <w:szCs w:val="30"/>
        </w:rPr>
        <w:t>9</w:t>
      </w:r>
      <w:r>
        <w:rPr>
          <w:b/>
          <w:bCs/>
          <w:sz w:val="30"/>
          <w:szCs w:val="30"/>
        </w:rPr>
        <w:t>.</w:t>
      </w:r>
      <w:r>
        <w:rPr>
          <w:rFonts w:hint="eastAsia"/>
          <w:b/>
          <w:bCs/>
          <w:sz w:val="30"/>
          <w:szCs w:val="30"/>
        </w:rPr>
        <w:t xml:space="preserve">6 </w:t>
      </w:r>
      <w:r>
        <w:rPr>
          <w:b/>
          <w:bCs/>
          <w:sz w:val="30"/>
          <w:szCs w:val="30"/>
        </w:rPr>
        <w:t>建设项目环境保护“环保设施竣工”验收内容</w:t>
      </w:r>
      <w:bookmarkEnd w:id="361"/>
    </w:p>
    <w:p>
      <w:pPr>
        <w:pStyle w:val="232"/>
        <w:ind w:firstLine="480"/>
        <w:rPr>
          <w:rFonts w:ascii="Times New Roman" w:hAnsi="Times New Roman"/>
        </w:rPr>
      </w:pPr>
      <w:r>
        <w:rPr>
          <w:rFonts w:ascii="Times New Roman" w:hAnsi="Times New Roman"/>
        </w:rPr>
        <w:t>建设单位应对本报告书涉及的环保措施予以重视，逐项落实，在环保措施建成验收以前不得投入运营，表</w:t>
      </w:r>
      <w:r>
        <w:rPr>
          <w:rFonts w:hint="eastAsia" w:ascii="Times New Roman" w:hAnsi="Times New Roman"/>
        </w:rPr>
        <w:t>9.6-1</w:t>
      </w:r>
      <w:r>
        <w:rPr>
          <w:rFonts w:ascii="Times New Roman" w:hAnsi="Times New Roman"/>
        </w:rPr>
        <w:t>列出了本项目应当实施的环保项目，供环保监测与管理部门验收参考。</w:t>
      </w:r>
    </w:p>
    <w:p>
      <w:pPr>
        <w:pStyle w:val="17"/>
        <w:spacing w:beforeLines="50"/>
        <w:rPr>
          <w:rFonts w:ascii="Times New Roman" w:hAnsi="Times New Roman" w:cs="Times New Roman"/>
          <w:color w:val="auto"/>
          <w:sz w:val="21"/>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pPr>
        <w:pStyle w:val="17"/>
        <w:spacing w:beforeLines="50"/>
        <w:rPr>
          <w:rFonts w:ascii="Times New Roman" w:hAnsi="Times New Roman" w:cs="Times New Roman"/>
          <w:color w:val="auto"/>
          <w:sz w:val="21"/>
        </w:rPr>
      </w:pPr>
      <w:r>
        <w:rPr>
          <w:rFonts w:ascii="Times New Roman" w:hAnsi="Times New Roman" w:cs="Times New Roman"/>
          <w:color w:val="auto"/>
          <w:sz w:val="21"/>
        </w:rPr>
        <w:t>表</w:t>
      </w:r>
      <w:r>
        <w:rPr>
          <w:rFonts w:hint="eastAsia" w:ascii="Times New Roman" w:hAnsi="Times New Roman" w:cs="Times New Roman"/>
          <w:color w:val="auto"/>
          <w:sz w:val="21"/>
        </w:rPr>
        <w:t>9.6</w:t>
      </w:r>
      <w:r>
        <w:rPr>
          <w:rFonts w:ascii="Times New Roman" w:hAnsi="Times New Roman" w:cs="Times New Roman"/>
          <w:color w:val="auto"/>
          <w:sz w:val="21"/>
        </w:rPr>
        <w:t>-1  环境保护竣工验收</w:t>
      </w:r>
    </w:p>
    <w:tbl>
      <w:tblPr>
        <w:tblStyle w:val="4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58"/>
        <w:gridCol w:w="850"/>
        <w:gridCol w:w="2126"/>
        <w:gridCol w:w="6378"/>
        <w:gridCol w:w="38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Align w:val="center"/>
          </w:tcPr>
          <w:p>
            <w:pPr>
              <w:pStyle w:val="17"/>
              <w:rPr>
                <w:rFonts w:ascii="Times New Roman" w:hAnsi="Times New Roman" w:cs="Times New Roman" w:eastAsiaTheme="majorEastAsia"/>
                <w:color w:val="auto"/>
                <w:sz w:val="21"/>
              </w:rPr>
            </w:pPr>
            <w:r>
              <w:rPr>
                <w:rFonts w:ascii="Times New Roman" w:cs="Times New Roman" w:hAnsiTheme="majorEastAsia" w:eastAsiaTheme="majorEastAsia"/>
                <w:color w:val="auto"/>
                <w:sz w:val="21"/>
              </w:rPr>
              <w:t>阶段</w:t>
            </w:r>
          </w:p>
        </w:tc>
        <w:tc>
          <w:tcPr>
            <w:tcW w:w="300" w:type="pct"/>
            <w:vAlign w:val="center"/>
          </w:tcPr>
          <w:p>
            <w:pPr>
              <w:pStyle w:val="17"/>
              <w:rPr>
                <w:rFonts w:ascii="Times New Roman" w:hAnsi="Times New Roman" w:cs="Times New Roman" w:eastAsiaTheme="majorEastAsia"/>
                <w:color w:val="auto"/>
                <w:sz w:val="21"/>
              </w:rPr>
            </w:pPr>
            <w:r>
              <w:rPr>
                <w:rFonts w:ascii="Times New Roman" w:cs="Times New Roman" w:hAnsiTheme="majorEastAsia" w:eastAsiaTheme="majorEastAsia"/>
                <w:color w:val="auto"/>
                <w:sz w:val="21"/>
              </w:rPr>
              <w:t>类别</w:t>
            </w:r>
          </w:p>
        </w:tc>
        <w:tc>
          <w:tcPr>
            <w:tcW w:w="750" w:type="pct"/>
            <w:vAlign w:val="center"/>
          </w:tcPr>
          <w:p>
            <w:pPr>
              <w:pStyle w:val="17"/>
              <w:rPr>
                <w:rFonts w:ascii="Times New Roman" w:hAnsi="Times New Roman" w:cs="Times New Roman" w:eastAsiaTheme="majorEastAsia"/>
                <w:color w:val="auto"/>
                <w:sz w:val="21"/>
              </w:rPr>
            </w:pPr>
            <w:r>
              <w:rPr>
                <w:rFonts w:ascii="Times New Roman" w:cs="Times New Roman" w:hAnsiTheme="majorEastAsia" w:eastAsiaTheme="majorEastAsia"/>
                <w:color w:val="auto"/>
                <w:sz w:val="21"/>
              </w:rPr>
              <w:t>污染源</w:t>
            </w:r>
          </w:p>
        </w:tc>
        <w:tc>
          <w:tcPr>
            <w:tcW w:w="2250" w:type="pct"/>
            <w:vAlign w:val="center"/>
          </w:tcPr>
          <w:p>
            <w:pPr>
              <w:pStyle w:val="17"/>
              <w:rPr>
                <w:rFonts w:ascii="Times New Roman" w:hAnsi="Times New Roman" w:cs="Times New Roman" w:eastAsiaTheme="majorEastAsia"/>
                <w:color w:val="auto"/>
                <w:sz w:val="21"/>
              </w:rPr>
            </w:pPr>
            <w:r>
              <w:rPr>
                <w:rFonts w:ascii="Times New Roman" w:cs="Times New Roman" w:hAnsiTheme="majorEastAsia" w:eastAsiaTheme="majorEastAsia"/>
                <w:color w:val="auto"/>
                <w:sz w:val="21"/>
              </w:rPr>
              <w:t>治理措施</w:t>
            </w:r>
          </w:p>
        </w:tc>
        <w:tc>
          <w:tcPr>
            <w:tcW w:w="1362" w:type="pct"/>
            <w:vAlign w:val="center"/>
          </w:tcPr>
          <w:p>
            <w:pPr>
              <w:pStyle w:val="17"/>
              <w:rPr>
                <w:rFonts w:ascii="Times New Roman" w:hAnsi="Times New Roman" w:cs="Times New Roman" w:eastAsiaTheme="majorEastAsia"/>
                <w:color w:val="auto"/>
                <w:sz w:val="21"/>
              </w:rPr>
            </w:pPr>
            <w:r>
              <w:rPr>
                <w:rFonts w:ascii="Times New Roman" w:cs="Times New Roman" w:hAnsiTheme="majorEastAsia" w:eastAsiaTheme="majorEastAsia"/>
                <w:color w:val="auto"/>
                <w:sz w:val="21"/>
              </w:rPr>
              <w:t>处理效果、执行标准或拟达要求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Merge w:val="restart"/>
            <w:vAlign w:val="center"/>
          </w:tcPr>
          <w:p>
            <w:pPr>
              <w:pStyle w:val="17"/>
              <w:rPr>
                <w:rFonts w:ascii="Times New Roman" w:hAnsi="Times New Roman" w:cs="Times New Roman" w:eastAsiaTheme="majorEastAsia"/>
                <w:b w:val="0"/>
                <w:color w:val="auto"/>
                <w:sz w:val="21"/>
              </w:rPr>
            </w:pPr>
            <w:r>
              <w:rPr>
                <w:rFonts w:ascii="Times New Roman" w:cs="Times New Roman" w:hAnsiTheme="majorEastAsia" w:eastAsiaTheme="majorEastAsia"/>
                <w:b w:val="0"/>
                <w:color w:val="auto"/>
                <w:sz w:val="21"/>
              </w:rPr>
              <w:t>施工期</w:t>
            </w:r>
          </w:p>
        </w:tc>
        <w:tc>
          <w:tcPr>
            <w:tcW w:w="300" w:type="pc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废水</w:t>
            </w:r>
          </w:p>
        </w:tc>
        <w:tc>
          <w:tcPr>
            <w:tcW w:w="750" w:type="pct"/>
            <w:vAlign w:val="center"/>
          </w:tcPr>
          <w:p>
            <w:pPr>
              <w:pStyle w:val="17"/>
              <w:rPr>
                <w:rFonts w:ascii="Times New Roman" w:hAnsi="Times New Roman" w:cs="Times New Roman" w:eastAsiaTheme="majorEastAsia"/>
                <w:b w:val="0"/>
                <w:color w:val="auto"/>
                <w:sz w:val="21"/>
              </w:rPr>
            </w:pPr>
            <w:r>
              <w:rPr>
                <w:rFonts w:ascii="Times New Roman" w:cs="Times New Roman" w:hAnsiTheme="majorEastAsia" w:eastAsiaTheme="majorEastAsia"/>
                <w:b w:val="0"/>
                <w:color w:val="auto"/>
                <w:sz w:val="21"/>
              </w:rPr>
              <w:t>扬尘、车辆尾气等</w:t>
            </w:r>
          </w:p>
        </w:tc>
        <w:tc>
          <w:tcPr>
            <w:tcW w:w="2250" w:type="pc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施工废水沉淀池、隔油池、临时排水沟、施工材料防雨遮雨设施</w:t>
            </w:r>
          </w:p>
        </w:tc>
        <w:tc>
          <w:tcPr>
            <w:tcW w:w="1362" w:type="pct"/>
            <w:vMerge w:val="restart"/>
            <w:vAlign w:val="center"/>
          </w:tcPr>
          <w:p>
            <w:pPr>
              <w:pStyle w:val="17"/>
              <w:rPr>
                <w:rFonts w:ascii="Times New Roman" w:hAnsi="Times New Roman" w:cs="Times New Roman" w:eastAsiaTheme="majorEastAsia"/>
                <w:b w:val="0"/>
                <w:color w:val="auto"/>
                <w:sz w:val="21"/>
              </w:rPr>
            </w:pPr>
            <w:r>
              <w:rPr>
                <w:rFonts w:ascii="Times New Roman" w:cs="Times New Roman" w:hAnsiTheme="majorEastAsia" w:eastAsiaTheme="majorEastAsia"/>
                <w:b w:val="0"/>
                <w:color w:val="auto"/>
                <w:sz w:val="21"/>
              </w:rPr>
              <w:t>建设单位严格执行环评要求，落实各项施工期环保治理措施，施工期间无居民投诉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Merge w:val="continue"/>
            <w:vAlign w:val="center"/>
          </w:tcPr>
          <w:p>
            <w:pPr>
              <w:pStyle w:val="17"/>
              <w:rPr>
                <w:rFonts w:ascii="Times New Roman" w:hAnsi="Times New Roman" w:cs="Times New Roman" w:eastAsiaTheme="majorEastAsia"/>
                <w:b w:val="0"/>
                <w:color w:val="auto"/>
                <w:sz w:val="21"/>
              </w:rPr>
            </w:pPr>
          </w:p>
        </w:tc>
        <w:tc>
          <w:tcPr>
            <w:tcW w:w="300" w:type="pc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废气</w:t>
            </w:r>
          </w:p>
        </w:tc>
        <w:tc>
          <w:tcPr>
            <w:tcW w:w="750" w:type="pct"/>
            <w:vAlign w:val="center"/>
          </w:tcPr>
          <w:p>
            <w:pPr>
              <w:pStyle w:val="17"/>
              <w:rPr>
                <w:rFonts w:ascii="Times New Roman" w:hAnsi="Times New Roman" w:cs="Times New Roman" w:eastAsiaTheme="majorEastAsia"/>
                <w:b w:val="0"/>
                <w:color w:val="auto"/>
                <w:sz w:val="21"/>
              </w:rPr>
            </w:pPr>
            <w:r>
              <w:rPr>
                <w:rFonts w:ascii="Times New Roman" w:cs="Times New Roman" w:hAnsiTheme="majorEastAsia" w:eastAsiaTheme="majorEastAsia"/>
                <w:b w:val="0"/>
                <w:color w:val="auto"/>
                <w:sz w:val="21"/>
              </w:rPr>
              <w:t>施工废水、生活污水</w:t>
            </w:r>
          </w:p>
        </w:tc>
        <w:tc>
          <w:tcPr>
            <w:tcW w:w="2250" w:type="pc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施工期遮挡围墙、帷幕、路面硬化、车辆冲洗设</w:t>
            </w:r>
          </w:p>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施、洒水抑尘</w:t>
            </w:r>
          </w:p>
        </w:tc>
        <w:tc>
          <w:tcPr>
            <w:tcW w:w="1362" w:type="pct"/>
            <w:vMerge w:val="continue"/>
            <w:vAlign w:val="center"/>
          </w:tcPr>
          <w:p>
            <w:pPr>
              <w:pStyle w:val="17"/>
              <w:rPr>
                <w:rFonts w:ascii="Times New Roman" w:hAnsi="Times New Roman" w:cs="Times New Roman" w:eastAsiaTheme="majorEastAsia"/>
                <w:b w:val="0"/>
                <w:color w:val="auto"/>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Merge w:val="continue"/>
            <w:vAlign w:val="center"/>
          </w:tcPr>
          <w:p>
            <w:pPr>
              <w:pStyle w:val="17"/>
              <w:rPr>
                <w:rFonts w:ascii="Times New Roman" w:hAnsi="Times New Roman" w:cs="Times New Roman" w:eastAsiaTheme="majorEastAsia"/>
                <w:b w:val="0"/>
                <w:color w:val="auto"/>
                <w:sz w:val="21"/>
              </w:rPr>
            </w:pPr>
          </w:p>
        </w:tc>
        <w:tc>
          <w:tcPr>
            <w:tcW w:w="300" w:type="pc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噪声</w:t>
            </w:r>
          </w:p>
        </w:tc>
        <w:tc>
          <w:tcPr>
            <w:tcW w:w="750" w:type="pct"/>
            <w:vAlign w:val="center"/>
          </w:tcPr>
          <w:p>
            <w:pPr>
              <w:pStyle w:val="17"/>
              <w:rPr>
                <w:rFonts w:ascii="Times New Roman" w:hAnsi="Times New Roman" w:cs="Times New Roman" w:eastAsiaTheme="majorEastAsia"/>
                <w:b w:val="0"/>
                <w:color w:val="auto"/>
                <w:sz w:val="21"/>
              </w:rPr>
            </w:pPr>
            <w:r>
              <w:rPr>
                <w:rFonts w:ascii="Times New Roman" w:cs="Times New Roman" w:hAnsiTheme="majorEastAsia" w:eastAsiaTheme="majorEastAsia"/>
                <w:b w:val="0"/>
                <w:color w:val="auto"/>
                <w:sz w:val="21"/>
              </w:rPr>
              <w:t>施工机械和运输噪声</w:t>
            </w:r>
          </w:p>
        </w:tc>
        <w:tc>
          <w:tcPr>
            <w:tcW w:w="2250" w:type="pc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施工期临时隔声屏等临时降噪措施</w:t>
            </w:r>
          </w:p>
        </w:tc>
        <w:tc>
          <w:tcPr>
            <w:tcW w:w="1362" w:type="pct"/>
            <w:vMerge w:val="continue"/>
            <w:vAlign w:val="center"/>
          </w:tcPr>
          <w:p>
            <w:pPr>
              <w:pStyle w:val="17"/>
              <w:rPr>
                <w:rFonts w:ascii="Times New Roman" w:hAnsi="Times New Roman" w:cs="Times New Roman" w:eastAsiaTheme="majorEastAsia"/>
                <w:b w:val="0"/>
                <w:color w:val="auto"/>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Merge w:val="continue"/>
            <w:vAlign w:val="center"/>
          </w:tcPr>
          <w:p>
            <w:pPr>
              <w:pStyle w:val="17"/>
              <w:rPr>
                <w:rFonts w:ascii="Times New Roman" w:hAnsi="Times New Roman" w:cs="Times New Roman" w:eastAsiaTheme="majorEastAsia"/>
                <w:b w:val="0"/>
                <w:color w:val="auto"/>
                <w:sz w:val="21"/>
              </w:rPr>
            </w:pPr>
          </w:p>
        </w:tc>
        <w:tc>
          <w:tcPr>
            <w:tcW w:w="300" w:type="pc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固体废弃物</w:t>
            </w:r>
          </w:p>
        </w:tc>
        <w:tc>
          <w:tcPr>
            <w:tcW w:w="750" w:type="pct"/>
            <w:vAlign w:val="center"/>
          </w:tcPr>
          <w:p>
            <w:pPr>
              <w:pStyle w:val="17"/>
              <w:rPr>
                <w:rFonts w:ascii="Times New Roman" w:hAnsi="Times New Roman" w:cs="Times New Roman" w:eastAsiaTheme="majorEastAsia"/>
                <w:b w:val="0"/>
                <w:color w:val="auto"/>
                <w:sz w:val="21"/>
              </w:rPr>
            </w:pPr>
            <w:r>
              <w:rPr>
                <w:rFonts w:ascii="Times New Roman" w:cs="Times New Roman" w:hAnsiTheme="majorEastAsia" w:eastAsiaTheme="majorEastAsia"/>
                <w:b w:val="0"/>
                <w:color w:val="auto"/>
                <w:sz w:val="21"/>
              </w:rPr>
              <w:t>建筑垃圾、生活垃圾</w:t>
            </w:r>
          </w:p>
        </w:tc>
        <w:tc>
          <w:tcPr>
            <w:tcW w:w="2250" w:type="pct"/>
            <w:vAlign w:val="center"/>
          </w:tcPr>
          <w:p>
            <w:pPr>
              <w:pStyle w:val="17"/>
              <w:rPr>
                <w:rFonts w:ascii="Times New Roman" w:hAnsi="Times New Roman" w:cs="Times New Roman"/>
                <w:b w:val="0"/>
                <w:color w:val="auto"/>
                <w:sz w:val="21"/>
              </w:rPr>
            </w:pPr>
            <w:r>
              <w:rPr>
                <w:rFonts w:hint="eastAsia" w:ascii="Times New Roman" w:hAnsi="Times New Roman" w:cs="Times New Roman"/>
                <w:b w:val="0"/>
                <w:color w:val="auto"/>
                <w:sz w:val="21"/>
              </w:rPr>
              <w:t>分类收集、合理处置</w:t>
            </w:r>
          </w:p>
        </w:tc>
        <w:tc>
          <w:tcPr>
            <w:tcW w:w="1362" w:type="pct"/>
            <w:vMerge w:val="continue"/>
            <w:vAlign w:val="center"/>
          </w:tcPr>
          <w:p>
            <w:pPr>
              <w:pStyle w:val="17"/>
              <w:rPr>
                <w:rFonts w:ascii="Times New Roman" w:hAnsi="Times New Roman" w:cs="Times New Roman" w:eastAsiaTheme="majorEastAsia"/>
                <w:b w:val="0"/>
                <w:color w:val="auto"/>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Merge w:val="restart"/>
            <w:vAlign w:val="center"/>
          </w:tcPr>
          <w:p>
            <w:pPr>
              <w:pStyle w:val="17"/>
              <w:rPr>
                <w:rFonts w:ascii="Times New Roman" w:hAnsi="Times New Roman" w:cs="Times New Roman" w:eastAsiaTheme="majorEastAsia"/>
                <w:b w:val="0"/>
                <w:color w:val="auto"/>
                <w:sz w:val="21"/>
              </w:rPr>
            </w:pPr>
            <w:r>
              <w:rPr>
                <w:rFonts w:ascii="Times New Roman" w:cs="Times New Roman" w:hAnsiTheme="majorEastAsia" w:eastAsiaTheme="majorEastAsia"/>
                <w:b w:val="0"/>
                <w:color w:val="auto"/>
                <w:sz w:val="21"/>
              </w:rPr>
              <w:t>运营期</w:t>
            </w:r>
          </w:p>
        </w:tc>
        <w:tc>
          <w:tcPr>
            <w:tcW w:w="300" w:type="pct"/>
            <w:vMerge w:val="restart"/>
            <w:vAlign w:val="center"/>
          </w:tcPr>
          <w:p>
            <w:pPr>
              <w:pStyle w:val="17"/>
              <w:rPr>
                <w:rFonts w:ascii="Times New Roman" w:hAnsi="Times New Roman" w:cs="Times New Roman" w:eastAsiaTheme="majorEastAsia"/>
                <w:b w:val="0"/>
                <w:color w:val="auto"/>
                <w:sz w:val="21"/>
              </w:rPr>
            </w:pPr>
            <w:r>
              <w:rPr>
                <w:rFonts w:ascii="Times New Roman" w:cs="Times New Roman" w:hAnsiTheme="majorEastAsia" w:eastAsiaTheme="majorEastAsia"/>
                <w:b w:val="0"/>
                <w:color w:val="auto"/>
                <w:sz w:val="21"/>
              </w:rPr>
              <w:t>废水</w:t>
            </w:r>
          </w:p>
        </w:tc>
        <w:tc>
          <w:tcPr>
            <w:tcW w:w="750" w:type="pct"/>
            <w:vAlign w:val="center"/>
          </w:tcPr>
          <w:p>
            <w:pPr>
              <w:pStyle w:val="17"/>
              <w:rPr>
                <w:rFonts w:ascii="Times New Roman" w:hAnsi="Times New Roman" w:cs="Times New Roman" w:eastAsiaTheme="majorEastAsia"/>
                <w:b w:val="0"/>
                <w:color w:val="auto"/>
                <w:sz w:val="21"/>
              </w:rPr>
            </w:pPr>
            <w:r>
              <w:rPr>
                <w:rFonts w:ascii="Times New Roman" w:hAnsi="Times New Roman" w:cs="Times New Roman" w:eastAsiaTheme="majorEastAsia"/>
                <w:b w:val="0"/>
                <w:color w:val="auto"/>
                <w:sz w:val="21"/>
              </w:rPr>
              <w:t>综合废水</w:t>
            </w:r>
          </w:p>
        </w:tc>
        <w:tc>
          <w:tcPr>
            <w:tcW w:w="2250" w:type="pct"/>
            <w:vAlign w:val="center"/>
          </w:tcPr>
          <w:p>
            <w:pPr>
              <w:widowControl/>
              <w:jc w:val="center"/>
              <w:rPr>
                <w:rFonts w:hint="default" w:eastAsiaTheme="minorEastAsia"/>
                <w:kern w:val="0"/>
                <w:szCs w:val="21"/>
                <w:lang w:val="en-US" w:eastAsia="zh-CN"/>
              </w:rPr>
            </w:pPr>
            <w:r>
              <w:rPr>
                <w:rFonts w:hint="eastAsia" w:eastAsiaTheme="minorEastAsia"/>
                <w:kern w:val="0"/>
                <w:szCs w:val="21"/>
              </w:rPr>
              <w:t>隔油池；污水处理站2座，设计总规格10m</w:t>
            </w:r>
            <w:r>
              <w:rPr>
                <w:rFonts w:hint="eastAsia" w:eastAsiaTheme="minorEastAsia"/>
                <w:kern w:val="0"/>
                <w:szCs w:val="21"/>
                <w:vertAlign w:val="superscript"/>
              </w:rPr>
              <w:t>3</w:t>
            </w:r>
            <w:r>
              <w:rPr>
                <w:rFonts w:hint="eastAsia" w:eastAsiaTheme="minorEastAsia"/>
                <w:kern w:val="0"/>
                <w:szCs w:val="21"/>
              </w:rPr>
              <w:t>/d；废水贮存池；废水处理达标后回用于周边种植基地灌溉，不外排</w:t>
            </w:r>
            <w:r>
              <w:rPr>
                <w:rFonts w:hint="eastAsia" w:eastAsiaTheme="minorEastAsia"/>
                <w:kern w:val="0"/>
                <w:szCs w:val="21"/>
                <w:lang w:eastAsia="zh-CN"/>
              </w:rPr>
              <w:t>；</w:t>
            </w:r>
            <w:r>
              <w:rPr>
                <w:rFonts w:hint="eastAsia" w:eastAsiaTheme="minorEastAsia"/>
                <w:kern w:val="0"/>
                <w:szCs w:val="21"/>
                <w:lang w:val="en-US" w:eastAsia="zh-CN"/>
              </w:rPr>
              <w:t>污水收集</w:t>
            </w:r>
            <w:r>
              <w:rPr>
                <w:rFonts w:eastAsiaTheme="minorEastAsia"/>
                <w:kern w:val="0"/>
                <w:szCs w:val="21"/>
              </w:rPr>
              <w:t>管网</w:t>
            </w:r>
          </w:p>
        </w:tc>
        <w:tc>
          <w:tcPr>
            <w:tcW w:w="1362" w:type="pct"/>
            <w:vAlign w:val="center"/>
          </w:tcPr>
          <w:p>
            <w:pPr>
              <w:pStyle w:val="146"/>
              <w:ind w:firstLine="210"/>
              <w:jc w:val="center"/>
              <w:rPr>
                <w:rFonts w:eastAsiaTheme="minorEastAsia"/>
                <w:sz w:val="21"/>
                <w:szCs w:val="21"/>
              </w:rPr>
            </w:pPr>
            <w:r>
              <w:rPr>
                <w:rFonts w:hint="eastAsia" w:ascii="Times New Roman" w:cs="Times New Roman" w:eastAsiaTheme="majorEastAsia"/>
                <w:color w:val="auto"/>
                <w:kern w:val="2"/>
                <w:sz w:val="21"/>
                <w:szCs w:val="21"/>
              </w:rPr>
              <w:t>废水不外排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Merge w:val="continue"/>
            <w:vAlign w:val="center"/>
          </w:tcPr>
          <w:p>
            <w:pPr>
              <w:pStyle w:val="17"/>
              <w:rPr>
                <w:rFonts w:ascii="Times New Roman" w:cs="Times New Roman" w:hAnsiTheme="majorEastAsia" w:eastAsiaTheme="majorEastAsia"/>
                <w:b w:val="0"/>
                <w:color w:val="auto"/>
                <w:sz w:val="21"/>
              </w:rPr>
            </w:pPr>
          </w:p>
        </w:tc>
        <w:tc>
          <w:tcPr>
            <w:tcW w:w="300" w:type="pct"/>
            <w:vMerge w:val="continue"/>
            <w:vAlign w:val="center"/>
          </w:tcPr>
          <w:p>
            <w:pPr>
              <w:pStyle w:val="17"/>
              <w:rPr>
                <w:rFonts w:ascii="Times New Roman" w:cs="Times New Roman" w:hAnsiTheme="majorEastAsia" w:eastAsiaTheme="majorEastAsia"/>
                <w:b w:val="0"/>
                <w:color w:val="auto"/>
                <w:sz w:val="21"/>
              </w:rPr>
            </w:pPr>
          </w:p>
        </w:tc>
        <w:tc>
          <w:tcPr>
            <w:tcW w:w="750" w:type="pct"/>
            <w:vAlign w:val="center"/>
          </w:tcPr>
          <w:p>
            <w:pPr>
              <w:pStyle w:val="17"/>
              <w:rPr>
                <w:rFonts w:ascii="Times New Roman" w:hAnsi="Times New Roman" w:cs="Times New Roman" w:eastAsiaTheme="majorEastAsia"/>
                <w:b w:val="0"/>
                <w:color w:val="auto"/>
                <w:sz w:val="21"/>
              </w:rPr>
            </w:pPr>
            <w:r>
              <w:rPr>
                <w:rFonts w:ascii="Times New Roman" w:hAnsi="Times New Roman" w:cs="Times New Roman" w:eastAsiaTheme="majorEastAsia"/>
                <w:b w:val="0"/>
                <w:color w:val="auto"/>
                <w:sz w:val="21"/>
              </w:rPr>
              <w:t>雨水</w:t>
            </w:r>
          </w:p>
        </w:tc>
        <w:tc>
          <w:tcPr>
            <w:tcW w:w="2250" w:type="pct"/>
            <w:vAlign w:val="center"/>
          </w:tcPr>
          <w:p>
            <w:pPr>
              <w:widowControl/>
              <w:jc w:val="center"/>
              <w:rPr>
                <w:rFonts w:eastAsiaTheme="minorEastAsia"/>
                <w:kern w:val="0"/>
                <w:szCs w:val="21"/>
              </w:rPr>
            </w:pPr>
            <w:r>
              <w:rPr>
                <w:rFonts w:eastAsiaTheme="minorEastAsia"/>
                <w:kern w:val="0"/>
                <w:szCs w:val="21"/>
              </w:rPr>
              <w:t>雨污分流，截排水沟，雨水收集管网</w:t>
            </w:r>
          </w:p>
        </w:tc>
        <w:tc>
          <w:tcPr>
            <w:tcW w:w="1362" w:type="pct"/>
            <w:vAlign w:val="center"/>
          </w:tcPr>
          <w:p>
            <w:pPr>
              <w:pStyle w:val="146"/>
              <w:jc w:val="center"/>
              <w:rPr>
                <w:sz w:val="21"/>
                <w:szCs w:val="21"/>
              </w:rPr>
            </w:pPr>
            <w:r>
              <w:rPr>
                <w:rFonts w:hint="eastAsia" w:eastAsiaTheme="minorEastAsia"/>
                <w:sz w:val="21"/>
                <w:szCs w:val="21"/>
              </w:rPr>
              <w:t>实现“雨污分流”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Merge w:val="continue"/>
            <w:vAlign w:val="center"/>
          </w:tcPr>
          <w:p>
            <w:pPr>
              <w:pStyle w:val="17"/>
              <w:rPr>
                <w:rFonts w:ascii="Times New Roman" w:hAnsi="Times New Roman" w:cs="Times New Roman" w:eastAsiaTheme="majorEastAsia"/>
                <w:b w:val="0"/>
                <w:color w:val="auto"/>
                <w:sz w:val="21"/>
              </w:rPr>
            </w:pPr>
          </w:p>
        </w:tc>
        <w:tc>
          <w:tcPr>
            <w:tcW w:w="300" w:type="pct"/>
            <w:vMerge w:val="restart"/>
            <w:vAlign w:val="center"/>
          </w:tcPr>
          <w:p>
            <w:pPr>
              <w:pStyle w:val="17"/>
              <w:rPr>
                <w:rFonts w:ascii="Times New Roman" w:hAnsi="Times New Roman" w:cs="Times New Roman" w:eastAsiaTheme="majorEastAsia"/>
                <w:b w:val="0"/>
                <w:color w:val="auto"/>
                <w:sz w:val="21"/>
              </w:rPr>
            </w:pPr>
            <w:r>
              <w:rPr>
                <w:rFonts w:ascii="Times New Roman" w:cs="Times New Roman" w:hAnsiTheme="majorEastAsia" w:eastAsiaTheme="majorEastAsia"/>
                <w:b w:val="0"/>
                <w:color w:val="auto"/>
                <w:sz w:val="21"/>
              </w:rPr>
              <w:t>废气</w:t>
            </w:r>
          </w:p>
        </w:tc>
        <w:tc>
          <w:tcPr>
            <w:tcW w:w="750" w:type="pct"/>
            <w:vAlign w:val="center"/>
          </w:tcPr>
          <w:p>
            <w:pPr>
              <w:jc w:val="center"/>
              <w:rPr>
                <w:szCs w:val="21"/>
              </w:rPr>
            </w:pPr>
            <w:r>
              <w:rPr>
                <w:szCs w:val="21"/>
              </w:rPr>
              <w:t>鸡舍恶臭</w:t>
            </w:r>
          </w:p>
        </w:tc>
        <w:tc>
          <w:tcPr>
            <w:tcW w:w="2250" w:type="pct"/>
            <w:vAlign w:val="center"/>
          </w:tcPr>
          <w:p>
            <w:pPr>
              <w:jc w:val="center"/>
              <w:rPr>
                <w:szCs w:val="21"/>
              </w:rPr>
            </w:pPr>
            <w:r>
              <w:rPr>
                <w:rFonts w:hint="eastAsia" w:ascii="Times New Roman" w:hAnsi="Times New Roman" w:cs="Times New Roman" w:eastAsiaTheme="minorEastAsia"/>
                <w:color w:val="000000"/>
                <w:kern w:val="2"/>
                <w:sz w:val="21"/>
                <w:szCs w:val="21"/>
                <w:lang w:val="en-US" w:eastAsia="zh-CN" w:bidi="ar-SA"/>
              </w:rPr>
              <w:t>鸡粪采取带式自动清粪方式，日产日清，鸡舍定期喷洒生物处理液除臭；加强鸡舍通风；优化饲料配方，提高饲养技术，合理调配饲料，饲料中添加EM菌；加强场区内绿化管理，种植较高大的绿色植物</w:t>
            </w:r>
          </w:p>
        </w:tc>
        <w:tc>
          <w:tcPr>
            <w:tcW w:w="1362" w:type="pct"/>
            <w:vMerge w:val="restart"/>
            <w:vAlign w:val="center"/>
          </w:tcPr>
          <w:p>
            <w:pPr>
              <w:pStyle w:val="146"/>
              <w:jc w:val="center"/>
              <w:rPr>
                <w:rFonts w:ascii="Times New Roman" w:cs="Times New Roman" w:eastAsiaTheme="majorEastAsia"/>
                <w:color w:val="auto"/>
                <w:kern w:val="2"/>
                <w:sz w:val="21"/>
                <w:szCs w:val="21"/>
              </w:rPr>
            </w:pPr>
            <w:r>
              <w:rPr>
                <w:rFonts w:hint="eastAsia" w:ascii="Times New Roman" w:cs="Times New Roman" w:eastAsiaTheme="majorEastAsia"/>
                <w:color w:val="auto"/>
                <w:kern w:val="2"/>
                <w:sz w:val="21"/>
                <w:szCs w:val="21"/>
              </w:rPr>
              <w:t>NH</w:t>
            </w:r>
            <w:r>
              <w:rPr>
                <w:rFonts w:hint="eastAsia" w:ascii="Times New Roman" w:cs="Times New Roman" w:eastAsiaTheme="majorEastAsia"/>
                <w:color w:val="auto"/>
                <w:kern w:val="2"/>
                <w:sz w:val="21"/>
                <w:szCs w:val="21"/>
                <w:vertAlign w:val="subscript"/>
              </w:rPr>
              <w:t>3</w:t>
            </w:r>
            <w:r>
              <w:rPr>
                <w:rFonts w:hint="eastAsia" w:ascii="Times New Roman" w:cs="Times New Roman" w:eastAsiaTheme="majorEastAsia"/>
                <w:color w:val="auto"/>
                <w:kern w:val="2"/>
                <w:sz w:val="21"/>
                <w:szCs w:val="21"/>
              </w:rPr>
              <w:t>、H</w:t>
            </w:r>
            <w:r>
              <w:rPr>
                <w:rFonts w:hint="eastAsia" w:ascii="Times New Roman" w:cs="Times New Roman" w:eastAsiaTheme="majorEastAsia"/>
                <w:color w:val="auto"/>
                <w:kern w:val="2"/>
                <w:sz w:val="21"/>
                <w:szCs w:val="21"/>
                <w:vertAlign w:val="subscript"/>
              </w:rPr>
              <w:t>2</w:t>
            </w:r>
            <w:r>
              <w:rPr>
                <w:rFonts w:hint="eastAsia" w:ascii="Times New Roman" w:cs="Times New Roman" w:eastAsiaTheme="majorEastAsia"/>
                <w:color w:val="auto"/>
                <w:kern w:val="2"/>
                <w:sz w:val="21"/>
                <w:szCs w:val="21"/>
              </w:rPr>
              <w:t>S执行《恶臭污染物排放标准》中新改扩建二级标准限值要求，臭气浓度执行《畜禽养殖业污染物排放标准》</w:t>
            </w:r>
          </w:p>
          <w:p>
            <w:pPr>
              <w:pStyle w:val="146"/>
              <w:jc w:val="center"/>
              <w:rPr>
                <w:rFonts w:ascii="Times New Roman" w:cs="Times New Roman" w:eastAsiaTheme="majorEastAsia"/>
                <w:color w:val="auto"/>
                <w:kern w:val="2"/>
                <w:sz w:val="21"/>
                <w:szCs w:val="21"/>
              </w:rPr>
            </w:pPr>
            <w:r>
              <w:rPr>
                <w:rFonts w:hint="eastAsia" w:ascii="Times New Roman" w:cs="Times New Roman" w:eastAsiaTheme="majorEastAsia"/>
                <w:color w:val="auto"/>
                <w:kern w:val="2"/>
                <w:sz w:val="21"/>
                <w:szCs w:val="21"/>
              </w:rPr>
              <w:t>（GB18596-2001）中无组织废气限值要</w:t>
            </w:r>
          </w:p>
          <w:p>
            <w:pPr>
              <w:pStyle w:val="146"/>
              <w:jc w:val="center"/>
              <w:rPr>
                <w:rFonts w:ascii="Times New Roman" w:cs="Times New Roman" w:eastAsiaTheme="majorEastAsia"/>
                <w:color w:val="auto"/>
                <w:kern w:val="2"/>
                <w:sz w:val="21"/>
                <w:szCs w:val="21"/>
              </w:rPr>
            </w:pPr>
            <w:r>
              <w:rPr>
                <w:rFonts w:hint="eastAsia" w:ascii="Times New Roman" w:cs="Times New Roman" w:eastAsiaTheme="majorEastAsia"/>
                <w:color w:val="auto"/>
                <w:kern w:val="2"/>
                <w:sz w:val="21"/>
                <w:szCs w:val="21"/>
              </w:rPr>
              <w:t>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Merge w:val="continue"/>
            <w:vAlign w:val="center"/>
          </w:tcPr>
          <w:p>
            <w:pPr>
              <w:pStyle w:val="17"/>
              <w:rPr>
                <w:rFonts w:ascii="Times New Roman" w:hAnsi="Times New Roman" w:cs="Times New Roman" w:eastAsiaTheme="majorEastAsia"/>
                <w:b w:val="0"/>
                <w:color w:val="auto"/>
                <w:sz w:val="21"/>
              </w:rPr>
            </w:pPr>
          </w:p>
        </w:tc>
        <w:tc>
          <w:tcPr>
            <w:tcW w:w="300" w:type="pct"/>
            <w:vMerge w:val="continue"/>
            <w:vAlign w:val="center"/>
          </w:tcPr>
          <w:p>
            <w:pPr>
              <w:pStyle w:val="17"/>
              <w:rPr>
                <w:rFonts w:ascii="Times New Roman" w:cs="Times New Roman" w:hAnsiTheme="majorEastAsia" w:eastAsiaTheme="majorEastAsia"/>
                <w:b w:val="0"/>
                <w:color w:val="auto"/>
                <w:sz w:val="21"/>
              </w:rPr>
            </w:pPr>
          </w:p>
        </w:tc>
        <w:tc>
          <w:tcPr>
            <w:tcW w:w="750" w:type="pct"/>
            <w:vAlign w:val="center"/>
          </w:tcPr>
          <w:p>
            <w:pPr>
              <w:jc w:val="center"/>
              <w:rPr>
                <w:szCs w:val="21"/>
              </w:rPr>
            </w:pPr>
            <w:r>
              <w:rPr>
                <w:szCs w:val="21"/>
              </w:rPr>
              <w:t>鸡粪室外输送恶臭</w:t>
            </w:r>
          </w:p>
        </w:tc>
        <w:tc>
          <w:tcPr>
            <w:tcW w:w="2250" w:type="pct"/>
            <w:vAlign w:val="center"/>
          </w:tcPr>
          <w:p>
            <w:pPr>
              <w:jc w:val="center"/>
              <w:rPr>
                <w:szCs w:val="21"/>
              </w:rPr>
            </w:pPr>
            <w:r>
              <w:rPr>
                <w:rFonts w:hint="eastAsia" w:ascii="Times New Roman" w:hAnsi="Times New Roman" w:cs="Times New Roman" w:eastAsiaTheme="minorEastAsia"/>
                <w:color w:val="000000"/>
                <w:kern w:val="2"/>
                <w:sz w:val="21"/>
                <w:szCs w:val="21"/>
                <w:lang w:val="en-US" w:eastAsia="zh-CN" w:bidi="ar-SA"/>
              </w:rPr>
              <w:t>设置密封输送廊道、喷雾除臭、加强周边绿化</w:t>
            </w:r>
          </w:p>
        </w:tc>
        <w:tc>
          <w:tcPr>
            <w:tcW w:w="1362" w:type="pct"/>
            <w:vMerge w:val="continue"/>
            <w:vAlign w:val="center"/>
          </w:tcPr>
          <w:p>
            <w:pPr>
              <w:pStyle w:val="146"/>
              <w:jc w:val="center"/>
              <w:rPr>
                <w:rFonts w:ascii="Times New Roman" w:cs="Times New Roman" w:eastAsiaTheme="majorEastAsia"/>
                <w:color w:val="auto"/>
                <w:kern w:val="2"/>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Merge w:val="continue"/>
            <w:vAlign w:val="center"/>
          </w:tcPr>
          <w:p>
            <w:pPr>
              <w:pStyle w:val="17"/>
              <w:rPr>
                <w:rFonts w:ascii="Times New Roman" w:hAnsi="Times New Roman" w:cs="Times New Roman" w:eastAsiaTheme="majorEastAsia"/>
                <w:b w:val="0"/>
                <w:color w:val="auto"/>
                <w:sz w:val="21"/>
              </w:rPr>
            </w:pPr>
          </w:p>
        </w:tc>
        <w:tc>
          <w:tcPr>
            <w:tcW w:w="300" w:type="pct"/>
            <w:vMerge w:val="continue"/>
            <w:vAlign w:val="center"/>
          </w:tcPr>
          <w:p>
            <w:pPr>
              <w:pStyle w:val="17"/>
              <w:rPr>
                <w:rFonts w:ascii="Times New Roman" w:hAnsi="Times New Roman" w:cs="Times New Roman" w:eastAsiaTheme="majorEastAsia"/>
                <w:b w:val="0"/>
                <w:color w:val="auto"/>
                <w:sz w:val="21"/>
              </w:rPr>
            </w:pPr>
          </w:p>
        </w:tc>
        <w:tc>
          <w:tcPr>
            <w:tcW w:w="750" w:type="pct"/>
            <w:vAlign w:val="center"/>
          </w:tcPr>
          <w:p>
            <w:pPr>
              <w:jc w:val="center"/>
              <w:rPr>
                <w:szCs w:val="21"/>
              </w:rPr>
            </w:pPr>
            <w:r>
              <w:rPr>
                <w:rFonts w:hint="eastAsia" w:ascii="Times New Roman" w:hAnsi="Times New Roman" w:cs="Times New Roman" w:eastAsiaTheme="minorEastAsia"/>
                <w:color w:val="000000"/>
                <w:kern w:val="2"/>
                <w:sz w:val="21"/>
                <w:szCs w:val="21"/>
                <w:lang w:val="en-US" w:eastAsia="zh-CN" w:bidi="ar-SA"/>
              </w:rPr>
              <w:t>鸡粪收集室恶臭</w:t>
            </w:r>
          </w:p>
        </w:tc>
        <w:tc>
          <w:tcPr>
            <w:tcW w:w="2250" w:type="pct"/>
            <w:vAlign w:val="center"/>
          </w:tcPr>
          <w:p>
            <w:pPr>
              <w:autoSpaceDE w:val="0"/>
              <w:autoSpaceDN w:val="0"/>
              <w:adjustRightInd w:val="0"/>
              <w:jc w:val="center"/>
              <w:rPr>
                <w:szCs w:val="21"/>
              </w:rPr>
            </w:pPr>
            <w:r>
              <w:rPr>
                <w:rFonts w:hint="eastAsia" w:ascii="Times New Roman" w:hAnsi="Times New Roman" w:cs="Times New Roman" w:eastAsiaTheme="minorEastAsia"/>
                <w:color w:val="000000"/>
                <w:kern w:val="2"/>
                <w:sz w:val="21"/>
                <w:szCs w:val="21"/>
                <w:lang w:val="en-US" w:eastAsia="zh-CN" w:bidi="ar-SA"/>
              </w:rPr>
              <w:t>加强管理，确保鸡粪能够及时清运，冬季堆存时间不大于三天，夏天做到日产日清；保证鸡粪收集室干燥，做好防风、防雨、防渗措施；设置喷雾除臭</w:t>
            </w:r>
          </w:p>
        </w:tc>
        <w:tc>
          <w:tcPr>
            <w:tcW w:w="1362" w:type="pct"/>
            <w:vMerge w:val="continue"/>
            <w:vAlign w:val="center"/>
          </w:tcPr>
          <w:p>
            <w:pPr>
              <w:pStyle w:val="17"/>
              <w:rPr>
                <w:rFonts w:ascii="Times New Roman" w:hAnsi="Times New Roman" w:cs="Times New Roman" w:eastAsiaTheme="majorEastAsia"/>
                <w:b w:val="0"/>
                <w:color w:val="auto"/>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Merge w:val="continue"/>
            <w:vAlign w:val="center"/>
          </w:tcPr>
          <w:p>
            <w:pPr>
              <w:pStyle w:val="17"/>
              <w:rPr>
                <w:rFonts w:ascii="Times New Roman" w:hAnsi="Times New Roman" w:cs="Times New Roman" w:eastAsiaTheme="majorEastAsia"/>
                <w:b w:val="0"/>
                <w:color w:val="auto"/>
                <w:sz w:val="21"/>
              </w:rPr>
            </w:pPr>
          </w:p>
        </w:tc>
        <w:tc>
          <w:tcPr>
            <w:tcW w:w="300" w:type="pct"/>
            <w:vMerge w:val="continue"/>
            <w:vAlign w:val="center"/>
          </w:tcPr>
          <w:p>
            <w:pPr>
              <w:pStyle w:val="17"/>
              <w:rPr>
                <w:rFonts w:ascii="Times New Roman" w:hAnsi="Times New Roman" w:cs="Times New Roman" w:eastAsiaTheme="majorEastAsia"/>
                <w:b w:val="0"/>
                <w:color w:val="auto"/>
                <w:sz w:val="21"/>
              </w:rPr>
            </w:pPr>
          </w:p>
        </w:tc>
        <w:tc>
          <w:tcPr>
            <w:tcW w:w="750" w:type="pct"/>
            <w:vAlign w:val="center"/>
          </w:tcPr>
          <w:p>
            <w:pPr>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粉尘</w:t>
            </w:r>
          </w:p>
        </w:tc>
        <w:tc>
          <w:tcPr>
            <w:tcW w:w="2250" w:type="pct"/>
            <w:vAlign w:val="center"/>
          </w:tcPr>
          <w:p>
            <w:pPr>
              <w:autoSpaceDE w:val="0"/>
              <w:autoSpaceDN w:val="0"/>
              <w:adjustRightInd w:val="0"/>
              <w:jc w:val="center"/>
              <w:rPr>
                <w:rFonts w:hint="eastAsia" w:ascii="Times New Roman" w:hAnsi="Times New Roman" w:cs="Times New Roman" w:eastAsiaTheme="minorEastAsia"/>
                <w:color w:val="000000"/>
                <w:kern w:val="2"/>
                <w:sz w:val="21"/>
                <w:szCs w:val="21"/>
                <w:lang w:val="en-US" w:eastAsia="zh-CN" w:bidi="ar-SA"/>
              </w:rPr>
            </w:pPr>
            <w:r>
              <w:rPr>
                <w:rFonts w:hint="eastAsia" w:ascii="Times New Roman" w:hAnsi="Times New Roman" w:cs="Times New Roman" w:eastAsiaTheme="minorEastAsia"/>
                <w:color w:val="000000"/>
                <w:kern w:val="2"/>
                <w:sz w:val="21"/>
                <w:szCs w:val="21"/>
                <w:lang w:val="en-US" w:eastAsia="zh-CN" w:bidi="ar-SA"/>
              </w:rPr>
              <w:t>鸡舍地面每日打扫，鸡舍排风尾端设置防尘间封闭，并在排放口上部布置防尘网，设置水雾喷淋系统</w:t>
            </w:r>
          </w:p>
        </w:tc>
        <w:tc>
          <w:tcPr>
            <w:tcW w:w="1362" w:type="pct"/>
            <w:vAlign w:val="center"/>
          </w:tcPr>
          <w:p>
            <w:pPr>
              <w:pStyle w:val="17"/>
              <w:rPr>
                <w:rFonts w:ascii="Times New Roman" w:hAnsi="Times New Roman" w:cs="Times New Roman" w:eastAsiaTheme="majorEastAsia"/>
                <w:b w:val="0"/>
                <w:color w:val="auto"/>
                <w:sz w:val="21"/>
              </w:rPr>
            </w:pPr>
            <w:r>
              <w:rPr>
                <w:rFonts w:hint="eastAsia" w:ascii="Times New Roman" w:hAnsi="Times New Roman" w:cs="Times New Roman" w:eastAsiaTheme="majorEastAsia"/>
                <w:b w:val="0"/>
                <w:color w:val="auto"/>
                <w:sz w:val="21"/>
              </w:rPr>
              <w:t>《大气污染物综合排放标准》（GB16297-1996）无组织排放浓度限值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Merge w:val="continue"/>
            <w:vAlign w:val="center"/>
          </w:tcPr>
          <w:p>
            <w:pPr>
              <w:pStyle w:val="17"/>
              <w:rPr>
                <w:rFonts w:ascii="Times New Roman" w:hAnsi="Times New Roman" w:cs="Times New Roman" w:eastAsiaTheme="majorEastAsia"/>
                <w:b w:val="0"/>
                <w:color w:val="auto"/>
                <w:sz w:val="21"/>
              </w:rPr>
            </w:pPr>
          </w:p>
        </w:tc>
        <w:tc>
          <w:tcPr>
            <w:tcW w:w="300" w:type="pct"/>
            <w:vMerge w:val="continue"/>
            <w:vAlign w:val="center"/>
          </w:tcPr>
          <w:p>
            <w:pPr>
              <w:pStyle w:val="17"/>
              <w:rPr>
                <w:rFonts w:ascii="Times New Roman" w:hAnsi="Times New Roman" w:cs="Times New Roman" w:eastAsiaTheme="majorEastAsia"/>
                <w:b w:val="0"/>
                <w:color w:val="auto"/>
                <w:sz w:val="21"/>
              </w:rPr>
            </w:pPr>
          </w:p>
        </w:tc>
        <w:tc>
          <w:tcPr>
            <w:tcW w:w="750" w:type="pct"/>
            <w:vAlign w:val="center"/>
          </w:tcPr>
          <w:p>
            <w:pPr>
              <w:jc w:val="center"/>
              <w:rPr>
                <w:rFonts w:eastAsiaTheme="majorEastAsia"/>
                <w:szCs w:val="21"/>
              </w:rPr>
            </w:pPr>
            <w:r>
              <w:rPr>
                <w:rFonts w:hAnsiTheme="majorEastAsia" w:eastAsiaTheme="majorEastAsia"/>
                <w:szCs w:val="21"/>
              </w:rPr>
              <w:t>食堂油烟</w:t>
            </w:r>
          </w:p>
        </w:tc>
        <w:tc>
          <w:tcPr>
            <w:tcW w:w="2250" w:type="pct"/>
            <w:vAlign w:val="center"/>
          </w:tcPr>
          <w:p>
            <w:pPr>
              <w:jc w:val="center"/>
              <w:rPr>
                <w:rFonts w:eastAsiaTheme="majorEastAsia"/>
                <w:szCs w:val="21"/>
              </w:rPr>
            </w:pPr>
            <w:r>
              <w:rPr>
                <w:rFonts w:hAnsiTheme="majorEastAsia" w:eastAsiaTheme="majorEastAsia"/>
                <w:szCs w:val="21"/>
              </w:rPr>
              <w:t>高效油烟净化器</w:t>
            </w:r>
            <w:r>
              <w:rPr>
                <w:rFonts w:eastAsiaTheme="majorEastAsia"/>
                <w:szCs w:val="21"/>
              </w:rPr>
              <w:t>+</w:t>
            </w:r>
            <w:r>
              <w:rPr>
                <w:rFonts w:hAnsiTheme="majorEastAsia" w:eastAsiaTheme="majorEastAsia"/>
                <w:szCs w:val="21"/>
              </w:rPr>
              <w:t>引至楼面高空排放</w:t>
            </w:r>
          </w:p>
        </w:tc>
        <w:tc>
          <w:tcPr>
            <w:tcW w:w="1362" w:type="pct"/>
            <w:vAlign w:val="center"/>
          </w:tcPr>
          <w:p>
            <w:pPr>
              <w:pStyle w:val="17"/>
              <w:rPr>
                <w:rFonts w:ascii="Times New Roman" w:hAnsi="Times New Roman" w:cs="Times New Roman" w:eastAsiaTheme="majorEastAsia"/>
                <w:b w:val="0"/>
                <w:color w:val="auto"/>
                <w:sz w:val="21"/>
              </w:rPr>
            </w:pPr>
            <w:r>
              <w:rPr>
                <w:rFonts w:ascii="Times New Roman" w:cs="Times New Roman" w:hAnsiTheme="majorEastAsia" w:eastAsiaTheme="majorEastAsia"/>
                <w:b w:val="0"/>
                <w:color w:val="auto"/>
                <w:sz w:val="21"/>
              </w:rPr>
              <w:t>满足《饮食业油烟排放标准》（</w:t>
            </w:r>
            <w:r>
              <w:rPr>
                <w:rFonts w:ascii="Times New Roman" w:hAnsi="Times New Roman" w:cs="Times New Roman" w:eastAsiaTheme="majorEastAsia"/>
                <w:b w:val="0"/>
                <w:color w:val="auto"/>
                <w:sz w:val="21"/>
              </w:rPr>
              <w:t>GB1848-2001</w:t>
            </w:r>
            <w:r>
              <w:rPr>
                <w:rFonts w:ascii="Times New Roman" w:cs="Times New Roman" w:hAnsiTheme="majorEastAsia" w:eastAsiaTheme="majorEastAsia"/>
                <w:b w:val="0"/>
                <w:color w:val="auto"/>
                <w:sz w:val="21"/>
              </w:rPr>
              <w:t>）小型规模排放标准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Merge w:val="continue"/>
            <w:vAlign w:val="center"/>
          </w:tcPr>
          <w:p>
            <w:pPr>
              <w:pStyle w:val="17"/>
              <w:rPr>
                <w:rFonts w:ascii="Times New Roman" w:hAnsi="Times New Roman" w:cs="Times New Roman" w:eastAsiaTheme="majorEastAsia"/>
                <w:b w:val="0"/>
                <w:color w:val="auto"/>
                <w:sz w:val="21"/>
              </w:rPr>
            </w:pPr>
          </w:p>
        </w:tc>
        <w:tc>
          <w:tcPr>
            <w:tcW w:w="300" w:type="pct"/>
            <w:vMerge w:val="continue"/>
            <w:vAlign w:val="center"/>
          </w:tcPr>
          <w:p>
            <w:pPr>
              <w:pStyle w:val="17"/>
              <w:rPr>
                <w:rFonts w:ascii="Times New Roman" w:hAnsi="Times New Roman" w:cs="Times New Roman" w:eastAsiaTheme="majorEastAsia"/>
                <w:b w:val="0"/>
                <w:color w:val="auto"/>
                <w:sz w:val="21"/>
              </w:rPr>
            </w:pPr>
          </w:p>
        </w:tc>
        <w:tc>
          <w:tcPr>
            <w:tcW w:w="750" w:type="pct"/>
            <w:vAlign w:val="center"/>
          </w:tcPr>
          <w:p>
            <w:pPr>
              <w:jc w:val="center"/>
              <w:rPr>
                <w:szCs w:val="21"/>
              </w:rPr>
            </w:pPr>
            <w:r>
              <w:rPr>
                <w:szCs w:val="21"/>
              </w:rPr>
              <w:t>备用柴油发电机废气</w:t>
            </w:r>
          </w:p>
        </w:tc>
        <w:tc>
          <w:tcPr>
            <w:tcW w:w="2250" w:type="pct"/>
            <w:vAlign w:val="center"/>
          </w:tcPr>
          <w:p>
            <w:pPr>
              <w:jc w:val="center"/>
              <w:rPr>
                <w:rFonts w:hint="default" w:eastAsia="宋体"/>
                <w:szCs w:val="21"/>
                <w:lang w:val="en-US" w:eastAsia="zh-CN"/>
              </w:rPr>
            </w:pPr>
            <w:r>
              <w:rPr>
                <w:rFonts w:hint="eastAsia"/>
                <w:szCs w:val="21"/>
                <w:lang w:val="en-US" w:eastAsia="zh-CN"/>
              </w:rPr>
              <w:t>经设备自带尾气净化装置处理后专管高于楼顶排放</w:t>
            </w:r>
          </w:p>
        </w:tc>
        <w:tc>
          <w:tcPr>
            <w:tcW w:w="1362" w:type="pct"/>
            <w:vAlign w:val="center"/>
          </w:tcPr>
          <w:p>
            <w:pPr>
              <w:pStyle w:val="17"/>
              <w:rPr>
                <w:rFonts w:ascii="Times New Roman" w:hAnsi="Times New Roman" w:cs="Times New Roman" w:eastAsiaTheme="majorEastAsia"/>
                <w:b w:val="0"/>
                <w:color w:val="auto"/>
                <w:sz w:val="21"/>
              </w:rPr>
            </w:pPr>
            <w:r>
              <w:rPr>
                <w:rFonts w:ascii="Times New Roman" w:hAnsi="Times New Roman" w:cs="Times New Roman" w:eastAsiaTheme="majorEastAsia"/>
                <w:b w:val="0"/>
                <w:color w:val="auto"/>
                <w:sz w:val="21"/>
              </w:rPr>
              <w:t>减轻影响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Merge w:val="continue"/>
            <w:vAlign w:val="center"/>
          </w:tcPr>
          <w:p>
            <w:pPr>
              <w:pStyle w:val="17"/>
              <w:rPr>
                <w:rFonts w:ascii="Times New Roman" w:hAnsi="Times New Roman" w:cs="Times New Roman" w:eastAsiaTheme="majorEastAsia"/>
                <w:b w:val="0"/>
                <w:color w:val="auto"/>
                <w:sz w:val="21"/>
              </w:rPr>
            </w:pPr>
          </w:p>
        </w:tc>
        <w:tc>
          <w:tcPr>
            <w:tcW w:w="1050" w:type="pct"/>
            <w:gridSpan w:val="2"/>
            <w:vAlign w:val="center"/>
          </w:tcPr>
          <w:p>
            <w:pPr>
              <w:pStyle w:val="17"/>
              <w:rPr>
                <w:rFonts w:ascii="Times New Roman" w:hAnsi="Times New Roman" w:cs="Times New Roman" w:eastAsiaTheme="majorEastAsia"/>
                <w:b w:val="0"/>
                <w:color w:val="auto"/>
                <w:sz w:val="21"/>
              </w:rPr>
            </w:pPr>
            <w:r>
              <w:rPr>
                <w:rFonts w:ascii="Times New Roman" w:cs="Times New Roman" w:hAnsiTheme="majorEastAsia" w:eastAsiaTheme="majorEastAsia"/>
                <w:b w:val="0"/>
                <w:color w:val="auto"/>
                <w:sz w:val="21"/>
              </w:rPr>
              <w:t>设备噪声</w:t>
            </w:r>
          </w:p>
        </w:tc>
        <w:tc>
          <w:tcPr>
            <w:tcW w:w="2250" w:type="pct"/>
            <w:vAlign w:val="center"/>
          </w:tcPr>
          <w:p>
            <w:pPr>
              <w:pStyle w:val="146"/>
              <w:jc w:val="center"/>
              <w:rPr>
                <w:rFonts w:ascii="Times New Roman" w:cs="Times New Roman" w:eastAsiaTheme="majorEastAsia"/>
                <w:color w:val="auto"/>
                <w:kern w:val="2"/>
                <w:sz w:val="21"/>
                <w:szCs w:val="21"/>
              </w:rPr>
            </w:pPr>
            <w:r>
              <w:rPr>
                <w:rFonts w:hint="eastAsia" w:ascii="Times New Roman" w:cs="Times New Roman" w:hAnsiTheme="majorEastAsia" w:eastAsiaTheme="majorEastAsia"/>
                <w:color w:val="auto"/>
                <w:kern w:val="2"/>
                <w:sz w:val="21"/>
                <w:szCs w:val="21"/>
                <w:lang w:val="en-US" w:eastAsia="zh-CN" w:bidi="ar-SA"/>
              </w:rPr>
              <w:t>选购性能良好的设备、隔声间、消声减震设施</w:t>
            </w:r>
          </w:p>
        </w:tc>
        <w:tc>
          <w:tcPr>
            <w:tcW w:w="1362" w:type="pct"/>
            <w:vAlign w:val="center"/>
          </w:tcPr>
          <w:p>
            <w:pPr>
              <w:pStyle w:val="17"/>
              <w:rPr>
                <w:rFonts w:ascii="Times New Roman" w:hAnsi="Times New Roman" w:cs="Times New Roman" w:eastAsiaTheme="majorEastAsia"/>
                <w:b w:val="0"/>
                <w:color w:val="auto"/>
                <w:sz w:val="21"/>
              </w:rPr>
            </w:pPr>
            <w:r>
              <w:rPr>
                <w:rFonts w:ascii="Times New Roman" w:cs="Times New Roman" w:hAnsiTheme="majorEastAsia" w:eastAsiaTheme="majorEastAsia"/>
                <w:b w:val="0"/>
                <w:color w:val="auto"/>
                <w:sz w:val="21"/>
              </w:rPr>
              <w:t>满足《工业企业厂界环境噪声排放标准》（</w:t>
            </w:r>
            <w:r>
              <w:rPr>
                <w:rFonts w:ascii="Times New Roman" w:hAnsi="Times New Roman" w:cs="Times New Roman" w:eastAsiaTheme="majorEastAsia"/>
                <w:b w:val="0"/>
                <w:color w:val="auto"/>
                <w:sz w:val="21"/>
              </w:rPr>
              <w:t>GB12348-2008</w:t>
            </w:r>
            <w:r>
              <w:rPr>
                <w:rFonts w:ascii="Times New Roman" w:cs="Times New Roman" w:hAnsiTheme="majorEastAsia" w:eastAsiaTheme="majorEastAsia"/>
                <w:b w:val="0"/>
                <w:color w:val="auto"/>
                <w:sz w:val="21"/>
              </w:rPr>
              <w:t>）中</w:t>
            </w:r>
            <w:r>
              <w:rPr>
                <w:rFonts w:hint="eastAsia" w:ascii="Times New Roman" w:hAnsi="Times New Roman" w:cs="Times New Roman" w:eastAsiaTheme="majorEastAsia"/>
                <w:b w:val="0"/>
                <w:color w:val="auto"/>
                <w:sz w:val="21"/>
              </w:rPr>
              <w:t>2</w:t>
            </w:r>
            <w:r>
              <w:rPr>
                <w:rFonts w:ascii="Times New Roman" w:cs="Times New Roman" w:hAnsiTheme="majorEastAsia" w:eastAsiaTheme="majorEastAsia"/>
                <w:b w:val="0"/>
                <w:color w:val="auto"/>
                <w:sz w:val="21"/>
              </w:rPr>
              <w:t>类标准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Merge w:val="continue"/>
            <w:vAlign w:val="center"/>
          </w:tcPr>
          <w:p>
            <w:pPr>
              <w:pStyle w:val="17"/>
              <w:rPr>
                <w:rFonts w:ascii="Times New Roman" w:hAnsi="Times New Roman" w:cs="Times New Roman" w:eastAsiaTheme="majorEastAsia"/>
                <w:b w:val="0"/>
                <w:color w:val="auto"/>
                <w:sz w:val="21"/>
              </w:rPr>
            </w:pPr>
          </w:p>
        </w:tc>
        <w:tc>
          <w:tcPr>
            <w:tcW w:w="300" w:type="pct"/>
            <w:vMerge w:val="restart"/>
            <w:vAlign w:val="center"/>
          </w:tcPr>
          <w:p>
            <w:pPr>
              <w:pStyle w:val="17"/>
              <w:rPr>
                <w:rFonts w:ascii="Times New Roman" w:hAnsi="Times New Roman" w:cs="Times New Roman" w:eastAsiaTheme="majorEastAsia"/>
                <w:b w:val="0"/>
                <w:color w:val="auto"/>
                <w:sz w:val="21"/>
              </w:rPr>
            </w:pPr>
            <w:r>
              <w:rPr>
                <w:rFonts w:ascii="Times New Roman" w:cs="Times New Roman" w:hAnsiTheme="majorEastAsia" w:eastAsiaTheme="majorEastAsia"/>
                <w:b w:val="0"/>
                <w:color w:val="auto"/>
                <w:sz w:val="21"/>
              </w:rPr>
              <w:t>固废</w:t>
            </w:r>
          </w:p>
        </w:tc>
        <w:tc>
          <w:tcPr>
            <w:tcW w:w="750" w:type="pct"/>
            <w:vMerge w:val="restart"/>
            <w:vAlign w:val="center"/>
          </w:tcPr>
          <w:p>
            <w:pPr>
              <w:pStyle w:val="17"/>
              <w:rPr>
                <w:rFonts w:ascii="Times New Roman" w:hAnsi="Times New Roman" w:cs="Times New Roman" w:eastAsiaTheme="majorEastAsia"/>
                <w:b w:val="0"/>
                <w:color w:val="auto"/>
                <w:sz w:val="21"/>
              </w:rPr>
            </w:pPr>
            <w:r>
              <w:rPr>
                <w:rFonts w:ascii="Times New Roman" w:cs="Times New Roman" w:hAnsiTheme="majorEastAsia" w:eastAsiaTheme="majorEastAsia"/>
                <w:b w:val="0"/>
                <w:color w:val="auto"/>
                <w:sz w:val="21"/>
              </w:rPr>
              <w:t>一般工业固废</w:t>
            </w:r>
          </w:p>
        </w:tc>
        <w:tc>
          <w:tcPr>
            <w:tcW w:w="2250" w:type="pct"/>
            <w:vAlign w:val="center"/>
          </w:tcPr>
          <w:p>
            <w:pPr>
              <w:pStyle w:val="146"/>
              <w:ind w:firstLine="210"/>
              <w:jc w:val="center"/>
              <w:rPr>
                <w:rFonts w:eastAsiaTheme="minorEastAsia"/>
                <w:szCs w:val="21"/>
              </w:rPr>
            </w:pPr>
            <w:r>
              <w:rPr>
                <w:rFonts w:hint="eastAsia" w:ascii="Times New Roman" w:cs="Times New Roman" w:hAnsiTheme="majorEastAsia" w:eastAsiaTheme="majorEastAsia"/>
                <w:color w:val="auto"/>
                <w:kern w:val="2"/>
                <w:sz w:val="21"/>
                <w:szCs w:val="21"/>
                <w:lang w:val="en-US" w:eastAsia="zh-CN" w:bidi="ar-SA"/>
              </w:rPr>
              <w:t>鸡粪：</w:t>
            </w:r>
            <w:r>
              <w:rPr>
                <w:rFonts w:hint="eastAsia" w:ascii="Times New Roman" w:hAnsi="Times New Roman" w:cs="Times New Roman" w:eastAsiaTheme="minorEastAsia"/>
                <w:sz w:val="21"/>
                <w:szCs w:val="21"/>
              </w:rPr>
              <w:t>部分直接拉走依托台源蛋鸡养殖一场好氧发酵罐制有机肥；剩余部分则直接拉走外售衡阳县沛科生态科技有限责任公司制有机肥</w:t>
            </w:r>
          </w:p>
        </w:tc>
        <w:tc>
          <w:tcPr>
            <w:tcW w:w="1362" w:type="pct"/>
            <w:vMerge w:val="restart"/>
            <w:vAlign w:val="center"/>
          </w:tcPr>
          <w:p>
            <w:pPr>
              <w:pStyle w:val="17"/>
              <w:rPr>
                <w:rFonts w:ascii="Times New Roman" w:hAnsi="Times New Roman" w:cs="Times New Roman" w:eastAsiaTheme="majorEastAsia"/>
                <w:b w:val="0"/>
                <w:color w:val="auto"/>
                <w:sz w:val="21"/>
              </w:rPr>
            </w:pPr>
            <w:r>
              <w:rPr>
                <w:rFonts w:ascii="Times New Roman" w:cs="Times New Roman" w:hAnsiTheme="majorEastAsia" w:eastAsiaTheme="majorEastAsia"/>
                <w:b w:val="0"/>
                <w:color w:val="auto"/>
                <w:sz w:val="21"/>
              </w:rPr>
              <w:t>《一般工业固体废物贮存、处置场污染控制标准》（</w:t>
            </w:r>
            <w:r>
              <w:rPr>
                <w:rFonts w:ascii="Times New Roman" w:hAnsi="Times New Roman" w:cs="Times New Roman" w:eastAsiaTheme="majorEastAsia"/>
                <w:b w:val="0"/>
                <w:color w:val="auto"/>
                <w:sz w:val="21"/>
              </w:rPr>
              <w:t>GB18599-2001</w:t>
            </w:r>
            <w:r>
              <w:rPr>
                <w:rFonts w:ascii="Times New Roman" w:cs="Times New Roman" w:hAnsiTheme="majorEastAsia" w:eastAsiaTheme="majorEastAsia"/>
                <w:b w:val="0"/>
                <w:color w:val="auto"/>
                <w:sz w:val="21"/>
              </w:rPr>
              <w:t>）及其修改单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Merge w:val="continue"/>
            <w:vAlign w:val="center"/>
          </w:tcPr>
          <w:p>
            <w:pPr>
              <w:pStyle w:val="17"/>
              <w:rPr>
                <w:rFonts w:ascii="Times New Roman" w:hAnsi="Times New Roman" w:cs="Times New Roman" w:eastAsiaTheme="majorEastAsia"/>
                <w:b w:val="0"/>
                <w:color w:val="auto"/>
                <w:sz w:val="21"/>
              </w:rPr>
            </w:pPr>
          </w:p>
        </w:tc>
        <w:tc>
          <w:tcPr>
            <w:tcW w:w="300" w:type="pct"/>
            <w:vMerge w:val="continue"/>
            <w:vAlign w:val="center"/>
          </w:tcPr>
          <w:p>
            <w:pPr>
              <w:pStyle w:val="17"/>
              <w:rPr>
                <w:rFonts w:ascii="Times New Roman" w:hAnsi="Times New Roman" w:cs="Times New Roman" w:eastAsiaTheme="majorEastAsia"/>
                <w:b w:val="0"/>
                <w:color w:val="auto"/>
                <w:sz w:val="21"/>
              </w:rPr>
            </w:pPr>
          </w:p>
        </w:tc>
        <w:tc>
          <w:tcPr>
            <w:tcW w:w="750" w:type="pct"/>
            <w:vMerge w:val="continue"/>
            <w:vAlign w:val="center"/>
          </w:tcPr>
          <w:p>
            <w:pPr>
              <w:pStyle w:val="17"/>
              <w:rPr>
                <w:rFonts w:ascii="Times New Roman" w:hAnsi="Times New Roman" w:cs="Times New Roman" w:eastAsiaTheme="majorEastAsia"/>
                <w:b w:val="0"/>
                <w:color w:val="auto"/>
                <w:sz w:val="21"/>
              </w:rPr>
            </w:pPr>
          </w:p>
        </w:tc>
        <w:tc>
          <w:tcPr>
            <w:tcW w:w="2250" w:type="pct"/>
            <w:vAlign w:val="center"/>
          </w:tcPr>
          <w:p>
            <w:pPr>
              <w:widowControl/>
              <w:jc w:val="center"/>
              <w:rPr>
                <w:rFonts w:eastAsiaTheme="minorEastAsia"/>
                <w:kern w:val="0"/>
                <w:szCs w:val="21"/>
              </w:rPr>
            </w:pPr>
            <w:r>
              <w:rPr>
                <w:rFonts w:hint="eastAsia" w:eastAsiaTheme="minorEastAsia"/>
                <w:kern w:val="0"/>
                <w:szCs w:val="21"/>
              </w:rPr>
              <w:t>病死鸡</w:t>
            </w:r>
            <w:r>
              <w:rPr>
                <w:szCs w:val="21"/>
              </w:rPr>
              <w:t>：消</w:t>
            </w:r>
            <w:r>
              <w:rPr>
                <w:rFonts w:hint="eastAsia" w:eastAsiaTheme="minorEastAsia"/>
                <w:kern w:val="0"/>
                <w:szCs w:val="21"/>
              </w:rPr>
              <w:t>毒后袋装化，存放于病死鸡暂存间的冷冻冰柜中，病死鸡暂存间采取“四防”措施，并配备消毒液消毒，及时联系有资质的公司进行收集并集中无害化处理</w:t>
            </w:r>
          </w:p>
        </w:tc>
        <w:tc>
          <w:tcPr>
            <w:tcW w:w="1362" w:type="pct"/>
            <w:vMerge w:val="continue"/>
            <w:vAlign w:val="center"/>
          </w:tcPr>
          <w:p>
            <w:pPr>
              <w:pStyle w:val="17"/>
              <w:rPr>
                <w:rFonts w:ascii="Times New Roman" w:hAnsi="Times New Roman" w:cs="Times New Roman" w:eastAsiaTheme="majorEastAsia"/>
                <w:b w:val="0"/>
                <w:color w:val="auto"/>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Merge w:val="continue"/>
            <w:vAlign w:val="center"/>
          </w:tcPr>
          <w:p>
            <w:pPr>
              <w:pStyle w:val="17"/>
              <w:rPr>
                <w:rFonts w:ascii="Times New Roman" w:hAnsi="Times New Roman" w:cs="Times New Roman" w:eastAsiaTheme="majorEastAsia"/>
                <w:b w:val="0"/>
                <w:color w:val="auto"/>
                <w:sz w:val="21"/>
              </w:rPr>
            </w:pPr>
          </w:p>
        </w:tc>
        <w:tc>
          <w:tcPr>
            <w:tcW w:w="300" w:type="pct"/>
            <w:vMerge w:val="continue"/>
            <w:vAlign w:val="center"/>
          </w:tcPr>
          <w:p>
            <w:pPr>
              <w:pStyle w:val="17"/>
              <w:rPr>
                <w:rFonts w:ascii="Times New Roman" w:hAnsi="Times New Roman" w:cs="Times New Roman" w:eastAsiaTheme="majorEastAsia"/>
                <w:b w:val="0"/>
                <w:color w:val="auto"/>
                <w:sz w:val="21"/>
              </w:rPr>
            </w:pPr>
          </w:p>
        </w:tc>
        <w:tc>
          <w:tcPr>
            <w:tcW w:w="750" w:type="pct"/>
            <w:vMerge w:val="continue"/>
            <w:vAlign w:val="center"/>
          </w:tcPr>
          <w:p>
            <w:pPr>
              <w:pStyle w:val="17"/>
              <w:rPr>
                <w:rFonts w:ascii="Times New Roman" w:hAnsi="Times New Roman" w:cs="Times New Roman" w:eastAsiaTheme="majorEastAsia"/>
                <w:b w:val="0"/>
                <w:color w:val="auto"/>
                <w:sz w:val="21"/>
              </w:rPr>
            </w:pPr>
          </w:p>
        </w:tc>
        <w:tc>
          <w:tcPr>
            <w:tcW w:w="2250" w:type="pct"/>
            <w:vAlign w:val="center"/>
          </w:tcPr>
          <w:p>
            <w:pPr>
              <w:widowControl/>
              <w:jc w:val="center"/>
              <w:rPr>
                <w:rFonts w:eastAsiaTheme="minorEastAsia"/>
                <w:kern w:val="0"/>
                <w:szCs w:val="21"/>
              </w:rPr>
            </w:pPr>
            <w:r>
              <w:rPr>
                <w:szCs w:val="21"/>
              </w:rPr>
              <w:t>废包装袋：</w:t>
            </w:r>
            <w:r>
              <w:rPr>
                <w:rFonts w:hint="eastAsia"/>
                <w:szCs w:val="21"/>
              </w:rPr>
              <w:t>外售废品回收站</w:t>
            </w:r>
          </w:p>
        </w:tc>
        <w:tc>
          <w:tcPr>
            <w:tcW w:w="1362" w:type="pct"/>
            <w:vMerge w:val="continue"/>
            <w:vAlign w:val="center"/>
          </w:tcPr>
          <w:p>
            <w:pPr>
              <w:pStyle w:val="17"/>
              <w:rPr>
                <w:rFonts w:ascii="Times New Roman" w:hAnsi="Times New Roman" w:cs="Times New Roman" w:eastAsiaTheme="majorEastAsia"/>
                <w:b w:val="0"/>
                <w:color w:val="auto"/>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Merge w:val="continue"/>
            <w:vAlign w:val="center"/>
          </w:tcPr>
          <w:p>
            <w:pPr>
              <w:pStyle w:val="17"/>
              <w:rPr>
                <w:rFonts w:ascii="Times New Roman" w:hAnsi="Times New Roman" w:cs="Times New Roman" w:eastAsiaTheme="majorEastAsia"/>
                <w:b w:val="0"/>
                <w:color w:val="auto"/>
                <w:sz w:val="21"/>
              </w:rPr>
            </w:pPr>
          </w:p>
        </w:tc>
        <w:tc>
          <w:tcPr>
            <w:tcW w:w="300" w:type="pct"/>
            <w:vMerge w:val="continue"/>
            <w:vAlign w:val="center"/>
          </w:tcPr>
          <w:p>
            <w:pPr>
              <w:pStyle w:val="17"/>
              <w:rPr>
                <w:rFonts w:ascii="Times New Roman" w:hAnsi="Times New Roman" w:cs="Times New Roman" w:eastAsiaTheme="majorEastAsia"/>
                <w:b w:val="0"/>
                <w:color w:val="auto"/>
                <w:sz w:val="21"/>
              </w:rPr>
            </w:pPr>
          </w:p>
        </w:tc>
        <w:tc>
          <w:tcPr>
            <w:tcW w:w="750" w:type="pct"/>
            <w:vMerge w:val="continue"/>
            <w:vAlign w:val="center"/>
          </w:tcPr>
          <w:p>
            <w:pPr>
              <w:pStyle w:val="17"/>
              <w:rPr>
                <w:rFonts w:ascii="Times New Roman" w:hAnsi="Times New Roman" w:cs="Times New Roman" w:eastAsiaTheme="majorEastAsia"/>
                <w:b w:val="0"/>
                <w:color w:val="auto"/>
                <w:sz w:val="21"/>
              </w:rPr>
            </w:pPr>
          </w:p>
        </w:tc>
        <w:tc>
          <w:tcPr>
            <w:tcW w:w="2250" w:type="pct"/>
            <w:vAlign w:val="center"/>
          </w:tcPr>
          <w:p>
            <w:pPr>
              <w:widowControl/>
              <w:jc w:val="center"/>
              <w:rPr>
                <w:szCs w:val="21"/>
              </w:rPr>
            </w:pPr>
            <w:r>
              <w:rPr>
                <w:szCs w:val="21"/>
              </w:rPr>
              <w:t>不合格蛋：</w:t>
            </w:r>
            <w:r>
              <w:rPr>
                <w:rFonts w:hint="eastAsia"/>
                <w:szCs w:val="21"/>
              </w:rPr>
              <w:t>用作企业自养甲鱼饲料</w:t>
            </w:r>
          </w:p>
        </w:tc>
        <w:tc>
          <w:tcPr>
            <w:tcW w:w="1362" w:type="pct"/>
            <w:vMerge w:val="continue"/>
            <w:vAlign w:val="center"/>
          </w:tcPr>
          <w:p>
            <w:pPr>
              <w:pStyle w:val="17"/>
              <w:rPr>
                <w:rFonts w:ascii="Times New Roman" w:hAnsi="Times New Roman" w:cs="Times New Roman" w:eastAsiaTheme="majorEastAsia"/>
                <w:b w:val="0"/>
                <w:color w:val="auto"/>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Merge w:val="continue"/>
            <w:vAlign w:val="center"/>
          </w:tcPr>
          <w:p>
            <w:pPr>
              <w:pStyle w:val="17"/>
              <w:rPr>
                <w:rFonts w:ascii="Times New Roman" w:hAnsi="Times New Roman" w:cs="Times New Roman" w:eastAsiaTheme="majorEastAsia"/>
                <w:b w:val="0"/>
                <w:color w:val="auto"/>
                <w:sz w:val="21"/>
              </w:rPr>
            </w:pPr>
          </w:p>
        </w:tc>
        <w:tc>
          <w:tcPr>
            <w:tcW w:w="300" w:type="pct"/>
            <w:vMerge w:val="continue"/>
            <w:vAlign w:val="center"/>
          </w:tcPr>
          <w:p>
            <w:pPr>
              <w:pStyle w:val="17"/>
              <w:rPr>
                <w:rFonts w:ascii="Times New Roman" w:hAnsi="Times New Roman" w:cs="Times New Roman" w:eastAsiaTheme="majorEastAsia"/>
                <w:b w:val="0"/>
                <w:color w:val="auto"/>
                <w:sz w:val="21"/>
              </w:rPr>
            </w:pPr>
          </w:p>
        </w:tc>
        <w:tc>
          <w:tcPr>
            <w:tcW w:w="750" w:type="pct"/>
            <w:vMerge w:val="continue"/>
            <w:vAlign w:val="center"/>
          </w:tcPr>
          <w:p>
            <w:pPr>
              <w:pStyle w:val="17"/>
              <w:rPr>
                <w:rFonts w:ascii="Times New Roman" w:hAnsi="Times New Roman" w:cs="Times New Roman" w:eastAsiaTheme="majorEastAsia"/>
                <w:b w:val="0"/>
                <w:color w:val="auto"/>
                <w:sz w:val="21"/>
              </w:rPr>
            </w:pPr>
          </w:p>
        </w:tc>
        <w:tc>
          <w:tcPr>
            <w:tcW w:w="2250" w:type="pct"/>
            <w:vAlign w:val="center"/>
          </w:tcPr>
          <w:p>
            <w:pPr>
              <w:widowControl/>
              <w:jc w:val="center"/>
              <w:rPr>
                <w:rFonts w:eastAsiaTheme="minorEastAsia"/>
                <w:kern w:val="0"/>
                <w:szCs w:val="21"/>
              </w:rPr>
            </w:pPr>
            <w:r>
              <w:rPr>
                <w:rFonts w:hint="eastAsia" w:eastAsiaTheme="minorEastAsia"/>
                <w:szCs w:val="21"/>
              </w:rPr>
              <w:t>饲料渣和脱落的羽毛：</w:t>
            </w:r>
            <w:r>
              <w:rPr>
                <w:rFonts w:hint="eastAsia"/>
                <w:szCs w:val="21"/>
              </w:rPr>
              <w:t>经收集后交由当地环卫部门处理</w:t>
            </w:r>
          </w:p>
        </w:tc>
        <w:tc>
          <w:tcPr>
            <w:tcW w:w="1362" w:type="pct"/>
            <w:vMerge w:val="continue"/>
            <w:vAlign w:val="center"/>
          </w:tcPr>
          <w:p>
            <w:pPr>
              <w:pStyle w:val="17"/>
              <w:rPr>
                <w:rFonts w:ascii="Times New Roman" w:hAnsi="Times New Roman" w:cs="Times New Roman" w:eastAsiaTheme="majorEastAsia"/>
                <w:b w:val="0"/>
                <w:color w:val="auto"/>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Merge w:val="continue"/>
            <w:vAlign w:val="center"/>
          </w:tcPr>
          <w:p>
            <w:pPr>
              <w:pStyle w:val="17"/>
              <w:rPr>
                <w:rFonts w:ascii="Times New Roman" w:hAnsi="Times New Roman" w:cs="Times New Roman" w:eastAsiaTheme="majorEastAsia"/>
                <w:b w:val="0"/>
                <w:color w:val="auto"/>
                <w:sz w:val="21"/>
              </w:rPr>
            </w:pPr>
          </w:p>
        </w:tc>
        <w:tc>
          <w:tcPr>
            <w:tcW w:w="300" w:type="pct"/>
            <w:vMerge w:val="continue"/>
            <w:vAlign w:val="center"/>
          </w:tcPr>
          <w:p>
            <w:pPr>
              <w:pStyle w:val="17"/>
              <w:rPr>
                <w:rFonts w:ascii="Times New Roman" w:hAnsi="Times New Roman" w:cs="Times New Roman" w:eastAsiaTheme="majorEastAsia"/>
                <w:b w:val="0"/>
                <w:color w:val="auto"/>
                <w:sz w:val="21"/>
              </w:rPr>
            </w:pPr>
          </w:p>
        </w:tc>
        <w:tc>
          <w:tcPr>
            <w:tcW w:w="750" w:type="pct"/>
            <w:vAlign w:val="center"/>
          </w:tcPr>
          <w:p>
            <w:pPr>
              <w:pStyle w:val="17"/>
              <w:rPr>
                <w:rFonts w:ascii="Times New Roman" w:hAnsi="Times New Roman" w:cs="Times New Roman" w:eastAsiaTheme="majorEastAsia"/>
                <w:b w:val="0"/>
                <w:color w:val="auto"/>
                <w:sz w:val="21"/>
              </w:rPr>
            </w:pPr>
            <w:r>
              <w:rPr>
                <w:rFonts w:ascii="Times New Roman" w:cs="Times New Roman" w:hAnsiTheme="majorEastAsia" w:eastAsiaTheme="majorEastAsia"/>
                <w:b w:val="0"/>
                <w:color w:val="auto"/>
                <w:sz w:val="21"/>
              </w:rPr>
              <w:t>危险废物</w:t>
            </w:r>
          </w:p>
        </w:tc>
        <w:tc>
          <w:tcPr>
            <w:tcW w:w="2250" w:type="pct"/>
            <w:vAlign w:val="center"/>
          </w:tcPr>
          <w:p>
            <w:pPr>
              <w:pStyle w:val="17"/>
              <w:rPr>
                <w:rFonts w:ascii="Times New Roman" w:hAnsi="Times New Roman" w:cs="Times New Roman" w:eastAsiaTheme="majorEastAsia"/>
                <w:b w:val="0"/>
                <w:color w:val="auto"/>
                <w:sz w:val="21"/>
              </w:rPr>
            </w:pPr>
            <w:r>
              <w:rPr>
                <w:rFonts w:ascii="Times New Roman" w:hAnsi="Times New Roman" w:cs="Times New Roman" w:eastAsiaTheme="majorEastAsia"/>
                <w:b w:val="0"/>
                <w:color w:val="auto"/>
                <w:sz w:val="21"/>
              </w:rPr>
              <w:t>医疗废物</w:t>
            </w:r>
            <w:r>
              <w:rPr>
                <w:rFonts w:hint="eastAsia" w:ascii="Times New Roman" w:hAnsi="Times New Roman" w:cs="Times New Roman" w:eastAsiaTheme="majorEastAsia"/>
                <w:b w:val="0"/>
                <w:color w:val="auto"/>
                <w:sz w:val="21"/>
              </w:rPr>
              <w:t>：危废暂存间内暂存后交由有资质单位代为处置</w:t>
            </w:r>
          </w:p>
        </w:tc>
        <w:tc>
          <w:tcPr>
            <w:tcW w:w="1362" w:type="pct"/>
            <w:vAlign w:val="center"/>
          </w:tcPr>
          <w:p>
            <w:pPr>
              <w:pStyle w:val="17"/>
              <w:rPr>
                <w:rFonts w:ascii="Times New Roman" w:hAnsi="Times New Roman" w:cs="Times New Roman" w:eastAsiaTheme="majorEastAsia"/>
                <w:b w:val="0"/>
                <w:color w:val="auto"/>
                <w:sz w:val="21"/>
              </w:rPr>
            </w:pPr>
            <w:r>
              <w:rPr>
                <w:rFonts w:ascii="Times New Roman" w:cs="Times New Roman" w:hAnsiTheme="majorEastAsia" w:eastAsiaTheme="majorEastAsia"/>
                <w:b w:val="0"/>
                <w:color w:val="auto"/>
                <w:sz w:val="21"/>
              </w:rPr>
              <w:t>《危险废物贮存污染控制标准》（</w:t>
            </w:r>
            <w:r>
              <w:rPr>
                <w:rFonts w:ascii="Times New Roman" w:hAnsi="Times New Roman" w:cs="Times New Roman" w:eastAsiaTheme="majorEastAsia"/>
                <w:b w:val="0"/>
                <w:color w:val="auto"/>
                <w:sz w:val="21"/>
              </w:rPr>
              <w:t>GB18597-20</w:t>
            </w:r>
            <w:r>
              <w:rPr>
                <w:rFonts w:hint="eastAsia" w:ascii="Times New Roman" w:hAnsi="Times New Roman" w:cs="Times New Roman" w:eastAsiaTheme="majorEastAsia"/>
                <w:b w:val="0"/>
                <w:color w:val="auto"/>
                <w:sz w:val="21"/>
                <w:lang w:val="en-US" w:eastAsia="zh-CN"/>
              </w:rPr>
              <w:t>23</w:t>
            </w:r>
            <w:r>
              <w:rPr>
                <w:rFonts w:ascii="Times New Roman" w:cs="Times New Roman" w:hAnsiTheme="majorEastAsia" w:eastAsiaTheme="majorEastAsia"/>
                <w:b w:val="0"/>
                <w:color w:val="auto"/>
                <w:sz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Merge w:val="continue"/>
            <w:vAlign w:val="center"/>
          </w:tcPr>
          <w:p>
            <w:pPr>
              <w:pStyle w:val="17"/>
              <w:rPr>
                <w:rFonts w:ascii="Times New Roman" w:hAnsi="Times New Roman" w:cs="Times New Roman" w:eastAsiaTheme="majorEastAsia"/>
                <w:b w:val="0"/>
                <w:color w:val="auto"/>
                <w:sz w:val="21"/>
              </w:rPr>
            </w:pPr>
          </w:p>
        </w:tc>
        <w:tc>
          <w:tcPr>
            <w:tcW w:w="300" w:type="pct"/>
            <w:vMerge w:val="continue"/>
            <w:vAlign w:val="center"/>
          </w:tcPr>
          <w:p>
            <w:pPr>
              <w:pStyle w:val="17"/>
              <w:rPr>
                <w:rFonts w:ascii="Times New Roman" w:hAnsi="Times New Roman" w:cs="Times New Roman" w:eastAsiaTheme="majorEastAsia"/>
                <w:b w:val="0"/>
                <w:color w:val="auto"/>
                <w:sz w:val="21"/>
              </w:rPr>
            </w:pPr>
          </w:p>
        </w:tc>
        <w:tc>
          <w:tcPr>
            <w:tcW w:w="750" w:type="pct"/>
            <w:vAlign w:val="center"/>
          </w:tcPr>
          <w:p>
            <w:pPr>
              <w:pStyle w:val="17"/>
              <w:rPr>
                <w:rFonts w:ascii="Times New Roman" w:hAnsi="Times New Roman" w:cs="Times New Roman" w:eastAsiaTheme="majorEastAsia"/>
                <w:b w:val="0"/>
                <w:color w:val="auto"/>
                <w:sz w:val="21"/>
              </w:rPr>
            </w:pPr>
            <w:r>
              <w:rPr>
                <w:rFonts w:ascii="Times New Roman" w:cs="Times New Roman" w:hAnsiTheme="majorEastAsia" w:eastAsiaTheme="majorEastAsia"/>
                <w:b w:val="0"/>
                <w:color w:val="auto"/>
                <w:sz w:val="21"/>
              </w:rPr>
              <w:t>生活垃圾</w:t>
            </w:r>
          </w:p>
        </w:tc>
        <w:tc>
          <w:tcPr>
            <w:tcW w:w="2250" w:type="pct"/>
            <w:vAlign w:val="center"/>
          </w:tcPr>
          <w:p>
            <w:pPr>
              <w:pStyle w:val="17"/>
              <w:rPr>
                <w:rFonts w:ascii="Times New Roman" w:hAnsi="Times New Roman" w:cs="Times New Roman" w:eastAsiaTheme="majorEastAsia"/>
                <w:b w:val="0"/>
                <w:color w:val="auto"/>
                <w:sz w:val="21"/>
              </w:rPr>
            </w:pPr>
            <w:r>
              <w:rPr>
                <w:rFonts w:hint="eastAsia" w:ascii="Times New Roman" w:cs="Times New Roman" w:hAnsiTheme="majorEastAsia" w:eastAsiaTheme="majorEastAsia"/>
                <w:b w:val="0"/>
                <w:color w:val="auto"/>
                <w:sz w:val="21"/>
              </w:rPr>
              <w:t>垃圾桶暂存，委托环卫部门定期清运处置</w:t>
            </w:r>
          </w:p>
        </w:tc>
        <w:tc>
          <w:tcPr>
            <w:tcW w:w="1362" w:type="pct"/>
            <w:vAlign w:val="center"/>
          </w:tcPr>
          <w:p>
            <w:pPr>
              <w:pStyle w:val="17"/>
              <w:rPr>
                <w:rFonts w:ascii="Times New Roman" w:hAnsi="Times New Roman" w:cs="Times New Roman" w:eastAsiaTheme="majorEastAsia"/>
                <w:b w:val="0"/>
                <w:color w:val="auto"/>
                <w:sz w:val="21"/>
              </w:rPr>
            </w:pPr>
            <w:r>
              <w:rPr>
                <w:rFonts w:ascii="Times New Roman" w:hAnsi="Times New Roman" w:cs="Times New Roman" w:eastAsiaTheme="majorEastAsia"/>
                <w:b w:val="0"/>
                <w:color w:val="auto"/>
                <w:sz w:val="21"/>
              </w:rPr>
              <w:t>无害化处理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Merge w:val="continue"/>
            <w:vAlign w:val="center"/>
          </w:tcPr>
          <w:p>
            <w:pPr>
              <w:pStyle w:val="17"/>
              <w:rPr>
                <w:rFonts w:ascii="Times New Roman" w:hAnsi="Times New Roman" w:cs="Times New Roman" w:eastAsiaTheme="majorEastAsia"/>
                <w:b w:val="0"/>
                <w:color w:val="auto"/>
                <w:sz w:val="21"/>
              </w:rPr>
            </w:pPr>
          </w:p>
        </w:tc>
        <w:tc>
          <w:tcPr>
            <w:tcW w:w="1050" w:type="pct"/>
            <w:gridSpan w:val="2"/>
            <w:vAlign w:val="center"/>
          </w:tcPr>
          <w:p>
            <w:pPr>
              <w:pStyle w:val="17"/>
              <w:rPr>
                <w:rFonts w:ascii="Times New Roman" w:hAnsi="Times New Roman" w:cs="Times New Roman" w:eastAsiaTheme="majorEastAsia"/>
                <w:b w:val="0"/>
                <w:color w:val="auto"/>
                <w:sz w:val="21"/>
              </w:rPr>
            </w:pPr>
            <w:r>
              <w:rPr>
                <w:rFonts w:ascii="Times New Roman" w:cs="Times New Roman" w:hAnsiTheme="majorEastAsia" w:eastAsiaTheme="majorEastAsia"/>
                <w:b w:val="0"/>
                <w:color w:val="auto"/>
                <w:sz w:val="21"/>
              </w:rPr>
              <w:t>地下水</w:t>
            </w:r>
          </w:p>
        </w:tc>
        <w:tc>
          <w:tcPr>
            <w:tcW w:w="2250" w:type="pct"/>
            <w:vAlign w:val="center"/>
          </w:tcPr>
          <w:p>
            <w:pPr>
              <w:pStyle w:val="17"/>
              <w:rPr>
                <w:rFonts w:ascii="Times New Roman" w:hAnsi="Times New Roman" w:cs="Times New Roman"/>
                <w:b w:val="0"/>
              </w:rPr>
            </w:pPr>
            <w:r>
              <w:rPr>
                <w:rFonts w:hint="eastAsia" w:ascii="Times New Roman" w:hAnsi="Times New Roman" w:cs="Times New Roman" w:eastAsiaTheme="majorEastAsia"/>
                <w:b w:val="0"/>
                <w:color w:val="auto"/>
                <w:sz w:val="21"/>
              </w:rPr>
              <w:t>分区防渗、定期地下水监测等</w:t>
            </w:r>
          </w:p>
        </w:tc>
        <w:tc>
          <w:tcPr>
            <w:tcW w:w="1362" w:type="pct"/>
            <w:vAlign w:val="center"/>
          </w:tcPr>
          <w:p>
            <w:pPr>
              <w:pStyle w:val="17"/>
              <w:rPr>
                <w:rFonts w:ascii="Times New Roman" w:hAnsi="Times New Roman" w:cs="Times New Roman" w:eastAsiaTheme="majorEastAsia"/>
                <w:b w:val="0"/>
                <w:color w:val="auto"/>
                <w:sz w:val="21"/>
              </w:rPr>
            </w:pPr>
            <w:r>
              <w:rPr>
                <w:rFonts w:ascii="Times New Roman" w:cs="Times New Roman" w:hAnsiTheme="majorEastAsia" w:eastAsiaTheme="majorEastAsia"/>
                <w:b w:val="0"/>
                <w:color w:val="auto"/>
                <w:sz w:val="21"/>
              </w:rPr>
              <w:t>防止对地下水造成污染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Merge w:val="continue"/>
            <w:vAlign w:val="center"/>
          </w:tcPr>
          <w:p>
            <w:pPr>
              <w:pStyle w:val="17"/>
              <w:rPr>
                <w:rFonts w:ascii="Times New Roman" w:hAnsi="Times New Roman" w:cs="Times New Roman" w:eastAsiaTheme="majorEastAsia"/>
                <w:b w:val="0"/>
                <w:color w:val="auto"/>
                <w:sz w:val="21"/>
              </w:rPr>
            </w:pPr>
          </w:p>
        </w:tc>
        <w:tc>
          <w:tcPr>
            <w:tcW w:w="1050" w:type="pct"/>
            <w:gridSpan w:val="2"/>
            <w:vAlign w:val="center"/>
          </w:tcPr>
          <w:p>
            <w:pPr>
              <w:pStyle w:val="17"/>
              <w:rPr>
                <w:rFonts w:ascii="Times New Roman" w:hAnsi="Times New Roman" w:cs="Times New Roman" w:eastAsiaTheme="majorEastAsia"/>
                <w:b w:val="0"/>
                <w:color w:val="auto"/>
                <w:sz w:val="21"/>
              </w:rPr>
            </w:pPr>
            <w:r>
              <w:rPr>
                <w:rFonts w:ascii="Times New Roman" w:hAnsi="Times New Roman" w:cs="Times New Roman" w:eastAsiaTheme="majorEastAsia"/>
                <w:b w:val="0"/>
                <w:color w:val="auto"/>
                <w:sz w:val="21"/>
              </w:rPr>
              <w:t>风险</w:t>
            </w:r>
          </w:p>
        </w:tc>
        <w:tc>
          <w:tcPr>
            <w:tcW w:w="2250" w:type="pct"/>
            <w:vAlign w:val="center"/>
          </w:tcPr>
          <w:p>
            <w:pPr>
              <w:pStyle w:val="17"/>
              <w:rPr>
                <w:rFonts w:hint="eastAsia" w:ascii="Times New Roman" w:cs="Times New Roman" w:hAnsiTheme="majorEastAsia" w:eastAsiaTheme="majorEastAsia"/>
                <w:b w:val="0"/>
                <w:color w:val="auto"/>
                <w:sz w:val="21"/>
              </w:rPr>
            </w:pPr>
            <w:r>
              <w:rPr>
                <w:rFonts w:hint="eastAsia" w:ascii="Times New Roman" w:cs="Times New Roman" w:hAnsiTheme="majorEastAsia" w:eastAsiaTheme="majorEastAsia"/>
                <w:b w:val="0"/>
                <w:color w:val="auto"/>
                <w:sz w:val="21"/>
              </w:rPr>
              <w:t>设置风险管理机构，制定应急预案，定期培训，应急设施、设备及器材等</w:t>
            </w:r>
          </w:p>
        </w:tc>
        <w:tc>
          <w:tcPr>
            <w:tcW w:w="1362" w:type="pct"/>
            <w:vAlign w:val="center"/>
          </w:tcPr>
          <w:p>
            <w:pPr>
              <w:pStyle w:val="17"/>
              <w:rPr>
                <w:rFonts w:hint="eastAsia" w:ascii="Times New Roman" w:cs="Times New Roman" w:hAnsiTheme="majorEastAsia" w:eastAsiaTheme="majorEastAsia"/>
                <w:b w:val="0"/>
                <w:color w:val="auto"/>
                <w:sz w:val="21"/>
              </w:rPr>
            </w:pPr>
            <w:r>
              <w:rPr>
                <w:rFonts w:hint="eastAsia" w:ascii="Times New Roman" w:cs="Times New Roman" w:hAnsiTheme="majorEastAsia" w:eastAsiaTheme="majorEastAsia"/>
                <w:b w:val="0"/>
                <w:color w:val="auto"/>
                <w:sz w:val="21"/>
              </w:rPr>
              <w:t>事故发生后得到有效控制，验收落实情况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Merge w:val="continue"/>
            <w:vAlign w:val="center"/>
          </w:tcPr>
          <w:p>
            <w:pPr>
              <w:pStyle w:val="17"/>
              <w:rPr>
                <w:rFonts w:ascii="Times New Roman" w:hAnsi="Times New Roman" w:cs="Times New Roman" w:eastAsiaTheme="majorEastAsia"/>
                <w:b w:val="0"/>
                <w:color w:val="auto"/>
                <w:sz w:val="21"/>
              </w:rPr>
            </w:pPr>
          </w:p>
        </w:tc>
        <w:tc>
          <w:tcPr>
            <w:tcW w:w="1050" w:type="pct"/>
            <w:gridSpan w:val="2"/>
            <w:vAlign w:val="center"/>
          </w:tcPr>
          <w:p>
            <w:pPr>
              <w:pStyle w:val="17"/>
              <w:rPr>
                <w:rFonts w:ascii="Times New Roman" w:hAnsi="Times New Roman" w:cs="Times New Roman" w:eastAsiaTheme="majorEastAsia"/>
                <w:b w:val="0"/>
                <w:color w:val="auto"/>
                <w:sz w:val="21"/>
              </w:rPr>
            </w:pPr>
            <w:r>
              <w:rPr>
                <w:rFonts w:ascii="Times New Roman" w:cs="Times New Roman" w:hAnsiTheme="majorEastAsia" w:eastAsiaTheme="majorEastAsia"/>
                <w:b w:val="0"/>
                <w:color w:val="auto"/>
                <w:sz w:val="21"/>
              </w:rPr>
              <w:t>环境管理</w:t>
            </w:r>
          </w:p>
        </w:tc>
        <w:tc>
          <w:tcPr>
            <w:tcW w:w="2250" w:type="pct"/>
            <w:vAlign w:val="center"/>
          </w:tcPr>
          <w:p>
            <w:pPr>
              <w:pStyle w:val="17"/>
              <w:rPr>
                <w:rFonts w:hint="default" w:ascii="Times New Roman" w:cs="Times New Roman" w:hAnsiTheme="majorEastAsia" w:eastAsiaTheme="majorEastAsia"/>
                <w:b w:val="0"/>
                <w:color w:val="auto"/>
                <w:sz w:val="21"/>
                <w:lang w:val="en-US" w:eastAsia="zh-CN"/>
              </w:rPr>
            </w:pPr>
            <w:r>
              <w:rPr>
                <w:rFonts w:hint="eastAsia" w:ascii="Times New Roman" w:cs="Times New Roman" w:hAnsiTheme="majorEastAsia" w:eastAsiaTheme="majorEastAsia"/>
                <w:b w:val="0"/>
                <w:color w:val="auto"/>
                <w:sz w:val="21"/>
              </w:rPr>
              <w:t>设置环保专员加强场区污染治理设施运行、维护、监督及管理；环境管理人员日常培训；定期开展监测；规范</w:t>
            </w:r>
            <w:r>
              <w:rPr>
                <w:rFonts w:hint="eastAsia" w:ascii="Times New Roman" w:cs="Times New Roman" w:hAnsiTheme="majorEastAsia" w:eastAsiaTheme="majorEastAsia"/>
                <w:b w:val="0"/>
                <w:color w:val="auto"/>
                <w:sz w:val="21"/>
                <w:lang w:val="en-US" w:eastAsia="zh-CN"/>
              </w:rPr>
              <w:t>雨水</w:t>
            </w:r>
            <w:r>
              <w:rPr>
                <w:rFonts w:hint="eastAsia" w:ascii="Times New Roman" w:cs="Times New Roman" w:hAnsiTheme="majorEastAsia" w:eastAsiaTheme="majorEastAsia"/>
                <w:b w:val="0"/>
                <w:color w:val="auto"/>
                <w:sz w:val="21"/>
              </w:rPr>
              <w:t>排放口</w:t>
            </w:r>
            <w:r>
              <w:rPr>
                <w:rFonts w:hint="eastAsia" w:ascii="Times New Roman" w:cs="Times New Roman" w:hAnsiTheme="majorEastAsia" w:eastAsiaTheme="majorEastAsia"/>
                <w:b w:val="0"/>
                <w:color w:val="auto"/>
                <w:sz w:val="21"/>
                <w:lang w:eastAsia="zh-CN"/>
              </w:rPr>
              <w:t>；</w:t>
            </w:r>
            <w:r>
              <w:rPr>
                <w:rFonts w:hint="eastAsia" w:ascii="Times New Roman" w:cs="Times New Roman" w:hAnsiTheme="majorEastAsia" w:eastAsiaTheme="majorEastAsia"/>
                <w:b w:val="0"/>
                <w:color w:val="auto"/>
                <w:sz w:val="21"/>
                <w:lang w:val="en-US" w:eastAsia="zh-CN"/>
              </w:rPr>
              <w:t>规范设置标志牌</w:t>
            </w:r>
          </w:p>
        </w:tc>
        <w:tc>
          <w:tcPr>
            <w:tcW w:w="1362" w:type="pct"/>
            <w:vAlign w:val="center"/>
          </w:tcPr>
          <w:p>
            <w:pPr>
              <w:pStyle w:val="17"/>
              <w:rPr>
                <w:rFonts w:hint="eastAsia" w:ascii="Times New Roman" w:cs="Times New Roman" w:hAnsiTheme="majorEastAsia" w:eastAsiaTheme="majorEastAsia"/>
                <w:b w:val="0"/>
                <w:color w:val="auto"/>
                <w:sz w:val="21"/>
              </w:rPr>
            </w:pPr>
            <w:r>
              <w:rPr>
                <w:rFonts w:hint="eastAsia" w:ascii="Times New Roman" w:cs="Times New Roman" w:hAnsiTheme="majorEastAsia" w:eastAsiaTheme="majorEastAsia"/>
                <w:b w:val="0"/>
                <w:color w:val="auto"/>
                <w:sz w:val="21"/>
              </w:rPr>
              <w:t>环境监测机构及计划、检查项目三同时执行情况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38" w:type="pct"/>
            <w:vMerge w:val="continue"/>
            <w:vAlign w:val="center"/>
          </w:tcPr>
          <w:p>
            <w:pPr>
              <w:pStyle w:val="17"/>
              <w:rPr>
                <w:rFonts w:ascii="Times New Roman" w:hAnsi="Times New Roman" w:cs="Times New Roman" w:eastAsiaTheme="majorEastAsia"/>
                <w:b w:val="0"/>
                <w:color w:val="auto"/>
                <w:sz w:val="21"/>
              </w:rPr>
            </w:pPr>
          </w:p>
        </w:tc>
        <w:tc>
          <w:tcPr>
            <w:tcW w:w="1050" w:type="pct"/>
            <w:gridSpan w:val="2"/>
            <w:vAlign w:val="center"/>
          </w:tcPr>
          <w:p>
            <w:pPr>
              <w:pStyle w:val="17"/>
              <w:rPr>
                <w:rFonts w:ascii="Times New Roman" w:hAnsi="Times New Roman" w:cs="Times New Roman" w:eastAsiaTheme="majorEastAsia"/>
                <w:b w:val="0"/>
                <w:color w:val="auto"/>
                <w:sz w:val="21"/>
              </w:rPr>
            </w:pPr>
            <w:r>
              <w:rPr>
                <w:b w:val="0"/>
                <w:color w:val="auto"/>
                <w:sz w:val="21"/>
              </w:rPr>
              <w:t>绿化</w:t>
            </w:r>
          </w:p>
        </w:tc>
        <w:tc>
          <w:tcPr>
            <w:tcW w:w="2250" w:type="pct"/>
            <w:vAlign w:val="center"/>
          </w:tcPr>
          <w:p>
            <w:pPr>
              <w:pStyle w:val="17"/>
              <w:rPr>
                <w:rFonts w:hint="eastAsia" w:ascii="Times New Roman" w:cs="Times New Roman" w:hAnsiTheme="majorEastAsia" w:eastAsiaTheme="majorEastAsia"/>
                <w:b w:val="0"/>
                <w:color w:val="auto"/>
                <w:sz w:val="21"/>
              </w:rPr>
            </w:pPr>
            <w:r>
              <w:rPr>
                <w:rFonts w:hint="eastAsia" w:ascii="Times New Roman" w:cs="Times New Roman" w:hAnsiTheme="majorEastAsia" w:eastAsiaTheme="majorEastAsia"/>
                <w:b w:val="0"/>
                <w:color w:val="auto"/>
                <w:sz w:val="21"/>
              </w:rPr>
              <w:t>加强厂区绿化</w:t>
            </w:r>
          </w:p>
        </w:tc>
        <w:tc>
          <w:tcPr>
            <w:tcW w:w="1362" w:type="pct"/>
            <w:vAlign w:val="center"/>
          </w:tcPr>
          <w:p>
            <w:pPr>
              <w:pStyle w:val="17"/>
              <w:rPr>
                <w:rFonts w:hint="eastAsia" w:ascii="Times New Roman" w:cs="Times New Roman" w:hAnsiTheme="majorEastAsia" w:eastAsiaTheme="majorEastAsia"/>
                <w:b w:val="0"/>
                <w:color w:val="auto"/>
                <w:sz w:val="21"/>
              </w:rPr>
            </w:pPr>
            <w:r>
              <w:rPr>
                <w:rFonts w:hint="eastAsia" w:ascii="Times New Roman" w:cs="Times New Roman" w:hAnsiTheme="majorEastAsia" w:eastAsiaTheme="majorEastAsia"/>
                <w:b w:val="0"/>
                <w:color w:val="auto"/>
                <w:sz w:val="21"/>
              </w:rPr>
              <w:t>美化周边环境，降低污染</w:t>
            </w:r>
          </w:p>
        </w:tc>
      </w:tr>
    </w:tbl>
    <w:p>
      <w:pPr>
        <w:spacing w:line="360" w:lineRule="auto"/>
        <w:ind w:firstLine="602" w:firstLineChars="200"/>
        <w:rPr>
          <w:b/>
          <w:bCs/>
          <w:sz w:val="30"/>
          <w:szCs w:val="30"/>
        </w:rPr>
        <w:sectPr>
          <w:pgSz w:w="16838" w:h="11906" w:orient="landscape"/>
          <w:pgMar w:top="1797" w:right="1440" w:bottom="1797" w:left="1440" w:header="851" w:footer="992" w:gutter="0"/>
          <w:pgBorders>
            <w:top w:val="none" w:sz="0" w:space="0"/>
            <w:left w:val="none" w:sz="0" w:space="0"/>
            <w:bottom w:val="none" w:sz="0" w:space="0"/>
            <w:right w:val="none" w:sz="0" w:space="0"/>
          </w:pgBorders>
          <w:pgNumType w:fmt="decimal"/>
          <w:cols w:space="720" w:num="1"/>
          <w:docGrid w:linePitch="312" w:charSpace="0"/>
        </w:sectPr>
      </w:pPr>
    </w:p>
    <w:p>
      <w:pPr>
        <w:spacing w:before="140" w:after="140"/>
        <w:outlineLvl w:val="1"/>
        <w:rPr>
          <w:b/>
          <w:bCs/>
          <w:sz w:val="30"/>
          <w:szCs w:val="30"/>
        </w:rPr>
      </w:pPr>
      <w:bookmarkStart w:id="362" w:name="_Toc123886438"/>
      <w:r>
        <w:rPr>
          <w:rFonts w:hint="eastAsia"/>
          <w:b/>
          <w:bCs/>
          <w:sz w:val="30"/>
          <w:szCs w:val="30"/>
        </w:rPr>
        <w:t>9</w:t>
      </w:r>
      <w:r>
        <w:rPr>
          <w:b/>
          <w:bCs/>
          <w:sz w:val="30"/>
          <w:szCs w:val="30"/>
        </w:rPr>
        <w:t>.</w:t>
      </w:r>
      <w:r>
        <w:rPr>
          <w:rFonts w:hint="eastAsia"/>
          <w:b/>
          <w:bCs/>
          <w:sz w:val="30"/>
          <w:szCs w:val="30"/>
        </w:rPr>
        <w:t>7 固定污染源排污许可</w:t>
      </w:r>
      <w:bookmarkEnd w:id="362"/>
    </w:p>
    <w:p>
      <w:pPr>
        <w:spacing w:line="360" w:lineRule="auto"/>
        <w:ind w:firstLine="480" w:firstLineChars="200"/>
        <w:rPr>
          <w:kern w:val="0"/>
          <w:sz w:val="24"/>
        </w:rPr>
      </w:pPr>
      <w:r>
        <w:rPr>
          <w:rFonts w:hint="eastAsia"/>
          <w:kern w:val="0"/>
          <w:sz w:val="24"/>
        </w:rPr>
        <w:t>本项目属于《固定污染源排污许可分类管理名录》（2019年版）中的“一、畜牧业 03--1 牲畜饲养 031，家禽饲养 032--无污水排放口的规模化畜禽养殖场、养殖小区，设有污水排放口的规模以下畜禽养殖场、养殖小区”中无污水排放口的规模化畜禽养殖场，为登记管理排污单位，排污单位应按照《排污许可证申请与核发技术规范 总则》（HJ942-2018）、《排污许可证申请与核发技术规范 畜禽养殖行业》（HJ 1029-2019）相关要求，在全国排污许可证管理信息平台中按照实际情况填报基本信息、主要产品与产能、主要原辅材料、产排污环节、污染物及污染防治设施等相应信息，并对提交申请材料的真实性、合法性和完整性负法律责任。后期固定污染源排污许可分类管理名录如更新，应根据填报排污许可时最新的固定污染源排污许可分类管理名录确定排污许可管理单位类别。</w:t>
      </w:r>
    </w:p>
    <w:p>
      <w:pPr>
        <w:spacing w:line="360" w:lineRule="auto"/>
        <w:ind w:firstLine="480" w:firstLineChars="200"/>
        <w:rPr>
          <w:rFonts w:ascii="宋体" w:hAnsi="宋体" w:cs="宋体"/>
          <w:kern w:val="0"/>
          <w:sz w:val="24"/>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bookmarkEnd w:id="346"/>
    <w:p>
      <w:pPr>
        <w:pStyle w:val="4"/>
        <w:pageBreakBefore/>
        <w:numPr>
          <w:ilvl w:val="0"/>
          <w:numId w:val="0"/>
        </w:numPr>
        <w:spacing w:beforeLines="0" w:line="360" w:lineRule="auto"/>
        <w:jc w:val="center"/>
        <w:rPr>
          <w:rFonts w:eastAsia="宋体"/>
        </w:rPr>
      </w:pPr>
      <w:bookmarkStart w:id="363" w:name="_Toc123886439"/>
      <w:bookmarkStart w:id="364" w:name="_Toc517522365"/>
      <w:r>
        <w:rPr>
          <w:rFonts w:hint="eastAsia" w:eastAsia="宋体"/>
        </w:rPr>
        <w:t xml:space="preserve">10 </w:t>
      </w:r>
      <w:r>
        <w:rPr>
          <w:rFonts w:eastAsia="宋体"/>
        </w:rPr>
        <w:t>评价结论</w:t>
      </w:r>
      <w:bookmarkEnd w:id="363"/>
      <w:bookmarkEnd w:id="364"/>
    </w:p>
    <w:p>
      <w:pPr>
        <w:pStyle w:val="6"/>
        <w:numPr>
          <w:ilvl w:val="0"/>
          <w:numId w:val="0"/>
        </w:numPr>
        <w:spacing w:before="0" w:after="0" w:line="360" w:lineRule="auto"/>
        <w:rPr>
          <w:rFonts w:ascii="Times New Roman" w:hAnsi="Times New Roman" w:eastAsia="宋体"/>
          <w:szCs w:val="30"/>
        </w:rPr>
      </w:pPr>
      <w:bookmarkStart w:id="365" w:name="_Toc517522366"/>
      <w:bookmarkStart w:id="366" w:name="_Toc123886440"/>
      <w:r>
        <w:rPr>
          <w:rFonts w:hint="eastAsia" w:ascii="Times New Roman" w:hAnsi="Times New Roman" w:eastAsia="宋体"/>
          <w:szCs w:val="30"/>
        </w:rPr>
        <w:t>10</w:t>
      </w:r>
      <w:r>
        <w:rPr>
          <w:rFonts w:ascii="Times New Roman" w:hAnsi="Times New Roman" w:eastAsia="宋体"/>
          <w:szCs w:val="30"/>
        </w:rPr>
        <w:t>.1 项目概况</w:t>
      </w:r>
      <w:bookmarkEnd w:id="365"/>
      <w:bookmarkEnd w:id="366"/>
    </w:p>
    <w:p>
      <w:pPr>
        <w:spacing w:line="360" w:lineRule="auto"/>
        <w:ind w:firstLine="480" w:firstLineChars="200"/>
        <w:rPr>
          <w:rFonts w:eastAsiaTheme="minorEastAsia"/>
          <w:sz w:val="24"/>
        </w:rPr>
      </w:pPr>
      <w:r>
        <w:rPr>
          <w:rFonts w:eastAsiaTheme="minorEastAsia"/>
          <w:sz w:val="24"/>
        </w:rPr>
        <w:t>湖南安发原生态农业旅游开发有限公司拟投资1.5亿元在衡阳县台源镇紫霞村、前进村建设台源蛋鸡养殖二场建设项目。项目中心地理坐标为：E 112.400339°，N 27.071417°，项目</w:t>
      </w:r>
      <w:r>
        <w:rPr>
          <w:rFonts w:hint="eastAsia"/>
          <w:sz w:val="24"/>
        </w:rPr>
        <w:t>总占地约32.96亩</w:t>
      </w:r>
      <w:r>
        <w:rPr>
          <w:rFonts w:eastAsiaTheme="minorEastAsia"/>
          <w:sz w:val="24"/>
        </w:rPr>
        <w:t>。主要建设内容</w:t>
      </w:r>
      <w:r>
        <w:rPr>
          <w:kern w:val="0"/>
          <w:sz w:val="24"/>
        </w:rPr>
        <w:t>包括</w:t>
      </w:r>
      <w:r>
        <w:rPr>
          <w:rFonts w:hint="eastAsia"/>
          <w:kern w:val="0"/>
          <w:sz w:val="24"/>
          <w:lang w:val="en-US" w:eastAsia="zh-CN"/>
        </w:rPr>
        <w:t>6</w:t>
      </w:r>
      <w:r>
        <w:rPr>
          <w:rFonts w:hint="eastAsia"/>
          <w:kern w:val="0"/>
          <w:sz w:val="24"/>
        </w:rPr>
        <w:t>栋标准化鸡舍</w:t>
      </w:r>
      <w:r>
        <w:rPr>
          <w:rFonts w:hint="eastAsia"/>
          <w:kern w:val="0"/>
          <w:sz w:val="24"/>
          <w:lang w:eastAsia="zh-CN"/>
        </w:rPr>
        <w:t>，</w:t>
      </w:r>
      <w:r>
        <w:rPr>
          <w:rFonts w:hint="eastAsia"/>
          <w:kern w:val="0"/>
          <w:sz w:val="24"/>
          <w:lang w:val="en-US" w:eastAsia="zh-CN"/>
        </w:rPr>
        <w:t>1栋蛋库</w:t>
      </w:r>
      <w:r>
        <w:rPr>
          <w:kern w:val="0"/>
          <w:sz w:val="24"/>
        </w:rPr>
        <w:t>，配套相应的</w:t>
      </w:r>
      <w:r>
        <w:rPr>
          <w:rFonts w:hint="eastAsia"/>
          <w:kern w:val="0"/>
          <w:sz w:val="24"/>
        </w:rPr>
        <w:t>鸡粪收集室</w:t>
      </w:r>
      <w:r>
        <w:rPr>
          <w:rFonts w:hint="eastAsia"/>
          <w:kern w:val="0"/>
          <w:sz w:val="24"/>
          <w:lang w:eastAsia="zh-CN"/>
        </w:rPr>
        <w:t>、</w:t>
      </w:r>
      <w:r>
        <w:rPr>
          <w:rFonts w:hint="eastAsia"/>
          <w:kern w:val="0"/>
          <w:sz w:val="24"/>
          <w:lang w:val="en-US" w:eastAsia="zh-CN"/>
        </w:rPr>
        <w:t>备用仓库</w:t>
      </w:r>
      <w:r>
        <w:rPr>
          <w:rFonts w:hint="eastAsia"/>
          <w:kern w:val="0"/>
          <w:sz w:val="24"/>
          <w:lang w:eastAsia="zh-CN"/>
        </w:rPr>
        <w:t>、</w:t>
      </w:r>
      <w:r>
        <w:rPr>
          <w:rFonts w:hint="eastAsia"/>
          <w:kern w:val="0"/>
          <w:sz w:val="24"/>
        </w:rPr>
        <w:t>宿舍</w:t>
      </w:r>
      <w:r>
        <w:rPr>
          <w:rFonts w:hint="eastAsia"/>
          <w:kern w:val="0"/>
          <w:sz w:val="24"/>
          <w:lang w:val="en-US" w:eastAsia="zh-CN"/>
        </w:rPr>
        <w:t>楼、食堂等</w:t>
      </w:r>
      <w:r>
        <w:rPr>
          <w:kern w:val="0"/>
          <w:sz w:val="24"/>
        </w:rPr>
        <w:t>，总</w:t>
      </w:r>
      <w:r>
        <w:rPr>
          <w:rFonts w:hint="eastAsia"/>
          <w:kern w:val="0"/>
          <w:sz w:val="24"/>
        </w:rPr>
        <w:t>占地</w:t>
      </w:r>
      <w:r>
        <w:rPr>
          <w:kern w:val="0"/>
          <w:sz w:val="24"/>
        </w:rPr>
        <w:t>面积</w:t>
      </w:r>
      <w:r>
        <w:rPr>
          <w:rFonts w:hint="eastAsia"/>
          <w:kern w:val="0"/>
          <w:sz w:val="24"/>
          <w:lang w:val="en-US" w:eastAsia="zh-CN"/>
        </w:rPr>
        <w:t>约</w:t>
      </w:r>
      <w:r>
        <w:rPr>
          <w:kern w:val="0"/>
          <w:sz w:val="24"/>
        </w:rPr>
        <w:t>1</w:t>
      </w:r>
      <w:r>
        <w:rPr>
          <w:rFonts w:hint="eastAsia"/>
          <w:kern w:val="0"/>
          <w:sz w:val="24"/>
          <w:lang w:val="en-US" w:eastAsia="zh-CN"/>
        </w:rPr>
        <w:t>6774.56m</w:t>
      </w:r>
      <w:r>
        <w:rPr>
          <w:rFonts w:hint="eastAsia"/>
          <w:kern w:val="0"/>
          <w:sz w:val="24"/>
          <w:vertAlign w:val="superscript"/>
          <w:lang w:val="en-US" w:eastAsia="zh-CN"/>
        </w:rPr>
        <w:t>2</w:t>
      </w:r>
      <w:r>
        <w:rPr>
          <w:rFonts w:hint="eastAsia"/>
          <w:kern w:val="0"/>
          <w:sz w:val="24"/>
        </w:rPr>
        <w:t>。项目仅进行蛋鸡饲养和鸡蛋生产，不涉及蛋鸡屠宰、鸡蛋加工、饲料粉碎工艺环节</w:t>
      </w:r>
      <w:r>
        <w:rPr>
          <w:rFonts w:hint="eastAsia"/>
          <w:kern w:val="0"/>
          <w:sz w:val="24"/>
          <w:lang w:eastAsia="zh-CN"/>
        </w:rPr>
        <w:t>，</w:t>
      </w:r>
      <w:r>
        <w:rPr>
          <w:rFonts w:hint="eastAsia"/>
          <w:kern w:val="0"/>
          <w:sz w:val="24"/>
        </w:rPr>
        <w:t>养殖不进行育雏，由建设方购买105~120天左右的青年鸡，年存栏蛋鸡60万羽</w:t>
      </w:r>
      <w:r>
        <w:rPr>
          <w:rFonts w:eastAsiaTheme="minorEastAsia"/>
          <w:sz w:val="24"/>
        </w:rPr>
        <w:t>。</w:t>
      </w:r>
    </w:p>
    <w:p>
      <w:pPr>
        <w:pStyle w:val="6"/>
        <w:numPr>
          <w:ilvl w:val="0"/>
          <w:numId w:val="0"/>
        </w:numPr>
        <w:spacing w:before="0" w:after="0" w:line="360" w:lineRule="auto"/>
        <w:rPr>
          <w:rFonts w:ascii="Times New Roman" w:hAnsi="Times New Roman" w:eastAsia="宋体"/>
          <w:szCs w:val="30"/>
        </w:rPr>
      </w:pPr>
      <w:bookmarkStart w:id="367" w:name="_Toc123886441"/>
      <w:bookmarkStart w:id="368" w:name="_Toc517522368"/>
      <w:r>
        <w:rPr>
          <w:rFonts w:hint="eastAsia" w:ascii="Times New Roman" w:hAnsi="Times New Roman" w:eastAsia="宋体"/>
          <w:szCs w:val="30"/>
        </w:rPr>
        <w:t>10</w:t>
      </w:r>
      <w:r>
        <w:rPr>
          <w:rFonts w:ascii="Times New Roman" w:hAnsi="Times New Roman" w:eastAsia="宋体"/>
          <w:szCs w:val="30"/>
        </w:rPr>
        <w:t>.</w:t>
      </w:r>
      <w:r>
        <w:rPr>
          <w:rFonts w:hint="eastAsia" w:ascii="Times New Roman" w:hAnsi="Times New Roman" w:eastAsia="宋体"/>
          <w:szCs w:val="30"/>
        </w:rPr>
        <w:t xml:space="preserve">2 </w:t>
      </w:r>
      <w:r>
        <w:rPr>
          <w:rFonts w:ascii="Times New Roman" w:hAnsi="Times New Roman" w:eastAsia="宋体"/>
          <w:szCs w:val="30"/>
        </w:rPr>
        <w:t>环境影响评价结论</w:t>
      </w:r>
      <w:bookmarkEnd w:id="367"/>
      <w:bookmarkEnd w:id="368"/>
    </w:p>
    <w:p>
      <w:pPr>
        <w:spacing w:line="360" w:lineRule="auto"/>
        <w:ind w:firstLine="482" w:firstLineChars="200"/>
        <w:rPr>
          <w:b/>
          <w:sz w:val="24"/>
        </w:rPr>
      </w:pPr>
      <w:r>
        <w:rPr>
          <w:b/>
          <w:sz w:val="24"/>
        </w:rPr>
        <w:t>1、环境空气</w:t>
      </w:r>
    </w:p>
    <w:p>
      <w:pPr>
        <w:spacing w:line="360" w:lineRule="auto"/>
        <w:ind w:firstLine="480" w:firstLineChars="200"/>
        <w:rPr>
          <w:sz w:val="24"/>
        </w:rPr>
      </w:pPr>
      <w:r>
        <w:rPr>
          <w:sz w:val="24"/>
        </w:rPr>
        <w:t>根据</w:t>
      </w:r>
      <w:r>
        <w:rPr>
          <w:rFonts w:hint="eastAsia"/>
          <w:sz w:val="24"/>
        </w:rPr>
        <w:t>衡阳市生态环境局《关于202</w:t>
      </w:r>
      <w:r>
        <w:rPr>
          <w:rFonts w:hint="eastAsia"/>
          <w:sz w:val="24"/>
          <w:lang w:val="en-US" w:eastAsia="zh-CN"/>
        </w:rPr>
        <w:t>2</w:t>
      </w:r>
      <w:r>
        <w:rPr>
          <w:rFonts w:hint="eastAsia"/>
          <w:sz w:val="24"/>
        </w:rPr>
        <w:t>年12月份及1~12月份全市环境质量状况的通报》</w:t>
      </w:r>
      <w:r>
        <w:rPr>
          <w:sz w:val="24"/>
        </w:rPr>
        <w:t>，</w:t>
      </w:r>
      <w:r>
        <w:rPr>
          <w:rFonts w:hint="eastAsia"/>
          <w:sz w:val="24"/>
        </w:rPr>
        <w:t>衡阳县202</w:t>
      </w:r>
      <w:r>
        <w:rPr>
          <w:rFonts w:hint="eastAsia"/>
          <w:sz w:val="24"/>
          <w:lang w:val="en-US" w:eastAsia="zh-CN"/>
        </w:rPr>
        <w:t>2</w:t>
      </w:r>
      <w:r>
        <w:rPr>
          <w:rFonts w:hint="eastAsia"/>
          <w:sz w:val="24"/>
        </w:rPr>
        <w:t>年度环境空气各因子平均浓度满足《环境空气质量标准》（GB3095-2012）中二级标准限值，判定为达标区</w:t>
      </w:r>
      <w:r>
        <w:rPr>
          <w:sz w:val="24"/>
        </w:rPr>
        <w:t>。</w:t>
      </w:r>
    </w:p>
    <w:p>
      <w:pPr>
        <w:spacing w:line="360" w:lineRule="auto"/>
        <w:ind w:firstLine="480" w:firstLineChars="200"/>
        <w:rPr>
          <w:sz w:val="24"/>
        </w:rPr>
      </w:pPr>
      <w:r>
        <w:rPr>
          <w:rFonts w:hint="eastAsia"/>
          <w:bCs/>
          <w:sz w:val="24"/>
        </w:rPr>
        <w:t>补充监测结果表明，</w:t>
      </w:r>
      <w:r>
        <w:rPr>
          <w:bCs/>
          <w:sz w:val="24"/>
        </w:rPr>
        <w:t>在监测期间，项目所在地、项目</w:t>
      </w:r>
      <w:r>
        <w:rPr>
          <w:rFonts w:hint="eastAsia"/>
          <w:bCs/>
          <w:sz w:val="24"/>
        </w:rPr>
        <w:t>南面楼堂居民点</w:t>
      </w:r>
      <w:r>
        <w:rPr>
          <w:bCs/>
          <w:sz w:val="24"/>
        </w:rPr>
        <w:t>NH</w:t>
      </w:r>
      <w:r>
        <w:rPr>
          <w:bCs/>
          <w:sz w:val="24"/>
          <w:vertAlign w:val="subscript"/>
        </w:rPr>
        <w:t>3</w:t>
      </w:r>
      <w:r>
        <w:rPr>
          <w:bCs/>
          <w:sz w:val="24"/>
        </w:rPr>
        <w:t>、H</w:t>
      </w:r>
      <w:r>
        <w:rPr>
          <w:bCs/>
          <w:sz w:val="24"/>
          <w:vertAlign w:val="subscript"/>
        </w:rPr>
        <w:t>2</w:t>
      </w:r>
      <w:r>
        <w:rPr>
          <w:bCs/>
          <w:sz w:val="24"/>
        </w:rPr>
        <w:t>S小时平均浓度均满足</w:t>
      </w:r>
      <w:r>
        <w:rPr>
          <w:bCs/>
          <w:sz w:val="24"/>
          <w:lang w:val="zh-CN"/>
        </w:rPr>
        <w:t>《环境影响评价技术导则</w:t>
      </w:r>
      <w:r>
        <w:rPr>
          <w:bCs/>
          <w:sz w:val="24"/>
        </w:rPr>
        <w:t>大气环境</w:t>
      </w:r>
      <w:r>
        <w:rPr>
          <w:bCs/>
          <w:sz w:val="24"/>
          <w:lang w:val="zh-CN"/>
        </w:rPr>
        <w:t>》（</w:t>
      </w:r>
      <w:r>
        <w:rPr>
          <w:bCs/>
          <w:sz w:val="24"/>
        </w:rPr>
        <w:t>HJ 2.2</w:t>
      </w:r>
      <w:r>
        <w:rPr>
          <w:bCs/>
          <w:sz w:val="24"/>
          <w:lang w:val="zh-CN"/>
        </w:rPr>
        <w:t>-20</w:t>
      </w:r>
      <w:r>
        <w:rPr>
          <w:bCs/>
          <w:sz w:val="24"/>
        </w:rPr>
        <w:t>18</w:t>
      </w:r>
      <w:r>
        <w:rPr>
          <w:bCs/>
          <w:sz w:val="24"/>
          <w:lang w:val="zh-CN"/>
        </w:rPr>
        <w:t>）附录</w:t>
      </w:r>
      <w:r>
        <w:rPr>
          <w:bCs/>
          <w:sz w:val="24"/>
        </w:rPr>
        <w:t>D</w:t>
      </w:r>
      <w:r>
        <w:rPr>
          <w:bCs/>
          <w:sz w:val="24"/>
          <w:lang w:val="zh-CN"/>
        </w:rPr>
        <w:t>中浓度参考限值，</w:t>
      </w:r>
      <w:r>
        <w:rPr>
          <w:sz w:val="24"/>
        </w:rPr>
        <w:t>臭气浓度最大值满足《恶臭污染物排放标准》（GB 14554-93）中表1二级新改扩建标准限值</w:t>
      </w:r>
      <w:r>
        <w:rPr>
          <w:rFonts w:hint="eastAsia"/>
          <w:sz w:val="24"/>
        </w:rPr>
        <w:t>。</w:t>
      </w:r>
    </w:p>
    <w:p>
      <w:pPr>
        <w:spacing w:line="360" w:lineRule="auto"/>
        <w:ind w:firstLine="482" w:firstLineChars="200"/>
        <w:rPr>
          <w:b/>
          <w:sz w:val="24"/>
        </w:rPr>
      </w:pPr>
      <w:r>
        <w:rPr>
          <w:b/>
          <w:sz w:val="24"/>
        </w:rPr>
        <w:t>2、地表水</w:t>
      </w:r>
    </w:p>
    <w:p>
      <w:pPr>
        <w:spacing w:line="360" w:lineRule="auto"/>
        <w:ind w:firstLine="480" w:firstLineChars="200"/>
        <w:rPr>
          <w:bCs/>
          <w:sz w:val="24"/>
        </w:rPr>
      </w:pPr>
      <w:r>
        <w:rPr>
          <w:rFonts w:hint="eastAsia"/>
          <w:bCs/>
          <w:sz w:val="24"/>
        </w:rPr>
        <w:t>距离本项目最近的地表水监测断面为洪市镇、西渡水厂监测断面，根据衡阳市生态环境局《关于202</w:t>
      </w:r>
      <w:r>
        <w:rPr>
          <w:rFonts w:hint="eastAsia"/>
          <w:bCs/>
          <w:sz w:val="24"/>
          <w:lang w:val="en-US" w:eastAsia="zh-CN"/>
        </w:rPr>
        <w:t>2</w:t>
      </w:r>
      <w:r>
        <w:rPr>
          <w:rFonts w:hint="eastAsia"/>
          <w:bCs/>
          <w:sz w:val="24"/>
        </w:rPr>
        <w:t>年12月份及1~12月份全市环境质量状况的通报》中结论</w:t>
      </w:r>
      <w:r>
        <w:rPr>
          <w:bCs/>
          <w:sz w:val="24"/>
        </w:rPr>
        <w:t>，</w:t>
      </w:r>
      <w:r>
        <w:rPr>
          <w:rFonts w:hint="eastAsia"/>
          <w:bCs/>
          <w:sz w:val="24"/>
        </w:rPr>
        <w:t>监测断面水质满足《地表水环境质量标准》（</w:t>
      </w:r>
      <w:r>
        <w:rPr>
          <w:bCs/>
          <w:sz w:val="24"/>
        </w:rPr>
        <w:t>GB3838-2002</w:t>
      </w:r>
      <w:r>
        <w:rPr>
          <w:rFonts w:hint="eastAsia"/>
          <w:bCs/>
          <w:sz w:val="24"/>
        </w:rPr>
        <w:t>）Ⅲ类标准的要求，项目所在区域地表水环境质量现状较好</w:t>
      </w:r>
      <w:r>
        <w:rPr>
          <w:bCs/>
          <w:sz w:val="24"/>
        </w:rPr>
        <w:t>。</w:t>
      </w:r>
    </w:p>
    <w:p>
      <w:pPr>
        <w:spacing w:line="360" w:lineRule="auto"/>
        <w:ind w:firstLine="480" w:firstLineChars="200"/>
        <w:rPr>
          <w:bCs/>
          <w:sz w:val="24"/>
        </w:rPr>
      </w:pPr>
      <w:r>
        <w:rPr>
          <w:bCs/>
          <w:sz w:val="24"/>
        </w:rPr>
        <w:t>补充监测结果表明，项目</w:t>
      </w:r>
      <w:r>
        <w:rPr>
          <w:rFonts w:hint="eastAsia"/>
          <w:bCs/>
          <w:sz w:val="24"/>
        </w:rPr>
        <w:t>项目北侧水塘</w:t>
      </w:r>
      <w:r>
        <w:rPr>
          <w:bCs/>
          <w:sz w:val="24"/>
        </w:rPr>
        <w:t>各监测因子均能满足《地表水环境质量标准》（GB3838-2002）表1中Ⅲ类标准（其中</w:t>
      </w:r>
      <w:r>
        <w:rPr>
          <w:rFonts w:hint="eastAsia"/>
          <w:bCs/>
          <w:sz w:val="24"/>
        </w:rPr>
        <w:t>SS满足《地表水资源质量标准》（SL63-94）中3级标准</w:t>
      </w:r>
      <w:r>
        <w:rPr>
          <w:bCs/>
          <w:sz w:val="24"/>
        </w:rPr>
        <w:t>），说明项目地表周边水环境质量良好。</w:t>
      </w:r>
    </w:p>
    <w:p>
      <w:pPr>
        <w:spacing w:line="360" w:lineRule="auto"/>
        <w:ind w:firstLine="482" w:firstLineChars="200"/>
        <w:rPr>
          <w:b/>
          <w:sz w:val="24"/>
        </w:rPr>
      </w:pPr>
      <w:r>
        <w:rPr>
          <w:b/>
          <w:sz w:val="24"/>
        </w:rPr>
        <w:t>3、地下水</w:t>
      </w:r>
    </w:p>
    <w:p>
      <w:pPr>
        <w:spacing w:line="360" w:lineRule="auto"/>
        <w:ind w:firstLine="480" w:firstLineChars="200"/>
        <w:rPr>
          <w:sz w:val="24"/>
        </w:rPr>
      </w:pPr>
      <w:r>
        <w:rPr>
          <w:rFonts w:hint="eastAsia"/>
          <w:sz w:val="24"/>
        </w:rPr>
        <w:t>项目所在区域三个地下水监测点位各项</w:t>
      </w:r>
      <w:r>
        <w:rPr>
          <w:sz w:val="24"/>
        </w:rPr>
        <w:t>监测因子均符合《地下水环境质量标准》（GB/T14848-2017）中的</w:t>
      </w:r>
      <w:r>
        <w:rPr>
          <w:rFonts w:hint="eastAsia"/>
          <w:sz w:val="24"/>
        </w:rPr>
        <w:t>Ⅲ</w:t>
      </w:r>
      <w:r>
        <w:rPr>
          <w:sz w:val="24"/>
        </w:rPr>
        <w:t>类水质标准，评价区域地下水质量状况良好。</w:t>
      </w:r>
    </w:p>
    <w:p>
      <w:pPr>
        <w:spacing w:line="360" w:lineRule="auto"/>
        <w:ind w:firstLine="482" w:firstLineChars="200"/>
        <w:rPr>
          <w:b/>
          <w:sz w:val="24"/>
        </w:rPr>
      </w:pPr>
      <w:r>
        <w:rPr>
          <w:b/>
          <w:sz w:val="24"/>
        </w:rPr>
        <w:t>4、声环境</w:t>
      </w:r>
    </w:p>
    <w:p>
      <w:pPr>
        <w:spacing w:line="360" w:lineRule="auto"/>
        <w:ind w:firstLine="480" w:firstLineChars="200"/>
        <w:rPr>
          <w:sz w:val="24"/>
        </w:rPr>
      </w:pPr>
      <w:r>
        <w:rPr>
          <w:sz w:val="24"/>
        </w:rPr>
        <w:t>项目东、南、西、北厂界及敏感点昼夜间噪声监测值能满足《声环境质量标准》（GB3096-2008）</w:t>
      </w:r>
      <w:r>
        <w:rPr>
          <w:rFonts w:hint="eastAsia"/>
          <w:sz w:val="24"/>
        </w:rPr>
        <w:t>2</w:t>
      </w:r>
      <w:r>
        <w:rPr>
          <w:sz w:val="24"/>
        </w:rPr>
        <w:t>类标准。</w:t>
      </w:r>
    </w:p>
    <w:p>
      <w:pPr>
        <w:spacing w:line="360" w:lineRule="auto"/>
        <w:ind w:firstLine="482" w:firstLineChars="200"/>
        <w:rPr>
          <w:b/>
          <w:sz w:val="24"/>
        </w:rPr>
      </w:pPr>
      <w:r>
        <w:rPr>
          <w:rFonts w:hint="eastAsia"/>
          <w:b/>
          <w:sz w:val="24"/>
        </w:rPr>
        <w:t>5、土壤环境</w:t>
      </w:r>
    </w:p>
    <w:p>
      <w:pPr>
        <w:spacing w:line="360" w:lineRule="auto"/>
        <w:ind w:firstLine="480" w:firstLineChars="200"/>
        <w:rPr>
          <w:sz w:val="24"/>
        </w:rPr>
      </w:pPr>
      <w:r>
        <w:rPr>
          <w:sz w:val="24"/>
        </w:rPr>
        <w:t>项目所在地各监测点各指标均小于《土壤环境质量农用地土壤污染风险管控标准（试行）》（GB15618-2018）中表1</w:t>
      </w:r>
      <w:r>
        <w:rPr>
          <w:rFonts w:asciiTheme="minorEastAsia" w:hAnsiTheme="minorEastAsia" w:eastAsiaTheme="minorEastAsia"/>
          <w:sz w:val="24"/>
        </w:rPr>
        <w:t>“</w:t>
      </w:r>
      <w:r>
        <w:rPr>
          <w:sz w:val="24"/>
        </w:rPr>
        <w:t>农用地污染土壤风险筛选值（基本项目）</w:t>
      </w:r>
      <w:r>
        <w:rPr>
          <w:rFonts w:asciiTheme="minorEastAsia" w:hAnsiTheme="minorEastAsia" w:eastAsiaTheme="minorEastAsia"/>
          <w:sz w:val="24"/>
        </w:rPr>
        <w:t>”</w:t>
      </w:r>
      <w:r>
        <w:rPr>
          <w:sz w:val="24"/>
        </w:rPr>
        <w:t>标准限值。</w:t>
      </w:r>
    </w:p>
    <w:p>
      <w:pPr>
        <w:pStyle w:val="6"/>
        <w:numPr>
          <w:ilvl w:val="0"/>
          <w:numId w:val="0"/>
        </w:numPr>
        <w:spacing w:before="0" w:after="0" w:line="360" w:lineRule="auto"/>
        <w:rPr>
          <w:rFonts w:ascii="Times New Roman" w:hAnsi="Times New Roman" w:eastAsia="宋体"/>
          <w:szCs w:val="30"/>
        </w:rPr>
      </w:pPr>
      <w:bookmarkStart w:id="369" w:name="_Toc123886442"/>
      <w:r>
        <w:rPr>
          <w:rFonts w:hint="eastAsia" w:ascii="Times New Roman" w:hAnsi="Times New Roman" w:eastAsia="宋体"/>
          <w:szCs w:val="30"/>
        </w:rPr>
        <w:t>10</w:t>
      </w:r>
      <w:r>
        <w:rPr>
          <w:rFonts w:ascii="Times New Roman" w:hAnsi="Times New Roman" w:eastAsia="宋体"/>
          <w:szCs w:val="30"/>
        </w:rPr>
        <w:t>.</w:t>
      </w:r>
      <w:r>
        <w:rPr>
          <w:rFonts w:hint="eastAsia" w:ascii="Times New Roman" w:hAnsi="Times New Roman" w:eastAsia="宋体"/>
          <w:szCs w:val="30"/>
        </w:rPr>
        <w:t>3 污染物达标措施</w:t>
      </w:r>
      <w:bookmarkEnd w:id="369"/>
    </w:p>
    <w:p>
      <w:pPr>
        <w:pStyle w:val="7"/>
        <w:adjustRightInd w:val="0"/>
        <w:snapToGrid w:val="0"/>
        <w:spacing w:before="0" w:after="0" w:line="360" w:lineRule="auto"/>
        <w:jc w:val="left"/>
        <w:rPr>
          <w:sz w:val="24"/>
          <w:szCs w:val="24"/>
        </w:rPr>
      </w:pPr>
      <w:r>
        <w:rPr>
          <w:rFonts w:hint="eastAsia"/>
          <w:sz w:val="24"/>
          <w:szCs w:val="24"/>
        </w:rPr>
        <w:t>10.3.1废气</w:t>
      </w:r>
    </w:p>
    <w:p>
      <w:pPr>
        <w:spacing w:line="360" w:lineRule="auto"/>
        <w:ind w:firstLine="480" w:firstLineChars="200"/>
        <w:rPr>
          <w:rFonts w:hint="eastAsia"/>
          <w:sz w:val="24"/>
        </w:rPr>
      </w:pPr>
      <w:r>
        <w:rPr>
          <w:rFonts w:hint="eastAsia"/>
          <w:sz w:val="24"/>
        </w:rPr>
        <w:t>本项目废气主要源于鸡舍恶臭、鲜鸡粪室外输送恶臭、</w:t>
      </w:r>
      <w:r>
        <w:rPr>
          <w:rFonts w:hint="eastAsia"/>
          <w:sz w:val="24"/>
          <w:lang w:val="en-US" w:eastAsia="zh-CN"/>
        </w:rPr>
        <w:t>鸡粪收集室</w:t>
      </w:r>
      <w:r>
        <w:rPr>
          <w:rFonts w:hint="eastAsia"/>
          <w:sz w:val="24"/>
        </w:rPr>
        <w:t>恶臭、食堂油烟、</w:t>
      </w:r>
      <w:r>
        <w:rPr>
          <w:rFonts w:hint="eastAsia"/>
          <w:sz w:val="24"/>
          <w:lang w:eastAsia="zh-CN"/>
        </w:rPr>
        <w:t>备用柴油发电机尾气</w:t>
      </w:r>
      <w:r>
        <w:rPr>
          <w:rFonts w:hint="eastAsia"/>
          <w:sz w:val="24"/>
        </w:rPr>
        <w:t>、运输车辆尾气以及鸡舍粉尘。</w:t>
      </w:r>
    </w:p>
    <w:p>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1</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鸡舍、鲜鸡粪室外输送无组织恶臭</w:t>
      </w:r>
    </w:p>
    <w:p>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鸡舍恶臭的主要成分为NH</w:t>
      </w:r>
      <w:r>
        <w:rPr>
          <w:rFonts w:hint="eastAsia" w:ascii="Times New Roman" w:hAnsi="Times New Roman" w:eastAsia="宋体" w:cs="Times New Roman"/>
          <w:sz w:val="24"/>
          <w:vertAlign w:val="subscript"/>
        </w:rPr>
        <w:t>3</w:t>
      </w:r>
      <w:r>
        <w:rPr>
          <w:rFonts w:hint="eastAsia" w:ascii="Times New Roman" w:hAnsi="Times New Roman" w:eastAsia="宋体" w:cs="Times New Roman"/>
          <w:sz w:val="24"/>
        </w:rPr>
        <w:t>和H</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S，主要来源于鸡粪。本项目鸡粪经封闭式的皮带输送，废气密闭收集，少量恶臭气体在运输过程中无组织排放。</w:t>
      </w:r>
    </w:p>
    <w:p>
      <w:pPr>
        <w:spacing w:line="360" w:lineRule="auto"/>
        <w:ind w:firstLine="480" w:firstLineChars="200"/>
        <w:rPr>
          <w:rFonts w:hint="eastAsia" w:ascii="Times New Roman" w:hAnsi="Times New Roman" w:eastAsia="宋体" w:cs="Times New Roman"/>
          <w:sz w:val="24"/>
          <w:lang w:eastAsia="zh-CN"/>
        </w:rPr>
      </w:pPr>
      <w:r>
        <w:rPr>
          <w:rFonts w:hint="eastAsia" w:ascii="Times New Roman" w:hAnsi="Times New Roman" w:eastAsia="宋体" w:cs="Times New Roman"/>
          <w:sz w:val="24"/>
        </w:rPr>
        <w:t>根据工程预测结果可知，项目厂界无组织废气中NH</w:t>
      </w:r>
      <w:r>
        <w:rPr>
          <w:rFonts w:hint="eastAsia" w:ascii="Times New Roman" w:hAnsi="Times New Roman" w:eastAsia="宋体" w:cs="Times New Roman"/>
          <w:sz w:val="24"/>
          <w:vertAlign w:val="subscript"/>
        </w:rPr>
        <w:t>3</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H</w:t>
      </w:r>
      <w:r>
        <w:rPr>
          <w:rFonts w:hint="eastAsia" w:ascii="Times New Roman" w:hAnsi="Times New Roman" w:eastAsia="宋体" w:cs="Times New Roman"/>
          <w:sz w:val="24"/>
          <w:vertAlign w:val="subscript"/>
        </w:rPr>
        <w:t>2</w:t>
      </w:r>
      <w:r>
        <w:rPr>
          <w:rFonts w:hint="eastAsia" w:ascii="Times New Roman" w:hAnsi="Times New Roman" w:eastAsia="宋体" w:cs="Times New Roman"/>
          <w:sz w:val="24"/>
        </w:rPr>
        <w:t>S均满足《恶臭污染物排放标准》</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GB14554-93</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表1中二级新扩改建标准。因此，本项目实施后，建设单位在采取及时清粪，鸡舍定期喷洒微生物制剂、酶制剂和植物提取液等活性物质，饲料中添加EM菌，加强厂区绿化等一系列措施后，项目产生的废气污染物对周边大气环境的影响可接受</w:t>
      </w:r>
      <w:r>
        <w:rPr>
          <w:rFonts w:hint="eastAsia" w:ascii="Times New Roman" w:hAnsi="Times New Roman" w:eastAsia="宋体" w:cs="Times New Roman"/>
          <w:sz w:val="24"/>
          <w:lang w:eastAsia="zh-CN"/>
        </w:rPr>
        <w:t>。</w:t>
      </w:r>
    </w:p>
    <w:p>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2</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鸡粪收集室产生的恶臭</w:t>
      </w:r>
    </w:p>
    <w:p>
      <w:pPr>
        <w:spacing w:line="360" w:lineRule="auto"/>
        <w:ind w:firstLine="480" w:firstLineChars="200"/>
        <w:rPr>
          <w:rFonts w:hint="eastAsia" w:ascii="Times New Roman" w:hAnsi="Times New Roman" w:eastAsia="宋体" w:cs="Times New Roman"/>
          <w:sz w:val="24"/>
          <w:lang w:eastAsia="zh-CN"/>
        </w:rPr>
      </w:pPr>
      <w:r>
        <w:rPr>
          <w:rFonts w:hint="eastAsia" w:ascii="Times New Roman" w:hAnsi="Times New Roman" w:eastAsia="宋体" w:cs="Times New Roman"/>
          <w:kern w:val="0"/>
          <w:sz w:val="24"/>
        </w:rPr>
        <w:t>项目采用干清粪养殖技术，鸡粪日产日清。项目每栋鸡舍自动化清粪，鸡粪不落地，并配套建设鸡粪收集室作为鸡粪临时贮存场所，正常情况下，鸡粪采用自动干清粪清掏排出鸡舍后，部分直接拉走依托台源蛋鸡养殖一场好氧发酵罐制有机肥；剩余部分则直接拉走外售衡阳县沛科生态科技有限责任公司制有机肥，在衡阳县沛科生态科技有限责任公司进行发酵预处理，不在本厂区进行预处理</w:t>
      </w:r>
      <w:r>
        <w:rPr>
          <w:rFonts w:hint="eastAsia" w:ascii="Times New Roman" w:hAnsi="Times New Roman" w:eastAsia="宋体" w:cs="Times New Roman"/>
          <w:kern w:val="0"/>
          <w:sz w:val="24"/>
          <w:lang w:eastAsia="zh-CN"/>
        </w:rPr>
        <w:t>。</w:t>
      </w:r>
      <w:r>
        <w:rPr>
          <w:rFonts w:hint="eastAsia" w:ascii="Times New Roman" w:hAnsi="Times New Roman" w:eastAsia="宋体" w:cs="Times New Roman"/>
          <w:kern w:val="0"/>
          <w:sz w:val="24"/>
        </w:rPr>
        <w:t>在鸡粪收集室内堆存时间很短，臭气散发时间有限，同时对其进行喷洒除臭剂等措施，鸡粪收集室密闭，暂存的少量鸡粪相较于鸡舍，其产生量较少，对厂界外空气质量影响很小</w:t>
      </w:r>
      <w:r>
        <w:rPr>
          <w:rFonts w:hint="eastAsia" w:ascii="Times New Roman" w:hAnsi="Times New Roman" w:eastAsia="宋体" w:cs="Times New Roman"/>
          <w:sz w:val="24"/>
          <w:lang w:eastAsia="zh-CN"/>
        </w:rPr>
        <w:t>。</w:t>
      </w:r>
    </w:p>
    <w:p>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3</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粉尘</w:t>
      </w:r>
    </w:p>
    <w:p>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由于鸡舍内空气流动性大，鸡舍内饲料、鸡粪及散落毛羽在干燥空气中会产生粉尘污染物，后经鸡舍</w:t>
      </w:r>
      <w:r>
        <w:rPr>
          <w:rFonts w:hint="eastAsia" w:ascii="Times New Roman" w:hAnsi="Times New Roman" w:eastAsia="宋体" w:cs="Times New Roman"/>
          <w:sz w:val="24"/>
          <w:lang w:val="en-US" w:eastAsia="zh-CN"/>
        </w:rPr>
        <w:t>西</w:t>
      </w:r>
      <w:r>
        <w:rPr>
          <w:rFonts w:hint="eastAsia" w:ascii="Times New Roman" w:hAnsi="Times New Roman" w:eastAsia="宋体" w:cs="Times New Roman"/>
          <w:sz w:val="24"/>
        </w:rPr>
        <w:t>侧排风扇排出鸡舍外，进入鸡粪皮带传输区。</w:t>
      </w:r>
      <w:r>
        <w:rPr>
          <w:rFonts w:ascii="Times New Roman" w:hAnsi="Times New Roman" w:eastAsia="宋体" w:cs="Times New Roman"/>
          <w:bCs/>
          <w:kern w:val="2"/>
          <w:sz w:val="24"/>
          <w:szCs w:val="24"/>
          <w:lang w:val="en-US" w:eastAsia="zh-CN" w:bidi="ar-SA"/>
        </w:rPr>
        <w:t>在养殖过程中，由饲养员每日打扫鸡舍地面上的粉尘，</w:t>
      </w:r>
      <w:r>
        <w:rPr>
          <w:rFonts w:hint="eastAsia" w:ascii="Times New Roman" w:hAnsi="Times New Roman" w:eastAsia="宋体" w:cs="Times New Roman"/>
          <w:bCs/>
          <w:kern w:val="2"/>
          <w:sz w:val="24"/>
          <w:szCs w:val="24"/>
          <w:lang w:val="en-US" w:eastAsia="zh-CN" w:bidi="ar-SA"/>
        </w:rPr>
        <w:t>建设单位通过在鸡舍排风尾端设置防尘间</w:t>
      </w:r>
      <w:r>
        <w:rPr>
          <w:rFonts w:ascii="Times New Roman" w:hAnsi="Times New Roman" w:eastAsia="宋体" w:cs="Times New Roman"/>
          <w:bCs/>
          <w:kern w:val="2"/>
          <w:sz w:val="24"/>
          <w:szCs w:val="24"/>
          <w:lang w:val="en-US" w:eastAsia="zh-CN" w:bidi="ar-SA"/>
        </w:rPr>
        <w:t>封闭，并在排放口上部布置防尘网</w:t>
      </w:r>
      <w:r>
        <w:rPr>
          <w:rFonts w:hint="eastAsia" w:ascii="Times New Roman" w:hAnsi="Times New Roman" w:eastAsia="宋体" w:cs="Times New Roman"/>
          <w:bCs/>
          <w:kern w:val="2"/>
          <w:sz w:val="24"/>
          <w:szCs w:val="24"/>
          <w:lang w:val="en-US" w:eastAsia="zh-CN" w:bidi="ar-SA"/>
        </w:rPr>
        <w:t>，设置水雾喷淋系统</w:t>
      </w:r>
      <w:r>
        <w:rPr>
          <w:rFonts w:hint="eastAsia" w:ascii="Times New Roman" w:hAnsi="Times New Roman" w:eastAsia="宋体" w:cs="Times New Roman"/>
          <w:sz w:val="24"/>
        </w:rPr>
        <w:t>进行降尘。采取以上措施后，粉尘颗粒物排放满足《大气污染物综合排放标准》（GB16297-1996）表2中无组织排放监控浓度限值。</w:t>
      </w:r>
    </w:p>
    <w:p>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4</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食堂油烟</w:t>
      </w:r>
    </w:p>
    <w:p>
      <w:pPr>
        <w:spacing w:line="360" w:lineRule="auto"/>
        <w:ind w:firstLine="480" w:firstLineChars="200"/>
        <w:rPr>
          <w:rFonts w:hint="eastAsia" w:ascii="Times New Roman" w:hAnsi="Times New Roman" w:eastAsia="宋体" w:cs="Times New Roman"/>
          <w:sz w:val="24"/>
          <w:lang w:eastAsia="zh-CN"/>
        </w:rPr>
      </w:pPr>
      <w:r>
        <w:rPr>
          <w:rFonts w:hint="eastAsia" w:ascii="Times New Roman" w:hAnsi="Times New Roman" w:eastAsia="宋体" w:cs="Times New Roman"/>
          <w:sz w:val="24"/>
        </w:rPr>
        <w:t>食堂产生的油烟经油烟净化器处理后引至楼顶排放，</w:t>
      </w:r>
      <w:r>
        <w:rPr>
          <w:rFonts w:hint="eastAsia" w:hAnsiTheme="minorEastAsia" w:eastAsiaTheme="minorEastAsia"/>
          <w:kern w:val="0"/>
          <w:sz w:val="24"/>
        </w:rPr>
        <w:t>处理后的油烟排放浓度小于</w:t>
      </w:r>
      <w:r>
        <w:rPr>
          <w:rFonts w:hAnsiTheme="minorEastAsia" w:eastAsiaTheme="minorEastAsia"/>
          <w:kern w:val="0"/>
          <w:sz w:val="24"/>
        </w:rPr>
        <w:t>2.0mg/m</w:t>
      </w:r>
      <w:r>
        <w:rPr>
          <w:rFonts w:hAnsiTheme="minorEastAsia" w:eastAsiaTheme="minorEastAsia"/>
          <w:kern w:val="0"/>
          <w:sz w:val="24"/>
          <w:vertAlign w:val="superscript"/>
        </w:rPr>
        <w:t>3</w:t>
      </w:r>
      <w:r>
        <w:rPr>
          <w:rFonts w:hAnsiTheme="minorEastAsia" w:eastAsiaTheme="minorEastAsia"/>
          <w:kern w:val="0"/>
          <w:sz w:val="24"/>
        </w:rPr>
        <w:t>，可达到</w:t>
      </w:r>
      <w:r>
        <w:rPr>
          <w:rFonts w:hint="eastAsia" w:hAnsiTheme="minorEastAsia" w:eastAsiaTheme="minorEastAsia"/>
          <w:kern w:val="0"/>
          <w:sz w:val="24"/>
        </w:rPr>
        <w:t>《饮食业油烟排放标准》（</w:t>
      </w:r>
      <w:r>
        <w:rPr>
          <w:rFonts w:hAnsiTheme="minorEastAsia" w:eastAsiaTheme="minorEastAsia"/>
          <w:kern w:val="0"/>
          <w:sz w:val="24"/>
        </w:rPr>
        <w:t>GB18483-2001</w:t>
      </w:r>
      <w:r>
        <w:rPr>
          <w:rFonts w:hint="eastAsia" w:hAnsiTheme="minorEastAsia" w:eastAsiaTheme="minorEastAsia"/>
          <w:kern w:val="0"/>
          <w:sz w:val="24"/>
        </w:rPr>
        <w:t>）小型规模标准要求</w:t>
      </w:r>
      <w:r>
        <w:rPr>
          <w:rFonts w:hint="eastAsia" w:hAnsiTheme="minorEastAsia" w:eastAsiaTheme="minorEastAsia"/>
          <w:kern w:val="0"/>
          <w:sz w:val="24"/>
          <w:lang w:eastAsia="zh-CN"/>
        </w:rPr>
        <w:t>，</w:t>
      </w:r>
      <w:r>
        <w:rPr>
          <w:rFonts w:hint="eastAsia" w:ascii="Times New Roman" w:hAnsi="Times New Roman" w:eastAsia="宋体" w:cs="Times New Roman"/>
          <w:sz w:val="24"/>
        </w:rPr>
        <w:t>对周边环境影响较小</w:t>
      </w:r>
      <w:r>
        <w:rPr>
          <w:rFonts w:hint="eastAsia" w:ascii="Times New Roman" w:hAnsi="Times New Roman" w:eastAsia="宋体" w:cs="Times New Roman"/>
          <w:sz w:val="24"/>
          <w:lang w:eastAsia="zh-CN"/>
        </w:rPr>
        <w:t>。</w:t>
      </w:r>
    </w:p>
    <w:p>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5</w:t>
      </w:r>
      <w:r>
        <w:rPr>
          <w:rFonts w:hint="eastAsia" w:ascii="Times New Roman" w:hAnsi="Times New Roman" w:eastAsia="宋体" w:cs="Times New Roman"/>
          <w:sz w:val="24"/>
          <w:lang w:eastAsia="zh-CN"/>
        </w:rPr>
        <w:t>）</w:t>
      </w:r>
      <w:r>
        <w:rPr>
          <w:rFonts w:hint="eastAsia" w:ascii="Times New Roman" w:hAnsi="Times New Roman" w:eastAsia="宋体" w:cs="Times New Roman"/>
          <w:sz w:val="24"/>
        </w:rPr>
        <w:t>柴油发电机尾气</w:t>
      </w:r>
    </w:p>
    <w:p>
      <w:pPr>
        <w:spacing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燃油产生的废气污染物量较少，且发电机使用频率较低，废气经发电机自带的净化装置净化后，经排气筒高于屋顶排放，不会对周边环境造成较大影响。</w:t>
      </w:r>
    </w:p>
    <w:p>
      <w:pPr>
        <w:spacing w:line="360" w:lineRule="auto"/>
        <w:ind w:firstLine="480" w:firstLineChars="200"/>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t>（</w:t>
      </w:r>
      <w:r>
        <w:rPr>
          <w:rFonts w:hint="eastAsia" w:ascii="Times New Roman" w:hAnsi="Times New Roman" w:eastAsia="宋体" w:cs="Times New Roman"/>
          <w:sz w:val="24"/>
          <w:lang w:val="en-US" w:eastAsia="zh-CN"/>
        </w:rPr>
        <w:t>6</w:t>
      </w:r>
      <w:r>
        <w:rPr>
          <w:rFonts w:hint="eastAsia" w:ascii="Times New Roman" w:hAnsi="Times New Roman" w:eastAsia="宋体" w:cs="Times New Roman"/>
          <w:sz w:val="24"/>
          <w:lang w:eastAsia="zh-CN"/>
        </w:rPr>
        <w:t>）运输车辆尾气治理措施</w:t>
      </w:r>
    </w:p>
    <w:p>
      <w:pPr>
        <w:spacing w:line="360" w:lineRule="auto"/>
        <w:ind w:firstLine="480" w:firstLineChars="200"/>
        <w:rPr>
          <w:kern w:val="0"/>
          <w:sz w:val="24"/>
        </w:rPr>
      </w:pPr>
      <w:r>
        <w:rPr>
          <w:rFonts w:hint="eastAsia" w:hAnsiTheme="minorEastAsia" w:eastAsiaTheme="minorEastAsia"/>
          <w:kern w:val="0"/>
          <w:sz w:val="24"/>
        </w:rPr>
        <w:t>项目运输车辆使用清洁燃料（柴油/汽油），定期对运输车辆进行维修保养，运输车辆尾气经加强通风、场区绿化后</w:t>
      </w:r>
      <w:r>
        <w:rPr>
          <w:rFonts w:hint="eastAsia" w:hAnsiTheme="minorEastAsia" w:eastAsiaTheme="minorEastAsia"/>
          <w:kern w:val="0"/>
          <w:sz w:val="24"/>
          <w:lang w:eastAsia="zh-CN"/>
        </w:rPr>
        <w:t>，</w:t>
      </w:r>
      <w:r>
        <w:rPr>
          <w:rFonts w:hint="eastAsia" w:ascii="Times New Roman" w:hAnsi="Times New Roman" w:eastAsia="宋体" w:cs="Times New Roman"/>
          <w:sz w:val="24"/>
        </w:rPr>
        <w:t>对周边环境影响较小</w:t>
      </w:r>
      <w:r>
        <w:rPr>
          <w:kern w:val="0"/>
          <w:sz w:val="24"/>
        </w:rPr>
        <w:t>。</w:t>
      </w:r>
    </w:p>
    <w:p>
      <w:pPr>
        <w:spacing w:line="360" w:lineRule="auto"/>
        <w:ind w:firstLine="480" w:firstLineChars="200"/>
        <w:rPr>
          <w:sz w:val="24"/>
        </w:rPr>
      </w:pPr>
      <w:r>
        <w:rPr>
          <w:rFonts w:hint="eastAsia"/>
          <w:sz w:val="24"/>
        </w:rPr>
        <w:t>项目建设对周边大气环境产生影响较小。</w:t>
      </w:r>
    </w:p>
    <w:p>
      <w:pPr>
        <w:pStyle w:val="7"/>
        <w:adjustRightInd w:val="0"/>
        <w:snapToGrid w:val="0"/>
        <w:spacing w:before="0" w:after="0" w:line="360" w:lineRule="auto"/>
        <w:jc w:val="left"/>
        <w:rPr>
          <w:sz w:val="24"/>
          <w:szCs w:val="24"/>
        </w:rPr>
      </w:pPr>
      <w:r>
        <w:rPr>
          <w:rFonts w:hint="eastAsia"/>
          <w:sz w:val="24"/>
          <w:szCs w:val="24"/>
        </w:rPr>
        <w:t>10.3.2废水</w:t>
      </w:r>
    </w:p>
    <w:p>
      <w:pPr>
        <w:spacing w:line="360" w:lineRule="auto"/>
        <w:ind w:firstLine="480" w:firstLineChars="200"/>
        <w:rPr>
          <w:kern w:val="0"/>
          <w:sz w:val="24"/>
        </w:rPr>
      </w:pPr>
      <w:r>
        <w:rPr>
          <w:rFonts w:hint="eastAsia"/>
          <w:kern w:val="0"/>
          <w:sz w:val="24"/>
        </w:rPr>
        <w:t>本项目废水主要为员工生活污水、鸡舍清洗废水和</w:t>
      </w:r>
      <w:r>
        <w:rPr>
          <w:rFonts w:hint="default" w:ascii="Times New Roman" w:hAnsi="Times New Roman" w:cs="Times New Roman"/>
          <w:kern w:val="0"/>
          <w:sz w:val="24"/>
        </w:rPr>
        <w:t>防尘间喷淋废水</w:t>
      </w:r>
      <w:r>
        <w:rPr>
          <w:rFonts w:hint="eastAsia"/>
          <w:kern w:val="0"/>
          <w:sz w:val="24"/>
        </w:rPr>
        <w:t>。</w:t>
      </w:r>
      <w:r>
        <w:rPr>
          <w:rFonts w:hint="eastAsia" w:hAnsiTheme="minorEastAsia" w:eastAsiaTheme="minorEastAsia"/>
          <w:kern w:val="0"/>
          <w:sz w:val="24"/>
          <w:lang w:val="en-US" w:eastAsia="zh-CN"/>
        </w:rPr>
        <w:t>项目共设2座污水处理站，</w:t>
      </w:r>
      <w:r>
        <w:rPr>
          <w:rFonts w:hint="eastAsia" w:hAnsiTheme="minorEastAsia" w:eastAsiaTheme="minorEastAsia"/>
          <w:kern w:val="0"/>
          <w:sz w:val="24"/>
          <w:lang w:eastAsia="zh-CN"/>
        </w:rPr>
        <w:t>南场</w:t>
      </w:r>
      <w:r>
        <w:rPr>
          <w:rFonts w:hint="eastAsia" w:hAnsiTheme="minorEastAsia" w:eastAsiaTheme="minorEastAsia"/>
          <w:kern w:val="0"/>
          <w:sz w:val="24"/>
          <w:lang w:val="en-US" w:eastAsia="zh-CN"/>
        </w:rPr>
        <w:t>污水处理站</w:t>
      </w:r>
      <w:r>
        <w:rPr>
          <w:rFonts w:hint="default" w:hAnsiTheme="minorEastAsia" w:eastAsiaTheme="minorEastAsia"/>
          <w:kern w:val="0"/>
          <w:sz w:val="24"/>
        </w:rPr>
        <w:t>收集</w:t>
      </w:r>
      <w:r>
        <w:rPr>
          <w:rFonts w:hint="eastAsia" w:hAnsiTheme="minorEastAsia" w:eastAsiaTheme="minorEastAsia"/>
          <w:kern w:val="0"/>
          <w:sz w:val="24"/>
          <w:lang w:eastAsia="zh-CN"/>
        </w:rPr>
        <w:t>南部养殖区</w:t>
      </w:r>
      <w:r>
        <w:rPr>
          <w:rFonts w:hint="default" w:hAnsiTheme="minorEastAsia" w:eastAsiaTheme="minorEastAsia"/>
          <w:kern w:val="0"/>
          <w:sz w:val="24"/>
        </w:rPr>
        <w:t>鸡舍冲洗废水、防尘间喷淋废水和中部生活污水（隔油预处理）</w:t>
      </w:r>
      <w:r>
        <w:rPr>
          <w:rFonts w:hint="eastAsia" w:hAnsiTheme="minorEastAsia" w:eastAsiaTheme="minorEastAsia"/>
          <w:kern w:val="0"/>
          <w:sz w:val="24"/>
          <w:lang w:eastAsia="zh-CN"/>
        </w:rPr>
        <w:t>，东场</w:t>
      </w:r>
      <w:r>
        <w:rPr>
          <w:rFonts w:hint="eastAsia" w:hAnsiTheme="minorEastAsia" w:eastAsiaTheme="minorEastAsia"/>
          <w:kern w:val="0"/>
          <w:sz w:val="24"/>
          <w:lang w:val="en-US" w:eastAsia="zh-CN"/>
        </w:rPr>
        <w:t>污水处理站</w:t>
      </w:r>
      <w:r>
        <w:rPr>
          <w:rFonts w:hint="default" w:hAnsiTheme="minorEastAsia" w:eastAsiaTheme="minorEastAsia"/>
          <w:kern w:val="0"/>
          <w:sz w:val="24"/>
        </w:rPr>
        <w:t>收集东部养殖区鸡舍冲洗废水、防尘间喷淋废水和东部生活污水，废水经污水处理站处理后</w:t>
      </w:r>
      <w:r>
        <w:rPr>
          <w:rFonts w:hint="eastAsia" w:hAnsiTheme="minorEastAsia" w:eastAsiaTheme="minorEastAsia"/>
          <w:kern w:val="0"/>
          <w:sz w:val="24"/>
          <w:lang w:val="en-US" w:eastAsia="zh-CN"/>
        </w:rPr>
        <w:t>用于</w:t>
      </w:r>
      <w:r>
        <w:rPr>
          <w:rFonts w:hint="default" w:hAnsiTheme="minorEastAsia" w:eastAsiaTheme="minorEastAsia"/>
          <w:kern w:val="0"/>
          <w:sz w:val="24"/>
        </w:rPr>
        <w:t>周边种植基地灌溉，不外排</w:t>
      </w:r>
      <w:r>
        <w:rPr>
          <w:kern w:val="0"/>
          <w:sz w:val="24"/>
        </w:rPr>
        <w:t>。</w:t>
      </w:r>
    </w:p>
    <w:p>
      <w:pPr>
        <w:spacing w:line="360" w:lineRule="auto"/>
        <w:ind w:firstLine="480" w:firstLineChars="200"/>
        <w:rPr>
          <w:kern w:val="0"/>
          <w:sz w:val="24"/>
        </w:rPr>
      </w:pPr>
      <w:r>
        <w:rPr>
          <w:rFonts w:hint="eastAsia"/>
          <w:kern w:val="0"/>
          <w:sz w:val="24"/>
        </w:rPr>
        <w:t>在污水管道、设备、污水储存及处理构筑物采取相应防渗措施，加强管理，防止污染物的跑、冒、滴、漏，将污染物泄漏、渗漏污染地下水的环境风险降到最低程度。本环评建议在项目西侧设置地下水常规监测点，每年监测一次；建议在项目西侧设置一个地下水监控井，连续、长期监测地下水质情况，每年监测一次；严密监控地下水水质变化。</w:t>
      </w:r>
    </w:p>
    <w:p>
      <w:pPr>
        <w:pStyle w:val="7"/>
        <w:adjustRightInd w:val="0"/>
        <w:snapToGrid w:val="0"/>
        <w:spacing w:before="0" w:after="0" w:line="360" w:lineRule="auto"/>
        <w:jc w:val="left"/>
        <w:rPr>
          <w:sz w:val="24"/>
          <w:szCs w:val="24"/>
        </w:rPr>
      </w:pPr>
      <w:r>
        <w:rPr>
          <w:rFonts w:hint="eastAsia"/>
          <w:sz w:val="24"/>
          <w:szCs w:val="24"/>
        </w:rPr>
        <w:t>10.3.3噪声</w:t>
      </w:r>
    </w:p>
    <w:p>
      <w:pPr>
        <w:spacing w:line="360" w:lineRule="auto"/>
        <w:ind w:firstLine="480" w:firstLineChars="200"/>
        <w:rPr>
          <w:bCs/>
          <w:sz w:val="24"/>
        </w:rPr>
      </w:pPr>
      <w:r>
        <w:rPr>
          <w:rFonts w:hint="eastAsia" w:hAnsi="宋体"/>
          <w:kern w:val="0"/>
          <w:sz w:val="24"/>
        </w:rPr>
        <w:t>项目在生产过程中产生的噪声主要源自鸡叫声、喂料机、喂水机、清粪系统、集蛋器、风机、水泵等</w:t>
      </w:r>
      <w:r>
        <w:rPr>
          <w:bCs/>
          <w:sz w:val="24"/>
        </w:rPr>
        <w:t>。通过选用低噪声设备、安装减振基座、置于设备间等措施处理后，声环境影响预测表明，拟建工程建成运营后各边界噪声昼间、夜间均满足《工业企业厂界环境噪声排放标准》（GB12348-2008）中2类标准要求。营运期产生的噪声对项目区的声环境不会产生不利影响。</w:t>
      </w:r>
    </w:p>
    <w:p>
      <w:pPr>
        <w:pStyle w:val="7"/>
        <w:adjustRightInd w:val="0"/>
        <w:snapToGrid w:val="0"/>
        <w:spacing w:before="0" w:after="0" w:line="360" w:lineRule="auto"/>
        <w:jc w:val="left"/>
        <w:rPr>
          <w:sz w:val="24"/>
          <w:szCs w:val="24"/>
        </w:rPr>
      </w:pPr>
      <w:r>
        <w:rPr>
          <w:rFonts w:hint="eastAsia"/>
          <w:sz w:val="24"/>
          <w:szCs w:val="24"/>
        </w:rPr>
        <w:t>10.3.4固废</w:t>
      </w:r>
    </w:p>
    <w:p>
      <w:pPr>
        <w:spacing w:line="360" w:lineRule="auto"/>
        <w:ind w:firstLine="480" w:firstLineChars="200"/>
        <w:rPr>
          <w:sz w:val="24"/>
        </w:rPr>
      </w:pPr>
      <w:r>
        <w:rPr>
          <w:rFonts w:hint="eastAsia"/>
          <w:sz w:val="24"/>
        </w:rPr>
        <w:t>项目固体废物主要包括鸡粪、病死鸡、废包装物料、不合格蛋、饲料渣及脱落的羽毛、医疗废物和员工办公生活垃圾等。</w:t>
      </w:r>
    </w:p>
    <w:p>
      <w:pPr>
        <w:spacing w:line="360" w:lineRule="auto"/>
        <w:ind w:firstLine="480" w:firstLineChars="200"/>
        <w:rPr>
          <w:rFonts w:hAnsiTheme="majorEastAsia" w:eastAsiaTheme="majorEastAsia"/>
          <w:kern w:val="0"/>
          <w:sz w:val="24"/>
        </w:rPr>
      </w:pPr>
      <w:r>
        <w:rPr>
          <w:rFonts w:hint="eastAsia"/>
          <w:sz w:val="24"/>
        </w:rPr>
        <w:t>项目鸡舍中设置自动清粪系统，鸡粪日产日清。项目每栋鸡舍自动化清粪，鸡粪不落地，并配套建设鸡粪收集室作为鸡粪临时贮存场所，正常情况下，鸡粪采用自动干清粪清掏排出鸡舍后，部分直接拉走依托台源蛋鸡养殖一场好氧发酵罐制有机肥；剩余部分则直接拉走外售衡阳县沛科生态科技有限责任公司制有机肥，在衡阳县沛科生态科技有限责任公司进行发酵预处理，不在本厂区进行预处理，在鸡粪收集室内堆存时间很短</w:t>
      </w:r>
      <w:r>
        <w:rPr>
          <w:rFonts w:hAnsiTheme="majorEastAsia" w:eastAsiaTheme="majorEastAsia"/>
          <w:kern w:val="0"/>
          <w:sz w:val="24"/>
        </w:rPr>
        <w:t>；</w:t>
      </w:r>
      <w:r>
        <w:rPr>
          <w:rFonts w:hint="eastAsia"/>
          <w:kern w:val="0"/>
          <w:sz w:val="24"/>
          <w:szCs w:val="20"/>
        </w:rPr>
        <w:t>病死鸡消毒后袋装，存放于病死鸡暂存间的冷冻冰柜中，病死鸡暂存间采取“四防”措施，并配备消毒液消毒，及时联系有资质的公司进行收集并集中无害化处理</w:t>
      </w:r>
      <w:r>
        <w:rPr>
          <w:rFonts w:hAnsiTheme="majorEastAsia" w:eastAsiaTheme="majorEastAsia"/>
          <w:kern w:val="0"/>
          <w:sz w:val="24"/>
        </w:rPr>
        <w:t>；废包装袋（</w:t>
      </w:r>
      <w:r>
        <w:rPr>
          <w:color w:val="000000" w:themeColor="text1"/>
          <w:sz w:val="24"/>
        </w:rPr>
        <w:t>不含药品包装袋</w:t>
      </w:r>
      <w:r>
        <w:rPr>
          <w:rFonts w:hAnsiTheme="majorEastAsia" w:eastAsiaTheme="majorEastAsia"/>
          <w:kern w:val="0"/>
          <w:sz w:val="24"/>
        </w:rPr>
        <w:t>）</w:t>
      </w:r>
      <w:r>
        <w:rPr>
          <w:rFonts w:hint="eastAsia" w:hAnsiTheme="majorEastAsia" w:eastAsiaTheme="majorEastAsia"/>
          <w:kern w:val="0"/>
          <w:sz w:val="24"/>
        </w:rPr>
        <w:t>外售废品回收站</w:t>
      </w:r>
      <w:r>
        <w:rPr>
          <w:rFonts w:hAnsiTheme="majorEastAsia" w:eastAsiaTheme="majorEastAsia"/>
          <w:kern w:val="0"/>
          <w:sz w:val="24"/>
        </w:rPr>
        <w:t>；</w:t>
      </w:r>
      <w:r>
        <w:rPr>
          <w:rFonts w:hint="eastAsia" w:hAnsiTheme="majorEastAsia" w:eastAsiaTheme="majorEastAsia"/>
          <w:kern w:val="0"/>
          <w:sz w:val="24"/>
        </w:rPr>
        <w:t>不合格蛋用作企业自养甲鱼饲料；饲料渣和脱落的羽毛经收集后交由当地环卫部门处理；</w:t>
      </w:r>
      <w:r>
        <w:rPr>
          <w:rFonts w:hAnsiTheme="majorEastAsia" w:eastAsiaTheme="majorEastAsia"/>
          <w:kern w:val="0"/>
          <w:sz w:val="24"/>
        </w:rPr>
        <w:t>医疗废物交有资质单位处置；办公生活垃圾委托环卫部门清运处理。</w:t>
      </w:r>
    </w:p>
    <w:p>
      <w:pPr>
        <w:spacing w:line="360" w:lineRule="auto"/>
        <w:ind w:firstLine="480" w:firstLineChars="200"/>
        <w:rPr>
          <w:bCs/>
          <w:sz w:val="24"/>
        </w:rPr>
      </w:pPr>
      <w:r>
        <w:rPr>
          <w:rFonts w:hAnsiTheme="majorEastAsia" w:eastAsiaTheme="majorEastAsia"/>
          <w:kern w:val="0"/>
          <w:sz w:val="24"/>
        </w:rPr>
        <w:t>通过以上措施，建设项目产生的固体废物均得到了妥善处置，符合《畜禽养殖业污染防治技术规范》（HJ/T81-2001）中有关要求，可以解决养殖污染带来的环境问题，实现废弃物资源化、无害化，对周围环境影响较小。</w:t>
      </w:r>
    </w:p>
    <w:p>
      <w:pPr>
        <w:pStyle w:val="6"/>
        <w:numPr>
          <w:ilvl w:val="0"/>
          <w:numId w:val="0"/>
        </w:numPr>
        <w:spacing w:before="0" w:after="0" w:line="360" w:lineRule="auto"/>
        <w:rPr>
          <w:rFonts w:ascii="Times New Roman" w:hAnsi="Times New Roman" w:eastAsia="宋体"/>
          <w:szCs w:val="30"/>
        </w:rPr>
      </w:pPr>
      <w:bookmarkStart w:id="370" w:name="_Toc123886443"/>
      <w:bookmarkStart w:id="371" w:name="_Toc517522369"/>
      <w:r>
        <w:rPr>
          <w:rFonts w:hint="eastAsia" w:ascii="Times New Roman" w:hAnsi="Times New Roman" w:eastAsia="宋体"/>
          <w:szCs w:val="30"/>
        </w:rPr>
        <w:t>10</w:t>
      </w:r>
      <w:r>
        <w:rPr>
          <w:rFonts w:ascii="Times New Roman" w:hAnsi="Times New Roman" w:eastAsia="宋体"/>
          <w:szCs w:val="30"/>
        </w:rPr>
        <w:t>.</w:t>
      </w:r>
      <w:r>
        <w:rPr>
          <w:rFonts w:hint="eastAsia" w:ascii="Times New Roman" w:hAnsi="Times New Roman" w:eastAsia="宋体"/>
          <w:szCs w:val="30"/>
        </w:rPr>
        <w:t xml:space="preserve">4 </w:t>
      </w:r>
      <w:r>
        <w:rPr>
          <w:rFonts w:ascii="Times New Roman" w:hAnsi="Times New Roman" w:eastAsia="宋体"/>
          <w:szCs w:val="30"/>
        </w:rPr>
        <w:t>环境影响分析结论</w:t>
      </w:r>
      <w:bookmarkEnd w:id="370"/>
      <w:bookmarkEnd w:id="371"/>
    </w:p>
    <w:p>
      <w:pPr>
        <w:pStyle w:val="7"/>
        <w:adjustRightInd w:val="0"/>
        <w:snapToGrid w:val="0"/>
        <w:spacing w:before="0" w:after="0" w:line="360" w:lineRule="auto"/>
        <w:jc w:val="left"/>
        <w:rPr>
          <w:sz w:val="24"/>
          <w:szCs w:val="24"/>
        </w:rPr>
      </w:pPr>
      <w:bookmarkStart w:id="372" w:name="_Toc517522371"/>
      <w:r>
        <w:rPr>
          <w:rFonts w:hint="eastAsia"/>
          <w:sz w:val="24"/>
          <w:szCs w:val="24"/>
        </w:rPr>
        <w:t>10.4.</w:t>
      </w:r>
      <w:bookmarkEnd w:id="372"/>
      <w:r>
        <w:rPr>
          <w:rFonts w:hint="eastAsia"/>
          <w:sz w:val="24"/>
          <w:szCs w:val="24"/>
        </w:rPr>
        <w:t>1废气影响分析结论</w:t>
      </w:r>
    </w:p>
    <w:p>
      <w:pPr>
        <w:autoSpaceDE w:val="0"/>
        <w:autoSpaceDN w:val="0"/>
        <w:adjustRightInd w:val="0"/>
        <w:spacing w:line="360" w:lineRule="auto"/>
        <w:ind w:firstLine="480" w:firstLineChars="200"/>
        <w:rPr>
          <w:kern w:val="0"/>
          <w:sz w:val="24"/>
        </w:rPr>
      </w:pPr>
      <w:r>
        <w:rPr>
          <w:kern w:val="0"/>
          <w:sz w:val="24"/>
        </w:rPr>
        <w:t>（</w:t>
      </w:r>
      <w:r>
        <w:rPr>
          <w:rFonts w:hint="eastAsia"/>
          <w:kern w:val="0"/>
          <w:sz w:val="24"/>
        </w:rPr>
        <w:t>1</w:t>
      </w:r>
      <w:r>
        <w:rPr>
          <w:kern w:val="0"/>
          <w:sz w:val="24"/>
        </w:rPr>
        <w:t>）项目位于环境质量达标区，评价范围内无一类区，经预测，本项目Pmax值为</w:t>
      </w:r>
      <w:r>
        <w:rPr>
          <w:rFonts w:hint="eastAsia"/>
          <w:kern w:val="0"/>
          <w:sz w:val="24"/>
          <w:lang w:val="en-US" w:eastAsia="zh-CN"/>
        </w:rPr>
        <w:t>4.73</w:t>
      </w:r>
      <w:r>
        <w:rPr>
          <w:kern w:val="0"/>
          <w:sz w:val="24"/>
        </w:rPr>
        <w:t>%＜10%，因此，环境空气评价工作等级确定为二级。</w:t>
      </w:r>
    </w:p>
    <w:p>
      <w:pPr>
        <w:autoSpaceDE w:val="0"/>
        <w:autoSpaceDN w:val="0"/>
        <w:adjustRightInd w:val="0"/>
        <w:spacing w:line="360" w:lineRule="auto"/>
        <w:ind w:firstLine="480" w:firstLineChars="200"/>
        <w:rPr>
          <w:kern w:val="0"/>
          <w:sz w:val="24"/>
        </w:rPr>
      </w:pPr>
      <w:r>
        <w:rPr>
          <w:kern w:val="0"/>
          <w:sz w:val="24"/>
        </w:rPr>
        <w:t>（</w:t>
      </w:r>
      <w:r>
        <w:rPr>
          <w:rFonts w:hint="eastAsia"/>
          <w:kern w:val="0"/>
          <w:sz w:val="24"/>
        </w:rPr>
        <w:t>2</w:t>
      </w:r>
      <w:r>
        <w:rPr>
          <w:kern w:val="0"/>
          <w:sz w:val="24"/>
        </w:rPr>
        <w:t>）预测结果表明，本项目建成运行后，新增污染源正常排放下污染物短期浓度贡献值的最大浓度占标率均小于10%，排放的各类废气对区域空气环境影响较小。</w:t>
      </w:r>
    </w:p>
    <w:p>
      <w:pPr>
        <w:autoSpaceDE w:val="0"/>
        <w:autoSpaceDN w:val="0"/>
        <w:adjustRightInd w:val="0"/>
        <w:spacing w:line="360" w:lineRule="auto"/>
        <w:ind w:firstLine="480" w:firstLineChars="200"/>
        <w:rPr>
          <w:kern w:val="0"/>
          <w:sz w:val="24"/>
        </w:rPr>
      </w:pPr>
      <w:r>
        <w:rPr>
          <w:rFonts w:hint="eastAsia"/>
          <w:kern w:val="0"/>
          <w:sz w:val="24"/>
        </w:rPr>
        <w:t>（3）</w:t>
      </w:r>
      <w:r>
        <w:rPr>
          <w:kern w:val="0"/>
          <w:sz w:val="24"/>
        </w:rPr>
        <w:t>计算各废气源的大气环境防护距离的结果显示，项目生产过程中产生的废气污染物在厂界外没有出现浓度超标点，不需要设置大气环境防护距离。</w:t>
      </w:r>
    </w:p>
    <w:p>
      <w:pPr>
        <w:autoSpaceDE w:val="0"/>
        <w:autoSpaceDN w:val="0"/>
        <w:adjustRightInd w:val="0"/>
        <w:spacing w:line="360" w:lineRule="auto"/>
        <w:ind w:firstLine="480" w:firstLineChars="200"/>
        <w:rPr>
          <w:kern w:val="0"/>
          <w:sz w:val="24"/>
        </w:rPr>
      </w:pPr>
      <w:r>
        <w:rPr>
          <w:kern w:val="0"/>
          <w:sz w:val="24"/>
        </w:rPr>
        <w:t>（</w:t>
      </w:r>
      <w:r>
        <w:rPr>
          <w:rFonts w:hint="eastAsia"/>
          <w:kern w:val="0"/>
          <w:sz w:val="24"/>
        </w:rPr>
        <w:t>4</w:t>
      </w:r>
      <w:r>
        <w:rPr>
          <w:kern w:val="0"/>
          <w:sz w:val="24"/>
        </w:rPr>
        <w:t>）项目环境防护距离为：鸡舍</w:t>
      </w:r>
      <w:r>
        <w:rPr>
          <w:rFonts w:hint="eastAsia" w:eastAsiaTheme="majorEastAsia"/>
        </w:rPr>
        <w:t>场界</w:t>
      </w:r>
      <w:r>
        <w:rPr>
          <w:rFonts w:hint="eastAsia"/>
          <w:kern w:val="0"/>
          <w:sz w:val="24"/>
        </w:rPr>
        <w:t>100m</w:t>
      </w:r>
      <w:r>
        <w:rPr>
          <w:kern w:val="0"/>
          <w:sz w:val="24"/>
        </w:rPr>
        <w:t>范围，经过现场勘查，</w:t>
      </w:r>
      <w:r>
        <w:rPr>
          <w:rFonts w:hint="eastAsia"/>
          <w:kern w:val="0"/>
          <w:sz w:val="24"/>
        </w:rPr>
        <w:t>本项目卫生防护距离范围有2户居民点，已与建设方签订租赁合同，作为宿舍，无环境保护敏感点。所以，项目建成后对周边影响不大</w:t>
      </w:r>
      <w:r>
        <w:rPr>
          <w:rFonts w:hint="eastAsia"/>
          <w:kern w:val="0"/>
          <w:sz w:val="24"/>
          <w:lang w:eastAsia="zh-CN"/>
        </w:rPr>
        <w:t>。</w:t>
      </w:r>
      <w:r>
        <w:rPr>
          <w:kern w:val="0"/>
          <w:sz w:val="24"/>
        </w:rPr>
        <w:t>项目的环境防护距离符合要求。</w:t>
      </w:r>
    </w:p>
    <w:p>
      <w:pPr>
        <w:autoSpaceDE w:val="0"/>
        <w:autoSpaceDN w:val="0"/>
        <w:adjustRightInd w:val="0"/>
        <w:spacing w:line="360" w:lineRule="auto"/>
        <w:ind w:firstLine="480" w:firstLineChars="200"/>
        <w:rPr>
          <w:kern w:val="0"/>
          <w:sz w:val="24"/>
        </w:rPr>
      </w:pPr>
      <w:r>
        <w:rPr>
          <w:kern w:val="0"/>
          <w:sz w:val="24"/>
        </w:rPr>
        <w:t>计算各废气源的大气环境防护距离的结果显示，项目生产过程中产生的废气污染物在厂界外没有出现浓度超标点，不需要设置大气环境防护距离。</w:t>
      </w:r>
    </w:p>
    <w:p>
      <w:pPr>
        <w:autoSpaceDE w:val="0"/>
        <w:autoSpaceDN w:val="0"/>
        <w:adjustRightInd w:val="0"/>
        <w:spacing w:line="360" w:lineRule="auto"/>
        <w:ind w:firstLine="480" w:firstLineChars="200"/>
        <w:rPr>
          <w:sz w:val="24"/>
        </w:rPr>
      </w:pPr>
      <w:r>
        <w:rPr>
          <w:kern w:val="0"/>
          <w:sz w:val="24"/>
        </w:rPr>
        <w:t>（5）项目食堂油烟废气应经油烟净化器（最低油烟去除效率不得低于60%）处理后，排放浓度满足《饮食业油烟排放标准》（GB18483-2001）标准，油烟经大气稀释扩散后不会对周围大气环境产生明显的不良影响</w:t>
      </w:r>
      <w:r>
        <w:rPr>
          <w:rFonts w:hint="eastAsia"/>
          <w:sz w:val="24"/>
        </w:rPr>
        <w:t>。</w:t>
      </w:r>
    </w:p>
    <w:p>
      <w:pPr>
        <w:pStyle w:val="7"/>
        <w:adjustRightInd w:val="0"/>
        <w:snapToGrid w:val="0"/>
        <w:spacing w:before="0" w:after="0" w:line="360" w:lineRule="auto"/>
        <w:jc w:val="left"/>
        <w:rPr>
          <w:sz w:val="24"/>
          <w:szCs w:val="24"/>
        </w:rPr>
      </w:pPr>
      <w:r>
        <w:rPr>
          <w:rFonts w:hint="eastAsia"/>
          <w:sz w:val="24"/>
          <w:szCs w:val="24"/>
        </w:rPr>
        <w:t>10.4.2 地表水影响分析结论</w:t>
      </w:r>
    </w:p>
    <w:p>
      <w:pPr>
        <w:spacing w:line="360" w:lineRule="auto"/>
        <w:ind w:firstLine="480" w:firstLineChars="200"/>
        <w:rPr>
          <w:rFonts w:eastAsiaTheme="minorEastAsia"/>
          <w:color w:val="000000" w:themeColor="text1"/>
          <w:sz w:val="24"/>
        </w:rPr>
      </w:pPr>
      <w:r>
        <w:rPr>
          <w:rFonts w:hint="eastAsia" w:eastAsiaTheme="minorEastAsia"/>
          <w:color w:val="000000" w:themeColor="text1"/>
          <w:sz w:val="24"/>
        </w:rPr>
        <w:t>本项目位于水环境质量达标区，根据《环境影响评价技术导则-地表水环境》（HJ2.3-2018）本项目为水污染影响三级B。</w:t>
      </w:r>
    </w:p>
    <w:p>
      <w:pPr>
        <w:autoSpaceDE w:val="0"/>
        <w:autoSpaceDN w:val="0"/>
        <w:adjustRightInd w:val="0"/>
        <w:spacing w:line="360" w:lineRule="auto"/>
        <w:ind w:firstLine="480" w:firstLineChars="200"/>
        <w:rPr>
          <w:rFonts w:eastAsiaTheme="majorEastAsia"/>
          <w:sz w:val="24"/>
          <w:szCs w:val="21"/>
        </w:rPr>
      </w:pPr>
      <w:r>
        <w:rPr>
          <w:rFonts w:hint="eastAsia" w:hAnsiTheme="minorEastAsia" w:eastAsiaTheme="minorEastAsia"/>
          <w:kern w:val="0"/>
          <w:sz w:val="24"/>
          <w:lang w:val="en-US" w:eastAsia="zh-CN"/>
        </w:rPr>
        <w:t>本项目共设2座污水处理站，</w:t>
      </w:r>
      <w:r>
        <w:rPr>
          <w:rFonts w:hint="eastAsia" w:hAnsiTheme="minorEastAsia" w:eastAsiaTheme="minorEastAsia"/>
          <w:kern w:val="0"/>
          <w:sz w:val="24"/>
          <w:lang w:eastAsia="zh-CN"/>
        </w:rPr>
        <w:t>南场</w:t>
      </w:r>
      <w:r>
        <w:rPr>
          <w:rFonts w:hint="eastAsia" w:hAnsiTheme="minorEastAsia" w:eastAsiaTheme="minorEastAsia"/>
          <w:kern w:val="0"/>
          <w:sz w:val="24"/>
          <w:lang w:val="en-US" w:eastAsia="zh-CN"/>
        </w:rPr>
        <w:t>污水处理站</w:t>
      </w:r>
      <w:r>
        <w:rPr>
          <w:rFonts w:hint="default" w:hAnsiTheme="minorEastAsia" w:eastAsiaTheme="minorEastAsia"/>
          <w:kern w:val="0"/>
          <w:sz w:val="24"/>
        </w:rPr>
        <w:t>收集</w:t>
      </w:r>
      <w:r>
        <w:rPr>
          <w:rFonts w:hint="eastAsia" w:hAnsiTheme="minorEastAsia" w:eastAsiaTheme="minorEastAsia"/>
          <w:kern w:val="0"/>
          <w:sz w:val="24"/>
          <w:lang w:eastAsia="zh-CN"/>
        </w:rPr>
        <w:t>南部养殖区</w:t>
      </w:r>
      <w:r>
        <w:rPr>
          <w:rFonts w:hint="default" w:hAnsiTheme="minorEastAsia" w:eastAsiaTheme="minorEastAsia"/>
          <w:kern w:val="0"/>
          <w:sz w:val="24"/>
        </w:rPr>
        <w:t>鸡舍冲洗废水、防尘间喷淋废水和中部生活污水（隔油预处理）</w:t>
      </w:r>
      <w:r>
        <w:rPr>
          <w:rFonts w:hint="eastAsia" w:hAnsiTheme="minorEastAsia" w:eastAsiaTheme="minorEastAsia"/>
          <w:kern w:val="0"/>
          <w:sz w:val="24"/>
          <w:lang w:eastAsia="zh-CN"/>
        </w:rPr>
        <w:t>，东场</w:t>
      </w:r>
      <w:r>
        <w:rPr>
          <w:rFonts w:hint="eastAsia" w:hAnsiTheme="minorEastAsia" w:eastAsiaTheme="minorEastAsia"/>
          <w:kern w:val="0"/>
          <w:sz w:val="24"/>
          <w:lang w:val="en-US" w:eastAsia="zh-CN"/>
        </w:rPr>
        <w:t>污水处理站</w:t>
      </w:r>
      <w:r>
        <w:rPr>
          <w:rFonts w:hint="default" w:hAnsiTheme="minorEastAsia" w:eastAsiaTheme="minorEastAsia"/>
          <w:kern w:val="0"/>
          <w:sz w:val="24"/>
        </w:rPr>
        <w:t>收集东部养殖区鸡舍冲洗废水、防尘间喷淋废水和东部生活污水，废水经污水处理站</w:t>
      </w:r>
      <w:r>
        <w:rPr>
          <w:rFonts w:hint="eastAsia" w:hAnsiTheme="minorEastAsia" w:eastAsiaTheme="minorEastAsia"/>
          <w:kern w:val="0"/>
          <w:sz w:val="24"/>
          <w:lang w:eastAsia="zh-CN"/>
        </w:rPr>
        <w:t>（</w:t>
      </w:r>
      <w:r>
        <w:rPr>
          <w:rFonts w:hint="eastAsia" w:hAnsiTheme="minorEastAsia" w:eastAsiaTheme="minorEastAsia"/>
          <w:kern w:val="0"/>
          <w:sz w:val="24"/>
          <w:lang w:val="en-US" w:eastAsia="zh-CN"/>
        </w:rPr>
        <w:t>采用“厌氧发酵”工艺</w:t>
      </w:r>
      <w:r>
        <w:rPr>
          <w:rFonts w:hint="eastAsia" w:hAnsiTheme="minorEastAsia" w:eastAsiaTheme="minorEastAsia"/>
          <w:kern w:val="0"/>
          <w:sz w:val="24"/>
          <w:lang w:eastAsia="zh-CN"/>
        </w:rPr>
        <w:t>）</w:t>
      </w:r>
      <w:r>
        <w:rPr>
          <w:rFonts w:hint="default" w:hAnsiTheme="minorEastAsia" w:eastAsiaTheme="minorEastAsia"/>
          <w:kern w:val="0"/>
          <w:sz w:val="24"/>
        </w:rPr>
        <w:t>处理后</w:t>
      </w:r>
      <w:r>
        <w:rPr>
          <w:rFonts w:hint="eastAsia" w:hAnsiTheme="minorEastAsia" w:eastAsiaTheme="minorEastAsia"/>
          <w:kern w:val="0"/>
          <w:sz w:val="24"/>
          <w:lang w:val="en-US" w:eastAsia="zh-CN"/>
        </w:rPr>
        <w:t>用于</w:t>
      </w:r>
      <w:r>
        <w:rPr>
          <w:rFonts w:hint="default" w:hAnsiTheme="minorEastAsia" w:eastAsiaTheme="minorEastAsia"/>
          <w:kern w:val="0"/>
          <w:sz w:val="24"/>
        </w:rPr>
        <w:t>周边种植基地灌溉，不外排</w:t>
      </w:r>
      <w:r>
        <w:rPr>
          <w:rFonts w:hint="eastAsia"/>
          <w:kern w:val="0"/>
          <w:sz w:val="24"/>
        </w:rPr>
        <w:t>。</w:t>
      </w:r>
      <w:r>
        <w:rPr>
          <w:rFonts w:hint="eastAsia" w:hAnsiTheme="minorEastAsia" w:eastAsiaTheme="minorEastAsia"/>
          <w:kern w:val="0"/>
          <w:sz w:val="24"/>
        </w:rPr>
        <w:t>项目的建设对地表水影响较小</w:t>
      </w:r>
      <w:r>
        <w:rPr>
          <w:rFonts w:hint="eastAsia" w:eastAsiaTheme="majorEastAsia"/>
          <w:sz w:val="24"/>
          <w:szCs w:val="21"/>
        </w:rPr>
        <w:t>。</w:t>
      </w:r>
    </w:p>
    <w:p>
      <w:pPr>
        <w:pStyle w:val="7"/>
        <w:adjustRightInd w:val="0"/>
        <w:snapToGrid w:val="0"/>
        <w:spacing w:before="0" w:after="0" w:line="360" w:lineRule="auto"/>
        <w:jc w:val="left"/>
        <w:rPr>
          <w:sz w:val="24"/>
          <w:szCs w:val="24"/>
        </w:rPr>
      </w:pPr>
      <w:r>
        <w:rPr>
          <w:rFonts w:hint="eastAsia"/>
          <w:sz w:val="24"/>
          <w:szCs w:val="24"/>
        </w:rPr>
        <w:t>10.4.3 地下水影响分析结论</w:t>
      </w:r>
    </w:p>
    <w:p>
      <w:pPr>
        <w:spacing w:line="360" w:lineRule="auto"/>
        <w:ind w:firstLine="480" w:firstLineChars="200"/>
        <w:rPr>
          <w:kern w:val="0"/>
          <w:sz w:val="24"/>
          <w:szCs w:val="20"/>
        </w:rPr>
      </w:pPr>
      <w:r>
        <w:rPr>
          <w:rFonts w:hint="eastAsia"/>
          <w:kern w:val="0"/>
          <w:sz w:val="24"/>
          <w:szCs w:val="20"/>
        </w:rPr>
        <w:t>项目建设期要对池体采取防渗措施，运营期要加强对废水处理池以及收集管道的维护管理，定期监测场址下游地下水水质状况，指定跟踪监测计划，将对地下水的污染风险降低到最小。</w:t>
      </w:r>
    </w:p>
    <w:p>
      <w:pPr>
        <w:pStyle w:val="7"/>
        <w:adjustRightInd w:val="0"/>
        <w:snapToGrid w:val="0"/>
        <w:spacing w:before="0" w:after="0" w:line="360" w:lineRule="auto"/>
        <w:jc w:val="left"/>
        <w:rPr>
          <w:sz w:val="24"/>
          <w:szCs w:val="24"/>
        </w:rPr>
      </w:pPr>
      <w:r>
        <w:rPr>
          <w:rFonts w:hint="eastAsia"/>
          <w:sz w:val="24"/>
          <w:szCs w:val="24"/>
        </w:rPr>
        <w:t>10.4.4 噪声影响分析结论</w:t>
      </w:r>
    </w:p>
    <w:p>
      <w:pPr>
        <w:spacing w:line="360" w:lineRule="auto"/>
        <w:ind w:firstLine="480" w:firstLineChars="200"/>
        <w:rPr>
          <w:kern w:val="0"/>
          <w:sz w:val="24"/>
          <w:szCs w:val="20"/>
        </w:rPr>
      </w:pPr>
      <w:r>
        <w:rPr>
          <w:rFonts w:hint="eastAsia"/>
          <w:kern w:val="0"/>
          <w:sz w:val="24"/>
          <w:szCs w:val="20"/>
        </w:rPr>
        <w:t>项目投产后，在采取降噪措施后，项目厂界噪声贡献值满足《工业企业厂界环境噪声排放标准》（GB12348-2008）2类标准要求，不会对周围声环境产生影响</w:t>
      </w:r>
      <w:r>
        <w:rPr>
          <w:rFonts w:hint="eastAsia" w:hAnsi="宋体"/>
          <w:sz w:val="24"/>
        </w:rPr>
        <w:t>。敏感点噪声预测值满足《声环境质量标准》（GB3096-2008）中2 类标准限值</w:t>
      </w:r>
      <w:r>
        <w:rPr>
          <w:rFonts w:hint="eastAsia"/>
          <w:kern w:val="0"/>
          <w:sz w:val="24"/>
          <w:szCs w:val="20"/>
        </w:rPr>
        <w:t>。</w:t>
      </w:r>
    </w:p>
    <w:p>
      <w:pPr>
        <w:pStyle w:val="7"/>
        <w:adjustRightInd w:val="0"/>
        <w:snapToGrid w:val="0"/>
        <w:spacing w:before="0" w:after="0" w:line="360" w:lineRule="auto"/>
        <w:jc w:val="left"/>
        <w:rPr>
          <w:sz w:val="24"/>
          <w:szCs w:val="24"/>
        </w:rPr>
      </w:pPr>
      <w:r>
        <w:rPr>
          <w:rFonts w:hint="eastAsia"/>
          <w:sz w:val="24"/>
          <w:szCs w:val="24"/>
        </w:rPr>
        <w:t>10.4.5 固废影响分析结论</w:t>
      </w:r>
    </w:p>
    <w:p>
      <w:pPr>
        <w:spacing w:line="360" w:lineRule="auto"/>
        <w:ind w:firstLine="480" w:firstLineChars="200"/>
        <w:rPr>
          <w:kern w:val="0"/>
          <w:sz w:val="24"/>
          <w:szCs w:val="20"/>
        </w:rPr>
      </w:pPr>
      <w:r>
        <w:rPr>
          <w:rFonts w:hAnsiTheme="majorEastAsia" w:eastAsiaTheme="majorEastAsia"/>
          <w:kern w:val="0"/>
          <w:sz w:val="24"/>
        </w:rPr>
        <w:t>建设项目产生的固体废物均得到了妥善处置，符合《畜禽养殖业污染防治技术规范》（HJ/T81-2001）中有关要求，可以解决养殖污染带来的环境问题，实现废弃物资源化、无害化，对周围环境影响较小。</w:t>
      </w:r>
    </w:p>
    <w:p>
      <w:pPr>
        <w:pStyle w:val="7"/>
        <w:adjustRightInd w:val="0"/>
        <w:snapToGrid w:val="0"/>
        <w:spacing w:before="0" w:after="0" w:line="360" w:lineRule="auto"/>
        <w:jc w:val="left"/>
        <w:rPr>
          <w:sz w:val="24"/>
          <w:szCs w:val="24"/>
        </w:rPr>
      </w:pPr>
      <w:r>
        <w:rPr>
          <w:rFonts w:hint="eastAsia"/>
          <w:sz w:val="24"/>
          <w:szCs w:val="24"/>
        </w:rPr>
        <w:t>10.4.6 环境风险影响分析结论</w:t>
      </w:r>
    </w:p>
    <w:p>
      <w:pPr>
        <w:spacing w:line="360" w:lineRule="auto"/>
        <w:ind w:firstLine="480" w:firstLineChars="200"/>
        <w:rPr>
          <w:rFonts w:hAnsiTheme="majorEastAsia" w:eastAsiaTheme="majorEastAsia"/>
          <w:kern w:val="0"/>
          <w:sz w:val="24"/>
        </w:rPr>
      </w:pPr>
      <w:r>
        <w:rPr>
          <w:sz w:val="24"/>
        </w:rPr>
        <w:t>为使环境风险减少到最低限度，建设单位必须加强管理，制定完备、有效的风险防范措施，尽可能降低本项目环境风险事故发生的概率，减少事故的损失和危害，事故一旦发生，应及时抢救处理，不能拖延事故持续时间。通过采取以上措施本项目的风险可以接受</w:t>
      </w:r>
      <w:r>
        <w:rPr>
          <w:rFonts w:hint="eastAsia" w:hAnsiTheme="majorEastAsia" w:eastAsiaTheme="majorEastAsia"/>
          <w:kern w:val="0"/>
          <w:sz w:val="24"/>
        </w:rPr>
        <w:t>。</w:t>
      </w:r>
    </w:p>
    <w:p>
      <w:pPr>
        <w:pStyle w:val="6"/>
        <w:numPr>
          <w:ilvl w:val="0"/>
          <w:numId w:val="0"/>
        </w:numPr>
        <w:spacing w:before="0" w:after="0" w:line="360" w:lineRule="auto"/>
        <w:rPr>
          <w:rFonts w:ascii="Times New Roman" w:hAnsi="Times New Roman" w:eastAsia="宋体"/>
          <w:szCs w:val="30"/>
        </w:rPr>
      </w:pPr>
      <w:bookmarkStart w:id="373" w:name="_Toc123886444"/>
      <w:r>
        <w:rPr>
          <w:rFonts w:hint="eastAsia" w:ascii="Times New Roman" w:hAnsi="Times New Roman" w:eastAsia="宋体"/>
          <w:szCs w:val="30"/>
        </w:rPr>
        <w:t>10</w:t>
      </w:r>
      <w:r>
        <w:rPr>
          <w:rFonts w:ascii="Times New Roman" w:hAnsi="Times New Roman" w:eastAsia="宋体"/>
          <w:szCs w:val="30"/>
        </w:rPr>
        <w:t>.</w:t>
      </w:r>
      <w:r>
        <w:rPr>
          <w:rFonts w:hint="eastAsia" w:ascii="Times New Roman" w:hAnsi="Times New Roman" w:eastAsia="宋体"/>
          <w:szCs w:val="30"/>
        </w:rPr>
        <w:t>5</w:t>
      </w:r>
      <w:r>
        <w:rPr>
          <w:rFonts w:ascii="Times New Roman" w:hAnsi="Times New Roman" w:eastAsia="宋体"/>
          <w:szCs w:val="30"/>
        </w:rPr>
        <w:t>与政策、规划的符合性</w:t>
      </w:r>
      <w:bookmarkEnd w:id="373"/>
    </w:p>
    <w:p>
      <w:pPr>
        <w:widowControl/>
        <w:spacing w:line="360" w:lineRule="auto"/>
        <w:ind w:firstLine="597" w:firstLineChars="249"/>
        <w:rPr>
          <w:kern w:val="0"/>
          <w:sz w:val="24"/>
        </w:rPr>
      </w:pPr>
      <w:bookmarkStart w:id="374" w:name="_Toc517522374"/>
      <w:r>
        <w:rPr>
          <w:rFonts w:hAnsi="宋体"/>
          <w:kern w:val="0"/>
          <w:sz w:val="24"/>
        </w:rPr>
        <w:t>本项目符合《产业结构调整指导目录（</w:t>
      </w:r>
      <w:r>
        <w:rPr>
          <w:kern w:val="0"/>
          <w:sz w:val="24"/>
        </w:rPr>
        <w:t>201</w:t>
      </w:r>
      <w:r>
        <w:rPr>
          <w:rFonts w:hint="eastAsia"/>
          <w:kern w:val="0"/>
          <w:sz w:val="24"/>
        </w:rPr>
        <w:t>9</w:t>
      </w:r>
      <w:r>
        <w:rPr>
          <w:rFonts w:hAnsi="宋体"/>
          <w:kern w:val="0"/>
          <w:sz w:val="24"/>
        </w:rPr>
        <w:t>年本）》、</w:t>
      </w:r>
      <w:r>
        <w:rPr>
          <w:rFonts w:hint="eastAsia" w:hAnsi="宋体"/>
          <w:kern w:val="0"/>
          <w:sz w:val="24"/>
        </w:rPr>
        <w:t>《农业部关于加快推进畜禽标准化规模养殖的意见》（农牧发[2010]6号）、《国务院关于促进畜牧业持续健康发展的意见》、《国务院办公厅关于加快推进畜禽养殖废弃物资源化利用的意见》</w:t>
      </w:r>
      <w:r>
        <w:rPr>
          <w:sz w:val="24"/>
        </w:rPr>
        <w:t>等</w:t>
      </w:r>
      <w:r>
        <w:rPr>
          <w:rFonts w:hAnsi="宋体"/>
          <w:kern w:val="0"/>
          <w:sz w:val="24"/>
        </w:rPr>
        <w:t>相关规定和要求。</w:t>
      </w:r>
    </w:p>
    <w:p>
      <w:pPr>
        <w:widowControl/>
        <w:spacing w:line="360" w:lineRule="auto"/>
        <w:ind w:firstLine="597" w:firstLineChars="249"/>
        <w:rPr>
          <w:rFonts w:ascii="宋体" w:hAnsi="宋体" w:cs="宋体"/>
          <w:kern w:val="0"/>
          <w:sz w:val="24"/>
        </w:rPr>
      </w:pPr>
      <w:r>
        <w:rPr>
          <w:rFonts w:hAnsi="宋体"/>
          <w:kern w:val="0"/>
          <w:sz w:val="24"/>
        </w:rPr>
        <w:t>本项目符合</w:t>
      </w:r>
      <w:r>
        <w:rPr>
          <w:rFonts w:hint="eastAsia" w:hAnsi="宋体"/>
          <w:bCs/>
          <w:kern w:val="0"/>
          <w:sz w:val="24"/>
        </w:rPr>
        <w:t>《湖南省人民政府办公厅关于加快转型升级推进现代畜牧业发展的意见》、《湖南省畜禽规模养殖污染防治规定》、《湖南省人民政府办公厅关于加快推进畜禽养殖废弃物资源化利用的实施意见》、《</w:t>
      </w:r>
      <w:r>
        <w:rPr>
          <w:rFonts w:hAnsi="宋体"/>
          <w:bCs/>
          <w:kern w:val="0"/>
          <w:sz w:val="24"/>
        </w:rPr>
        <w:t>湖南省人民政府办公厅关于建立病死畜禽无害化处理机制的实施意见</w:t>
      </w:r>
      <w:r>
        <w:rPr>
          <w:rFonts w:hint="eastAsia" w:hAnsi="宋体"/>
          <w:bCs/>
          <w:kern w:val="0"/>
          <w:sz w:val="24"/>
        </w:rPr>
        <w:t>》、《衡阳市人民政府办公室办公室衡阳市畜禽养殖废弃物资源化利用实施方案》</w:t>
      </w:r>
      <w:r>
        <w:rPr>
          <w:rFonts w:hAnsi="宋体"/>
          <w:kern w:val="0"/>
          <w:sz w:val="24"/>
        </w:rPr>
        <w:t>等规定和文件要求</w:t>
      </w:r>
      <w:r>
        <w:rPr>
          <w:rFonts w:ascii="宋体" w:hAnsi="宋体" w:cs="宋体"/>
          <w:kern w:val="0"/>
          <w:sz w:val="24"/>
        </w:rPr>
        <w:t>。</w:t>
      </w:r>
    </w:p>
    <w:p>
      <w:pPr>
        <w:widowControl/>
        <w:spacing w:line="360" w:lineRule="auto"/>
        <w:ind w:firstLine="597" w:firstLineChars="249"/>
        <w:rPr>
          <w:rFonts w:ascii="宋体" w:hAnsi="宋体" w:cs="宋体"/>
          <w:kern w:val="0"/>
          <w:sz w:val="24"/>
        </w:rPr>
      </w:pPr>
      <w:r>
        <w:rPr>
          <w:rFonts w:hint="eastAsia" w:ascii="宋体" w:hAnsi="宋体" w:cs="宋体"/>
          <w:kern w:val="0"/>
          <w:sz w:val="24"/>
        </w:rPr>
        <w:t>本项目与</w:t>
      </w:r>
      <w:r>
        <w:rPr>
          <w:rFonts w:hAnsiTheme="minorEastAsia" w:eastAsiaTheme="minorEastAsia"/>
          <w:bCs/>
          <w:kern w:val="0"/>
          <w:sz w:val="24"/>
        </w:rPr>
        <w:t>《畜禽养殖业污染防治技术政策》、</w:t>
      </w:r>
      <w:r>
        <w:rPr>
          <w:rFonts w:hint="eastAsia" w:hAnsiTheme="minorEastAsia" w:eastAsiaTheme="minorEastAsia"/>
          <w:bCs/>
          <w:kern w:val="0"/>
          <w:sz w:val="24"/>
        </w:rPr>
        <w:t>《畜禽养殖业污染防治技术规范》、《畜禽养殖业污染治理工程技术规范》等相符。</w:t>
      </w:r>
    </w:p>
    <w:p>
      <w:pPr>
        <w:pStyle w:val="6"/>
        <w:numPr>
          <w:ilvl w:val="0"/>
          <w:numId w:val="0"/>
        </w:numPr>
        <w:spacing w:before="0" w:after="0" w:line="360" w:lineRule="auto"/>
        <w:rPr>
          <w:rFonts w:ascii="Times New Roman" w:hAnsi="Times New Roman" w:eastAsia="宋体"/>
          <w:szCs w:val="30"/>
        </w:rPr>
      </w:pPr>
      <w:bookmarkStart w:id="375" w:name="_Toc123886445"/>
      <w:r>
        <w:rPr>
          <w:rFonts w:ascii="Times New Roman" w:hAnsi="Times New Roman" w:eastAsia="宋体"/>
          <w:szCs w:val="30"/>
        </w:rPr>
        <w:t>1</w:t>
      </w:r>
      <w:r>
        <w:rPr>
          <w:rFonts w:hint="eastAsia" w:ascii="Times New Roman" w:hAnsi="Times New Roman" w:eastAsia="宋体"/>
          <w:szCs w:val="30"/>
        </w:rPr>
        <w:t>0</w:t>
      </w:r>
      <w:r>
        <w:rPr>
          <w:rFonts w:ascii="Times New Roman" w:hAnsi="Times New Roman" w:eastAsia="宋体"/>
          <w:szCs w:val="30"/>
        </w:rPr>
        <w:t>.</w:t>
      </w:r>
      <w:r>
        <w:rPr>
          <w:rFonts w:hint="eastAsia" w:ascii="Times New Roman" w:hAnsi="Times New Roman" w:eastAsia="宋体"/>
          <w:szCs w:val="30"/>
        </w:rPr>
        <w:t>6</w:t>
      </w:r>
      <w:r>
        <w:rPr>
          <w:rFonts w:ascii="Times New Roman" w:hAnsi="Times New Roman" w:eastAsia="宋体"/>
          <w:szCs w:val="30"/>
        </w:rPr>
        <w:t xml:space="preserve"> “三线一单”符合性分析</w:t>
      </w:r>
      <w:bookmarkEnd w:id="375"/>
    </w:p>
    <w:p>
      <w:pPr>
        <w:widowControl/>
        <w:spacing w:line="360" w:lineRule="auto"/>
        <w:ind w:firstLine="480" w:firstLineChars="200"/>
        <w:rPr>
          <w:rFonts w:ascii="宋体" w:hAnsi="宋体" w:cs="宋体"/>
          <w:kern w:val="0"/>
          <w:sz w:val="24"/>
        </w:rPr>
      </w:pPr>
      <w:r>
        <w:rPr>
          <w:rFonts w:ascii="宋体" w:hAnsi="宋体" w:cs="宋体"/>
          <w:kern w:val="0"/>
          <w:sz w:val="24"/>
        </w:rPr>
        <w:t>项目选址不位于位于自然保护区、风景名胜区、饮用水源保护地和其他需要特别保护等法律法规禁止开发建设的区域，符合生态红线控制要求，项目建设不会突破所处区域环境质量底线，符合资源利用上线标准，同时符合符合国家及地方相关产业政策。</w:t>
      </w:r>
      <w:r>
        <w:rPr>
          <w:rFonts w:hint="eastAsia" w:hAnsiTheme="minorHAnsi" w:eastAsiaTheme="minorEastAsia"/>
          <w:sz w:val="24"/>
        </w:rPr>
        <w:t>项目符合“三线一单”相关要求。</w:t>
      </w:r>
    </w:p>
    <w:p>
      <w:pPr>
        <w:pStyle w:val="6"/>
        <w:numPr>
          <w:ilvl w:val="0"/>
          <w:numId w:val="0"/>
        </w:numPr>
        <w:spacing w:before="0" w:after="0" w:line="360" w:lineRule="auto"/>
        <w:rPr>
          <w:rFonts w:ascii="Times New Roman" w:hAnsi="Times New Roman" w:eastAsia="宋体"/>
          <w:szCs w:val="30"/>
        </w:rPr>
      </w:pPr>
      <w:bookmarkStart w:id="376" w:name="_Toc123886446"/>
      <w:r>
        <w:rPr>
          <w:rFonts w:hint="eastAsia" w:ascii="Times New Roman" w:hAnsi="Times New Roman" w:eastAsia="宋体"/>
          <w:szCs w:val="30"/>
        </w:rPr>
        <w:t>10.7 公众意见采纳情况</w:t>
      </w:r>
      <w:bookmarkEnd w:id="376"/>
    </w:p>
    <w:p>
      <w:pPr>
        <w:snapToGrid w:val="0"/>
        <w:spacing w:line="360" w:lineRule="auto"/>
        <w:ind w:firstLine="480" w:firstLineChars="200"/>
        <w:rPr>
          <w:kern w:val="0"/>
          <w:sz w:val="24"/>
        </w:rPr>
      </w:pPr>
      <w:r>
        <w:rPr>
          <w:rFonts w:hint="eastAsia"/>
          <w:kern w:val="0"/>
          <w:sz w:val="24"/>
        </w:rPr>
        <w:t>建设单位依据《环境影响评价公众参与办法》（生态环境部令第4号）进行公众参与</w:t>
      </w:r>
      <w:r>
        <w:rPr>
          <w:rFonts w:hint="eastAsia"/>
          <w:sz w:val="24"/>
        </w:rPr>
        <w:t>。</w:t>
      </w:r>
      <w:r>
        <w:rPr>
          <w:rFonts w:hAnsi="宋体"/>
          <w:kern w:val="0"/>
          <w:sz w:val="24"/>
        </w:rPr>
        <w:t>调查结果表明，接受调查的公众均支持项目建设，同时认为建设项目应建立环境管理制度、落实各项环保措施和做好污染防治工作，保护周围的环境，把环境污染的影响降至最低程度。</w:t>
      </w:r>
    </w:p>
    <w:p>
      <w:pPr>
        <w:pStyle w:val="6"/>
        <w:numPr>
          <w:ilvl w:val="0"/>
          <w:numId w:val="0"/>
        </w:numPr>
        <w:spacing w:before="0" w:after="0" w:line="360" w:lineRule="auto"/>
        <w:rPr>
          <w:rFonts w:ascii="Times New Roman" w:hAnsi="Times New Roman" w:eastAsia="宋体"/>
          <w:szCs w:val="30"/>
        </w:rPr>
      </w:pPr>
      <w:bookmarkStart w:id="377" w:name="_Toc123886447"/>
      <w:r>
        <w:rPr>
          <w:rFonts w:hint="eastAsia" w:ascii="Times New Roman" w:hAnsi="Times New Roman" w:eastAsia="宋体"/>
          <w:szCs w:val="30"/>
        </w:rPr>
        <w:t>10.8 环境管理与监测计划</w:t>
      </w:r>
      <w:bookmarkEnd w:id="377"/>
    </w:p>
    <w:p>
      <w:pPr>
        <w:snapToGrid w:val="0"/>
        <w:spacing w:line="360" w:lineRule="auto"/>
        <w:ind w:firstLine="480" w:firstLineChars="200"/>
        <w:rPr>
          <w:sz w:val="24"/>
        </w:rPr>
      </w:pPr>
      <w:r>
        <w:rPr>
          <w:sz w:val="24"/>
        </w:rPr>
        <w:t>项目应建立健全的环境管理制度和管理体系，明确责任主体、管理重点，确保各项环境保护设施和措施的建设、运行及维护费用的保障。</w:t>
      </w:r>
      <w:r>
        <w:rPr>
          <w:rFonts w:hint="eastAsia"/>
          <w:sz w:val="24"/>
          <w:lang w:eastAsia="zh-CN"/>
        </w:rPr>
        <w:t>湖南安发原生态农业旅游开发有限公司</w:t>
      </w:r>
      <w:r>
        <w:rPr>
          <w:sz w:val="24"/>
        </w:rPr>
        <w:t>作为本项目环境管理的责任主体，</w:t>
      </w:r>
      <w:r>
        <w:rPr>
          <w:rFonts w:hint="eastAsia"/>
          <w:sz w:val="24"/>
        </w:rPr>
        <w:t>在</w:t>
      </w:r>
      <w:r>
        <w:rPr>
          <w:sz w:val="24"/>
        </w:rPr>
        <w:t>日常生产中，要做好相关环境管理的台账记录，定期按照环境监测计划对污染源和环境质量进行监测。</w:t>
      </w:r>
    </w:p>
    <w:p>
      <w:pPr>
        <w:pStyle w:val="6"/>
        <w:numPr>
          <w:ilvl w:val="0"/>
          <w:numId w:val="0"/>
        </w:numPr>
        <w:spacing w:before="0" w:after="0" w:line="360" w:lineRule="auto"/>
        <w:rPr>
          <w:rFonts w:ascii="Times New Roman" w:hAnsi="Times New Roman" w:eastAsia="宋体"/>
          <w:szCs w:val="30"/>
        </w:rPr>
      </w:pPr>
      <w:bookmarkStart w:id="378" w:name="_Toc123886448"/>
      <w:r>
        <w:rPr>
          <w:rFonts w:hint="eastAsia" w:ascii="Times New Roman" w:hAnsi="Times New Roman" w:eastAsia="宋体"/>
          <w:szCs w:val="30"/>
        </w:rPr>
        <w:t>10.9 污染物排放总量控制</w:t>
      </w:r>
      <w:bookmarkEnd w:id="378"/>
    </w:p>
    <w:p>
      <w:pPr>
        <w:adjustRightInd w:val="0"/>
        <w:snapToGrid w:val="0"/>
        <w:spacing w:line="360" w:lineRule="auto"/>
        <w:ind w:firstLine="480" w:firstLineChars="200"/>
        <w:rPr>
          <w:rFonts w:hAnsi="宋体"/>
          <w:sz w:val="24"/>
        </w:rPr>
      </w:pPr>
      <w:r>
        <w:rPr>
          <w:rFonts w:hint="eastAsia" w:hAnsi="宋体"/>
          <w:sz w:val="24"/>
        </w:rPr>
        <w:t>评价按照国家级地方生态环境部门总量控制的要求，提出项目完成后污染物总量控制建议指标，作为地方环境管理的依据。</w:t>
      </w:r>
    </w:p>
    <w:p>
      <w:pPr>
        <w:spacing w:line="360" w:lineRule="auto"/>
        <w:ind w:firstLine="480" w:firstLineChars="200"/>
        <w:rPr>
          <w:kern w:val="0"/>
          <w:sz w:val="24"/>
        </w:rPr>
      </w:pPr>
      <w:r>
        <w:rPr>
          <w:rFonts w:hint="eastAsia" w:ascii="宋体" w:cs="宋体" w:hAnsiTheme="minorHAnsi"/>
          <w:kern w:val="0"/>
          <w:sz w:val="24"/>
        </w:rPr>
        <w:t>本项目废水不外排</w:t>
      </w:r>
      <w:r>
        <w:rPr>
          <w:rFonts w:hint="eastAsia" w:ascii="宋体" w:cs="宋体" w:hAnsiTheme="minorHAnsi"/>
          <w:kern w:val="0"/>
          <w:sz w:val="24"/>
          <w:lang w:eastAsia="zh-CN"/>
        </w:rPr>
        <w:t>；</w:t>
      </w:r>
      <w:r>
        <w:rPr>
          <w:rFonts w:hint="eastAsia" w:ascii="宋体" w:cs="宋体" w:hAnsiTheme="minorHAnsi"/>
          <w:kern w:val="0"/>
          <w:sz w:val="24"/>
        </w:rPr>
        <w:t>鸡粪日产日清，</w:t>
      </w:r>
      <w:r>
        <w:rPr>
          <w:rFonts w:hint="eastAsia" w:ascii="宋体" w:cs="宋体" w:hAnsiTheme="minorHAnsi"/>
          <w:kern w:val="0"/>
          <w:sz w:val="24"/>
          <w:lang w:val="en-US" w:eastAsia="zh-CN"/>
        </w:rPr>
        <w:t>依托</w:t>
      </w:r>
      <w:r>
        <w:rPr>
          <w:rFonts w:hint="eastAsia" w:ascii="宋体" w:cs="宋体" w:hAnsiTheme="minorHAnsi"/>
          <w:kern w:val="0"/>
          <w:sz w:val="24"/>
        </w:rPr>
        <w:t>或外售</w:t>
      </w:r>
      <w:r>
        <w:rPr>
          <w:rFonts w:hint="eastAsia" w:ascii="宋体" w:cs="宋体" w:hAnsiTheme="minorHAnsi"/>
          <w:kern w:val="0"/>
          <w:sz w:val="24"/>
          <w:lang w:val="en-US" w:eastAsia="zh-CN"/>
        </w:rPr>
        <w:t>制肥</w:t>
      </w:r>
      <w:r>
        <w:rPr>
          <w:rFonts w:hint="eastAsia" w:ascii="宋体" w:cs="宋体" w:hAnsiTheme="minorHAnsi"/>
          <w:kern w:val="0"/>
          <w:sz w:val="24"/>
          <w:lang w:eastAsia="zh-CN"/>
        </w:rPr>
        <w:t>；</w:t>
      </w:r>
      <w:r>
        <w:rPr>
          <w:rFonts w:hint="eastAsia" w:ascii="宋体" w:cs="宋体" w:hAnsiTheme="minorHAnsi"/>
          <w:kern w:val="0"/>
          <w:sz w:val="24"/>
        </w:rPr>
        <w:t>废气中仅</w:t>
      </w:r>
      <w:r>
        <w:rPr>
          <w:rFonts w:hint="eastAsia" w:ascii="宋体" w:cs="宋体" w:hAnsiTheme="minorHAnsi"/>
          <w:kern w:val="0"/>
          <w:sz w:val="24"/>
          <w:lang w:eastAsia="zh-CN"/>
        </w:rPr>
        <w:t>备用柴油发电机尾气</w:t>
      </w:r>
      <w:r>
        <w:rPr>
          <w:rFonts w:hint="eastAsia" w:ascii="宋体" w:cs="宋体" w:hAnsiTheme="minorHAnsi"/>
          <w:kern w:val="0"/>
          <w:sz w:val="24"/>
        </w:rPr>
        <w:t>中含少量二氧化硫、氮氧化物排放，废气排放量很小，忽略不计，因此不设置总量控制</w:t>
      </w:r>
      <w:r>
        <w:rPr>
          <w:rFonts w:hint="eastAsia"/>
          <w:kern w:val="0"/>
          <w:sz w:val="24"/>
        </w:rPr>
        <w:t>。</w:t>
      </w:r>
    </w:p>
    <w:p>
      <w:pPr>
        <w:pStyle w:val="6"/>
        <w:numPr>
          <w:ilvl w:val="0"/>
          <w:numId w:val="0"/>
        </w:numPr>
        <w:spacing w:before="0" w:after="0" w:line="360" w:lineRule="auto"/>
        <w:rPr>
          <w:rFonts w:ascii="Times New Roman" w:hAnsi="Times New Roman" w:eastAsia="宋体"/>
          <w:szCs w:val="30"/>
        </w:rPr>
      </w:pPr>
      <w:bookmarkStart w:id="379" w:name="_Toc123886449"/>
      <w:r>
        <w:rPr>
          <w:rFonts w:hint="eastAsia" w:ascii="Times New Roman" w:hAnsi="Times New Roman" w:eastAsia="宋体"/>
          <w:szCs w:val="30"/>
        </w:rPr>
        <w:t>10.10 总结论</w:t>
      </w:r>
      <w:bookmarkEnd w:id="379"/>
    </w:p>
    <w:bookmarkEnd w:id="374"/>
    <w:p>
      <w:pPr>
        <w:spacing w:line="360" w:lineRule="auto"/>
        <w:ind w:firstLine="480" w:firstLineChars="200"/>
        <w:rPr>
          <w:snapToGrid w:val="0"/>
          <w:kern w:val="0"/>
          <w:sz w:val="24"/>
          <w:szCs w:val="22"/>
        </w:rPr>
      </w:pPr>
      <w:bookmarkStart w:id="380" w:name="_Toc517522375"/>
      <w:r>
        <w:rPr>
          <w:rFonts w:hint="eastAsia"/>
          <w:snapToGrid w:val="0"/>
          <w:kern w:val="0"/>
          <w:sz w:val="24"/>
          <w:szCs w:val="22"/>
        </w:rPr>
        <w:t>本项目具有良好的环境效益和社会效益，并能产生一定经济效益，项目建设符合国家、地方的产业政策，项目选址合理、可行。环境影响预测表明，在采取妥善的污染防范措施后，可有效减少污染物排放量，降低项目对周围环境质量的影响，可维持评价范围内的环境质量功能目标要求。项目建立了各类风险防治措施和应急预案，可有效控制各类风险事故的发生。</w:t>
      </w:r>
    </w:p>
    <w:p>
      <w:pPr>
        <w:spacing w:line="360" w:lineRule="auto"/>
        <w:ind w:firstLine="480" w:firstLineChars="200"/>
        <w:rPr>
          <w:sz w:val="24"/>
        </w:rPr>
      </w:pPr>
      <w:r>
        <w:rPr>
          <w:rFonts w:hint="eastAsia"/>
          <w:snapToGrid w:val="0"/>
          <w:kern w:val="0"/>
          <w:sz w:val="24"/>
          <w:szCs w:val="22"/>
        </w:rPr>
        <w:t>综上所述，本次评价认为项目加强环境管理，落实本报告中提出的各项污染防治措施和风险防治措施后，从环境保护角度来看该项目是可行的</w:t>
      </w:r>
      <w:r>
        <w:rPr>
          <w:rFonts w:hint="eastAsia"/>
          <w:sz w:val="24"/>
        </w:rPr>
        <w:t>。</w:t>
      </w:r>
    </w:p>
    <w:p>
      <w:pPr>
        <w:pStyle w:val="6"/>
        <w:numPr>
          <w:ilvl w:val="0"/>
          <w:numId w:val="0"/>
        </w:numPr>
        <w:spacing w:before="0" w:after="0" w:line="360" w:lineRule="auto"/>
        <w:rPr>
          <w:rFonts w:ascii="Times New Roman" w:hAnsi="Times New Roman" w:eastAsia="宋体"/>
          <w:szCs w:val="30"/>
        </w:rPr>
      </w:pPr>
      <w:bookmarkStart w:id="381" w:name="_Toc123886450"/>
      <w:r>
        <w:rPr>
          <w:rFonts w:hint="eastAsia" w:ascii="Times New Roman" w:hAnsi="Times New Roman" w:eastAsia="宋体"/>
          <w:szCs w:val="30"/>
        </w:rPr>
        <w:t>10</w:t>
      </w:r>
      <w:r>
        <w:rPr>
          <w:rFonts w:ascii="Times New Roman" w:hAnsi="Times New Roman" w:eastAsia="宋体"/>
          <w:szCs w:val="30"/>
        </w:rPr>
        <w:t>.</w:t>
      </w:r>
      <w:r>
        <w:rPr>
          <w:rFonts w:hint="eastAsia" w:ascii="Times New Roman" w:hAnsi="Times New Roman" w:eastAsia="宋体"/>
          <w:szCs w:val="30"/>
        </w:rPr>
        <w:t xml:space="preserve">11 </w:t>
      </w:r>
      <w:r>
        <w:rPr>
          <w:rFonts w:ascii="Times New Roman" w:hAnsi="Times New Roman" w:eastAsia="宋体"/>
          <w:szCs w:val="30"/>
        </w:rPr>
        <w:t>建议</w:t>
      </w:r>
      <w:bookmarkEnd w:id="380"/>
      <w:bookmarkEnd w:id="381"/>
    </w:p>
    <w:p>
      <w:pPr>
        <w:spacing w:line="360" w:lineRule="auto"/>
        <w:ind w:firstLine="480" w:firstLineChars="200"/>
        <w:rPr>
          <w:snapToGrid w:val="0"/>
          <w:kern w:val="0"/>
          <w:sz w:val="24"/>
          <w:szCs w:val="22"/>
        </w:rPr>
      </w:pPr>
      <w:r>
        <w:rPr>
          <w:rFonts w:hint="eastAsia"/>
          <w:snapToGrid w:val="0"/>
          <w:kern w:val="0"/>
          <w:sz w:val="24"/>
          <w:szCs w:val="22"/>
        </w:rPr>
        <w:t>为保护环境进一步改善环境质量，针对本项目完成后的具体情况，提出以下建议：</w:t>
      </w:r>
    </w:p>
    <w:p>
      <w:pPr>
        <w:spacing w:line="360" w:lineRule="auto"/>
        <w:ind w:firstLine="480" w:firstLineChars="200"/>
        <w:rPr>
          <w:snapToGrid w:val="0"/>
          <w:kern w:val="0"/>
          <w:sz w:val="24"/>
          <w:szCs w:val="22"/>
        </w:rPr>
      </w:pPr>
      <w:r>
        <w:rPr>
          <w:rFonts w:hint="eastAsia"/>
          <w:snapToGrid w:val="0"/>
          <w:kern w:val="0"/>
          <w:sz w:val="24"/>
          <w:szCs w:val="22"/>
        </w:rPr>
        <w:t>（1）建设单位须严格执行环境保护“三同时”制度，要保证足够的环保资金，落实本环评提出的各项治理措施，并严格接受环保主管部门对其环境保护工作的日常监督。</w:t>
      </w:r>
    </w:p>
    <w:p>
      <w:pPr>
        <w:spacing w:line="360" w:lineRule="auto"/>
        <w:ind w:firstLine="480" w:firstLineChars="200"/>
        <w:rPr>
          <w:snapToGrid w:val="0"/>
          <w:kern w:val="0"/>
          <w:sz w:val="24"/>
          <w:szCs w:val="22"/>
        </w:rPr>
      </w:pPr>
      <w:r>
        <w:rPr>
          <w:rFonts w:hint="eastAsia"/>
          <w:snapToGrid w:val="0"/>
          <w:kern w:val="0"/>
          <w:sz w:val="24"/>
          <w:szCs w:val="22"/>
        </w:rPr>
        <w:t>（2）加强厂区绿化，建设单位在委托设计绿化方案时，可向设计单位提出要尽量选用对恶臭气体吸附效果好的树种的要求，并向设计单位提出，在恶臭源附近适当的位置种植。</w:t>
      </w:r>
    </w:p>
    <w:p>
      <w:pPr>
        <w:spacing w:line="360" w:lineRule="auto"/>
        <w:ind w:firstLine="480" w:firstLineChars="200"/>
        <w:rPr>
          <w:snapToGrid w:val="0"/>
          <w:kern w:val="0"/>
          <w:sz w:val="24"/>
          <w:szCs w:val="22"/>
        </w:rPr>
      </w:pPr>
      <w:r>
        <w:rPr>
          <w:rFonts w:hint="eastAsia"/>
          <w:snapToGrid w:val="0"/>
          <w:kern w:val="0"/>
          <w:sz w:val="24"/>
          <w:szCs w:val="22"/>
        </w:rPr>
        <w:t xml:space="preserve">（3）建设单位应搞好厂区卫生，发现病死鸡要及时无害化处理，严禁随意丢弃，严禁出售或作为饲料再利用。 </w:t>
      </w:r>
    </w:p>
    <w:p>
      <w:pPr>
        <w:spacing w:line="360" w:lineRule="auto"/>
        <w:ind w:firstLine="480" w:firstLineChars="200"/>
        <w:rPr>
          <w:snapToGrid w:val="0"/>
          <w:kern w:val="0"/>
          <w:sz w:val="24"/>
          <w:szCs w:val="22"/>
        </w:rPr>
      </w:pPr>
      <w:r>
        <w:rPr>
          <w:rFonts w:hint="eastAsia"/>
          <w:snapToGrid w:val="0"/>
          <w:kern w:val="0"/>
          <w:sz w:val="24"/>
          <w:szCs w:val="22"/>
        </w:rPr>
        <w:t>（4）建设单位应加强环保管理，建立健全各项环保管理规章制度、操作规程和环保台帐，切实加强“三废”管理，将其对环境的影响降至最低。同时，加强项目各项污染源控制设施/设备的运行管理，确保工程污染治理效果。</w:t>
      </w:r>
    </w:p>
    <w:p>
      <w:pPr>
        <w:spacing w:line="360" w:lineRule="auto"/>
        <w:ind w:firstLine="480" w:firstLineChars="200"/>
        <w:rPr>
          <w:snapToGrid w:val="0"/>
          <w:kern w:val="0"/>
          <w:sz w:val="24"/>
          <w:szCs w:val="22"/>
        </w:rPr>
      </w:pPr>
      <w:r>
        <w:rPr>
          <w:rFonts w:hint="eastAsia"/>
          <w:snapToGrid w:val="0"/>
          <w:kern w:val="0"/>
          <w:sz w:val="24"/>
          <w:szCs w:val="22"/>
        </w:rPr>
        <w:t>（5）建设单位加强环保宣传，提高职工环保意识，并与周边居民、单位密切联系，处理好和人民群众的关系，广泛听取意见和建议，并有效落实。</w:t>
      </w:r>
    </w:p>
    <w:p>
      <w:pPr>
        <w:spacing w:line="360" w:lineRule="auto"/>
        <w:ind w:firstLine="480" w:firstLineChars="200"/>
        <w:rPr>
          <w:snapToGrid w:val="0"/>
          <w:kern w:val="0"/>
          <w:sz w:val="24"/>
          <w:szCs w:val="22"/>
        </w:rPr>
      </w:pPr>
      <w:r>
        <w:rPr>
          <w:rFonts w:hint="eastAsia"/>
          <w:snapToGrid w:val="0"/>
          <w:kern w:val="0"/>
          <w:sz w:val="24"/>
          <w:szCs w:val="22"/>
        </w:rPr>
        <w:t>（6）公司应建立健全的环境保护制度，加强各环保设施的维修、保养及管理，确保治污设施的正常运转</w:t>
      </w:r>
      <w:r>
        <w:rPr>
          <w:snapToGrid w:val="0"/>
          <w:kern w:val="0"/>
          <w:sz w:val="24"/>
          <w:szCs w:val="22"/>
        </w:rPr>
        <w:t>。</w:t>
      </w:r>
    </w:p>
    <w:p>
      <w:pPr>
        <w:widowControl/>
        <w:jc w:val="left"/>
        <w:rPr>
          <w:sz w:val="24"/>
        </w:rPr>
      </w:pPr>
    </w:p>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微软雅黑"/>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楷体_GB2312">
    <w:altName w:val="楷体"/>
    <w:panose1 w:val="00000000000000000000"/>
    <w:charset w:val="86"/>
    <w:family w:val="modern"/>
    <w:pitch w:val="default"/>
    <w:sig w:usb0="00000000" w:usb1="00000000" w:usb2="0000001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0000000000000000000"/>
    <w:charset w:val="00"/>
    <w:family w:val="roman"/>
    <w:pitch w:val="default"/>
    <w:sig w:usb0="00000000" w:usb1="00000000" w:usb2="00000010" w:usb3="00000000" w:csb0="00060001" w:csb1="00000000"/>
  </w:font>
  <w:font w:name="方正北魏楷书简体">
    <w:altName w:val="宋体"/>
    <w:panose1 w:val="00000000000000000000"/>
    <w:charset w:val="86"/>
    <w:family w:val="script"/>
    <w:pitch w:val="default"/>
    <w:sig w:usb0="00000000" w:usb1="00000000" w:usb2="00000000" w:usb3="00000000" w:csb0="00040000" w:csb1="00000000"/>
  </w:font>
  <w:font w:name="MS Mincho">
    <w:panose1 w:val="02020609040205080304"/>
    <w:charset w:val="80"/>
    <w:family w:val="modern"/>
    <w:pitch w:val="default"/>
    <w:sig w:usb0="A00002BF" w:usb1="68C7FCFB" w:usb2="00000010" w:usb3="00000000" w:csb0="4002009F" w:csb1="DFD70000"/>
  </w:font>
  <w:font w:name="MS Gothic">
    <w:panose1 w:val="020B0609070205080204"/>
    <w:charset w:val="80"/>
    <w:family w:val="modern"/>
    <w:pitch w:val="default"/>
    <w:sig w:usb0="E00002FF" w:usb1="6AC7FDFB" w:usb2="08000012" w:usb3="00000000" w:csb0="4002009F" w:csb1="DFD7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AmdtSymbols">
    <w:panose1 w:val="02000500000000020004"/>
    <w:charset w:val="00"/>
    <w:family w:val="auto"/>
    <w:pitch w:val="default"/>
    <w:sig w:usb0="00000001"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center" w:y="1"/>
      <w:rPr>
        <w:rStyle w:val="54"/>
      </w:rPr>
    </w:pPr>
    <w:r>
      <w:fldChar w:fldCharType="begin"/>
    </w:r>
    <w:r>
      <w:rPr>
        <w:rStyle w:val="54"/>
      </w:rPr>
      <w:instrText xml:space="preserve">PAGE  </w:instrText>
    </w:r>
    <w:r>
      <w:fldChar w:fldCharType="end"/>
    </w:r>
  </w:p>
  <w:p>
    <w:pPr>
      <w:pStyle w:val="3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7050547"/>
      <w:docPartObj>
        <w:docPartGallery w:val="autotext"/>
      </w:docPartObj>
    </w:sdtPr>
    <w:sdtContent>
      <w:p>
        <w:pPr>
          <w:pStyle w:val="31"/>
          <w:ind w:left="-105"/>
          <w:jc w:val="center"/>
        </w:pPr>
        <w:r>
          <w:fldChar w:fldCharType="begin"/>
        </w:r>
        <w:r>
          <w:instrText xml:space="preserve"> PAGE   \* MERGEFORMAT </w:instrText>
        </w:r>
        <w:r>
          <w:fldChar w:fldCharType="separate"/>
        </w:r>
        <w:r>
          <w:rPr>
            <w:lang w:val="zh-CN"/>
          </w:rPr>
          <w:t>-</w:t>
        </w:r>
        <w:r>
          <w:t xml:space="preserve"> 1 -</w:t>
        </w:r>
        <w:r>
          <w:rPr>
            <w:lang w:val="zh-CN"/>
          </w:rPr>
          <w:fldChar w:fldCharType="end"/>
        </w:r>
      </w:p>
    </w:sdtContent>
  </w:sdt>
  <w:p>
    <w:pPr>
      <w:pStyle w:val="3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left="-105"/>
      <w:jc w:val="center"/>
    </w:pPr>
    <w:r>
      <w:rPr>
        <w:sz w:val="18"/>
      </w:rPr>
      <w:pict>
        <v:shape id="_x0000_s2053" o:spid="_x0000_s2053"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w:t>
                </w:r>
                <w:r>
                  <w:rPr>
                    <w:rFonts w:hint="eastAsia"/>
                    <w:lang w:eastAsia="zh-CN"/>
                  </w:rPr>
                  <w:fldChar w:fldCharType="end"/>
                </w:r>
              </w:p>
            </w:txbxContent>
          </v:textbox>
        </v:shape>
      </w:pict>
    </w:r>
  </w:p>
  <w:p>
    <w:pPr>
      <w:pStyle w:val="31"/>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left="-105"/>
      <w:jc w:val="center"/>
    </w:pPr>
    <w:r>
      <w:rPr>
        <w:sz w:val="18"/>
      </w:rPr>
      <w:pict>
        <v:shape id="_x0000_s2054" o:spid="_x0000_s2054"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w:r>
  </w:p>
  <w:p>
    <w:pPr>
      <w:pStyle w:val="3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left="-105"/>
      <w:jc w:val="center"/>
    </w:pPr>
    <w:r>
      <w:rPr>
        <w:sz w:val="18"/>
      </w:rPr>
      <w:pict>
        <v:shape id="_x0000_s2057" o:spid="_x0000_s2057"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II</w:t>
                </w:r>
                <w:r>
                  <w:rPr>
                    <w:rFonts w:hint="eastAsia"/>
                    <w:lang w:eastAsia="zh-CN"/>
                  </w:rPr>
                  <w:fldChar w:fldCharType="end"/>
                </w:r>
              </w:p>
            </w:txbxContent>
          </v:textbox>
        </v:shape>
      </w:pict>
    </w:r>
  </w:p>
  <w:p>
    <w:pPr>
      <w:pStyle w:val="31"/>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left="-105"/>
      <w:jc w:val="center"/>
    </w:pPr>
    <w:r>
      <w:rPr>
        <w:sz w:val="18"/>
      </w:rPr>
      <w:pict>
        <v:shape id="_x0000_s2058" o:spid="_x0000_s2058"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w:r>
  </w:p>
  <w:p>
    <w:pPr>
      <w:pStyle w:val="3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ind w:left="-105"/>
      <w:jc w:val="center"/>
    </w:pPr>
    <w:r>
      <w:rPr>
        <w:sz w:val="18"/>
      </w:rPr>
      <w:pict>
        <v:shape id="_x0000_s2055" o:spid="_x0000_s2055"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XXXI</w:t>
                </w:r>
                <w:r>
                  <w:rPr>
                    <w:rFonts w:hint="eastAsia"/>
                    <w:lang w:eastAsia="zh-CN"/>
                  </w:rPr>
                  <w:fldChar w:fldCharType="end"/>
                </w:r>
              </w:p>
            </w:txbxContent>
          </v:textbox>
        </v:shape>
      </w:pict>
    </w:r>
  </w:p>
  <w:p>
    <w:pPr>
      <w:pStyle w:val="31"/>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w:rPr>
        <w:sz w:val="18"/>
      </w:rPr>
      <w:pict>
        <v:shape id="_x0000_s2056" o:spid="_x0000_s2056"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3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XCI</w:t>
                </w:r>
                <w:r>
                  <w:rPr>
                    <w:rFonts w:hint="eastAsia"/>
                    <w:lang w:eastAsia="zh-CN"/>
                  </w:rPr>
                  <w:fldChar w:fldCharType="end"/>
                </w:r>
              </w:p>
            </w:txbxContent>
          </v:textbox>
        </v:shape>
      </w:pict>
    </w:r>
  </w:p>
  <w:p>
    <w:pPr>
      <w:pStyle w:val="3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rFonts w:hint="eastAsia"/>
      </w:rPr>
      <w:t>湖南安发原生态农业旅游开发有限公司台源蛋鸡养殖二场建设项目</w:t>
    </w:r>
    <w: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rFonts w:hint="eastAsia"/>
      </w:rPr>
      <w:t>湖南安发原生态农业旅游开发有限公司台源蛋鸡养殖二场建设项目</w:t>
    </w:r>
    <w: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rFonts w:hint="eastAsia"/>
      </w:rPr>
      <w:t>湖南安发原生态农业旅游开发有限公司台源蛋鸡养殖二场建设项目</w:t>
    </w:r>
    <w: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r>
      <w:rPr>
        <w:rFonts w:hint="eastAsia"/>
      </w:rPr>
      <w:t>湖南安发原生态农业旅游开发有限公司台源蛋鸡养殖二场建设项目</w:t>
    </w:r>
    <w: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FFFFF88"/>
    <w:lvl w:ilvl="0" w:tentative="0">
      <w:start w:val="1"/>
      <w:numFmt w:val="lowerLetter"/>
      <w:pStyle w:val="15"/>
      <w:lvlText w:val="%1）"/>
      <w:lvlJc w:val="left"/>
      <w:pPr>
        <w:ind w:left="4902" w:hanging="420"/>
      </w:pPr>
      <w:rPr>
        <w:rFonts w:hint="eastAsia"/>
      </w:rPr>
    </w:lvl>
  </w:abstractNum>
  <w:abstractNum w:abstractNumId="1">
    <w:nsid w:val="FFFFFF89"/>
    <w:multiLevelType w:val="singleLevel"/>
    <w:tmpl w:val="FFFFFF89"/>
    <w:lvl w:ilvl="0" w:tentative="0">
      <w:start w:val="1"/>
      <w:numFmt w:val="bullet"/>
      <w:pStyle w:val="18"/>
      <w:lvlText w:val=""/>
      <w:lvlJc w:val="left"/>
      <w:pPr>
        <w:tabs>
          <w:tab w:val="left" w:pos="360"/>
        </w:tabs>
        <w:ind w:left="360" w:hanging="360"/>
      </w:pPr>
      <w:rPr>
        <w:rFonts w:hint="default" w:ascii="Wingdings" w:hAnsi="Wingdings"/>
      </w:rPr>
    </w:lvl>
  </w:abstractNum>
  <w:abstractNum w:abstractNumId="2">
    <w:nsid w:val="454B1F78"/>
    <w:multiLevelType w:val="multilevel"/>
    <w:tmpl w:val="454B1F78"/>
    <w:lvl w:ilvl="0" w:tentative="0">
      <w:start w:val="1"/>
      <w:numFmt w:val="decimal"/>
      <w:pStyle w:val="4"/>
      <w:lvlText w:val="%1"/>
      <w:lvlJc w:val="left"/>
      <w:pPr>
        <w:tabs>
          <w:tab w:val="left" w:pos="432"/>
        </w:tabs>
        <w:ind w:left="432" w:hanging="432"/>
      </w:pPr>
    </w:lvl>
    <w:lvl w:ilvl="1" w:tentative="0">
      <w:start w:val="1"/>
      <w:numFmt w:val="decimal"/>
      <w:pStyle w:val="6"/>
      <w:lvlText w:val="%1.%2"/>
      <w:lvlJc w:val="left"/>
      <w:pPr>
        <w:tabs>
          <w:tab w:val="left" w:pos="1002"/>
        </w:tabs>
        <w:ind w:left="1002" w:hanging="576"/>
      </w:pPr>
    </w:lvl>
    <w:lvl w:ilvl="2" w:tentative="0">
      <w:start w:val="1"/>
      <w:numFmt w:val="decimal"/>
      <w:lvlText w:val="%1.%2.%3"/>
      <w:lvlJc w:val="left"/>
      <w:pPr>
        <w:tabs>
          <w:tab w:val="left" w:pos="1288"/>
        </w:tabs>
        <w:ind w:left="1288" w:hanging="720"/>
      </w:pPr>
      <w:rPr>
        <w:sz w:val="24"/>
        <w:szCs w:val="24"/>
      </w:rPr>
    </w:lvl>
    <w:lvl w:ilvl="3" w:tentative="0">
      <w:start w:val="1"/>
      <w:numFmt w:val="decimal"/>
      <w:pStyle w:val="8"/>
      <w:lvlText w:val="%1.%2.%3.%4"/>
      <w:lvlJc w:val="left"/>
      <w:pPr>
        <w:tabs>
          <w:tab w:val="left" w:pos="1574"/>
        </w:tabs>
        <w:ind w:left="1574" w:hanging="864"/>
      </w:pPr>
      <w:rPr>
        <w:rFonts w:hint="default" w:ascii="Times New Roman" w:hAnsi="Times New Roman" w:cs="Times New Roman"/>
        <w:sz w:val="24"/>
        <w:szCs w:val="24"/>
      </w:r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76A63896"/>
    <w:multiLevelType w:val="singleLevel"/>
    <w:tmpl w:val="76A63896"/>
    <w:lvl w:ilvl="0" w:tentative="0">
      <w:start w:val="7"/>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hideSpellingErrors/>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A3CE7"/>
    <w:rsid w:val="000002FD"/>
    <w:rsid w:val="0000057F"/>
    <w:rsid w:val="0000092B"/>
    <w:rsid w:val="0000181F"/>
    <w:rsid w:val="000019FE"/>
    <w:rsid w:val="00001A0D"/>
    <w:rsid w:val="00002E67"/>
    <w:rsid w:val="0000363E"/>
    <w:rsid w:val="00003A9A"/>
    <w:rsid w:val="0000545C"/>
    <w:rsid w:val="00005B32"/>
    <w:rsid w:val="00006657"/>
    <w:rsid w:val="00006C00"/>
    <w:rsid w:val="00006C1B"/>
    <w:rsid w:val="00007198"/>
    <w:rsid w:val="000072FA"/>
    <w:rsid w:val="00010448"/>
    <w:rsid w:val="000108CF"/>
    <w:rsid w:val="00010A02"/>
    <w:rsid w:val="00010B57"/>
    <w:rsid w:val="00010CFB"/>
    <w:rsid w:val="000116EE"/>
    <w:rsid w:val="00011946"/>
    <w:rsid w:val="00011953"/>
    <w:rsid w:val="00011BB6"/>
    <w:rsid w:val="00011EA4"/>
    <w:rsid w:val="00012111"/>
    <w:rsid w:val="00012E1A"/>
    <w:rsid w:val="0001387B"/>
    <w:rsid w:val="00013B41"/>
    <w:rsid w:val="00014234"/>
    <w:rsid w:val="00014780"/>
    <w:rsid w:val="00014C0E"/>
    <w:rsid w:val="00015826"/>
    <w:rsid w:val="00016BCC"/>
    <w:rsid w:val="000173B6"/>
    <w:rsid w:val="0001774C"/>
    <w:rsid w:val="00017D31"/>
    <w:rsid w:val="00020010"/>
    <w:rsid w:val="00020444"/>
    <w:rsid w:val="00020586"/>
    <w:rsid w:val="00020A25"/>
    <w:rsid w:val="0002168C"/>
    <w:rsid w:val="0002198D"/>
    <w:rsid w:val="000219A1"/>
    <w:rsid w:val="0002207D"/>
    <w:rsid w:val="00022DF8"/>
    <w:rsid w:val="0002368D"/>
    <w:rsid w:val="000238F7"/>
    <w:rsid w:val="0002394A"/>
    <w:rsid w:val="0002425C"/>
    <w:rsid w:val="000245DE"/>
    <w:rsid w:val="00024662"/>
    <w:rsid w:val="000267A0"/>
    <w:rsid w:val="00027239"/>
    <w:rsid w:val="0002725A"/>
    <w:rsid w:val="000279F4"/>
    <w:rsid w:val="00030993"/>
    <w:rsid w:val="00031AEF"/>
    <w:rsid w:val="00032326"/>
    <w:rsid w:val="00032594"/>
    <w:rsid w:val="0003259D"/>
    <w:rsid w:val="00033F1E"/>
    <w:rsid w:val="00034053"/>
    <w:rsid w:val="000341BC"/>
    <w:rsid w:val="00034349"/>
    <w:rsid w:val="00034716"/>
    <w:rsid w:val="00034A92"/>
    <w:rsid w:val="000352BC"/>
    <w:rsid w:val="00035B66"/>
    <w:rsid w:val="00035EC9"/>
    <w:rsid w:val="000361FB"/>
    <w:rsid w:val="0003667B"/>
    <w:rsid w:val="00036A21"/>
    <w:rsid w:val="00036AA3"/>
    <w:rsid w:val="00036B00"/>
    <w:rsid w:val="00036E31"/>
    <w:rsid w:val="00037023"/>
    <w:rsid w:val="00037ACA"/>
    <w:rsid w:val="000408EE"/>
    <w:rsid w:val="00041209"/>
    <w:rsid w:val="00041472"/>
    <w:rsid w:val="00041F07"/>
    <w:rsid w:val="00041F3E"/>
    <w:rsid w:val="00042717"/>
    <w:rsid w:val="00042BB2"/>
    <w:rsid w:val="00042C92"/>
    <w:rsid w:val="00042FCE"/>
    <w:rsid w:val="0004301F"/>
    <w:rsid w:val="00043261"/>
    <w:rsid w:val="00043E7E"/>
    <w:rsid w:val="00044D1C"/>
    <w:rsid w:val="000450BB"/>
    <w:rsid w:val="00045723"/>
    <w:rsid w:val="00046CDB"/>
    <w:rsid w:val="00046EC7"/>
    <w:rsid w:val="00050217"/>
    <w:rsid w:val="000507AA"/>
    <w:rsid w:val="00050D52"/>
    <w:rsid w:val="00050E34"/>
    <w:rsid w:val="00051511"/>
    <w:rsid w:val="00051629"/>
    <w:rsid w:val="00052276"/>
    <w:rsid w:val="00053479"/>
    <w:rsid w:val="00053571"/>
    <w:rsid w:val="00053C03"/>
    <w:rsid w:val="000546ED"/>
    <w:rsid w:val="000546F7"/>
    <w:rsid w:val="00055777"/>
    <w:rsid w:val="00056255"/>
    <w:rsid w:val="00056291"/>
    <w:rsid w:val="00056302"/>
    <w:rsid w:val="000565ED"/>
    <w:rsid w:val="000566F4"/>
    <w:rsid w:val="00056B2A"/>
    <w:rsid w:val="00056DAF"/>
    <w:rsid w:val="00057705"/>
    <w:rsid w:val="0005772D"/>
    <w:rsid w:val="0005783E"/>
    <w:rsid w:val="000611F1"/>
    <w:rsid w:val="0006142D"/>
    <w:rsid w:val="000617EE"/>
    <w:rsid w:val="00061BF9"/>
    <w:rsid w:val="000623CE"/>
    <w:rsid w:val="00062FD3"/>
    <w:rsid w:val="000634F9"/>
    <w:rsid w:val="00063628"/>
    <w:rsid w:val="00064404"/>
    <w:rsid w:val="000646CD"/>
    <w:rsid w:val="00064C7F"/>
    <w:rsid w:val="00064DD2"/>
    <w:rsid w:val="000650EF"/>
    <w:rsid w:val="000661C3"/>
    <w:rsid w:val="00066458"/>
    <w:rsid w:val="0006650C"/>
    <w:rsid w:val="000675E1"/>
    <w:rsid w:val="0006791C"/>
    <w:rsid w:val="00067952"/>
    <w:rsid w:val="00067F55"/>
    <w:rsid w:val="00070680"/>
    <w:rsid w:val="000707E2"/>
    <w:rsid w:val="0007189E"/>
    <w:rsid w:val="00073363"/>
    <w:rsid w:val="00073958"/>
    <w:rsid w:val="00073C09"/>
    <w:rsid w:val="00074202"/>
    <w:rsid w:val="00074A12"/>
    <w:rsid w:val="00074B7D"/>
    <w:rsid w:val="0007545D"/>
    <w:rsid w:val="000763B7"/>
    <w:rsid w:val="000769EE"/>
    <w:rsid w:val="000772B2"/>
    <w:rsid w:val="000775A4"/>
    <w:rsid w:val="00077AA6"/>
    <w:rsid w:val="00077D78"/>
    <w:rsid w:val="00080759"/>
    <w:rsid w:val="00081123"/>
    <w:rsid w:val="000811D3"/>
    <w:rsid w:val="0008147E"/>
    <w:rsid w:val="0008185E"/>
    <w:rsid w:val="00081CE2"/>
    <w:rsid w:val="000820A1"/>
    <w:rsid w:val="0008250F"/>
    <w:rsid w:val="000830FC"/>
    <w:rsid w:val="000847D4"/>
    <w:rsid w:val="00084F3A"/>
    <w:rsid w:val="00084FAF"/>
    <w:rsid w:val="0008509B"/>
    <w:rsid w:val="000853B6"/>
    <w:rsid w:val="00085D41"/>
    <w:rsid w:val="000867B1"/>
    <w:rsid w:val="000872E2"/>
    <w:rsid w:val="0008787F"/>
    <w:rsid w:val="00090B58"/>
    <w:rsid w:val="00090F1D"/>
    <w:rsid w:val="000910F9"/>
    <w:rsid w:val="000911F3"/>
    <w:rsid w:val="00091657"/>
    <w:rsid w:val="00091E4C"/>
    <w:rsid w:val="000923FA"/>
    <w:rsid w:val="00092F71"/>
    <w:rsid w:val="000940DA"/>
    <w:rsid w:val="00094430"/>
    <w:rsid w:val="00094C7C"/>
    <w:rsid w:val="000952B1"/>
    <w:rsid w:val="000952DD"/>
    <w:rsid w:val="0009620E"/>
    <w:rsid w:val="0009646D"/>
    <w:rsid w:val="000967FC"/>
    <w:rsid w:val="000968AF"/>
    <w:rsid w:val="00096D3F"/>
    <w:rsid w:val="00096F0D"/>
    <w:rsid w:val="0009776F"/>
    <w:rsid w:val="000977B0"/>
    <w:rsid w:val="00097BD0"/>
    <w:rsid w:val="000A06D7"/>
    <w:rsid w:val="000A1E83"/>
    <w:rsid w:val="000A2A04"/>
    <w:rsid w:val="000A2AE2"/>
    <w:rsid w:val="000A2C23"/>
    <w:rsid w:val="000A497E"/>
    <w:rsid w:val="000A4A45"/>
    <w:rsid w:val="000A4F4E"/>
    <w:rsid w:val="000A6881"/>
    <w:rsid w:val="000A693A"/>
    <w:rsid w:val="000A6C69"/>
    <w:rsid w:val="000A7337"/>
    <w:rsid w:val="000B05D4"/>
    <w:rsid w:val="000B1642"/>
    <w:rsid w:val="000B188F"/>
    <w:rsid w:val="000B1AD8"/>
    <w:rsid w:val="000B1E12"/>
    <w:rsid w:val="000B1F79"/>
    <w:rsid w:val="000B2466"/>
    <w:rsid w:val="000B24A3"/>
    <w:rsid w:val="000B3019"/>
    <w:rsid w:val="000B3FC0"/>
    <w:rsid w:val="000B4B29"/>
    <w:rsid w:val="000B5159"/>
    <w:rsid w:val="000B52CC"/>
    <w:rsid w:val="000B53A3"/>
    <w:rsid w:val="000B59B5"/>
    <w:rsid w:val="000B5BF9"/>
    <w:rsid w:val="000B5FA5"/>
    <w:rsid w:val="000B6039"/>
    <w:rsid w:val="000B6533"/>
    <w:rsid w:val="000B6670"/>
    <w:rsid w:val="000B66B6"/>
    <w:rsid w:val="000B67CA"/>
    <w:rsid w:val="000B7613"/>
    <w:rsid w:val="000B7671"/>
    <w:rsid w:val="000B77A4"/>
    <w:rsid w:val="000B7CFD"/>
    <w:rsid w:val="000C05A7"/>
    <w:rsid w:val="000C07E5"/>
    <w:rsid w:val="000C1119"/>
    <w:rsid w:val="000C141F"/>
    <w:rsid w:val="000C2AD7"/>
    <w:rsid w:val="000C2DC4"/>
    <w:rsid w:val="000C3322"/>
    <w:rsid w:val="000C3C08"/>
    <w:rsid w:val="000C3E1D"/>
    <w:rsid w:val="000C426B"/>
    <w:rsid w:val="000C4B58"/>
    <w:rsid w:val="000C4FDF"/>
    <w:rsid w:val="000C5407"/>
    <w:rsid w:val="000C5422"/>
    <w:rsid w:val="000C55FF"/>
    <w:rsid w:val="000C6140"/>
    <w:rsid w:val="000C67EB"/>
    <w:rsid w:val="000C723A"/>
    <w:rsid w:val="000C7251"/>
    <w:rsid w:val="000C73DF"/>
    <w:rsid w:val="000C777E"/>
    <w:rsid w:val="000C7F8A"/>
    <w:rsid w:val="000D00A0"/>
    <w:rsid w:val="000D0724"/>
    <w:rsid w:val="000D098A"/>
    <w:rsid w:val="000D0E97"/>
    <w:rsid w:val="000D1351"/>
    <w:rsid w:val="000D3496"/>
    <w:rsid w:val="000D3515"/>
    <w:rsid w:val="000D364B"/>
    <w:rsid w:val="000D3F2B"/>
    <w:rsid w:val="000D40B1"/>
    <w:rsid w:val="000D4901"/>
    <w:rsid w:val="000D495C"/>
    <w:rsid w:val="000D5307"/>
    <w:rsid w:val="000D53A0"/>
    <w:rsid w:val="000D59E1"/>
    <w:rsid w:val="000D612B"/>
    <w:rsid w:val="000D6A65"/>
    <w:rsid w:val="000D7720"/>
    <w:rsid w:val="000D7A5D"/>
    <w:rsid w:val="000E03B2"/>
    <w:rsid w:val="000E0C8F"/>
    <w:rsid w:val="000E10DF"/>
    <w:rsid w:val="000E1873"/>
    <w:rsid w:val="000E2102"/>
    <w:rsid w:val="000E2651"/>
    <w:rsid w:val="000E2AF6"/>
    <w:rsid w:val="000E319D"/>
    <w:rsid w:val="000E33C6"/>
    <w:rsid w:val="000E33F6"/>
    <w:rsid w:val="000E4381"/>
    <w:rsid w:val="000E4570"/>
    <w:rsid w:val="000E486D"/>
    <w:rsid w:val="000E761D"/>
    <w:rsid w:val="000E7AEE"/>
    <w:rsid w:val="000E7D14"/>
    <w:rsid w:val="000F00DB"/>
    <w:rsid w:val="000F04E9"/>
    <w:rsid w:val="000F084B"/>
    <w:rsid w:val="000F0897"/>
    <w:rsid w:val="000F154B"/>
    <w:rsid w:val="000F2194"/>
    <w:rsid w:val="000F28D0"/>
    <w:rsid w:val="000F2B35"/>
    <w:rsid w:val="000F30DF"/>
    <w:rsid w:val="000F3652"/>
    <w:rsid w:val="000F41A0"/>
    <w:rsid w:val="000F4234"/>
    <w:rsid w:val="000F5062"/>
    <w:rsid w:val="000F559A"/>
    <w:rsid w:val="000F57CD"/>
    <w:rsid w:val="000F58B2"/>
    <w:rsid w:val="000F5CC0"/>
    <w:rsid w:val="000F6C1F"/>
    <w:rsid w:val="000F6D0C"/>
    <w:rsid w:val="000F7327"/>
    <w:rsid w:val="000F7744"/>
    <w:rsid w:val="000F77F2"/>
    <w:rsid w:val="000F7F45"/>
    <w:rsid w:val="00100A8F"/>
    <w:rsid w:val="00100ACD"/>
    <w:rsid w:val="0010126E"/>
    <w:rsid w:val="001018FE"/>
    <w:rsid w:val="0010239A"/>
    <w:rsid w:val="0010307D"/>
    <w:rsid w:val="001030E7"/>
    <w:rsid w:val="001040AE"/>
    <w:rsid w:val="001044BB"/>
    <w:rsid w:val="001045EA"/>
    <w:rsid w:val="00104F95"/>
    <w:rsid w:val="0010540F"/>
    <w:rsid w:val="00105B6B"/>
    <w:rsid w:val="00105C51"/>
    <w:rsid w:val="00105D9A"/>
    <w:rsid w:val="00105E64"/>
    <w:rsid w:val="001062E1"/>
    <w:rsid w:val="001063A5"/>
    <w:rsid w:val="0010646F"/>
    <w:rsid w:val="00106649"/>
    <w:rsid w:val="00106CCB"/>
    <w:rsid w:val="00107018"/>
    <w:rsid w:val="0010757A"/>
    <w:rsid w:val="00107E3B"/>
    <w:rsid w:val="001101AE"/>
    <w:rsid w:val="00110221"/>
    <w:rsid w:val="00110BE6"/>
    <w:rsid w:val="00110C4C"/>
    <w:rsid w:val="001118E2"/>
    <w:rsid w:val="00111CA3"/>
    <w:rsid w:val="00112015"/>
    <w:rsid w:val="001128D3"/>
    <w:rsid w:val="001129A7"/>
    <w:rsid w:val="00112C50"/>
    <w:rsid w:val="00113107"/>
    <w:rsid w:val="00113324"/>
    <w:rsid w:val="0011395B"/>
    <w:rsid w:val="00113CE5"/>
    <w:rsid w:val="00113D4E"/>
    <w:rsid w:val="00114118"/>
    <w:rsid w:val="00114500"/>
    <w:rsid w:val="00115517"/>
    <w:rsid w:val="0011579A"/>
    <w:rsid w:val="00115953"/>
    <w:rsid w:val="00115F33"/>
    <w:rsid w:val="00116524"/>
    <w:rsid w:val="0011652F"/>
    <w:rsid w:val="0011667B"/>
    <w:rsid w:val="00116DDD"/>
    <w:rsid w:val="00117C69"/>
    <w:rsid w:val="00120C13"/>
    <w:rsid w:val="001222D5"/>
    <w:rsid w:val="0012256E"/>
    <w:rsid w:val="00122914"/>
    <w:rsid w:val="00122966"/>
    <w:rsid w:val="001229DF"/>
    <w:rsid w:val="00122B30"/>
    <w:rsid w:val="00122D45"/>
    <w:rsid w:val="0012326C"/>
    <w:rsid w:val="00123BF0"/>
    <w:rsid w:val="001240E8"/>
    <w:rsid w:val="001243C7"/>
    <w:rsid w:val="001245A4"/>
    <w:rsid w:val="00124D66"/>
    <w:rsid w:val="0012500B"/>
    <w:rsid w:val="0012582E"/>
    <w:rsid w:val="00125A2D"/>
    <w:rsid w:val="00125C74"/>
    <w:rsid w:val="00125FCB"/>
    <w:rsid w:val="0012648B"/>
    <w:rsid w:val="00126569"/>
    <w:rsid w:val="001267BD"/>
    <w:rsid w:val="00126FD1"/>
    <w:rsid w:val="001272CA"/>
    <w:rsid w:val="00127550"/>
    <w:rsid w:val="0012788E"/>
    <w:rsid w:val="001278AE"/>
    <w:rsid w:val="00127B32"/>
    <w:rsid w:val="0013017F"/>
    <w:rsid w:val="00130614"/>
    <w:rsid w:val="001309DE"/>
    <w:rsid w:val="00131588"/>
    <w:rsid w:val="001321DE"/>
    <w:rsid w:val="001322B2"/>
    <w:rsid w:val="00132D6D"/>
    <w:rsid w:val="001330F4"/>
    <w:rsid w:val="00133209"/>
    <w:rsid w:val="001334F7"/>
    <w:rsid w:val="0013399A"/>
    <w:rsid w:val="00134603"/>
    <w:rsid w:val="00134D40"/>
    <w:rsid w:val="00135F2D"/>
    <w:rsid w:val="00137521"/>
    <w:rsid w:val="00137C05"/>
    <w:rsid w:val="001401DB"/>
    <w:rsid w:val="0014029F"/>
    <w:rsid w:val="001403DB"/>
    <w:rsid w:val="001406BE"/>
    <w:rsid w:val="001408CA"/>
    <w:rsid w:val="00140946"/>
    <w:rsid w:val="00140ACC"/>
    <w:rsid w:val="00140EC0"/>
    <w:rsid w:val="001411FE"/>
    <w:rsid w:val="001414EB"/>
    <w:rsid w:val="00141563"/>
    <w:rsid w:val="00141EB7"/>
    <w:rsid w:val="0014243E"/>
    <w:rsid w:val="001426F3"/>
    <w:rsid w:val="001438BF"/>
    <w:rsid w:val="00143DA9"/>
    <w:rsid w:val="001442E0"/>
    <w:rsid w:val="00144CA9"/>
    <w:rsid w:val="00144F36"/>
    <w:rsid w:val="00144F78"/>
    <w:rsid w:val="0014591B"/>
    <w:rsid w:val="00146CC3"/>
    <w:rsid w:val="00146CF2"/>
    <w:rsid w:val="0015053A"/>
    <w:rsid w:val="0015092F"/>
    <w:rsid w:val="00151140"/>
    <w:rsid w:val="0015161F"/>
    <w:rsid w:val="001516EE"/>
    <w:rsid w:val="0015185C"/>
    <w:rsid w:val="0015307F"/>
    <w:rsid w:val="00154349"/>
    <w:rsid w:val="001543FC"/>
    <w:rsid w:val="00154EDB"/>
    <w:rsid w:val="00154FE6"/>
    <w:rsid w:val="0015509F"/>
    <w:rsid w:val="00155978"/>
    <w:rsid w:val="00155AEB"/>
    <w:rsid w:val="00156076"/>
    <w:rsid w:val="00156BEC"/>
    <w:rsid w:val="00156DDF"/>
    <w:rsid w:val="00157DD4"/>
    <w:rsid w:val="0016044B"/>
    <w:rsid w:val="00160462"/>
    <w:rsid w:val="00160805"/>
    <w:rsid w:val="00160809"/>
    <w:rsid w:val="00160C83"/>
    <w:rsid w:val="00160E2F"/>
    <w:rsid w:val="00160FAB"/>
    <w:rsid w:val="0016106D"/>
    <w:rsid w:val="001611F6"/>
    <w:rsid w:val="00161888"/>
    <w:rsid w:val="00161FD1"/>
    <w:rsid w:val="00162A6A"/>
    <w:rsid w:val="00162E33"/>
    <w:rsid w:val="00163CA4"/>
    <w:rsid w:val="00164ADE"/>
    <w:rsid w:val="00165580"/>
    <w:rsid w:val="00165757"/>
    <w:rsid w:val="00165B6A"/>
    <w:rsid w:val="00166308"/>
    <w:rsid w:val="00166701"/>
    <w:rsid w:val="00166BA5"/>
    <w:rsid w:val="00166DBA"/>
    <w:rsid w:val="001672E9"/>
    <w:rsid w:val="00167433"/>
    <w:rsid w:val="00167E10"/>
    <w:rsid w:val="00170B8C"/>
    <w:rsid w:val="00170BBE"/>
    <w:rsid w:val="001710E9"/>
    <w:rsid w:val="001710FB"/>
    <w:rsid w:val="0017186E"/>
    <w:rsid w:val="00171C1E"/>
    <w:rsid w:val="001728D4"/>
    <w:rsid w:val="00172FE9"/>
    <w:rsid w:val="0017353E"/>
    <w:rsid w:val="001736C3"/>
    <w:rsid w:val="00173A0E"/>
    <w:rsid w:val="00173A19"/>
    <w:rsid w:val="00173F3A"/>
    <w:rsid w:val="00174441"/>
    <w:rsid w:val="00174773"/>
    <w:rsid w:val="00174B29"/>
    <w:rsid w:val="00174DDB"/>
    <w:rsid w:val="00175211"/>
    <w:rsid w:val="001759EA"/>
    <w:rsid w:val="00175AC8"/>
    <w:rsid w:val="00176484"/>
    <w:rsid w:val="00176591"/>
    <w:rsid w:val="00176959"/>
    <w:rsid w:val="00176D0A"/>
    <w:rsid w:val="001770D4"/>
    <w:rsid w:val="0017752F"/>
    <w:rsid w:val="001776F7"/>
    <w:rsid w:val="00177BD5"/>
    <w:rsid w:val="00177DFE"/>
    <w:rsid w:val="0018135F"/>
    <w:rsid w:val="0018167A"/>
    <w:rsid w:val="00181984"/>
    <w:rsid w:val="0018220B"/>
    <w:rsid w:val="001822E9"/>
    <w:rsid w:val="001829E1"/>
    <w:rsid w:val="00182CD5"/>
    <w:rsid w:val="001830FB"/>
    <w:rsid w:val="001831CC"/>
    <w:rsid w:val="00183755"/>
    <w:rsid w:val="00183D4D"/>
    <w:rsid w:val="0018420E"/>
    <w:rsid w:val="00184BC6"/>
    <w:rsid w:val="001851DB"/>
    <w:rsid w:val="0018522C"/>
    <w:rsid w:val="00185312"/>
    <w:rsid w:val="00185AA3"/>
    <w:rsid w:val="0018662E"/>
    <w:rsid w:val="001877DE"/>
    <w:rsid w:val="00190C0D"/>
    <w:rsid w:val="00190C9E"/>
    <w:rsid w:val="00190CEC"/>
    <w:rsid w:val="00190F89"/>
    <w:rsid w:val="001911A2"/>
    <w:rsid w:val="0019139C"/>
    <w:rsid w:val="00191996"/>
    <w:rsid w:val="001919BA"/>
    <w:rsid w:val="0019208B"/>
    <w:rsid w:val="00192BF7"/>
    <w:rsid w:val="00192DC0"/>
    <w:rsid w:val="00194E86"/>
    <w:rsid w:val="001962EB"/>
    <w:rsid w:val="00196F30"/>
    <w:rsid w:val="00197552"/>
    <w:rsid w:val="00197C20"/>
    <w:rsid w:val="001A0715"/>
    <w:rsid w:val="001A0778"/>
    <w:rsid w:val="001A0B83"/>
    <w:rsid w:val="001A110F"/>
    <w:rsid w:val="001A1122"/>
    <w:rsid w:val="001A1537"/>
    <w:rsid w:val="001A18F2"/>
    <w:rsid w:val="001A1DAB"/>
    <w:rsid w:val="001A1DC4"/>
    <w:rsid w:val="001A1E84"/>
    <w:rsid w:val="001A1F9C"/>
    <w:rsid w:val="001A2B5E"/>
    <w:rsid w:val="001A33CC"/>
    <w:rsid w:val="001A4909"/>
    <w:rsid w:val="001A49B5"/>
    <w:rsid w:val="001A4C4E"/>
    <w:rsid w:val="001A5A26"/>
    <w:rsid w:val="001A5F32"/>
    <w:rsid w:val="001A63B3"/>
    <w:rsid w:val="001A6CA9"/>
    <w:rsid w:val="001A6D8E"/>
    <w:rsid w:val="001A6DDC"/>
    <w:rsid w:val="001A7453"/>
    <w:rsid w:val="001A7466"/>
    <w:rsid w:val="001A7976"/>
    <w:rsid w:val="001B013F"/>
    <w:rsid w:val="001B0B32"/>
    <w:rsid w:val="001B11C4"/>
    <w:rsid w:val="001B14A9"/>
    <w:rsid w:val="001B17F4"/>
    <w:rsid w:val="001B1E82"/>
    <w:rsid w:val="001B2FB5"/>
    <w:rsid w:val="001B367F"/>
    <w:rsid w:val="001B36D3"/>
    <w:rsid w:val="001B3CC3"/>
    <w:rsid w:val="001B4984"/>
    <w:rsid w:val="001B4A75"/>
    <w:rsid w:val="001B4BBF"/>
    <w:rsid w:val="001B519C"/>
    <w:rsid w:val="001B59AA"/>
    <w:rsid w:val="001B67B6"/>
    <w:rsid w:val="001B6DAB"/>
    <w:rsid w:val="001B709E"/>
    <w:rsid w:val="001C0D95"/>
    <w:rsid w:val="001C10D3"/>
    <w:rsid w:val="001C15CF"/>
    <w:rsid w:val="001C1679"/>
    <w:rsid w:val="001C1997"/>
    <w:rsid w:val="001C1ACE"/>
    <w:rsid w:val="001C2714"/>
    <w:rsid w:val="001C345D"/>
    <w:rsid w:val="001C3C36"/>
    <w:rsid w:val="001C3C5F"/>
    <w:rsid w:val="001C3D9C"/>
    <w:rsid w:val="001C3E10"/>
    <w:rsid w:val="001C438D"/>
    <w:rsid w:val="001C4A33"/>
    <w:rsid w:val="001C55DA"/>
    <w:rsid w:val="001C570A"/>
    <w:rsid w:val="001C5A44"/>
    <w:rsid w:val="001C662B"/>
    <w:rsid w:val="001C7791"/>
    <w:rsid w:val="001D012E"/>
    <w:rsid w:val="001D0DA8"/>
    <w:rsid w:val="001D15AB"/>
    <w:rsid w:val="001D1DD7"/>
    <w:rsid w:val="001D2266"/>
    <w:rsid w:val="001D249C"/>
    <w:rsid w:val="001D28CA"/>
    <w:rsid w:val="001D2EC3"/>
    <w:rsid w:val="001D2ED2"/>
    <w:rsid w:val="001D34EB"/>
    <w:rsid w:val="001D3B09"/>
    <w:rsid w:val="001D44A4"/>
    <w:rsid w:val="001D471F"/>
    <w:rsid w:val="001D4748"/>
    <w:rsid w:val="001D4F8E"/>
    <w:rsid w:val="001D51EC"/>
    <w:rsid w:val="001D5524"/>
    <w:rsid w:val="001D59CF"/>
    <w:rsid w:val="001D6138"/>
    <w:rsid w:val="001D614E"/>
    <w:rsid w:val="001D6451"/>
    <w:rsid w:val="001D6502"/>
    <w:rsid w:val="001D66D7"/>
    <w:rsid w:val="001D6BD4"/>
    <w:rsid w:val="001D7017"/>
    <w:rsid w:val="001D70A6"/>
    <w:rsid w:val="001D73F8"/>
    <w:rsid w:val="001D7533"/>
    <w:rsid w:val="001D7755"/>
    <w:rsid w:val="001D77C5"/>
    <w:rsid w:val="001D79CD"/>
    <w:rsid w:val="001E0955"/>
    <w:rsid w:val="001E0C08"/>
    <w:rsid w:val="001E15CE"/>
    <w:rsid w:val="001E1DFA"/>
    <w:rsid w:val="001E1EAA"/>
    <w:rsid w:val="001E25DA"/>
    <w:rsid w:val="001E26D4"/>
    <w:rsid w:val="001E286F"/>
    <w:rsid w:val="001E3865"/>
    <w:rsid w:val="001E3C54"/>
    <w:rsid w:val="001E4B4E"/>
    <w:rsid w:val="001E50B2"/>
    <w:rsid w:val="001E52B5"/>
    <w:rsid w:val="001E532D"/>
    <w:rsid w:val="001E5515"/>
    <w:rsid w:val="001E6F31"/>
    <w:rsid w:val="001E7ABB"/>
    <w:rsid w:val="001E7DD3"/>
    <w:rsid w:val="001E7E87"/>
    <w:rsid w:val="001E7EE1"/>
    <w:rsid w:val="001F14DA"/>
    <w:rsid w:val="001F16C0"/>
    <w:rsid w:val="001F16E2"/>
    <w:rsid w:val="001F334E"/>
    <w:rsid w:val="001F37E9"/>
    <w:rsid w:val="001F3947"/>
    <w:rsid w:val="001F40D6"/>
    <w:rsid w:val="001F4614"/>
    <w:rsid w:val="001F4F6B"/>
    <w:rsid w:val="001F55CC"/>
    <w:rsid w:val="001F6240"/>
    <w:rsid w:val="001F6630"/>
    <w:rsid w:val="001F6FAF"/>
    <w:rsid w:val="001F7C6A"/>
    <w:rsid w:val="001F7F29"/>
    <w:rsid w:val="0020044D"/>
    <w:rsid w:val="00200E0C"/>
    <w:rsid w:val="00200F43"/>
    <w:rsid w:val="0020176B"/>
    <w:rsid w:val="002017C4"/>
    <w:rsid w:val="00201DB5"/>
    <w:rsid w:val="0020204D"/>
    <w:rsid w:val="00202391"/>
    <w:rsid w:val="002023F4"/>
    <w:rsid w:val="00203035"/>
    <w:rsid w:val="00203E66"/>
    <w:rsid w:val="00204F33"/>
    <w:rsid w:val="00205D91"/>
    <w:rsid w:val="0020615D"/>
    <w:rsid w:val="00206429"/>
    <w:rsid w:val="00206681"/>
    <w:rsid w:val="002066C7"/>
    <w:rsid w:val="002071FE"/>
    <w:rsid w:val="00207D6F"/>
    <w:rsid w:val="002106EE"/>
    <w:rsid w:val="0021079D"/>
    <w:rsid w:val="002109F7"/>
    <w:rsid w:val="00210CBC"/>
    <w:rsid w:val="00212142"/>
    <w:rsid w:val="0021268F"/>
    <w:rsid w:val="00212E0E"/>
    <w:rsid w:val="00213B0E"/>
    <w:rsid w:val="0021425B"/>
    <w:rsid w:val="002145CD"/>
    <w:rsid w:val="00214DCB"/>
    <w:rsid w:val="00214EBF"/>
    <w:rsid w:val="00215905"/>
    <w:rsid w:val="002159C1"/>
    <w:rsid w:val="00216A2B"/>
    <w:rsid w:val="0021713A"/>
    <w:rsid w:val="00217351"/>
    <w:rsid w:val="00217F5B"/>
    <w:rsid w:val="002201E4"/>
    <w:rsid w:val="00220896"/>
    <w:rsid w:val="002209D5"/>
    <w:rsid w:val="00221FAF"/>
    <w:rsid w:val="002220D1"/>
    <w:rsid w:val="0022281C"/>
    <w:rsid w:val="00223C7D"/>
    <w:rsid w:val="00223E16"/>
    <w:rsid w:val="00224575"/>
    <w:rsid w:val="00224618"/>
    <w:rsid w:val="0022463A"/>
    <w:rsid w:val="002247E2"/>
    <w:rsid w:val="002247E3"/>
    <w:rsid w:val="00224979"/>
    <w:rsid w:val="00224B62"/>
    <w:rsid w:val="00225F11"/>
    <w:rsid w:val="00226254"/>
    <w:rsid w:val="00226698"/>
    <w:rsid w:val="0022700A"/>
    <w:rsid w:val="00227505"/>
    <w:rsid w:val="0023043B"/>
    <w:rsid w:val="00231283"/>
    <w:rsid w:val="0023165E"/>
    <w:rsid w:val="00231901"/>
    <w:rsid w:val="00231A53"/>
    <w:rsid w:val="00231B28"/>
    <w:rsid w:val="00231EBF"/>
    <w:rsid w:val="00232AF6"/>
    <w:rsid w:val="00232B0B"/>
    <w:rsid w:val="00232E09"/>
    <w:rsid w:val="0023311E"/>
    <w:rsid w:val="002335A6"/>
    <w:rsid w:val="002335D7"/>
    <w:rsid w:val="00233DBD"/>
    <w:rsid w:val="002348B0"/>
    <w:rsid w:val="0023584B"/>
    <w:rsid w:val="00235E2B"/>
    <w:rsid w:val="002360FC"/>
    <w:rsid w:val="0023676F"/>
    <w:rsid w:val="00236D2E"/>
    <w:rsid w:val="00236E8C"/>
    <w:rsid w:val="00236F0B"/>
    <w:rsid w:val="00240A91"/>
    <w:rsid w:val="00240AAD"/>
    <w:rsid w:val="00242364"/>
    <w:rsid w:val="0024290C"/>
    <w:rsid w:val="00242B28"/>
    <w:rsid w:val="00243257"/>
    <w:rsid w:val="002436D2"/>
    <w:rsid w:val="0024448B"/>
    <w:rsid w:val="002449BE"/>
    <w:rsid w:val="00244E50"/>
    <w:rsid w:val="00245993"/>
    <w:rsid w:val="00246A3E"/>
    <w:rsid w:val="00246F8A"/>
    <w:rsid w:val="00247ACA"/>
    <w:rsid w:val="00247D52"/>
    <w:rsid w:val="00250173"/>
    <w:rsid w:val="00250306"/>
    <w:rsid w:val="00250654"/>
    <w:rsid w:val="00250C9C"/>
    <w:rsid w:val="00250F33"/>
    <w:rsid w:val="00251046"/>
    <w:rsid w:val="002514EA"/>
    <w:rsid w:val="00251DEA"/>
    <w:rsid w:val="00252125"/>
    <w:rsid w:val="00252556"/>
    <w:rsid w:val="00252647"/>
    <w:rsid w:val="00252FD4"/>
    <w:rsid w:val="00253473"/>
    <w:rsid w:val="002534C8"/>
    <w:rsid w:val="00253A19"/>
    <w:rsid w:val="002547C0"/>
    <w:rsid w:val="00255262"/>
    <w:rsid w:val="00256578"/>
    <w:rsid w:val="0025658C"/>
    <w:rsid w:val="00256F43"/>
    <w:rsid w:val="002604A1"/>
    <w:rsid w:val="00260801"/>
    <w:rsid w:val="00260B09"/>
    <w:rsid w:val="00261276"/>
    <w:rsid w:val="00261371"/>
    <w:rsid w:val="002615F1"/>
    <w:rsid w:val="00261F5E"/>
    <w:rsid w:val="002623C9"/>
    <w:rsid w:val="00262A2D"/>
    <w:rsid w:val="00262FAC"/>
    <w:rsid w:val="00263255"/>
    <w:rsid w:val="002634AF"/>
    <w:rsid w:val="00263906"/>
    <w:rsid w:val="002641C2"/>
    <w:rsid w:val="002642A5"/>
    <w:rsid w:val="0026434E"/>
    <w:rsid w:val="00264B5C"/>
    <w:rsid w:val="0026583F"/>
    <w:rsid w:val="00265B98"/>
    <w:rsid w:val="00265D37"/>
    <w:rsid w:val="00265D84"/>
    <w:rsid w:val="00267094"/>
    <w:rsid w:val="00267B95"/>
    <w:rsid w:val="00270967"/>
    <w:rsid w:val="00270B65"/>
    <w:rsid w:val="00270DE5"/>
    <w:rsid w:val="00270FF8"/>
    <w:rsid w:val="0027104F"/>
    <w:rsid w:val="0027189F"/>
    <w:rsid w:val="002722A9"/>
    <w:rsid w:val="002724D7"/>
    <w:rsid w:val="0027363F"/>
    <w:rsid w:val="002739B3"/>
    <w:rsid w:val="002741D7"/>
    <w:rsid w:val="00274C3F"/>
    <w:rsid w:val="00274E99"/>
    <w:rsid w:val="00274F57"/>
    <w:rsid w:val="002751D8"/>
    <w:rsid w:val="00275306"/>
    <w:rsid w:val="002756CB"/>
    <w:rsid w:val="00275856"/>
    <w:rsid w:val="00275A7C"/>
    <w:rsid w:val="00275AC5"/>
    <w:rsid w:val="00275E7A"/>
    <w:rsid w:val="002767E7"/>
    <w:rsid w:val="00277130"/>
    <w:rsid w:val="0027724A"/>
    <w:rsid w:val="0027724C"/>
    <w:rsid w:val="002774B6"/>
    <w:rsid w:val="00277579"/>
    <w:rsid w:val="00277712"/>
    <w:rsid w:val="00277B73"/>
    <w:rsid w:val="00277E20"/>
    <w:rsid w:val="00277EC9"/>
    <w:rsid w:val="002802EC"/>
    <w:rsid w:val="002805CC"/>
    <w:rsid w:val="002806E0"/>
    <w:rsid w:val="00280829"/>
    <w:rsid w:val="00281339"/>
    <w:rsid w:val="00281364"/>
    <w:rsid w:val="00282368"/>
    <w:rsid w:val="0028331F"/>
    <w:rsid w:val="00283423"/>
    <w:rsid w:val="002836BF"/>
    <w:rsid w:val="00283753"/>
    <w:rsid w:val="002837BB"/>
    <w:rsid w:val="00283FD0"/>
    <w:rsid w:val="00284F3F"/>
    <w:rsid w:val="00285BD5"/>
    <w:rsid w:val="00286759"/>
    <w:rsid w:val="00286933"/>
    <w:rsid w:val="00286D4C"/>
    <w:rsid w:val="00287E9E"/>
    <w:rsid w:val="00287F9A"/>
    <w:rsid w:val="00287FEF"/>
    <w:rsid w:val="00290388"/>
    <w:rsid w:val="00290596"/>
    <w:rsid w:val="00290A1D"/>
    <w:rsid w:val="002910A1"/>
    <w:rsid w:val="002913A5"/>
    <w:rsid w:val="002917A8"/>
    <w:rsid w:val="00291A9C"/>
    <w:rsid w:val="00291B1B"/>
    <w:rsid w:val="00291B3C"/>
    <w:rsid w:val="00291E72"/>
    <w:rsid w:val="00291E79"/>
    <w:rsid w:val="002920CD"/>
    <w:rsid w:val="002925E1"/>
    <w:rsid w:val="0029376D"/>
    <w:rsid w:val="00293979"/>
    <w:rsid w:val="00293A36"/>
    <w:rsid w:val="002945B5"/>
    <w:rsid w:val="00294AD5"/>
    <w:rsid w:val="002966B8"/>
    <w:rsid w:val="00296990"/>
    <w:rsid w:val="00296D9C"/>
    <w:rsid w:val="002972C4"/>
    <w:rsid w:val="002979C8"/>
    <w:rsid w:val="00297C01"/>
    <w:rsid w:val="00297D1B"/>
    <w:rsid w:val="00297EDD"/>
    <w:rsid w:val="002A023C"/>
    <w:rsid w:val="002A0E9C"/>
    <w:rsid w:val="002A0EC1"/>
    <w:rsid w:val="002A128F"/>
    <w:rsid w:val="002A166A"/>
    <w:rsid w:val="002A16A8"/>
    <w:rsid w:val="002A191E"/>
    <w:rsid w:val="002A1AC8"/>
    <w:rsid w:val="002A1B8E"/>
    <w:rsid w:val="002A1BC8"/>
    <w:rsid w:val="002A1F57"/>
    <w:rsid w:val="002A211C"/>
    <w:rsid w:val="002A2DB7"/>
    <w:rsid w:val="002A424E"/>
    <w:rsid w:val="002A42A2"/>
    <w:rsid w:val="002A44D5"/>
    <w:rsid w:val="002A4522"/>
    <w:rsid w:val="002A4D19"/>
    <w:rsid w:val="002A5EC8"/>
    <w:rsid w:val="002A697C"/>
    <w:rsid w:val="002A6DAC"/>
    <w:rsid w:val="002A7708"/>
    <w:rsid w:val="002B06F7"/>
    <w:rsid w:val="002B1177"/>
    <w:rsid w:val="002B1321"/>
    <w:rsid w:val="002B14A8"/>
    <w:rsid w:val="002B152F"/>
    <w:rsid w:val="002B17E5"/>
    <w:rsid w:val="002B264F"/>
    <w:rsid w:val="002B2D1E"/>
    <w:rsid w:val="002B38F8"/>
    <w:rsid w:val="002B5D79"/>
    <w:rsid w:val="002B5EA3"/>
    <w:rsid w:val="002B61BF"/>
    <w:rsid w:val="002B6213"/>
    <w:rsid w:val="002B64F0"/>
    <w:rsid w:val="002B65BC"/>
    <w:rsid w:val="002B68D9"/>
    <w:rsid w:val="002B6CC4"/>
    <w:rsid w:val="002B78F6"/>
    <w:rsid w:val="002B7A85"/>
    <w:rsid w:val="002B7CC7"/>
    <w:rsid w:val="002C0754"/>
    <w:rsid w:val="002C0CE6"/>
    <w:rsid w:val="002C13DC"/>
    <w:rsid w:val="002C150A"/>
    <w:rsid w:val="002C1523"/>
    <w:rsid w:val="002C17EE"/>
    <w:rsid w:val="002C21BE"/>
    <w:rsid w:val="002C24AD"/>
    <w:rsid w:val="002C26AD"/>
    <w:rsid w:val="002C34B7"/>
    <w:rsid w:val="002C35BB"/>
    <w:rsid w:val="002C3DD6"/>
    <w:rsid w:val="002C405B"/>
    <w:rsid w:val="002C46C4"/>
    <w:rsid w:val="002C4D83"/>
    <w:rsid w:val="002C4FDA"/>
    <w:rsid w:val="002C5031"/>
    <w:rsid w:val="002C5D5E"/>
    <w:rsid w:val="002C5E24"/>
    <w:rsid w:val="002C5E9B"/>
    <w:rsid w:val="002C62A4"/>
    <w:rsid w:val="002C63EB"/>
    <w:rsid w:val="002C6C9B"/>
    <w:rsid w:val="002C6D99"/>
    <w:rsid w:val="002C72AF"/>
    <w:rsid w:val="002C7AFD"/>
    <w:rsid w:val="002C7D81"/>
    <w:rsid w:val="002C7E54"/>
    <w:rsid w:val="002D0062"/>
    <w:rsid w:val="002D0202"/>
    <w:rsid w:val="002D18BB"/>
    <w:rsid w:val="002D2212"/>
    <w:rsid w:val="002D35B4"/>
    <w:rsid w:val="002D38F1"/>
    <w:rsid w:val="002D3C57"/>
    <w:rsid w:val="002D3CE3"/>
    <w:rsid w:val="002D3E52"/>
    <w:rsid w:val="002D4E6F"/>
    <w:rsid w:val="002D519F"/>
    <w:rsid w:val="002D52DD"/>
    <w:rsid w:val="002D533C"/>
    <w:rsid w:val="002D62AC"/>
    <w:rsid w:val="002D7031"/>
    <w:rsid w:val="002D716C"/>
    <w:rsid w:val="002D72A9"/>
    <w:rsid w:val="002D7AA1"/>
    <w:rsid w:val="002D7C83"/>
    <w:rsid w:val="002D7D9F"/>
    <w:rsid w:val="002D7FF1"/>
    <w:rsid w:val="002E03E6"/>
    <w:rsid w:val="002E0A8B"/>
    <w:rsid w:val="002E0DE8"/>
    <w:rsid w:val="002E0F14"/>
    <w:rsid w:val="002E138E"/>
    <w:rsid w:val="002E1B44"/>
    <w:rsid w:val="002E3135"/>
    <w:rsid w:val="002E31C7"/>
    <w:rsid w:val="002E32B6"/>
    <w:rsid w:val="002E3EC7"/>
    <w:rsid w:val="002E4564"/>
    <w:rsid w:val="002E46B8"/>
    <w:rsid w:val="002E48BF"/>
    <w:rsid w:val="002E52AB"/>
    <w:rsid w:val="002E57C4"/>
    <w:rsid w:val="002E5D94"/>
    <w:rsid w:val="002E6532"/>
    <w:rsid w:val="002E76CF"/>
    <w:rsid w:val="002E7738"/>
    <w:rsid w:val="002E7974"/>
    <w:rsid w:val="002E7ACE"/>
    <w:rsid w:val="002E7D12"/>
    <w:rsid w:val="002F0AF3"/>
    <w:rsid w:val="002F1846"/>
    <w:rsid w:val="002F18A9"/>
    <w:rsid w:val="002F1CE6"/>
    <w:rsid w:val="002F2212"/>
    <w:rsid w:val="002F2251"/>
    <w:rsid w:val="002F23E5"/>
    <w:rsid w:val="002F25A4"/>
    <w:rsid w:val="002F3342"/>
    <w:rsid w:val="002F3BA3"/>
    <w:rsid w:val="002F3D03"/>
    <w:rsid w:val="002F3D29"/>
    <w:rsid w:val="002F410D"/>
    <w:rsid w:val="002F450F"/>
    <w:rsid w:val="002F5A08"/>
    <w:rsid w:val="002F5C77"/>
    <w:rsid w:val="002F5F3F"/>
    <w:rsid w:val="002F606F"/>
    <w:rsid w:val="002F62E2"/>
    <w:rsid w:val="002F649A"/>
    <w:rsid w:val="002F6547"/>
    <w:rsid w:val="002F68E5"/>
    <w:rsid w:val="002F691C"/>
    <w:rsid w:val="002F6A3B"/>
    <w:rsid w:val="002F7004"/>
    <w:rsid w:val="002F77FE"/>
    <w:rsid w:val="0030041E"/>
    <w:rsid w:val="00300567"/>
    <w:rsid w:val="0030073E"/>
    <w:rsid w:val="00300799"/>
    <w:rsid w:val="00300DF7"/>
    <w:rsid w:val="00300F7F"/>
    <w:rsid w:val="00301295"/>
    <w:rsid w:val="00301650"/>
    <w:rsid w:val="003017B2"/>
    <w:rsid w:val="003019F6"/>
    <w:rsid w:val="00302300"/>
    <w:rsid w:val="003025C3"/>
    <w:rsid w:val="00302D13"/>
    <w:rsid w:val="00302F45"/>
    <w:rsid w:val="003031CC"/>
    <w:rsid w:val="003033AA"/>
    <w:rsid w:val="00303955"/>
    <w:rsid w:val="00304096"/>
    <w:rsid w:val="00304152"/>
    <w:rsid w:val="0030535A"/>
    <w:rsid w:val="00305443"/>
    <w:rsid w:val="00305E66"/>
    <w:rsid w:val="00306616"/>
    <w:rsid w:val="003066B4"/>
    <w:rsid w:val="00306A52"/>
    <w:rsid w:val="00307AAE"/>
    <w:rsid w:val="0031115A"/>
    <w:rsid w:val="00311499"/>
    <w:rsid w:val="003116B7"/>
    <w:rsid w:val="003118D8"/>
    <w:rsid w:val="003123CA"/>
    <w:rsid w:val="00312553"/>
    <w:rsid w:val="003132AC"/>
    <w:rsid w:val="00313DC9"/>
    <w:rsid w:val="00314EF8"/>
    <w:rsid w:val="00315F04"/>
    <w:rsid w:val="00316A63"/>
    <w:rsid w:val="00316AB2"/>
    <w:rsid w:val="00316BA1"/>
    <w:rsid w:val="003170BC"/>
    <w:rsid w:val="003174D2"/>
    <w:rsid w:val="00317515"/>
    <w:rsid w:val="00317692"/>
    <w:rsid w:val="00317E7A"/>
    <w:rsid w:val="00320241"/>
    <w:rsid w:val="003207D8"/>
    <w:rsid w:val="00320988"/>
    <w:rsid w:val="00320D90"/>
    <w:rsid w:val="00320DF3"/>
    <w:rsid w:val="00321797"/>
    <w:rsid w:val="00321AF6"/>
    <w:rsid w:val="00321CF5"/>
    <w:rsid w:val="00321ED0"/>
    <w:rsid w:val="003225DD"/>
    <w:rsid w:val="00322E15"/>
    <w:rsid w:val="003230EF"/>
    <w:rsid w:val="003235B5"/>
    <w:rsid w:val="00323AB5"/>
    <w:rsid w:val="00324523"/>
    <w:rsid w:val="003247E3"/>
    <w:rsid w:val="00324CD9"/>
    <w:rsid w:val="003259BC"/>
    <w:rsid w:val="00325BC5"/>
    <w:rsid w:val="0032623A"/>
    <w:rsid w:val="003267DC"/>
    <w:rsid w:val="00326F4D"/>
    <w:rsid w:val="00327ED8"/>
    <w:rsid w:val="00330A1A"/>
    <w:rsid w:val="00330F4A"/>
    <w:rsid w:val="00331296"/>
    <w:rsid w:val="00331A33"/>
    <w:rsid w:val="00331E53"/>
    <w:rsid w:val="0033264D"/>
    <w:rsid w:val="00333559"/>
    <w:rsid w:val="003335AA"/>
    <w:rsid w:val="00334006"/>
    <w:rsid w:val="003344AC"/>
    <w:rsid w:val="0033475D"/>
    <w:rsid w:val="00334C04"/>
    <w:rsid w:val="00335043"/>
    <w:rsid w:val="003357C0"/>
    <w:rsid w:val="003365EE"/>
    <w:rsid w:val="00336B3A"/>
    <w:rsid w:val="00336D78"/>
    <w:rsid w:val="003371DD"/>
    <w:rsid w:val="00340183"/>
    <w:rsid w:val="00340375"/>
    <w:rsid w:val="003408FA"/>
    <w:rsid w:val="003412FB"/>
    <w:rsid w:val="0034141A"/>
    <w:rsid w:val="003420FF"/>
    <w:rsid w:val="003429BC"/>
    <w:rsid w:val="003429FC"/>
    <w:rsid w:val="00342D5C"/>
    <w:rsid w:val="00343343"/>
    <w:rsid w:val="00344DED"/>
    <w:rsid w:val="00345482"/>
    <w:rsid w:val="00346A8C"/>
    <w:rsid w:val="00346A9D"/>
    <w:rsid w:val="00346BFC"/>
    <w:rsid w:val="00346D0D"/>
    <w:rsid w:val="00347E17"/>
    <w:rsid w:val="00350238"/>
    <w:rsid w:val="00350C91"/>
    <w:rsid w:val="003519A2"/>
    <w:rsid w:val="003519D9"/>
    <w:rsid w:val="00351D56"/>
    <w:rsid w:val="0035224F"/>
    <w:rsid w:val="003528B5"/>
    <w:rsid w:val="00352F2A"/>
    <w:rsid w:val="003533B2"/>
    <w:rsid w:val="00353EEC"/>
    <w:rsid w:val="00353EFE"/>
    <w:rsid w:val="003540AD"/>
    <w:rsid w:val="00354B22"/>
    <w:rsid w:val="00355F89"/>
    <w:rsid w:val="00356A6E"/>
    <w:rsid w:val="00356AAB"/>
    <w:rsid w:val="00356CA4"/>
    <w:rsid w:val="00356FCD"/>
    <w:rsid w:val="003600D4"/>
    <w:rsid w:val="003603E7"/>
    <w:rsid w:val="00361050"/>
    <w:rsid w:val="003610D4"/>
    <w:rsid w:val="00363A05"/>
    <w:rsid w:val="00364077"/>
    <w:rsid w:val="003643B3"/>
    <w:rsid w:val="003646FC"/>
    <w:rsid w:val="00364A30"/>
    <w:rsid w:val="00364CC7"/>
    <w:rsid w:val="00364EE4"/>
    <w:rsid w:val="00365198"/>
    <w:rsid w:val="00365233"/>
    <w:rsid w:val="003652A2"/>
    <w:rsid w:val="00365CDB"/>
    <w:rsid w:val="00365EC3"/>
    <w:rsid w:val="00366BA9"/>
    <w:rsid w:val="00370DFF"/>
    <w:rsid w:val="00370E58"/>
    <w:rsid w:val="00370EFD"/>
    <w:rsid w:val="00371083"/>
    <w:rsid w:val="003717E4"/>
    <w:rsid w:val="003723EA"/>
    <w:rsid w:val="00372C98"/>
    <w:rsid w:val="0037339C"/>
    <w:rsid w:val="0037363A"/>
    <w:rsid w:val="00373B88"/>
    <w:rsid w:val="00373CAD"/>
    <w:rsid w:val="00373F62"/>
    <w:rsid w:val="0037403E"/>
    <w:rsid w:val="0037478D"/>
    <w:rsid w:val="00376195"/>
    <w:rsid w:val="003763A8"/>
    <w:rsid w:val="00376C46"/>
    <w:rsid w:val="00376FE2"/>
    <w:rsid w:val="00380A7D"/>
    <w:rsid w:val="0038117B"/>
    <w:rsid w:val="003813BD"/>
    <w:rsid w:val="003822B4"/>
    <w:rsid w:val="0038256F"/>
    <w:rsid w:val="003827A1"/>
    <w:rsid w:val="00382C8C"/>
    <w:rsid w:val="00383598"/>
    <w:rsid w:val="00384465"/>
    <w:rsid w:val="00385A69"/>
    <w:rsid w:val="00386390"/>
    <w:rsid w:val="00386A5F"/>
    <w:rsid w:val="00386E9D"/>
    <w:rsid w:val="0038723E"/>
    <w:rsid w:val="003878AA"/>
    <w:rsid w:val="003879FD"/>
    <w:rsid w:val="00387DA2"/>
    <w:rsid w:val="00390EC1"/>
    <w:rsid w:val="00390FA1"/>
    <w:rsid w:val="003918AB"/>
    <w:rsid w:val="00391C78"/>
    <w:rsid w:val="00391D00"/>
    <w:rsid w:val="00391D9A"/>
    <w:rsid w:val="00391E04"/>
    <w:rsid w:val="0039225A"/>
    <w:rsid w:val="00392AF7"/>
    <w:rsid w:val="00393547"/>
    <w:rsid w:val="00393576"/>
    <w:rsid w:val="00393DE2"/>
    <w:rsid w:val="00393E20"/>
    <w:rsid w:val="00393E7F"/>
    <w:rsid w:val="00393EAD"/>
    <w:rsid w:val="0039400D"/>
    <w:rsid w:val="003944A7"/>
    <w:rsid w:val="003946C5"/>
    <w:rsid w:val="00394F58"/>
    <w:rsid w:val="00395125"/>
    <w:rsid w:val="00395550"/>
    <w:rsid w:val="00395D42"/>
    <w:rsid w:val="00395D97"/>
    <w:rsid w:val="00395F78"/>
    <w:rsid w:val="00396817"/>
    <w:rsid w:val="003973A7"/>
    <w:rsid w:val="00397F42"/>
    <w:rsid w:val="003A00B8"/>
    <w:rsid w:val="003A01E1"/>
    <w:rsid w:val="003A0390"/>
    <w:rsid w:val="003A09A6"/>
    <w:rsid w:val="003A1744"/>
    <w:rsid w:val="003A2B06"/>
    <w:rsid w:val="003A4287"/>
    <w:rsid w:val="003A47AD"/>
    <w:rsid w:val="003A47B0"/>
    <w:rsid w:val="003A4BB2"/>
    <w:rsid w:val="003A5186"/>
    <w:rsid w:val="003A5C31"/>
    <w:rsid w:val="003A5D5C"/>
    <w:rsid w:val="003A67A5"/>
    <w:rsid w:val="003A6AE1"/>
    <w:rsid w:val="003A7D16"/>
    <w:rsid w:val="003B03BF"/>
    <w:rsid w:val="003B0BA2"/>
    <w:rsid w:val="003B0F83"/>
    <w:rsid w:val="003B2087"/>
    <w:rsid w:val="003B237D"/>
    <w:rsid w:val="003B2695"/>
    <w:rsid w:val="003B2733"/>
    <w:rsid w:val="003B45A8"/>
    <w:rsid w:val="003B4F45"/>
    <w:rsid w:val="003B54FC"/>
    <w:rsid w:val="003B573F"/>
    <w:rsid w:val="003B5FEB"/>
    <w:rsid w:val="003B64ED"/>
    <w:rsid w:val="003B6E74"/>
    <w:rsid w:val="003C0F5F"/>
    <w:rsid w:val="003C12BF"/>
    <w:rsid w:val="003C12F9"/>
    <w:rsid w:val="003C1934"/>
    <w:rsid w:val="003C29B8"/>
    <w:rsid w:val="003C2A76"/>
    <w:rsid w:val="003C2BC0"/>
    <w:rsid w:val="003C336F"/>
    <w:rsid w:val="003C3BB8"/>
    <w:rsid w:val="003C4243"/>
    <w:rsid w:val="003C4FE7"/>
    <w:rsid w:val="003C539D"/>
    <w:rsid w:val="003C61D0"/>
    <w:rsid w:val="003C66BB"/>
    <w:rsid w:val="003C686A"/>
    <w:rsid w:val="003C6DCE"/>
    <w:rsid w:val="003C6E2C"/>
    <w:rsid w:val="003C71B2"/>
    <w:rsid w:val="003C7407"/>
    <w:rsid w:val="003C7B39"/>
    <w:rsid w:val="003D02E1"/>
    <w:rsid w:val="003D0684"/>
    <w:rsid w:val="003D077B"/>
    <w:rsid w:val="003D0785"/>
    <w:rsid w:val="003D1016"/>
    <w:rsid w:val="003D128F"/>
    <w:rsid w:val="003D12A6"/>
    <w:rsid w:val="003D1B96"/>
    <w:rsid w:val="003D1DEB"/>
    <w:rsid w:val="003D24A8"/>
    <w:rsid w:val="003D2793"/>
    <w:rsid w:val="003D27B4"/>
    <w:rsid w:val="003D2F24"/>
    <w:rsid w:val="003D2F50"/>
    <w:rsid w:val="003D3581"/>
    <w:rsid w:val="003D3717"/>
    <w:rsid w:val="003D3939"/>
    <w:rsid w:val="003D39DE"/>
    <w:rsid w:val="003D3BC2"/>
    <w:rsid w:val="003D41CC"/>
    <w:rsid w:val="003D438F"/>
    <w:rsid w:val="003D493E"/>
    <w:rsid w:val="003D4941"/>
    <w:rsid w:val="003D4CC7"/>
    <w:rsid w:val="003D5335"/>
    <w:rsid w:val="003D5367"/>
    <w:rsid w:val="003D5F42"/>
    <w:rsid w:val="003D694F"/>
    <w:rsid w:val="003D6D1C"/>
    <w:rsid w:val="003D7207"/>
    <w:rsid w:val="003D7F40"/>
    <w:rsid w:val="003D7F59"/>
    <w:rsid w:val="003D7F5F"/>
    <w:rsid w:val="003E0371"/>
    <w:rsid w:val="003E070A"/>
    <w:rsid w:val="003E0B9D"/>
    <w:rsid w:val="003E130F"/>
    <w:rsid w:val="003E16A5"/>
    <w:rsid w:val="003E1F4D"/>
    <w:rsid w:val="003E2ECA"/>
    <w:rsid w:val="003E45C0"/>
    <w:rsid w:val="003E4922"/>
    <w:rsid w:val="003E4C57"/>
    <w:rsid w:val="003E4E86"/>
    <w:rsid w:val="003E522D"/>
    <w:rsid w:val="003E58F1"/>
    <w:rsid w:val="003E5E0A"/>
    <w:rsid w:val="003E5FE9"/>
    <w:rsid w:val="003E6450"/>
    <w:rsid w:val="003E64D8"/>
    <w:rsid w:val="003E6839"/>
    <w:rsid w:val="003E72BA"/>
    <w:rsid w:val="003E7A84"/>
    <w:rsid w:val="003F026F"/>
    <w:rsid w:val="003F03F3"/>
    <w:rsid w:val="003F09BE"/>
    <w:rsid w:val="003F104A"/>
    <w:rsid w:val="003F1AAD"/>
    <w:rsid w:val="003F2343"/>
    <w:rsid w:val="003F2C12"/>
    <w:rsid w:val="003F2C3C"/>
    <w:rsid w:val="003F2F61"/>
    <w:rsid w:val="003F3339"/>
    <w:rsid w:val="003F3D9D"/>
    <w:rsid w:val="003F4118"/>
    <w:rsid w:val="003F4263"/>
    <w:rsid w:val="003F4A30"/>
    <w:rsid w:val="003F4B25"/>
    <w:rsid w:val="003F4CFF"/>
    <w:rsid w:val="003F4E66"/>
    <w:rsid w:val="003F56A9"/>
    <w:rsid w:val="003F5B29"/>
    <w:rsid w:val="003F5CF4"/>
    <w:rsid w:val="003F6144"/>
    <w:rsid w:val="003F61DA"/>
    <w:rsid w:val="003F645D"/>
    <w:rsid w:val="003F688B"/>
    <w:rsid w:val="003F6935"/>
    <w:rsid w:val="003F69FF"/>
    <w:rsid w:val="003F6FC4"/>
    <w:rsid w:val="003F7214"/>
    <w:rsid w:val="003F730E"/>
    <w:rsid w:val="003F7508"/>
    <w:rsid w:val="003F7A06"/>
    <w:rsid w:val="003F7A90"/>
    <w:rsid w:val="003F7B1E"/>
    <w:rsid w:val="00400D8E"/>
    <w:rsid w:val="00400DA5"/>
    <w:rsid w:val="00402849"/>
    <w:rsid w:val="004029A2"/>
    <w:rsid w:val="00402E21"/>
    <w:rsid w:val="00402F7B"/>
    <w:rsid w:val="00403234"/>
    <w:rsid w:val="00403B4F"/>
    <w:rsid w:val="00404066"/>
    <w:rsid w:val="004046E4"/>
    <w:rsid w:val="0040591B"/>
    <w:rsid w:val="0040623C"/>
    <w:rsid w:val="00406584"/>
    <w:rsid w:val="00407358"/>
    <w:rsid w:val="00407C9B"/>
    <w:rsid w:val="00407F2C"/>
    <w:rsid w:val="0041040B"/>
    <w:rsid w:val="004104E1"/>
    <w:rsid w:val="004112A0"/>
    <w:rsid w:val="004114C4"/>
    <w:rsid w:val="0041156E"/>
    <w:rsid w:val="00411C50"/>
    <w:rsid w:val="00412031"/>
    <w:rsid w:val="004121C7"/>
    <w:rsid w:val="00412363"/>
    <w:rsid w:val="00412630"/>
    <w:rsid w:val="00412734"/>
    <w:rsid w:val="0041328D"/>
    <w:rsid w:val="00413724"/>
    <w:rsid w:val="0041440B"/>
    <w:rsid w:val="00414743"/>
    <w:rsid w:val="0041474E"/>
    <w:rsid w:val="004156A3"/>
    <w:rsid w:val="004156C9"/>
    <w:rsid w:val="00415A30"/>
    <w:rsid w:val="00415EDA"/>
    <w:rsid w:val="004167E3"/>
    <w:rsid w:val="00417371"/>
    <w:rsid w:val="0041799B"/>
    <w:rsid w:val="00417A61"/>
    <w:rsid w:val="00420949"/>
    <w:rsid w:val="00421455"/>
    <w:rsid w:val="0042148C"/>
    <w:rsid w:val="004218C0"/>
    <w:rsid w:val="00421AD8"/>
    <w:rsid w:val="00421B89"/>
    <w:rsid w:val="00421EB6"/>
    <w:rsid w:val="00422754"/>
    <w:rsid w:val="004227D7"/>
    <w:rsid w:val="00422B79"/>
    <w:rsid w:val="004230EF"/>
    <w:rsid w:val="00423272"/>
    <w:rsid w:val="00423B81"/>
    <w:rsid w:val="00423CCE"/>
    <w:rsid w:val="00424009"/>
    <w:rsid w:val="00424D67"/>
    <w:rsid w:val="00424F35"/>
    <w:rsid w:val="00425C04"/>
    <w:rsid w:val="00425DDE"/>
    <w:rsid w:val="00425F53"/>
    <w:rsid w:val="00425FFF"/>
    <w:rsid w:val="0042656E"/>
    <w:rsid w:val="00426995"/>
    <w:rsid w:val="00427C38"/>
    <w:rsid w:val="004307C3"/>
    <w:rsid w:val="00431154"/>
    <w:rsid w:val="0043381E"/>
    <w:rsid w:val="0043382A"/>
    <w:rsid w:val="00433FB5"/>
    <w:rsid w:val="004350D7"/>
    <w:rsid w:val="0043571A"/>
    <w:rsid w:val="00435C78"/>
    <w:rsid w:val="00436C80"/>
    <w:rsid w:val="00436F20"/>
    <w:rsid w:val="004371ED"/>
    <w:rsid w:val="00437A84"/>
    <w:rsid w:val="004407F2"/>
    <w:rsid w:val="00440BB7"/>
    <w:rsid w:val="00441DEF"/>
    <w:rsid w:val="00442AC1"/>
    <w:rsid w:val="00442D98"/>
    <w:rsid w:val="00443068"/>
    <w:rsid w:val="00443959"/>
    <w:rsid w:val="00443A45"/>
    <w:rsid w:val="00443F4E"/>
    <w:rsid w:val="004446C5"/>
    <w:rsid w:val="00445AAE"/>
    <w:rsid w:val="00446156"/>
    <w:rsid w:val="004463F3"/>
    <w:rsid w:val="00447076"/>
    <w:rsid w:val="00447534"/>
    <w:rsid w:val="00450416"/>
    <w:rsid w:val="0045121B"/>
    <w:rsid w:val="004517C3"/>
    <w:rsid w:val="00451AC1"/>
    <w:rsid w:val="00451E17"/>
    <w:rsid w:val="00453122"/>
    <w:rsid w:val="004532C0"/>
    <w:rsid w:val="004544E1"/>
    <w:rsid w:val="004567B0"/>
    <w:rsid w:val="00456B3C"/>
    <w:rsid w:val="00456D0C"/>
    <w:rsid w:val="00457104"/>
    <w:rsid w:val="004579C6"/>
    <w:rsid w:val="004609EE"/>
    <w:rsid w:val="00460B53"/>
    <w:rsid w:val="00460BA6"/>
    <w:rsid w:val="00461A78"/>
    <w:rsid w:val="00461EC2"/>
    <w:rsid w:val="00461F62"/>
    <w:rsid w:val="00462905"/>
    <w:rsid w:val="004631A9"/>
    <w:rsid w:val="004636F7"/>
    <w:rsid w:val="004646C9"/>
    <w:rsid w:val="00464E78"/>
    <w:rsid w:val="004652CE"/>
    <w:rsid w:val="00465D49"/>
    <w:rsid w:val="004664D6"/>
    <w:rsid w:val="004666FC"/>
    <w:rsid w:val="00466C64"/>
    <w:rsid w:val="00467732"/>
    <w:rsid w:val="00467AB8"/>
    <w:rsid w:val="0047041B"/>
    <w:rsid w:val="004705EB"/>
    <w:rsid w:val="0047094D"/>
    <w:rsid w:val="00471263"/>
    <w:rsid w:val="00471712"/>
    <w:rsid w:val="00471BD2"/>
    <w:rsid w:val="00471D3D"/>
    <w:rsid w:val="00471D7F"/>
    <w:rsid w:val="00471EA9"/>
    <w:rsid w:val="00471F4D"/>
    <w:rsid w:val="00472311"/>
    <w:rsid w:val="00472E59"/>
    <w:rsid w:val="00472F1E"/>
    <w:rsid w:val="0047415E"/>
    <w:rsid w:val="00474891"/>
    <w:rsid w:val="00474D4C"/>
    <w:rsid w:val="004753FF"/>
    <w:rsid w:val="00475669"/>
    <w:rsid w:val="00475F4D"/>
    <w:rsid w:val="00480176"/>
    <w:rsid w:val="004807AB"/>
    <w:rsid w:val="00480A02"/>
    <w:rsid w:val="00480E89"/>
    <w:rsid w:val="00480FAC"/>
    <w:rsid w:val="004815C0"/>
    <w:rsid w:val="0048191E"/>
    <w:rsid w:val="00481C73"/>
    <w:rsid w:val="004823E9"/>
    <w:rsid w:val="004823FE"/>
    <w:rsid w:val="00482C0A"/>
    <w:rsid w:val="00482DED"/>
    <w:rsid w:val="004833E7"/>
    <w:rsid w:val="00483FE9"/>
    <w:rsid w:val="00484A65"/>
    <w:rsid w:val="00485372"/>
    <w:rsid w:val="00485702"/>
    <w:rsid w:val="004872D8"/>
    <w:rsid w:val="00487394"/>
    <w:rsid w:val="00487F98"/>
    <w:rsid w:val="00490268"/>
    <w:rsid w:val="00491181"/>
    <w:rsid w:val="00491477"/>
    <w:rsid w:val="004918AA"/>
    <w:rsid w:val="00491DB7"/>
    <w:rsid w:val="004922B6"/>
    <w:rsid w:val="0049234F"/>
    <w:rsid w:val="0049247E"/>
    <w:rsid w:val="00492883"/>
    <w:rsid w:val="00493E79"/>
    <w:rsid w:val="00493ECB"/>
    <w:rsid w:val="00494021"/>
    <w:rsid w:val="004958CE"/>
    <w:rsid w:val="00495F1C"/>
    <w:rsid w:val="00495FBC"/>
    <w:rsid w:val="004962C9"/>
    <w:rsid w:val="004963B9"/>
    <w:rsid w:val="004964B6"/>
    <w:rsid w:val="00496BC3"/>
    <w:rsid w:val="00496D3D"/>
    <w:rsid w:val="00497D4B"/>
    <w:rsid w:val="00497ECC"/>
    <w:rsid w:val="004A00C2"/>
    <w:rsid w:val="004A0664"/>
    <w:rsid w:val="004A0871"/>
    <w:rsid w:val="004A183D"/>
    <w:rsid w:val="004A1978"/>
    <w:rsid w:val="004A2734"/>
    <w:rsid w:val="004A27FF"/>
    <w:rsid w:val="004A2EDD"/>
    <w:rsid w:val="004A34E5"/>
    <w:rsid w:val="004A362B"/>
    <w:rsid w:val="004A4608"/>
    <w:rsid w:val="004A463E"/>
    <w:rsid w:val="004A5152"/>
    <w:rsid w:val="004A515D"/>
    <w:rsid w:val="004A530A"/>
    <w:rsid w:val="004A58CD"/>
    <w:rsid w:val="004A5CD9"/>
    <w:rsid w:val="004A60A0"/>
    <w:rsid w:val="004A6151"/>
    <w:rsid w:val="004A6170"/>
    <w:rsid w:val="004A654D"/>
    <w:rsid w:val="004A684F"/>
    <w:rsid w:val="004A6B86"/>
    <w:rsid w:val="004A6DF4"/>
    <w:rsid w:val="004A73F4"/>
    <w:rsid w:val="004A7633"/>
    <w:rsid w:val="004B0B22"/>
    <w:rsid w:val="004B1FD3"/>
    <w:rsid w:val="004B2D7C"/>
    <w:rsid w:val="004B3BF0"/>
    <w:rsid w:val="004B3FC8"/>
    <w:rsid w:val="004B433F"/>
    <w:rsid w:val="004B442E"/>
    <w:rsid w:val="004B443F"/>
    <w:rsid w:val="004B4893"/>
    <w:rsid w:val="004B4955"/>
    <w:rsid w:val="004B5161"/>
    <w:rsid w:val="004B5C80"/>
    <w:rsid w:val="004B5CEF"/>
    <w:rsid w:val="004B5FE0"/>
    <w:rsid w:val="004B6697"/>
    <w:rsid w:val="004B6FB3"/>
    <w:rsid w:val="004B71E2"/>
    <w:rsid w:val="004B7777"/>
    <w:rsid w:val="004B7A62"/>
    <w:rsid w:val="004C020A"/>
    <w:rsid w:val="004C0469"/>
    <w:rsid w:val="004C0B51"/>
    <w:rsid w:val="004C127E"/>
    <w:rsid w:val="004C16A8"/>
    <w:rsid w:val="004C1A85"/>
    <w:rsid w:val="004C1F40"/>
    <w:rsid w:val="004C2D0A"/>
    <w:rsid w:val="004C3039"/>
    <w:rsid w:val="004C3243"/>
    <w:rsid w:val="004C3DC4"/>
    <w:rsid w:val="004C4A12"/>
    <w:rsid w:val="004C4D87"/>
    <w:rsid w:val="004C4EFD"/>
    <w:rsid w:val="004C5793"/>
    <w:rsid w:val="004C5F3D"/>
    <w:rsid w:val="004C6063"/>
    <w:rsid w:val="004C6717"/>
    <w:rsid w:val="004C6F89"/>
    <w:rsid w:val="004C7A62"/>
    <w:rsid w:val="004C7CB4"/>
    <w:rsid w:val="004C7F5A"/>
    <w:rsid w:val="004D06FA"/>
    <w:rsid w:val="004D0EE9"/>
    <w:rsid w:val="004D19CD"/>
    <w:rsid w:val="004D1D07"/>
    <w:rsid w:val="004D20D9"/>
    <w:rsid w:val="004D24CE"/>
    <w:rsid w:val="004D2BC6"/>
    <w:rsid w:val="004D32EC"/>
    <w:rsid w:val="004D39D9"/>
    <w:rsid w:val="004D4CE5"/>
    <w:rsid w:val="004D5CA6"/>
    <w:rsid w:val="004D5E9E"/>
    <w:rsid w:val="004D6492"/>
    <w:rsid w:val="004D64BE"/>
    <w:rsid w:val="004D686E"/>
    <w:rsid w:val="004D73BE"/>
    <w:rsid w:val="004D7464"/>
    <w:rsid w:val="004D7B3C"/>
    <w:rsid w:val="004E0157"/>
    <w:rsid w:val="004E05A8"/>
    <w:rsid w:val="004E0956"/>
    <w:rsid w:val="004E0F29"/>
    <w:rsid w:val="004E0FE5"/>
    <w:rsid w:val="004E168F"/>
    <w:rsid w:val="004E16AC"/>
    <w:rsid w:val="004E16C0"/>
    <w:rsid w:val="004E1976"/>
    <w:rsid w:val="004E1BDD"/>
    <w:rsid w:val="004E1BE3"/>
    <w:rsid w:val="004E27BB"/>
    <w:rsid w:val="004E2D3B"/>
    <w:rsid w:val="004E330C"/>
    <w:rsid w:val="004E33E1"/>
    <w:rsid w:val="004E4114"/>
    <w:rsid w:val="004E4B2E"/>
    <w:rsid w:val="004E5D45"/>
    <w:rsid w:val="004E649C"/>
    <w:rsid w:val="004E73BA"/>
    <w:rsid w:val="004F1847"/>
    <w:rsid w:val="004F1ED4"/>
    <w:rsid w:val="004F23E5"/>
    <w:rsid w:val="004F2BCA"/>
    <w:rsid w:val="004F312D"/>
    <w:rsid w:val="004F3B00"/>
    <w:rsid w:val="004F3DFB"/>
    <w:rsid w:val="004F4072"/>
    <w:rsid w:val="004F4E39"/>
    <w:rsid w:val="004F5994"/>
    <w:rsid w:val="004F5B92"/>
    <w:rsid w:val="004F6198"/>
    <w:rsid w:val="004F643C"/>
    <w:rsid w:val="004F66AE"/>
    <w:rsid w:val="004F6F90"/>
    <w:rsid w:val="004F7A26"/>
    <w:rsid w:val="004F7D52"/>
    <w:rsid w:val="00500E0B"/>
    <w:rsid w:val="00500F26"/>
    <w:rsid w:val="0050144C"/>
    <w:rsid w:val="00501D6E"/>
    <w:rsid w:val="005020A4"/>
    <w:rsid w:val="00502A83"/>
    <w:rsid w:val="00503299"/>
    <w:rsid w:val="005037C8"/>
    <w:rsid w:val="0050384B"/>
    <w:rsid w:val="00503BA1"/>
    <w:rsid w:val="00503EAD"/>
    <w:rsid w:val="0050452E"/>
    <w:rsid w:val="00504E55"/>
    <w:rsid w:val="00505B8B"/>
    <w:rsid w:val="00506078"/>
    <w:rsid w:val="005062DF"/>
    <w:rsid w:val="00506858"/>
    <w:rsid w:val="00506A62"/>
    <w:rsid w:val="00506C21"/>
    <w:rsid w:val="00506F1F"/>
    <w:rsid w:val="005070B0"/>
    <w:rsid w:val="00507323"/>
    <w:rsid w:val="00507335"/>
    <w:rsid w:val="00507524"/>
    <w:rsid w:val="005077D4"/>
    <w:rsid w:val="00507A37"/>
    <w:rsid w:val="00510419"/>
    <w:rsid w:val="00510D66"/>
    <w:rsid w:val="005111DD"/>
    <w:rsid w:val="00511229"/>
    <w:rsid w:val="00511B90"/>
    <w:rsid w:val="00512260"/>
    <w:rsid w:val="005127FE"/>
    <w:rsid w:val="00513323"/>
    <w:rsid w:val="00513EFD"/>
    <w:rsid w:val="00515035"/>
    <w:rsid w:val="00515040"/>
    <w:rsid w:val="0051579B"/>
    <w:rsid w:val="005159BA"/>
    <w:rsid w:val="00517287"/>
    <w:rsid w:val="00517FDE"/>
    <w:rsid w:val="0052055C"/>
    <w:rsid w:val="00521199"/>
    <w:rsid w:val="00521959"/>
    <w:rsid w:val="0052226A"/>
    <w:rsid w:val="00522910"/>
    <w:rsid w:val="00522AAF"/>
    <w:rsid w:val="00522AC3"/>
    <w:rsid w:val="00522D5D"/>
    <w:rsid w:val="00522DD5"/>
    <w:rsid w:val="00522FB1"/>
    <w:rsid w:val="00523D3A"/>
    <w:rsid w:val="00524564"/>
    <w:rsid w:val="005245B1"/>
    <w:rsid w:val="00524965"/>
    <w:rsid w:val="00524CA5"/>
    <w:rsid w:val="005252BE"/>
    <w:rsid w:val="00525A51"/>
    <w:rsid w:val="00525DC6"/>
    <w:rsid w:val="005261BF"/>
    <w:rsid w:val="00526668"/>
    <w:rsid w:val="005269EA"/>
    <w:rsid w:val="00526C18"/>
    <w:rsid w:val="00526C93"/>
    <w:rsid w:val="0052726F"/>
    <w:rsid w:val="0052731D"/>
    <w:rsid w:val="005278FD"/>
    <w:rsid w:val="005279D1"/>
    <w:rsid w:val="00527B61"/>
    <w:rsid w:val="00527D01"/>
    <w:rsid w:val="005305AB"/>
    <w:rsid w:val="005307A3"/>
    <w:rsid w:val="00531418"/>
    <w:rsid w:val="00531817"/>
    <w:rsid w:val="0053257D"/>
    <w:rsid w:val="00534237"/>
    <w:rsid w:val="0053454D"/>
    <w:rsid w:val="00534BD2"/>
    <w:rsid w:val="00535108"/>
    <w:rsid w:val="00535145"/>
    <w:rsid w:val="00536408"/>
    <w:rsid w:val="00537EC7"/>
    <w:rsid w:val="005401A6"/>
    <w:rsid w:val="005402B6"/>
    <w:rsid w:val="00540CF4"/>
    <w:rsid w:val="00540D1F"/>
    <w:rsid w:val="00541240"/>
    <w:rsid w:val="00541600"/>
    <w:rsid w:val="005419BB"/>
    <w:rsid w:val="00541A12"/>
    <w:rsid w:val="00542AC4"/>
    <w:rsid w:val="00542B63"/>
    <w:rsid w:val="00542C44"/>
    <w:rsid w:val="00542CB4"/>
    <w:rsid w:val="00542F34"/>
    <w:rsid w:val="00543872"/>
    <w:rsid w:val="00543FF2"/>
    <w:rsid w:val="005446A3"/>
    <w:rsid w:val="00544D35"/>
    <w:rsid w:val="0054559A"/>
    <w:rsid w:val="00545AA8"/>
    <w:rsid w:val="005463CA"/>
    <w:rsid w:val="00546E30"/>
    <w:rsid w:val="00546FBB"/>
    <w:rsid w:val="005479B1"/>
    <w:rsid w:val="00547B66"/>
    <w:rsid w:val="005505A7"/>
    <w:rsid w:val="005509A9"/>
    <w:rsid w:val="005524DE"/>
    <w:rsid w:val="0055253E"/>
    <w:rsid w:val="0055273A"/>
    <w:rsid w:val="005530EC"/>
    <w:rsid w:val="005532E6"/>
    <w:rsid w:val="0055388D"/>
    <w:rsid w:val="00553C33"/>
    <w:rsid w:val="00553ECF"/>
    <w:rsid w:val="00553F36"/>
    <w:rsid w:val="0055426E"/>
    <w:rsid w:val="005544A8"/>
    <w:rsid w:val="005545D4"/>
    <w:rsid w:val="00554F55"/>
    <w:rsid w:val="005551AC"/>
    <w:rsid w:val="00555BED"/>
    <w:rsid w:val="00555F78"/>
    <w:rsid w:val="00556802"/>
    <w:rsid w:val="00556E0E"/>
    <w:rsid w:val="00557145"/>
    <w:rsid w:val="00557188"/>
    <w:rsid w:val="00557590"/>
    <w:rsid w:val="0055793C"/>
    <w:rsid w:val="00560657"/>
    <w:rsid w:val="00560CBB"/>
    <w:rsid w:val="005610FE"/>
    <w:rsid w:val="00561357"/>
    <w:rsid w:val="00561A65"/>
    <w:rsid w:val="00562329"/>
    <w:rsid w:val="005629F1"/>
    <w:rsid w:val="00562B3D"/>
    <w:rsid w:val="0056339C"/>
    <w:rsid w:val="005636EF"/>
    <w:rsid w:val="00564454"/>
    <w:rsid w:val="00565576"/>
    <w:rsid w:val="0056583E"/>
    <w:rsid w:val="00566011"/>
    <w:rsid w:val="005661D0"/>
    <w:rsid w:val="00566446"/>
    <w:rsid w:val="00566637"/>
    <w:rsid w:val="00566787"/>
    <w:rsid w:val="00566854"/>
    <w:rsid w:val="00566B81"/>
    <w:rsid w:val="00566BC2"/>
    <w:rsid w:val="00566D06"/>
    <w:rsid w:val="00566DF7"/>
    <w:rsid w:val="00566F86"/>
    <w:rsid w:val="0056776D"/>
    <w:rsid w:val="005679B9"/>
    <w:rsid w:val="00567E29"/>
    <w:rsid w:val="0057079D"/>
    <w:rsid w:val="0057091B"/>
    <w:rsid w:val="00570CF9"/>
    <w:rsid w:val="00570F9E"/>
    <w:rsid w:val="00571292"/>
    <w:rsid w:val="00571766"/>
    <w:rsid w:val="0057204C"/>
    <w:rsid w:val="005724B8"/>
    <w:rsid w:val="00572D96"/>
    <w:rsid w:val="00572E3A"/>
    <w:rsid w:val="00574714"/>
    <w:rsid w:val="005760B4"/>
    <w:rsid w:val="0057612F"/>
    <w:rsid w:val="00576D4F"/>
    <w:rsid w:val="00577008"/>
    <w:rsid w:val="005773FE"/>
    <w:rsid w:val="005774F8"/>
    <w:rsid w:val="00577B03"/>
    <w:rsid w:val="00577D72"/>
    <w:rsid w:val="0058072A"/>
    <w:rsid w:val="00580744"/>
    <w:rsid w:val="00580941"/>
    <w:rsid w:val="0058097A"/>
    <w:rsid w:val="00580E9B"/>
    <w:rsid w:val="00581857"/>
    <w:rsid w:val="0058218A"/>
    <w:rsid w:val="005823BB"/>
    <w:rsid w:val="00582504"/>
    <w:rsid w:val="00582587"/>
    <w:rsid w:val="005827D7"/>
    <w:rsid w:val="005828D1"/>
    <w:rsid w:val="0058337B"/>
    <w:rsid w:val="005836D4"/>
    <w:rsid w:val="00583AF9"/>
    <w:rsid w:val="00583E65"/>
    <w:rsid w:val="00583FE9"/>
    <w:rsid w:val="00584131"/>
    <w:rsid w:val="005845B2"/>
    <w:rsid w:val="005847B4"/>
    <w:rsid w:val="00584CCC"/>
    <w:rsid w:val="005858B2"/>
    <w:rsid w:val="005877DF"/>
    <w:rsid w:val="00587CC0"/>
    <w:rsid w:val="00587F4E"/>
    <w:rsid w:val="0059034A"/>
    <w:rsid w:val="005909E7"/>
    <w:rsid w:val="00590BC5"/>
    <w:rsid w:val="00590DA2"/>
    <w:rsid w:val="00591019"/>
    <w:rsid w:val="00591698"/>
    <w:rsid w:val="00592DD7"/>
    <w:rsid w:val="00592F9D"/>
    <w:rsid w:val="0059375C"/>
    <w:rsid w:val="00593C22"/>
    <w:rsid w:val="00593D91"/>
    <w:rsid w:val="00593E03"/>
    <w:rsid w:val="00593FBB"/>
    <w:rsid w:val="00594A5D"/>
    <w:rsid w:val="005965FA"/>
    <w:rsid w:val="005966CF"/>
    <w:rsid w:val="005966DD"/>
    <w:rsid w:val="00596D37"/>
    <w:rsid w:val="005970BF"/>
    <w:rsid w:val="005979A2"/>
    <w:rsid w:val="00597AE4"/>
    <w:rsid w:val="005A0481"/>
    <w:rsid w:val="005A052B"/>
    <w:rsid w:val="005A0535"/>
    <w:rsid w:val="005A091A"/>
    <w:rsid w:val="005A0F76"/>
    <w:rsid w:val="005A1B4C"/>
    <w:rsid w:val="005A1B96"/>
    <w:rsid w:val="005A1E0B"/>
    <w:rsid w:val="005A24FD"/>
    <w:rsid w:val="005A2500"/>
    <w:rsid w:val="005A3B69"/>
    <w:rsid w:val="005A4677"/>
    <w:rsid w:val="005A4BA7"/>
    <w:rsid w:val="005A58D5"/>
    <w:rsid w:val="005A5E61"/>
    <w:rsid w:val="005A5F25"/>
    <w:rsid w:val="005A60E7"/>
    <w:rsid w:val="005A62E8"/>
    <w:rsid w:val="005A6555"/>
    <w:rsid w:val="005A6600"/>
    <w:rsid w:val="005A6754"/>
    <w:rsid w:val="005A688E"/>
    <w:rsid w:val="005A6A15"/>
    <w:rsid w:val="005A6B00"/>
    <w:rsid w:val="005A6B2E"/>
    <w:rsid w:val="005A732A"/>
    <w:rsid w:val="005B0137"/>
    <w:rsid w:val="005B02DB"/>
    <w:rsid w:val="005B06FF"/>
    <w:rsid w:val="005B07C4"/>
    <w:rsid w:val="005B085B"/>
    <w:rsid w:val="005B0D77"/>
    <w:rsid w:val="005B10E1"/>
    <w:rsid w:val="005B1674"/>
    <w:rsid w:val="005B269C"/>
    <w:rsid w:val="005B26B3"/>
    <w:rsid w:val="005B2BFF"/>
    <w:rsid w:val="005B30E0"/>
    <w:rsid w:val="005B3A1F"/>
    <w:rsid w:val="005B46C2"/>
    <w:rsid w:val="005B56CF"/>
    <w:rsid w:val="005B6253"/>
    <w:rsid w:val="005B632D"/>
    <w:rsid w:val="005B648D"/>
    <w:rsid w:val="005B6D37"/>
    <w:rsid w:val="005B6EEA"/>
    <w:rsid w:val="005B72AF"/>
    <w:rsid w:val="005B748B"/>
    <w:rsid w:val="005C04FB"/>
    <w:rsid w:val="005C11ED"/>
    <w:rsid w:val="005C12A4"/>
    <w:rsid w:val="005C13DC"/>
    <w:rsid w:val="005C1993"/>
    <w:rsid w:val="005C1AB6"/>
    <w:rsid w:val="005C1F15"/>
    <w:rsid w:val="005C2102"/>
    <w:rsid w:val="005C2520"/>
    <w:rsid w:val="005C380D"/>
    <w:rsid w:val="005C4024"/>
    <w:rsid w:val="005C41C4"/>
    <w:rsid w:val="005C42AF"/>
    <w:rsid w:val="005C489C"/>
    <w:rsid w:val="005C4F13"/>
    <w:rsid w:val="005C54FE"/>
    <w:rsid w:val="005C55C8"/>
    <w:rsid w:val="005C62FF"/>
    <w:rsid w:val="005C6401"/>
    <w:rsid w:val="005C6BB0"/>
    <w:rsid w:val="005C6E37"/>
    <w:rsid w:val="005C7309"/>
    <w:rsid w:val="005C7CC0"/>
    <w:rsid w:val="005D02B7"/>
    <w:rsid w:val="005D04AC"/>
    <w:rsid w:val="005D07F2"/>
    <w:rsid w:val="005D0FAF"/>
    <w:rsid w:val="005D2FC4"/>
    <w:rsid w:val="005D4369"/>
    <w:rsid w:val="005D47BC"/>
    <w:rsid w:val="005D4C7A"/>
    <w:rsid w:val="005D5DF2"/>
    <w:rsid w:val="005D6EBC"/>
    <w:rsid w:val="005D754E"/>
    <w:rsid w:val="005D7BE5"/>
    <w:rsid w:val="005D7F50"/>
    <w:rsid w:val="005E00F6"/>
    <w:rsid w:val="005E09EE"/>
    <w:rsid w:val="005E0E0D"/>
    <w:rsid w:val="005E1D54"/>
    <w:rsid w:val="005E1E75"/>
    <w:rsid w:val="005E1F44"/>
    <w:rsid w:val="005E21B3"/>
    <w:rsid w:val="005E2427"/>
    <w:rsid w:val="005E28F4"/>
    <w:rsid w:val="005E3C24"/>
    <w:rsid w:val="005E406E"/>
    <w:rsid w:val="005E4076"/>
    <w:rsid w:val="005E4559"/>
    <w:rsid w:val="005E46AE"/>
    <w:rsid w:val="005E4B55"/>
    <w:rsid w:val="005E4D7A"/>
    <w:rsid w:val="005E5DA3"/>
    <w:rsid w:val="005E5DEE"/>
    <w:rsid w:val="005E5FCA"/>
    <w:rsid w:val="005E604D"/>
    <w:rsid w:val="005E61E4"/>
    <w:rsid w:val="005E646E"/>
    <w:rsid w:val="005E64BE"/>
    <w:rsid w:val="005E66F3"/>
    <w:rsid w:val="005E71C3"/>
    <w:rsid w:val="005E7296"/>
    <w:rsid w:val="005E72A0"/>
    <w:rsid w:val="005E7335"/>
    <w:rsid w:val="005E763B"/>
    <w:rsid w:val="005E7BA2"/>
    <w:rsid w:val="005E7EFD"/>
    <w:rsid w:val="005F0791"/>
    <w:rsid w:val="005F0C42"/>
    <w:rsid w:val="005F0FA0"/>
    <w:rsid w:val="005F138B"/>
    <w:rsid w:val="005F1E9C"/>
    <w:rsid w:val="005F206E"/>
    <w:rsid w:val="005F2327"/>
    <w:rsid w:val="005F312A"/>
    <w:rsid w:val="005F4839"/>
    <w:rsid w:val="005F49DE"/>
    <w:rsid w:val="005F4A9E"/>
    <w:rsid w:val="005F4CD8"/>
    <w:rsid w:val="005F4D4B"/>
    <w:rsid w:val="005F568A"/>
    <w:rsid w:val="005F5F1A"/>
    <w:rsid w:val="005F67B8"/>
    <w:rsid w:val="005F68D8"/>
    <w:rsid w:val="005F7E64"/>
    <w:rsid w:val="00600331"/>
    <w:rsid w:val="00600479"/>
    <w:rsid w:val="00600671"/>
    <w:rsid w:val="00600867"/>
    <w:rsid w:val="006009AD"/>
    <w:rsid w:val="00601903"/>
    <w:rsid w:val="00601D4A"/>
    <w:rsid w:val="00601D51"/>
    <w:rsid w:val="006021E7"/>
    <w:rsid w:val="0060255F"/>
    <w:rsid w:val="00602959"/>
    <w:rsid w:val="00602AB1"/>
    <w:rsid w:val="00602B24"/>
    <w:rsid w:val="00603CF8"/>
    <w:rsid w:val="0060442E"/>
    <w:rsid w:val="006044B4"/>
    <w:rsid w:val="00604A56"/>
    <w:rsid w:val="00604B54"/>
    <w:rsid w:val="00605221"/>
    <w:rsid w:val="0060598A"/>
    <w:rsid w:val="00605AB3"/>
    <w:rsid w:val="00605EA1"/>
    <w:rsid w:val="00605FAD"/>
    <w:rsid w:val="00606291"/>
    <w:rsid w:val="00606537"/>
    <w:rsid w:val="00606543"/>
    <w:rsid w:val="006067C8"/>
    <w:rsid w:val="00606806"/>
    <w:rsid w:val="0060729B"/>
    <w:rsid w:val="00607327"/>
    <w:rsid w:val="006076A4"/>
    <w:rsid w:val="00607A27"/>
    <w:rsid w:val="00610D7A"/>
    <w:rsid w:val="00611BD5"/>
    <w:rsid w:val="00611CAD"/>
    <w:rsid w:val="00612058"/>
    <w:rsid w:val="006128C3"/>
    <w:rsid w:val="00612C61"/>
    <w:rsid w:val="00612D5C"/>
    <w:rsid w:val="00613468"/>
    <w:rsid w:val="006138D8"/>
    <w:rsid w:val="00613977"/>
    <w:rsid w:val="006139A6"/>
    <w:rsid w:val="006139DD"/>
    <w:rsid w:val="006142F1"/>
    <w:rsid w:val="006148FF"/>
    <w:rsid w:val="00615B7B"/>
    <w:rsid w:val="00615C4C"/>
    <w:rsid w:val="00615F91"/>
    <w:rsid w:val="006162A1"/>
    <w:rsid w:val="00616E06"/>
    <w:rsid w:val="00617283"/>
    <w:rsid w:val="00617E7A"/>
    <w:rsid w:val="006202C4"/>
    <w:rsid w:val="00620A58"/>
    <w:rsid w:val="00620DD3"/>
    <w:rsid w:val="00620F9D"/>
    <w:rsid w:val="00621DAE"/>
    <w:rsid w:val="006220A9"/>
    <w:rsid w:val="00622536"/>
    <w:rsid w:val="00622774"/>
    <w:rsid w:val="0062281E"/>
    <w:rsid w:val="00622938"/>
    <w:rsid w:val="00622D09"/>
    <w:rsid w:val="00623895"/>
    <w:rsid w:val="00623971"/>
    <w:rsid w:val="00624290"/>
    <w:rsid w:val="00624669"/>
    <w:rsid w:val="0062499D"/>
    <w:rsid w:val="006249BB"/>
    <w:rsid w:val="00624F0B"/>
    <w:rsid w:val="0062504E"/>
    <w:rsid w:val="006252C3"/>
    <w:rsid w:val="00625959"/>
    <w:rsid w:val="0062637A"/>
    <w:rsid w:val="00626D1E"/>
    <w:rsid w:val="006277F2"/>
    <w:rsid w:val="0062792E"/>
    <w:rsid w:val="006279CF"/>
    <w:rsid w:val="00627A17"/>
    <w:rsid w:val="00630BEC"/>
    <w:rsid w:val="00630D6A"/>
    <w:rsid w:val="00631F27"/>
    <w:rsid w:val="00632042"/>
    <w:rsid w:val="006320C3"/>
    <w:rsid w:val="00632743"/>
    <w:rsid w:val="00632F86"/>
    <w:rsid w:val="0063312B"/>
    <w:rsid w:val="006335C5"/>
    <w:rsid w:val="00633B19"/>
    <w:rsid w:val="006350BD"/>
    <w:rsid w:val="006352C7"/>
    <w:rsid w:val="00635C1B"/>
    <w:rsid w:val="0063645F"/>
    <w:rsid w:val="00636732"/>
    <w:rsid w:val="0063675A"/>
    <w:rsid w:val="0063692F"/>
    <w:rsid w:val="00636B36"/>
    <w:rsid w:val="00637867"/>
    <w:rsid w:val="00637B80"/>
    <w:rsid w:val="00640368"/>
    <w:rsid w:val="0064039F"/>
    <w:rsid w:val="0064057E"/>
    <w:rsid w:val="00640AE7"/>
    <w:rsid w:val="00641B88"/>
    <w:rsid w:val="006427C4"/>
    <w:rsid w:val="00643034"/>
    <w:rsid w:val="00643568"/>
    <w:rsid w:val="0064376D"/>
    <w:rsid w:val="00643E8A"/>
    <w:rsid w:val="0064454E"/>
    <w:rsid w:val="00644B5F"/>
    <w:rsid w:val="00644DDB"/>
    <w:rsid w:val="00645BEB"/>
    <w:rsid w:val="00646038"/>
    <w:rsid w:val="0064635A"/>
    <w:rsid w:val="00646BD8"/>
    <w:rsid w:val="0064755B"/>
    <w:rsid w:val="00647857"/>
    <w:rsid w:val="00647EC5"/>
    <w:rsid w:val="006502D3"/>
    <w:rsid w:val="0065061E"/>
    <w:rsid w:val="006507AC"/>
    <w:rsid w:val="00650B84"/>
    <w:rsid w:val="00651005"/>
    <w:rsid w:val="00652695"/>
    <w:rsid w:val="00652D1B"/>
    <w:rsid w:val="00654FB3"/>
    <w:rsid w:val="0065505F"/>
    <w:rsid w:val="0065513F"/>
    <w:rsid w:val="00656574"/>
    <w:rsid w:val="0065674C"/>
    <w:rsid w:val="0065721E"/>
    <w:rsid w:val="00657810"/>
    <w:rsid w:val="00657E29"/>
    <w:rsid w:val="00660247"/>
    <w:rsid w:val="00660B4A"/>
    <w:rsid w:val="00660DB2"/>
    <w:rsid w:val="006617B9"/>
    <w:rsid w:val="00662825"/>
    <w:rsid w:val="00662DB2"/>
    <w:rsid w:val="006630E2"/>
    <w:rsid w:val="00663497"/>
    <w:rsid w:val="00664588"/>
    <w:rsid w:val="00664ACE"/>
    <w:rsid w:val="00664B84"/>
    <w:rsid w:val="00664DBB"/>
    <w:rsid w:val="00665B9C"/>
    <w:rsid w:val="0066618C"/>
    <w:rsid w:val="00666A35"/>
    <w:rsid w:val="00667083"/>
    <w:rsid w:val="006679D7"/>
    <w:rsid w:val="00667BD6"/>
    <w:rsid w:val="00667CDD"/>
    <w:rsid w:val="00667CEA"/>
    <w:rsid w:val="0067002C"/>
    <w:rsid w:val="00670474"/>
    <w:rsid w:val="006706C1"/>
    <w:rsid w:val="0067105B"/>
    <w:rsid w:val="0067111A"/>
    <w:rsid w:val="00671733"/>
    <w:rsid w:val="0067250D"/>
    <w:rsid w:val="0067266C"/>
    <w:rsid w:val="00672D93"/>
    <w:rsid w:val="00672DD3"/>
    <w:rsid w:val="006734A7"/>
    <w:rsid w:val="00673C6D"/>
    <w:rsid w:val="0067422A"/>
    <w:rsid w:val="0067432B"/>
    <w:rsid w:val="00674671"/>
    <w:rsid w:val="00674A55"/>
    <w:rsid w:val="006762BA"/>
    <w:rsid w:val="00676AF1"/>
    <w:rsid w:val="006775E1"/>
    <w:rsid w:val="00677A40"/>
    <w:rsid w:val="00677B77"/>
    <w:rsid w:val="00677C7A"/>
    <w:rsid w:val="00680029"/>
    <w:rsid w:val="0068036A"/>
    <w:rsid w:val="00680B9B"/>
    <w:rsid w:val="00680BB0"/>
    <w:rsid w:val="00680F02"/>
    <w:rsid w:val="00681481"/>
    <w:rsid w:val="006818C9"/>
    <w:rsid w:val="0068199F"/>
    <w:rsid w:val="00681A76"/>
    <w:rsid w:val="0068231F"/>
    <w:rsid w:val="00682A63"/>
    <w:rsid w:val="00682C0C"/>
    <w:rsid w:val="00683021"/>
    <w:rsid w:val="00683F11"/>
    <w:rsid w:val="0068409B"/>
    <w:rsid w:val="00684C43"/>
    <w:rsid w:val="00684CFA"/>
    <w:rsid w:val="00684D96"/>
    <w:rsid w:val="0068514C"/>
    <w:rsid w:val="00685751"/>
    <w:rsid w:val="0068603C"/>
    <w:rsid w:val="0068626D"/>
    <w:rsid w:val="006864EB"/>
    <w:rsid w:val="006875D4"/>
    <w:rsid w:val="006875E3"/>
    <w:rsid w:val="006878F7"/>
    <w:rsid w:val="00687AA2"/>
    <w:rsid w:val="006906EE"/>
    <w:rsid w:val="006912E4"/>
    <w:rsid w:val="00691AA8"/>
    <w:rsid w:val="00692501"/>
    <w:rsid w:val="00692C2A"/>
    <w:rsid w:val="00692D42"/>
    <w:rsid w:val="006931DE"/>
    <w:rsid w:val="0069365C"/>
    <w:rsid w:val="00693765"/>
    <w:rsid w:val="0069385F"/>
    <w:rsid w:val="00694C32"/>
    <w:rsid w:val="00694CDB"/>
    <w:rsid w:val="006955B8"/>
    <w:rsid w:val="00695832"/>
    <w:rsid w:val="006968A8"/>
    <w:rsid w:val="006969E8"/>
    <w:rsid w:val="00696BCB"/>
    <w:rsid w:val="00696D56"/>
    <w:rsid w:val="00697465"/>
    <w:rsid w:val="006A0F6E"/>
    <w:rsid w:val="006A1361"/>
    <w:rsid w:val="006A1D94"/>
    <w:rsid w:val="006A1DD4"/>
    <w:rsid w:val="006A208C"/>
    <w:rsid w:val="006A2C0D"/>
    <w:rsid w:val="006A34EB"/>
    <w:rsid w:val="006A4808"/>
    <w:rsid w:val="006A48DD"/>
    <w:rsid w:val="006A4E76"/>
    <w:rsid w:val="006A4F94"/>
    <w:rsid w:val="006A4FAC"/>
    <w:rsid w:val="006A592C"/>
    <w:rsid w:val="006A5BF4"/>
    <w:rsid w:val="006A5C81"/>
    <w:rsid w:val="006A5D39"/>
    <w:rsid w:val="006A6BA5"/>
    <w:rsid w:val="006A7325"/>
    <w:rsid w:val="006A76C7"/>
    <w:rsid w:val="006A7AF6"/>
    <w:rsid w:val="006A7FD7"/>
    <w:rsid w:val="006B096D"/>
    <w:rsid w:val="006B17B5"/>
    <w:rsid w:val="006B3463"/>
    <w:rsid w:val="006B3B2D"/>
    <w:rsid w:val="006B430B"/>
    <w:rsid w:val="006B5291"/>
    <w:rsid w:val="006B52D2"/>
    <w:rsid w:val="006B572B"/>
    <w:rsid w:val="006B5893"/>
    <w:rsid w:val="006B59DB"/>
    <w:rsid w:val="006B619A"/>
    <w:rsid w:val="006B66F2"/>
    <w:rsid w:val="006B67AA"/>
    <w:rsid w:val="006B67EF"/>
    <w:rsid w:val="006C03EE"/>
    <w:rsid w:val="006C08B1"/>
    <w:rsid w:val="006C149F"/>
    <w:rsid w:val="006C175D"/>
    <w:rsid w:val="006C1DB5"/>
    <w:rsid w:val="006C348F"/>
    <w:rsid w:val="006C4693"/>
    <w:rsid w:val="006C48B4"/>
    <w:rsid w:val="006C4CBA"/>
    <w:rsid w:val="006C5515"/>
    <w:rsid w:val="006C5781"/>
    <w:rsid w:val="006C59C2"/>
    <w:rsid w:val="006C6396"/>
    <w:rsid w:val="006C6BDF"/>
    <w:rsid w:val="006C72DE"/>
    <w:rsid w:val="006C75AF"/>
    <w:rsid w:val="006C76CA"/>
    <w:rsid w:val="006C791F"/>
    <w:rsid w:val="006D0667"/>
    <w:rsid w:val="006D090D"/>
    <w:rsid w:val="006D1CBF"/>
    <w:rsid w:val="006D1E7F"/>
    <w:rsid w:val="006D2198"/>
    <w:rsid w:val="006D269E"/>
    <w:rsid w:val="006D276D"/>
    <w:rsid w:val="006D3140"/>
    <w:rsid w:val="006D376D"/>
    <w:rsid w:val="006D3780"/>
    <w:rsid w:val="006D4183"/>
    <w:rsid w:val="006D47D2"/>
    <w:rsid w:val="006D5167"/>
    <w:rsid w:val="006D5371"/>
    <w:rsid w:val="006D53B0"/>
    <w:rsid w:val="006D54FB"/>
    <w:rsid w:val="006D5CB6"/>
    <w:rsid w:val="006D5F73"/>
    <w:rsid w:val="006D60B4"/>
    <w:rsid w:val="006D653E"/>
    <w:rsid w:val="006D655C"/>
    <w:rsid w:val="006D6987"/>
    <w:rsid w:val="006D76CE"/>
    <w:rsid w:val="006D798D"/>
    <w:rsid w:val="006D7BDC"/>
    <w:rsid w:val="006E02FF"/>
    <w:rsid w:val="006E040C"/>
    <w:rsid w:val="006E0C88"/>
    <w:rsid w:val="006E0D67"/>
    <w:rsid w:val="006E11E0"/>
    <w:rsid w:val="006E12D1"/>
    <w:rsid w:val="006E1691"/>
    <w:rsid w:val="006E2352"/>
    <w:rsid w:val="006E24B4"/>
    <w:rsid w:val="006E269F"/>
    <w:rsid w:val="006E2711"/>
    <w:rsid w:val="006E2C92"/>
    <w:rsid w:val="006E2E2A"/>
    <w:rsid w:val="006E35BE"/>
    <w:rsid w:val="006E3CA1"/>
    <w:rsid w:val="006E3D61"/>
    <w:rsid w:val="006E4A12"/>
    <w:rsid w:val="006E5526"/>
    <w:rsid w:val="006E684D"/>
    <w:rsid w:val="006E6D7A"/>
    <w:rsid w:val="006E6F36"/>
    <w:rsid w:val="006E79E3"/>
    <w:rsid w:val="006E7D04"/>
    <w:rsid w:val="006F082E"/>
    <w:rsid w:val="006F0AF4"/>
    <w:rsid w:val="006F0E6F"/>
    <w:rsid w:val="006F1BA1"/>
    <w:rsid w:val="006F2308"/>
    <w:rsid w:val="006F25CF"/>
    <w:rsid w:val="006F29D6"/>
    <w:rsid w:val="006F30CE"/>
    <w:rsid w:val="006F3800"/>
    <w:rsid w:val="006F39DD"/>
    <w:rsid w:val="006F3C7E"/>
    <w:rsid w:val="006F3E66"/>
    <w:rsid w:val="006F42AF"/>
    <w:rsid w:val="006F440A"/>
    <w:rsid w:val="006F4827"/>
    <w:rsid w:val="006F5142"/>
    <w:rsid w:val="006F54B4"/>
    <w:rsid w:val="006F6123"/>
    <w:rsid w:val="006F66A5"/>
    <w:rsid w:val="006F70BF"/>
    <w:rsid w:val="006F7BDC"/>
    <w:rsid w:val="006F7DEE"/>
    <w:rsid w:val="006F7F49"/>
    <w:rsid w:val="007008E1"/>
    <w:rsid w:val="00700EE6"/>
    <w:rsid w:val="00701317"/>
    <w:rsid w:val="0070135E"/>
    <w:rsid w:val="00701530"/>
    <w:rsid w:val="0070187A"/>
    <w:rsid w:val="00701B62"/>
    <w:rsid w:val="00701D55"/>
    <w:rsid w:val="00702A9B"/>
    <w:rsid w:val="00703174"/>
    <w:rsid w:val="007032F4"/>
    <w:rsid w:val="00704175"/>
    <w:rsid w:val="00704190"/>
    <w:rsid w:val="00704320"/>
    <w:rsid w:val="00704F3A"/>
    <w:rsid w:val="007053D1"/>
    <w:rsid w:val="00706227"/>
    <w:rsid w:val="007075EE"/>
    <w:rsid w:val="00707AEE"/>
    <w:rsid w:val="007102A7"/>
    <w:rsid w:val="00710431"/>
    <w:rsid w:val="00710600"/>
    <w:rsid w:val="00710708"/>
    <w:rsid w:val="00710AA4"/>
    <w:rsid w:val="0071134D"/>
    <w:rsid w:val="00711445"/>
    <w:rsid w:val="007117DB"/>
    <w:rsid w:val="00711813"/>
    <w:rsid w:val="0071183C"/>
    <w:rsid w:val="00711DDC"/>
    <w:rsid w:val="0071247A"/>
    <w:rsid w:val="0071277E"/>
    <w:rsid w:val="00712CE1"/>
    <w:rsid w:val="0071343F"/>
    <w:rsid w:val="00713530"/>
    <w:rsid w:val="00714DEB"/>
    <w:rsid w:val="007151E3"/>
    <w:rsid w:val="007167BA"/>
    <w:rsid w:val="00716883"/>
    <w:rsid w:val="007177F0"/>
    <w:rsid w:val="00717DB5"/>
    <w:rsid w:val="007201F6"/>
    <w:rsid w:val="007201FF"/>
    <w:rsid w:val="00720465"/>
    <w:rsid w:val="00720A92"/>
    <w:rsid w:val="00720B1D"/>
    <w:rsid w:val="00720B33"/>
    <w:rsid w:val="00720C39"/>
    <w:rsid w:val="0072195E"/>
    <w:rsid w:val="00721C61"/>
    <w:rsid w:val="00722591"/>
    <w:rsid w:val="00722D4C"/>
    <w:rsid w:val="00723A56"/>
    <w:rsid w:val="00723C08"/>
    <w:rsid w:val="00723EE1"/>
    <w:rsid w:val="00724308"/>
    <w:rsid w:val="00724357"/>
    <w:rsid w:val="00724D2F"/>
    <w:rsid w:val="0072525D"/>
    <w:rsid w:val="00725C0B"/>
    <w:rsid w:val="00725E43"/>
    <w:rsid w:val="00726A78"/>
    <w:rsid w:val="00727674"/>
    <w:rsid w:val="00730541"/>
    <w:rsid w:val="00730542"/>
    <w:rsid w:val="00730EC3"/>
    <w:rsid w:val="00730F7F"/>
    <w:rsid w:val="007312AF"/>
    <w:rsid w:val="00731329"/>
    <w:rsid w:val="00731E9F"/>
    <w:rsid w:val="007321B2"/>
    <w:rsid w:val="00732369"/>
    <w:rsid w:val="00732B11"/>
    <w:rsid w:val="00732D4E"/>
    <w:rsid w:val="00733134"/>
    <w:rsid w:val="007347A1"/>
    <w:rsid w:val="00735BCE"/>
    <w:rsid w:val="007364D8"/>
    <w:rsid w:val="00736759"/>
    <w:rsid w:val="00737545"/>
    <w:rsid w:val="00737842"/>
    <w:rsid w:val="00737B5F"/>
    <w:rsid w:val="007403F4"/>
    <w:rsid w:val="0074040E"/>
    <w:rsid w:val="00740B96"/>
    <w:rsid w:val="00740DD5"/>
    <w:rsid w:val="00741323"/>
    <w:rsid w:val="007416FA"/>
    <w:rsid w:val="00741D0C"/>
    <w:rsid w:val="00742495"/>
    <w:rsid w:val="00742721"/>
    <w:rsid w:val="007441D6"/>
    <w:rsid w:val="00744A55"/>
    <w:rsid w:val="00745100"/>
    <w:rsid w:val="00745704"/>
    <w:rsid w:val="0074579E"/>
    <w:rsid w:val="00745F3B"/>
    <w:rsid w:val="007470D4"/>
    <w:rsid w:val="00750B02"/>
    <w:rsid w:val="00751500"/>
    <w:rsid w:val="00751C7B"/>
    <w:rsid w:val="0075252B"/>
    <w:rsid w:val="00752DD1"/>
    <w:rsid w:val="00753B4A"/>
    <w:rsid w:val="00753C48"/>
    <w:rsid w:val="007549E7"/>
    <w:rsid w:val="00754BD5"/>
    <w:rsid w:val="00756239"/>
    <w:rsid w:val="00756516"/>
    <w:rsid w:val="00756699"/>
    <w:rsid w:val="00756E66"/>
    <w:rsid w:val="00757D07"/>
    <w:rsid w:val="007602A6"/>
    <w:rsid w:val="007612F0"/>
    <w:rsid w:val="007615A5"/>
    <w:rsid w:val="00761A7B"/>
    <w:rsid w:val="00761A83"/>
    <w:rsid w:val="00762324"/>
    <w:rsid w:val="0076280E"/>
    <w:rsid w:val="007629B0"/>
    <w:rsid w:val="00762D95"/>
    <w:rsid w:val="00762F3C"/>
    <w:rsid w:val="00763078"/>
    <w:rsid w:val="007639FB"/>
    <w:rsid w:val="00765B5D"/>
    <w:rsid w:val="007663C0"/>
    <w:rsid w:val="00766482"/>
    <w:rsid w:val="00767678"/>
    <w:rsid w:val="00767964"/>
    <w:rsid w:val="00767FC9"/>
    <w:rsid w:val="0077134F"/>
    <w:rsid w:val="0077137C"/>
    <w:rsid w:val="007716D6"/>
    <w:rsid w:val="007717E3"/>
    <w:rsid w:val="007727E1"/>
    <w:rsid w:val="007731D7"/>
    <w:rsid w:val="007736CA"/>
    <w:rsid w:val="0077381F"/>
    <w:rsid w:val="00773ACE"/>
    <w:rsid w:val="007747DA"/>
    <w:rsid w:val="00774E63"/>
    <w:rsid w:val="007752E5"/>
    <w:rsid w:val="00775662"/>
    <w:rsid w:val="007756D0"/>
    <w:rsid w:val="0077596C"/>
    <w:rsid w:val="00776915"/>
    <w:rsid w:val="00776BA2"/>
    <w:rsid w:val="00776E60"/>
    <w:rsid w:val="00780192"/>
    <w:rsid w:val="007812FF"/>
    <w:rsid w:val="00781676"/>
    <w:rsid w:val="00781CC3"/>
    <w:rsid w:val="00781D89"/>
    <w:rsid w:val="00782196"/>
    <w:rsid w:val="007823A1"/>
    <w:rsid w:val="00782523"/>
    <w:rsid w:val="007827F1"/>
    <w:rsid w:val="0078399E"/>
    <w:rsid w:val="00783BB6"/>
    <w:rsid w:val="00783CD7"/>
    <w:rsid w:val="007842B2"/>
    <w:rsid w:val="00784379"/>
    <w:rsid w:val="007847AE"/>
    <w:rsid w:val="00785607"/>
    <w:rsid w:val="00785693"/>
    <w:rsid w:val="00785C07"/>
    <w:rsid w:val="0078605E"/>
    <w:rsid w:val="007863A6"/>
    <w:rsid w:val="00786534"/>
    <w:rsid w:val="00786745"/>
    <w:rsid w:val="0078752F"/>
    <w:rsid w:val="007875E8"/>
    <w:rsid w:val="00787D32"/>
    <w:rsid w:val="00787DA1"/>
    <w:rsid w:val="00787E8D"/>
    <w:rsid w:val="007901EA"/>
    <w:rsid w:val="007904BA"/>
    <w:rsid w:val="007909B4"/>
    <w:rsid w:val="00790BC2"/>
    <w:rsid w:val="00790F08"/>
    <w:rsid w:val="00791C75"/>
    <w:rsid w:val="00791FDD"/>
    <w:rsid w:val="00792833"/>
    <w:rsid w:val="00792E0E"/>
    <w:rsid w:val="00792EDE"/>
    <w:rsid w:val="00792F97"/>
    <w:rsid w:val="00792FB0"/>
    <w:rsid w:val="0079322E"/>
    <w:rsid w:val="00793688"/>
    <w:rsid w:val="0079581A"/>
    <w:rsid w:val="00795A14"/>
    <w:rsid w:val="00795BDC"/>
    <w:rsid w:val="007966C8"/>
    <w:rsid w:val="00797B0A"/>
    <w:rsid w:val="00797E1C"/>
    <w:rsid w:val="007A11FA"/>
    <w:rsid w:val="007A1C54"/>
    <w:rsid w:val="007A1DFA"/>
    <w:rsid w:val="007A221D"/>
    <w:rsid w:val="007A2364"/>
    <w:rsid w:val="007A274C"/>
    <w:rsid w:val="007A2D42"/>
    <w:rsid w:val="007A2DCD"/>
    <w:rsid w:val="007A3ABB"/>
    <w:rsid w:val="007A3DD6"/>
    <w:rsid w:val="007A4114"/>
    <w:rsid w:val="007A5DC9"/>
    <w:rsid w:val="007A607B"/>
    <w:rsid w:val="007A65D2"/>
    <w:rsid w:val="007A6DD1"/>
    <w:rsid w:val="007A7173"/>
    <w:rsid w:val="007A73B9"/>
    <w:rsid w:val="007A781C"/>
    <w:rsid w:val="007B051F"/>
    <w:rsid w:val="007B0B1C"/>
    <w:rsid w:val="007B17C9"/>
    <w:rsid w:val="007B18DC"/>
    <w:rsid w:val="007B19B0"/>
    <w:rsid w:val="007B1A1A"/>
    <w:rsid w:val="007B1BE1"/>
    <w:rsid w:val="007B1E14"/>
    <w:rsid w:val="007B2187"/>
    <w:rsid w:val="007B259B"/>
    <w:rsid w:val="007B28FB"/>
    <w:rsid w:val="007B2C39"/>
    <w:rsid w:val="007B2CA8"/>
    <w:rsid w:val="007B389D"/>
    <w:rsid w:val="007B490A"/>
    <w:rsid w:val="007B4A91"/>
    <w:rsid w:val="007B5669"/>
    <w:rsid w:val="007B5778"/>
    <w:rsid w:val="007B5993"/>
    <w:rsid w:val="007B5A0E"/>
    <w:rsid w:val="007B6A9E"/>
    <w:rsid w:val="007B6BB2"/>
    <w:rsid w:val="007B766E"/>
    <w:rsid w:val="007C0420"/>
    <w:rsid w:val="007C08FB"/>
    <w:rsid w:val="007C0948"/>
    <w:rsid w:val="007C0A9C"/>
    <w:rsid w:val="007C23D5"/>
    <w:rsid w:val="007C2FD5"/>
    <w:rsid w:val="007C42C9"/>
    <w:rsid w:val="007C4728"/>
    <w:rsid w:val="007C51E7"/>
    <w:rsid w:val="007C520E"/>
    <w:rsid w:val="007C5908"/>
    <w:rsid w:val="007C5BA8"/>
    <w:rsid w:val="007C5C99"/>
    <w:rsid w:val="007C5DFB"/>
    <w:rsid w:val="007C5EF1"/>
    <w:rsid w:val="007C5F91"/>
    <w:rsid w:val="007C6104"/>
    <w:rsid w:val="007C63BF"/>
    <w:rsid w:val="007C6955"/>
    <w:rsid w:val="007C69CA"/>
    <w:rsid w:val="007C6A13"/>
    <w:rsid w:val="007C6DD2"/>
    <w:rsid w:val="007C7522"/>
    <w:rsid w:val="007C75EC"/>
    <w:rsid w:val="007C7C26"/>
    <w:rsid w:val="007D0031"/>
    <w:rsid w:val="007D06F8"/>
    <w:rsid w:val="007D21B5"/>
    <w:rsid w:val="007D27CE"/>
    <w:rsid w:val="007D2FBF"/>
    <w:rsid w:val="007D39D3"/>
    <w:rsid w:val="007D3D87"/>
    <w:rsid w:val="007D41DE"/>
    <w:rsid w:val="007D4BB3"/>
    <w:rsid w:val="007D53F8"/>
    <w:rsid w:val="007D568C"/>
    <w:rsid w:val="007D5BC7"/>
    <w:rsid w:val="007D5F8D"/>
    <w:rsid w:val="007D747E"/>
    <w:rsid w:val="007D7E33"/>
    <w:rsid w:val="007E0C11"/>
    <w:rsid w:val="007E1A9E"/>
    <w:rsid w:val="007E23FD"/>
    <w:rsid w:val="007E2791"/>
    <w:rsid w:val="007E2D8C"/>
    <w:rsid w:val="007E30A1"/>
    <w:rsid w:val="007E36F4"/>
    <w:rsid w:val="007E3C96"/>
    <w:rsid w:val="007E3F65"/>
    <w:rsid w:val="007E463C"/>
    <w:rsid w:val="007E46D9"/>
    <w:rsid w:val="007E47A9"/>
    <w:rsid w:val="007E4A5B"/>
    <w:rsid w:val="007E4C44"/>
    <w:rsid w:val="007E4D6F"/>
    <w:rsid w:val="007E51E3"/>
    <w:rsid w:val="007E5C2D"/>
    <w:rsid w:val="007E6DE2"/>
    <w:rsid w:val="007E6F02"/>
    <w:rsid w:val="007E70C0"/>
    <w:rsid w:val="007E75FD"/>
    <w:rsid w:val="007E7932"/>
    <w:rsid w:val="007E7B96"/>
    <w:rsid w:val="007F022A"/>
    <w:rsid w:val="007F030C"/>
    <w:rsid w:val="007F0C5E"/>
    <w:rsid w:val="007F0C80"/>
    <w:rsid w:val="007F171E"/>
    <w:rsid w:val="007F26B4"/>
    <w:rsid w:val="007F2A99"/>
    <w:rsid w:val="007F34F5"/>
    <w:rsid w:val="007F35FA"/>
    <w:rsid w:val="007F37B1"/>
    <w:rsid w:val="007F3D77"/>
    <w:rsid w:val="007F53DD"/>
    <w:rsid w:val="007F54BA"/>
    <w:rsid w:val="007F578C"/>
    <w:rsid w:val="007F581D"/>
    <w:rsid w:val="007F58ED"/>
    <w:rsid w:val="007F5EF3"/>
    <w:rsid w:val="007F5FD7"/>
    <w:rsid w:val="007F652F"/>
    <w:rsid w:val="007F723A"/>
    <w:rsid w:val="007F7828"/>
    <w:rsid w:val="0080078C"/>
    <w:rsid w:val="008014F1"/>
    <w:rsid w:val="00801880"/>
    <w:rsid w:val="00802EAF"/>
    <w:rsid w:val="00803454"/>
    <w:rsid w:val="00804149"/>
    <w:rsid w:val="0080435A"/>
    <w:rsid w:val="008051C8"/>
    <w:rsid w:val="008057EB"/>
    <w:rsid w:val="00805BA6"/>
    <w:rsid w:val="00805EE6"/>
    <w:rsid w:val="00806383"/>
    <w:rsid w:val="0080659F"/>
    <w:rsid w:val="00806655"/>
    <w:rsid w:val="0080783E"/>
    <w:rsid w:val="0080787A"/>
    <w:rsid w:val="00807F93"/>
    <w:rsid w:val="008102AB"/>
    <w:rsid w:val="00810746"/>
    <w:rsid w:val="008110D2"/>
    <w:rsid w:val="008114CC"/>
    <w:rsid w:val="0081162A"/>
    <w:rsid w:val="0081186C"/>
    <w:rsid w:val="00811EB1"/>
    <w:rsid w:val="00812280"/>
    <w:rsid w:val="00812870"/>
    <w:rsid w:val="00813094"/>
    <w:rsid w:val="00813180"/>
    <w:rsid w:val="008132FC"/>
    <w:rsid w:val="008133D8"/>
    <w:rsid w:val="008139B9"/>
    <w:rsid w:val="00813A48"/>
    <w:rsid w:val="00813BD6"/>
    <w:rsid w:val="008146CC"/>
    <w:rsid w:val="0081526B"/>
    <w:rsid w:val="008152D9"/>
    <w:rsid w:val="008156FB"/>
    <w:rsid w:val="00815F48"/>
    <w:rsid w:val="00817A07"/>
    <w:rsid w:val="00817A2A"/>
    <w:rsid w:val="0082027A"/>
    <w:rsid w:val="00820282"/>
    <w:rsid w:val="0082044F"/>
    <w:rsid w:val="00820846"/>
    <w:rsid w:val="008208A0"/>
    <w:rsid w:val="00820DAE"/>
    <w:rsid w:val="0082146C"/>
    <w:rsid w:val="00821C4D"/>
    <w:rsid w:val="00822A1D"/>
    <w:rsid w:val="008236C5"/>
    <w:rsid w:val="00823BF0"/>
    <w:rsid w:val="00823CFB"/>
    <w:rsid w:val="008241C5"/>
    <w:rsid w:val="00824E87"/>
    <w:rsid w:val="00825C71"/>
    <w:rsid w:val="00825E34"/>
    <w:rsid w:val="00826138"/>
    <w:rsid w:val="008261C6"/>
    <w:rsid w:val="008264E8"/>
    <w:rsid w:val="008269FB"/>
    <w:rsid w:val="00826B6E"/>
    <w:rsid w:val="00826CAF"/>
    <w:rsid w:val="00826E9B"/>
    <w:rsid w:val="00827052"/>
    <w:rsid w:val="00830460"/>
    <w:rsid w:val="00830945"/>
    <w:rsid w:val="00832149"/>
    <w:rsid w:val="00832314"/>
    <w:rsid w:val="0083250F"/>
    <w:rsid w:val="008325CD"/>
    <w:rsid w:val="00833AB8"/>
    <w:rsid w:val="008341C3"/>
    <w:rsid w:val="008341E5"/>
    <w:rsid w:val="008354E9"/>
    <w:rsid w:val="00835758"/>
    <w:rsid w:val="00835817"/>
    <w:rsid w:val="00835991"/>
    <w:rsid w:val="008360EA"/>
    <w:rsid w:val="008360F3"/>
    <w:rsid w:val="0083696C"/>
    <w:rsid w:val="00836E81"/>
    <w:rsid w:val="008370DA"/>
    <w:rsid w:val="008371E5"/>
    <w:rsid w:val="0083728F"/>
    <w:rsid w:val="00837D3B"/>
    <w:rsid w:val="008407B4"/>
    <w:rsid w:val="0084092E"/>
    <w:rsid w:val="008413F6"/>
    <w:rsid w:val="00841D7A"/>
    <w:rsid w:val="00842BED"/>
    <w:rsid w:val="00844126"/>
    <w:rsid w:val="00844916"/>
    <w:rsid w:val="00844970"/>
    <w:rsid w:val="00845383"/>
    <w:rsid w:val="008455F4"/>
    <w:rsid w:val="00845641"/>
    <w:rsid w:val="00845A57"/>
    <w:rsid w:val="00845B7E"/>
    <w:rsid w:val="00845BD5"/>
    <w:rsid w:val="008462BB"/>
    <w:rsid w:val="00846722"/>
    <w:rsid w:val="00846B21"/>
    <w:rsid w:val="00846E9A"/>
    <w:rsid w:val="008471E0"/>
    <w:rsid w:val="0084723F"/>
    <w:rsid w:val="00847383"/>
    <w:rsid w:val="008473D0"/>
    <w:rsid w:val="008474EF"/>
    <w:rsid w:val="008477F7"/>
    <w:rsid w:val="00847F74"/>
    <w:rsid w:val="00850296"/>
    <w:rsid w:val="00850305"/>
    <w:rsid w:val="008507DD"/>
    <w:rsid w:val="00850E85"/>
    <w:rsid w:val="00850FDB"/>
    <w:rsid w:val="00851E93"/>
    <w:rsid w:val="00853634"/>
    <w:rsid w:val="00853715"/>
    <w:rsid w:val="00853A31"/>
    <w:rsid w:val="00854630"/>
    <w:rsid w:val="00854D38"/>
    <w:rsid w:val="008551E5"/>
    <w:rsid w:val="00855530"/>
    <w:rsid w:val="00856C0C"/>
    <w:rsid w:val="00856E59"/>
    <w:rsid w:val="00857055"/>
    <w:rsid w:val="008578DC"/>
    <w:rsid w:val="00857A2E"/>
    <w:rsid w:val="00860528"/>
    <w:rsid w:val="00860A5E"/>
    <w:rsid w:val="00860AFD"/>
    <w:rsid w:val="008612DD"/>
    <w:rsid w:val="00861B88"/>
    <w:rsid w:val="0086201E"/>
    <w:rsid w:val="0086282E"/>
    <w:rsid w:val="00862BFA"/>
    <w:rsid w:val="008637D3"/>
    <w:rsid w:val="00863A5E"/>
    <w:rsid w:val="00863BC7"/>
    <w:rsid w:val="00863EC7"/>
    <w:rsid w:val="00864474"/>
    <w:rsid w:val="008646A2"/>
    <w:rsid w:val="00864D3E"/>
    <w:rsid w:val="008653A1"/>
    <w:rsid w:val="00865734"/>
    <w:rsid w:val="00865786"/>
    <w:rsid w:val="00865C45"/>
    <w:rsid w:val="00865D7F"/>
    <w:rsid w:val="00866A67"/>
    <w:rsid w:val="00867B15"/>
    <w:rsid w:val="00867D0C"/>
    <w:rsid w:val="0087128B"/>
    <w:rsid w:val="00871639"/>
    <w:rsid w:val="00871974"/>
    <w:rsid w:val="00871ACD"/>
    <w:rsid w:val="00871E4E"/>
    <w:rsid w:val="00871EAD"/>
    <w:rsid w:val="00872597"/>
    <w:rsid w:val="0087281D"/>
    <w:rsid w:val="00872B68"/>
    <w:rsid w:val="00872DA6"/>
    <w:rsid w:val="00873611"/>
    <w:rsid w:val="008736CC"/>
    <w:rsid w:val="008745AC"/>
    <w:rsid w:val="00874804"/>
    <w:rsid w:val="008758F1"/>
    <w:rsid w:val="00875ACC"/>
    <w:rsid w:val="00875FEE"/>
    <w:rsid w:val="008763BA"/>
    <w:rsid w:val="008768DE"/>
    <w:rsid w:val="00876B19"/>
    <w:rsid w:val="00876FB3"/>
    <w:rsid w:val="008770F5"/>
    <w:rsid w:val="008771F2"/>
    <w:rsid w:val="00877ABE"/>
    <w:rsid w:val="00880157"/>
    <w:rsid w:val="008801AF"/>
    <w:rsid w:val="008805B4"/>
    <w:rsid w:val="008808EF"/>
    <w:rsid w:val="00881850"/>
    <w:rsid w:val="008819DC"/>
    <w:rsid w:val="00882209"/>
    <w:rsid w:val="00882A86"/>
    <w:rsid w:val="00883315"/>
    <w:rsid w:val="008835DF"/>
    <w:rsid w:val="00883AB3"/>
    <w:rsid w:val="00884342"/>
    <w:rsid w:val="00884A36"/>
    <w:rsid w:val="00884C9C"/>
    <w:rsid w:val="008850B1"/>
    <w:rsid w:val="00885A9B"/>
    <w:rsid w:val="00885E75"/>
    <w:rsid w:val="00885EBC"/>
    <w:rsid w:val="00885F16"/>
    <w:rsid w:val="008860B6"/>
    <w:rsid w:val="008861CC"/>
    <w:rsid w:val="008861D0"/>
    <w:rsid w:val="00886D0F"/>
    <w:rsid w:val="0088743B"/>
    <w:rsid w:val="0088760C"/>
    <w:rsid w:val="0088778C"/>
    <w:rsid w:val="00887A11"/>
    <w:rsid w:val="00890041"/>
    <w:rsid w:val="00890135"/>
    <w:rsid w:val="00890653"/>
    <w:rsid w:val="00891A11"/>
    <w:rsid w:val="00891B73"/>
    <w:rsid w:val="00891E9B"/>
    <w:rsid w:val="008920A7"/>
    <w:rsid w:val="00893C5A"/>
    <w:rsid w:val="0089428C"/>
    <w:rsid w:val="008950A5"/>
    <w:rsid w:val="00895989"/>
    <w:rsid w:val="00897544"/>
    <w:rsid w:val="008975C1"/>
    <w:rsid w:val="0089781B"/>
    <w:rsid w:val="00897E2F"/>
    <w:rsid w:val="00897EAF"/>
    <w:rsid w:val="008A08A8"/>
    <w:rsid w:val="008A0936"/>
    <w:rsid w:val="008A0E80"/>
    <w:rsid w:val="008A1566"/>
    <w:rsid w:val="008A18FD"/>
    <w:rsid w:val="008A1996"/>
    <w:rsid w:val="008A1D0B"/>
    <w:rsid w:val="008A1D25"/>
    <w:rsid w:val="008A1D8D"/>
    <w:rsid w:val="008A1FAA"/>
    <w:rsid w:val="008A2A40"/>
    <w:rsid w:val="008A2EDD"/>
    <w:rsid w:val="008A3117"/>
    <w:rsid w:val="008A32C3"/>
    <w:rsid w:val="008A356F"/>
    <w:rsid w:val="008A3774"/>
    <w:rsid w:val="008A4300"/>
    <w:rsid w:val="008A557A"/>
    <w:rsid w:val="008A69EF"/>
    <w:rsid w:val="008A6AF4"/>
    <w:rsid w:val="008A6E80"/>
    <w:rsid w:val="008A7407"/>
    <w:rsid w:val="008A788D"/>
    <w:rsid w:val="008B099A"/>
    <w:rsid w:val="008B10FD"/>
    <w:rsid w:val="008B1971"/>
    <w:rsid w:val="008B1AE9"/>
    <w:rsid w:val="008B1D0B"/>
    <w:rsid w:val="008B1F4A"/>
    <w:rsid w:val="008B25DF"/>
    <w:rsid w:val="008B2A48"/>
    <w:rsid w:val="008B394D"/>
    <w:rsid w:val="008B3A55"/>
    <w:rsid w:val="008B3F1E"/>
    <w:rsid w:val="008B44ED"/>
    <w:rsid w:val="008B498C"/>
    <w:rsid w:val="008B59AC"/>
    <w:rsid w:val="008B5B65"/>
    <w:rsid w:val="008B5E57"/>
    <w:rsid w:val="008B646D"/>
    <w:rsid w:val="008B6E64"/>
    <w:rsid w:val="008C0938"/>
    <w:rsid w:val="008C09A7"/>
    <w:rsid w:val="008C09B8"/>
    <w:rsid w:val="008C0CF5"/>
    <w:rsid w:val="008C0D21"/>
    <w:rsid w:val="008C1C3F"/>
    <w:rsid w:val="008C1D33"/>
    <w:rsid w:val="008C2CB4"/>
    <w:rsid w:val="008C340A"/>
    <w:rsid w:val="008C4C77"/>
    <w:rsid w:val="008C5E07"/>
    <w:rsid w:val="008C6A3F"/>
    <w:rsid w:val="008C7FD9"/>
    <w:rsid w:val="008D059F"/>
    <w:rsid w:val="008D1147"/>
    <w:rsid w:val="008D1525"/>
    <w:rsid w:val="008D1C9D"/>
    <w:rsid w:val="008D21A0"/>
    <w:rsid w:val="008D3A2C"/>
    <w:rsid w:val="008D3DC7"/>
    <w:rsid w:val="008D46C4"/>
    <w:rsid w:val="008D58EC"/>
    <w:rsid w:val="008D5C15"/>
    <w:rsid w:val="008D5CB8"/>
    <w:rsid w:val="008D76A0"/>
    <w:rsid w:val="008E0671"/>
    <w:rsid w:val="008E084F"/>
    <w:rsid w:val="008E0AD3"/>
    <w:rsid w:val="008E0B0C"/>
    <w:rsid w:val="008E0BDC"/>
    <w:rsid w:val="008E10B1"/>
    <w:rsid w:val="008E11EC"/>
    <w:rsid w:val="008E130E"/>
    <w:rsid w:val="008E2155"/>
    <w:rsid w:val="008E238D"/>
    <w:rsid w:val="008E2D0A"/>
    <w:rsid w:val="008E2F26"/>
    <w:rsid w:val="008E35F8"/>
    <w:rsid w:val="008E3700"/>
    <w:rsid w:val="008E3AF0"/>
    <w:rsid w:val="008E3CDA"/>
    <w:rsid w:val="008E4588"/>
    <w:rsid w:val="008E574D"/>
    <w:rsid w:val="008E5CBE"/>
    <w:rsid w:val="008E5EC9"/>
    <w:rsid w:val="008E621D"/>
    <w:rsid w:val="008E64EE"/>
    <w:rsid w:val="008E745C"/>
    <w:rsid w:val="008E77A3"/>
    <w:rsid w:val="008F1738"/>
    <w:rsid w:val="008F233E"/>
    <w:rsid w:val="008F2CC6"/>
    <w:rsid w:val="008F2D8A"/>
    <w:rsid w:val="008F3198"/>
    <w:rsid w:val="008F3EE3"/>
    <w:rsid w:val="008F41F6"/>
    <w:rsid w:val="008F465A"/>
    <w:rsid w:val="008F4ADB"/>
    <w:rsid w:val="008F4D6A"/>
    <w:rsid w:val="008F4FCF"/>
    <w:rsid w:val="008F5331"/>
    <w:rsid w:val="008F5F96"/>
    <w:rsid w:val="008F613A"/>
    <w:rsid w:val="008F6B79"/>
    <w:rsid w:val="008F6D6C"/>
    <w:rsid w:val="008F6E85"/>
    <w:rsid w:val="008F7681"/>
    <w:rsid w:val="00900F0B"/>
    <w:rsid w:val="00900F31"/>
    <w:rsid w:val="009016E9"/>
    <w:rsid w:val="00901825"/>
    <w:rsid w:val="00901B3A"/>
    <w:rsid w:val="00901D7D"/>
    <w:rsid w:val="00901EFB"/>
    <w:rsid w:val="009024D3"/>
    <w:rsid w:val="00902632"/>
    <w:rsid w:val="009026EF"/>
    <w:rsid w:val="009039C7"/>
    <w:rsid w:val="00903F23"/>
    <w:rsid w:val="0090405F"/>
    <w:rsid w:val="0090476A"/>
    <w:rsid w:val="009047A1"/>
    <w:rsid w:val="00904FE7"/>
    <w:rsid w:val="00905ACF"/>
    <w:rsid w:val="0090607B"/>
    <w:rsid w:val="0090609B"/>
    <w:rsid w:val="009077B5"/>
    <w:rsid w:val="0090786E"/>
    <w:rsid w:val="00907CBE"/>
    <w:rsid w:val="00910020"/>
    <w:rsid w:val="0091049B"/>
    <w:rsid w:val="009105C9"/>
    <w:rsid w:val="00910876"/>
    <w:rsid w:val="00910FE0"/>
    <w:rsid w:val="009114A5"/>
    <w:rsid w:val="00911692"/>
    <w:rsid w:val="009116B1"/>
    <w:rsid w:val="00911B0F"/>
    <w:rsid w:val="00912C31"/>
    <w:rsid w:val="00913110"/>
    <w:rsid w:val="00913A68"/>
    <w:rsid w:val="00914B4F"/>
    <w:rsid w:val="00915E5C"/>
    <w:rsid w:val="009164D6"/>
    <w:rsid w:val="00916E28"/>
    <w:rsid w:val="00916EC7"/>
    <w:rsid w:val="00917068"/>
    <w:rsid w:val="0091757A"/>
    <w:rsid w:val="009177D7"/>
    <w:rsid w:val="00917F08"/>
    <w:rsid w:val="009215DC"/>
    <w:rsid w:val="00921AE3"/>
    <w:rsid w:val="00921D15"/>
    <w:rsid w:val="00922773"/>
    <w:rsid w:val="00922E04"/>
    <w:rsid w:val="009231F3"/>
    <w:rsid w:val="00924495"/>
    <w:rsid w:val="00924555"/>
    <w:rsid w:val="009248F9"/>
    <w:rsid w:val="009252B1"/>
    <w:rsid w:val="00925362"/>
    <w:rsid w:val="0092568A"/>
    <w:rsid w:val="00925866"/>
    <w:rsid w:val="00925941"/>
    <w:rsid w:val="00926207"/>
    <w:rsid w:val="0092629C"/>
    <w:rsid w:val="00926574"/>
    <w:rsid w:val="00927049"/>
    <w:rsid w:val="009270E8"/>
    <w:rsid w:val="00927D1C"/>
    <w:rsid w:val="00931018"/>
    <w:rsid w:val="009316F3"/>
    <w:rsid w:val="00931F64"/>
    <w:rsid w:val="009329D9"/>
    <w:rsid w:val="0093354C"/>
    <w:rsid w:val="00933BA7"/>
    <w:rsid w:val="00933C0C"/>
    <w:rsid w:val="00934469"/>
    <w:rsid w:val="0093447D"/>
    <w:rsid w:val="009345A5"/>
    <w:rsid w:val="00934D3C"/>
    <w:rsid w:val="0093543F"/>
    <w:rsid w:val="009357D3"/>
    <w:rsid w:val="00935978"/>
    <w:rsid w:val="00935AE2"/>
    <w:rsid w:val="00935FAB"/>
    <w:rsid w:val="00936628"/>
    <w:rsid w:val="0093714B"/>
    <w:rsid w:val="009372BF"/>
    <w:rsid w:val="0093787F"/>
    <w:rsid w:val="00937B5F"/>
    <w:rsid w:val="00937BB1"/>
    <w:rsid w:val="009407B3"/>
    <w:rsid w:val="0094090F"/>
    <w:rsid w:val="00941596"/>
    <w:rsid w:val="009415A2"/>
    <w:rsid w:val="0094243D"/>
    <w:rsid w:val="009429C3"/>
    <w:rsid w:val="00942E76"/>
    <w:rsid w:val="00943330"/>
    <w:rsid w:val="009435B9"/>
    <w:rsid w:val="00943EB4"/>
    <w:rsid w:val="00943FE3"/>
    <w:rsid w:val="009442AD"/>
    <w:rsid w:val="009449EA"/>
    <w:rsid w:val="00944C47"/>
    <w:rsid w:val="00944E31"/>
    <w:rsid w:val="0094547E"/>
    <w:rsid w:val="00945B80"/>
    <w:rsid w:val="00945DC4"/>
    <w:rsid w:val="009462ED"/>
    <w:rsid w:val="0094636A"/>
    <w:rsid w:val="00946F02"/>
    <w:rsid w:val="00947B52"/>
    <w:rsid w:val="0095014C"/>
    <w:rsid w:val="00950206"/>
    <w:rsid w:val="00950667"/>
    <w:rsid w:val="00950AAA"/>
    <w:rsid w:val="00950D21"/>
    <w:rsid w:val="00950FC7"/>
    <w:rsid w:val="00951010"/>
    <w:rsid w:val="00951117"/>
    <w:rsid w:val="00951135"/>
    <w:rsid w:val="00951B5F"/>
    <w:rsid w:val="00951F70"/>
    <w:rsid w:val="009523C9"/>
    <w:rsid w:val="0095263E"/>
    <w:rsid w:val="00952978"/>
    <w:rsid w:val="00953162"/>
    <w:rsid w:val="009534FE"/>
    <w:rsid w:val="00953544"/>
    <w:rsid w:val="00953C24"/>
    <w:rsid w:val="00953D39"/>
    <w:rsid w:val="009541F5"/>
    <w:rsid w:val="00954FD7"/>
    <w:rsid w:val="00955BFC"/>
    <w:rsid w:val="00956702"/>
    <w:rsid w:val="00960489"/>
    <w:rsid w:val="00961687"/>
    <w:rsid w:val="00962EAB"/>
    <w:rsid w:val="009637AF"/>
    <w:rsid w:val="00963CA4"/>
    <w:rsid w:val="00963D54"/>
    <w:rsid w:val="009649B0"/>
    <w:rsid w:val="00965442"/>
    <w:rsid w:val="00965B4F"/>
    <w:rsid w:val="009661D0"/>
    <w:rsid w:val="009665DE"/>
    <w:rsid w:val="00966A44"/>
    <w:rsid w:val="009674F0"/>
    <w:rsid w:val="00967FC4"/>
    <w:rsid w:val="009702F8"/>
    <w:rsid w:val="0097081F"/>
    <w:rsid w:val="009710E1"/>
    <w:rsid w:val="009713DD"/>
    <w:rsid w:val="00972268"/>
    <w:rsid w:val="00972A53"/>
    <w:rsid w:val="00972AF3"/>
    <w:rsid w:val="00972C1C"/>
    <w:rsid w:val="00972FD7"/>
    <w:rsid w:val="009739FE"/>
    <w:rsid w:val="00973D95"/>
    <w:rsid w:val="009749F7"/>
    <w:rsid w:val="00974EA5"/>
    <w:rsid w:val="0097504B"/>
    <w:rsid w:val="00975B16"/>
    <w:rsid w:val="00975C73"/>
    <w:rsid w:val="00976E88"/>
    <w:rsid w:val="009777F6"/>
    <w:rsid w:val="00977B60"/>
    <w:rsid w:val="00980151"/>
    <w:rsid w:val="0098040D"/>
    <w:rsid w:val="00980635"/>
    <w:rsid w:val="00980B2A"/>
    <w:rsid w:val="00980E6A"/>
    <w:rsid w:val="00981957"/>
    <w:rsid w:val="00981DCD"/>
    <w:rsid w:val="0098200F"/>
    <w:rsid w:val="009825ED"/>
    <w:rsid w:val="00982AD3"/>
    <w:rsid w:val="00982AFF"/>
    <w:rsid w:val="00985681"/>
    <w:rsid w:val="009856BB"/>
    <w:rsid w:val="00985AB7"/>
    <w:rsid w:val="00985AFB"/>
    <w:rsid w:val="009862E6"/>
    <w:rsid w:val="00986676"/>
    <w:rsid w:val="009867C5"/>
    <w:rsid w:val="00986A45"/>
    <w:rsid w:val="00986A50"/>
    <w:rsid w:val="009901D4"/>
    <w:rsid w:val="00990446"/>
    <w:rsid w:val="00990A69"/>
    <w:rsid w:val="00991609"/>
    <w:rsid w:val="00991EA6"/>
    <w:rsid w:val="00992736"/>
    <w:rsid w:val="00992AD6"/>
    <w:rsid w:val="00992DF3"/>
    <w:rsid w:val="009938D1"/>
    <w:rsid w:val="00993E06"/>
    <w:rsid w:val="0099431D"/>
    <w:rsid w:val="00994630"/>
    <w:rsid w:val="0099473F"/>
    <w:rsid w:val="009951FE"/>
    <w:rsid w:val="0099546F"/>
    <w:rsid w:val="0099621A"/>
    <w:rsid w:val="00996324"/>
    <w:rsid w:val="00997895"/>
    <w:rsid w:val="009A0A21"/>
    <w:rsid w:val="009A11FD"/>
    <w:rsid w:val="009A1296"/>
    <w:rsid w:val="009A19F1"/>
    <w:rsid w:val="009A1C99"/>
    <w:rsid w:val="009A1E4D"/>
    <w:rsid w:val="009A333C"/>
    <w:rsid w:val="009A3C4C"/>
    <w:rsid w:val="009A3FC4"/>
    <w:rsid w:val="009A5531"/>
    <w:rsid w:val="009A558D"/>
    <w:rsid w:val="009A5AF6"/>
    <w:rsid w:val="009A5D54"/>
    <w:rsid w:val="009A5FDE"/>
    <w:rsid w:val="009A66B5"/>
    <w:rsid w:val="009A6E1E"/>
    <w:rsid w:val="009A7225"/>
    <w:rsid w:val="009A7F3B"/>
    <w:rsid w:val="009B00A1"/>
    <w:rsid w:val="009B02B5"/>
    <w:rsid w:val="009B032E"/>
    <w:rsid w:val="009B072E"/>
    <w:rsid w:val="009B088E"/>
    <w:rsid w:val="009B0E34"/>
    <w:rsid w:val="009B189B"/>
    <w:rsid w:val="009B2997"/>
    <w:rsid w:val="009B2F71"/>
    <w:rsid w:val="009B3221"/>
    <w:rsid w:val="009B3F1D"/>
    <w:rsid w:val="009B4350"/>
    <w:rsid w:val="009B4EB6"/>
    <w:rsid w:val="009B559B"/>
    <w:rsid w:val="009B6106"/>
    <w:rsid w:val="009B65FE"/>
    <w:rsid w:val="009B6E8D"/>
    <w:rsid w:val="009B70C7"/>
    <w:rsid w:val="009B718C"/>
    <w:rsid w:val="009B7847"/>
    <w:rsid w:val="009B7AD9"/>
    <w:rsid w:val="009C019D"/>
    <w:rsid w:val="009C0546"/>
    <w:rsid w:val="009C0A7F"/>
    <w:rsid w:val="009C0B2D"/>
    <w:rsid w:val="009C1353"/>
    <w:rsid w:val="009C1367"/>
    <w:rsid w:val="009C13F4"/>
    <w:rsid w:val="009C1DA6"/>
    <w:rsid w:val="009C211C"/>
    <w:rsid w:val="009C27DE"/>
    <w:rsid w:val="009C2E0E"/>
    <w:rsid w:val="009C2E17"/>
    <w:rsid w:val="009C2FDC"/>
    <w:rsid w:val="009C300E"/>
    <w:rsid w:val="009C32B4"/>
    <w:rsid w:val="009C355F"/>
    <w:rsid w:val="009C3638"/>
    <w:rsid w:val="009C3900"/>
    <w:rsid w:val="009C5A7D"/>
    <w:rsid w:val="009C5BB1"/>
    <w:rsid w:val="009C602F"/>
    <w:rsid w:val="009C6188"/>
    <w:rsid w:val="009C642D"/>
    <w:rsid w:val="009C64C0"/>
    <w:rsid w:val="009C7471"/>
    <w:rsid w:val="009D03D5"/>
    <w:rsid w:val="009D0989"/>
    <w:rsid w:val="009D0BD1"/>
    <w:rsid w:val="009D0BDF"/>
    <w:rsid w:val="009D0E58"/>
    <w:rsid w:val="009D15CE"/>
    <w:rsid w:val="009D1D98"/>
    <w:rsid w:val="009D2389"/>
    <w:rsid w:val="009D3102"/>
    <w:rsid w:val="009D3388"/>
    <w:rsid w:val="009D41A7"/>
    <w:rsid w:val="009D4577"/>
    <w:rsid w:val="009D4CF5"/>
    <w:rsid w:val="009D5270"/>
    <w:rsid w:val="009D5585"/>
    <w:rsid w:val="009D5707"/>
    <w:rsid w:val="009D5A74"/>
    <w:rsid w:val="009D640C"/>
    <w:rsid w:val="009D649B"/>
    <w:rsid w:val="009D68B8"/>
    <w:rsid w:val="009D720B"/>
    <w:rsid w:val="009D7627"/>
    <w:rsid w:val="009D7950"/>
    <w:rsid w:val="009D7DC1"/>
    <w:rsid w:val="009E04C3"/>
    <w:rsid w:val="009E0B82"/>
    <w:rsid w:val="009E0D6B"/>
    <w:rsid w:val="009E0FBE"/>
    <w:rsid w:val="009E173D"/>
    <w:rsid w:val="009E1F2A"/>
    <w:rsid w:val="009E2A9A"/>
    <w:rsid w:val="009E2DCD"/>
    <w:rsid w:val="009E31CF"/>
    <w:rsid w:val="009E3E55"/>
    <w:rsid w:val="009E458C"/>
    <w:rsid w:val="009E48CC"/>
    <w:rsid w:val="009E4A7E"/>
    <w:rsid w:val="009E4CC8"/>
    <w:rsid w:val="009E4D29"/>
    <w:rsid w:val="009E4E3B"/>
    <w:rsid w:val="009E6007"/>
    <w:rsid w:val="009E6548"/>
    <w:rsid w:val="009E6E6A"/>
    <w:rsid w:val="009E7028"/>
    <w:rsid w:val="009E7039"/>
    <w:rsid w:val="009E718A"/>
    <w:rsid w:val="009E7C7C"/>
    <w:rsid w:val="009F0664"/>
    <w:rsid w:val="009F0833"/>
    <w:rsid w:val="009F109D"/>
    <w:rsid w:val="009F146B"/>
    <w:rsid w:val="009F18F4"/>
    <w:rsid w:val="009F192A"/>
    <w:rsid w:val="009F19AE"/>
    <w:rsid w:val="009F1CB2"/>
    <w:rsid w:val="009F1D9A"/>
    <w:rsid w:val="009F2568"/>
    <w:rsid w:val="009F2992"/>
    <w:rsid w:val="009F3010"/>
    <w:rsid w:val="009F32FB"/>
    <w:rsid w:val="009F39A8"/>
    <w:rsid w:val="009F3BF5"/>
    <w:rsid w:val="009F4822"/>
    <w:rsid w:val="009F4867"/>
    <w:rsid w:val="009F4B5C"/>
    <w:rsid w:val="009F4BCE"/>
    <w:rsid w:val="009F52D7"/>
    <w:rsid w:val="009F5487"/>
    <w:rsid w:val="009F56E4"/>
    <w:rsid w:val="009F5AC7"/>
    <w:rsid w:val="009F5E10"/>
    <w:rsid w:val="009F6255"/>
    <w:rsid w:val="009F69A9"/>
    <w:rsid w:val="009F6EE2"/>
    <w:rsid w:val="009F7002"/>
    <w:rsid w:val="009F7181"/>
    <w:rsid w:val="009F76FF"/>
    <w:rsid w:val="009F7A50"/>
    <w:rsid w:val="009F7B2C"/>
    <w:rsid w:val="009F7DD8"/>
    <w:rsid w:val="009F7FE6"/>
    <w:rsid w:val="00A00184"/>
    <w:rsid w:val="00A00C6E"/>
    <w:rsid w:val="00A00DAD"/>
    <w:rsid w:val="00A01153"/>
    <w:rsid w:val="00A016F7"/>
    <w:rsid w:val="00A01882"/>
    <w:rsid w:val="00A01DF7"/>
    <w:rsid w:val="00A020D4"/>
    <w:rsid w:val="00A02B47"/>
    <w:rsid w:val="00A03A04"/>
    <w:rsid w:val="00A03B0C"/>
    <w:rsid w:val="00A05B7A"/>
    <w:rsid w:val="00A0668E"/>
    <w:rsid w:val="00A06695"/>
    <w:rsid w:val="00A066EA"/>
    <w:rsid w:val="00A06A4D"/>
    <w:rsid w:val="00A072B1"/>
    <w:rsid w:val="00A077E3"/>
    <w:rsid w:val="00A07ADE"/>
    <w:rsid w:val="00A07E38"/>
    <w:rsid w:val="00A1014E"/>
    <w:rsid w:val="00A105A6"/>
    <w:rsid w:val="00A10D00"/>
    <w:rsid w:val="00A11333"/>
    <w:rsid w:val="00A1141A"/>
    <w:rsid w:val="00A11791"/>
    <w:rsid w:val="00A1209C"/>
    <w:rsid w:val="00A1240F"/>
    <w:rsid w:val="00A135F4"/>
    <w:rsid w:val="00A14D11"/>
    <w:rsid w:val="00A14FA9"/>
    <w:rsid w:val="00A1568F"/>
    <w:rsid w:val="00A1585C"/>
    <w:rsid w:val="00A15DD0"/>
    <w:rsid w:val="00A168F0"/>
    <w:rsid w:val="00A16E66"/>
    <w:rsid w:val="00A173D4"/>
    <w:rsid w:val="00A1766D"/>
    <w:rsid w:val="00A17A43"/>
    <w:rsid w:val="00A17A68"/>
    <w:rsid w:val="00A17F59"/>
    <w:rsid w:val="00A20CF1"/>
    <w:rsid w:val="00A212E5"/>
    <w:rsid w:val="00A219CD"/>
    <w:rsid w:val="00A22A8A"/>
    <w:rsid w:val="00A232E4"/>
    <w:rsid w:val="00A25202"/>
    <w:rsid w:val="00A252D4"/>
    <w:rsid w:val="00A25799"/>
    <w:rsid w:val="00A25E01"/>
    <w:rsid w:val="00A26399"/>
    <w:rsid w:val="00A263B9"/>
    <w:rsid w:val="00A26711"/>
    <w:rsid w:val="00A26C67"/>
    <w:rsid w:val="00A26D48"/>
    <w:rsid w:val="00A27C39"/>
    <w:rsid w:val="00A3023A"/>
    <w:rsid w:val="00A3031E"/>
    <w:rsid w:val="00A30F6F"/>
    <w:rsid w:val="00A3130E"/>
    <w:rsid w:val="00A32336"/>
    <w:rsid w:val="00A323AA"/>
    <w:rsid w:val="00A3269C"/>
    <w:rsid w:val="00A33D0F"/>
    <w:rsid w:val="00A33FAC"/>
    <w:rsid w:val="00A3483B"/>
    <w:rsid w:val="00A34940"/>
    <w:rsid w:val="00A349B8"/>
    <w:rsid w:val="00A3547D"/>
    <w:rsid w:val="00A35654"/>
    <w:rsid w:val="00A35DBE"/>
    <w:rsid w:val="00A36949"/>
    <w:rsid w:val="00A36F4B"/>
    <w:rsid w:val="00A37403"/>
    <w:rsid w:val="00A37823"/>
    <w:rsid w:val="00A401B8"/>
    <w:rsid w:val="00A4072C"/>
    <w:rsid w:val="00A408B4"/>
    <w:rsid w:val="00A40C00"/>
    <w:rsid w:val="00A40D9A"/>
    <w:rsid w:val="00A40E3F"/>
    <w:rsid w:val="00A40F8C"/>
    <w:rsid w:val="00A41054"/>
    <w:rsid w:val="00A41722"/>
    <w:rsid w:val="00A418A0"/>
    <w:rsid w:val="00A41C3C"/>
    <w:rsid w:val="00A42308"/>
    <w:rsid w:val="00A42BDB"/>
    <w:rsid w:val="00A43225"/>
    <w:rsid w:val="00A438C1"/>
    <w:rsid w:val="00A4416C"/>
    <w:rsid w:val="00A441A6"/>
    <w:rsid w:val="00A4426D"/>
    <w:rsid w:val="00A444DC"/>
    <w:rsid w:val="00A44F88"/>
    <w:rsid w:val="00A45312"/>
    <w:rsid w:val="00A4552E"/>
    <w:rsid w:val="00A4572A"/>
    <w:rsid w:val="00A45EC3"/>
    <w:rsid w:val="00A4634F"/>
    <w:rsid w:val="00A466C2"/>
    <w:rsid w:val="00A468BE"/>
    <w:rsid w:val="00A46A44"/>
    <w:rsid w:val="00A50BAA"/>
    <w:rsid w:val="00A518A4"/>
    <w:rsid w:val="00A51EAE"/>
    <w:rsid w:val="00A520C7"/>
    <w:rsid w:val="00A5229E"/>
    <w:rsid w:val="00A5230D"/>
    <w:rsid w:val="00A52AD4"/>
    <w:rsid w:val="00A52C18"/>
    <w:rsid w:val="00A546FA"/>
    <w:rsid w:val="00A5499B"/>
    <w:rsid w:val="00A55E54"/>
    <w:rsid w:val="00A57C33"/>
    <w:rsid w:val="00A60738"/>
    <w:rsid w:val="00A6091A"/>
    <w:rsid w:val="00A60D79"/>
    <w:rsid w:val="00A61A7A"/>
    <w:rsid w:val="00A61F00"/>
    <w:rsid w:val="00A62039"/>
    <w:rsid w:val="00A6208C"/>
    <w:rsid w:val="00A62187"/>
    <w:rsid w:val="00A62345"/>
    <w:rsid w:val="00A63249"/>
    <w:rsid w:val="00A632E8"/>
    <w:rsid w:val="00A63683"/>
    <w:rsid w:val="00A63E17"/>
    <w:rsid w:val="00A64311"/>
    <w:rsid w:val="00A64538"/>
    <w:rsid w:val="00A6454C"/>
    <w:rsid w:val="00A645E5"/>
    <w:rsid w:val="00A64749"/>
    <w:rsid w:val="00A647DC"/>
    <w:rsid w:val="00A6496B"/>
    <w:rsid w:val="00A64AE5"/>
    <w:rsid w:val="00A64C10"/>
    <w:rsid w:val="00A65424"/>
    <w:rsid w:val="00A67DE3"/>
    <w:rsid w:val="00A7018F"/>
    <w:rsid w:val="00A7022B"/>
    <w:rsid w:val="00A70DC5"/>
    <w:rsid w:val="00A70DE5"/>
    <w:rsid w:val="00A710F4"/>
    <w:rsid w:val="00A71A6B"/>
    <w:rsid w:val="00A71B45"/>
    <w:rsid w:val="00A723B0"/>
    <w:rsid w:val="00A72E60"/>
    <w:rsid w:val="00A74D5C"/>
    <w:rsid w:val="00A74EEA"/>
    <w:rsid w:val="00A75F7B"/>
    <w:rsid w:val="00A8062A"/>
    <w:rsid w:val="00A80B94"/>
    <w:rsid w:val="00A81C26"/>
    <w:rsid w:val="00A81DED"/>
    <w:rsid w:val="00A8205D"/>
    <w:rsid w:val="00A82FEC"/>
    <w:rsid w:val="00A833C6"/>
    <w:rsid w:val="00A840CC"/>
    <w:rsid w:val="00A844BF"/>
    <w:rsid w:val="00A847C5"/>
    <w:rsid w:val="00A84966"/>
    <w:rsid w:val="00A84C0A"/>
    <w:rsid w:val="00A84C35"/>
    <w:rsid w:val="00A85AA1"/>
    <w:rsid w:val="00A861D1"/>
    <w:rsid w:val="00A861DE"/>
    <w:rsid w:val="00A86759"/>
    <w:rsid w:val="00A86A73"/>
    <w:rsid w:val="00A87354"/>
    <w:rsid w:val="00A87B01"/>
    <w:rsid w:val="00A87BC7"/>
    <w:rsid w:val="00A87E08"/>
    <w:rsid w:val="00A87FCF"/>
    <w:rsid w:val="00A9043F"/>
    <w:rsid w:val="00A90766"/>
    <w:rsid w:val="00A908BD"/>
    <w:rsid w:val="00A90F42"/>
    <w:rsid w:val="00A911F2"/>
    <w:rsid w:val="00A913BC"/>
    <w:rsid w:val="00A91644"/>
    <w:rsid w:val="00A9172F"/>
    <w:rsid w:val="00A91AA4"/>
    <w:rsid w:val="00A91EC7"/>
    <w:rsid w:val="00A92396"/>
    <w:rsid w:val="00A926E3"/>
    <w:rsid w:val="00A938B4"/>
    <w:rsid w:val="00A93A5E"/>
    <w:rsid w:val="00A9437D"/>
    <w:rsid w:val="00A94961"/>
    <w:rsid w:val="00A94AC1"/>
    <w:rsid w:val="00A95541"/>
    <w:rsid w:val="00A9593F"/>
    <w:rsid w:val="00A96073"/>
    <w:rsid w:val="00A960BB"/>
    <w:rsid w:val="00A96106"/>
    <w:rsid w:val="00A969B4"/>
    <w:rsid w:val="00A96BD6"/>
    <w:rsid w:val="00A97082"/>
    <w:rsid w:val="00A97C6B"/>
    <w:rsid w:val="00A97FD7"/>
    <w:rsid w:val="00AA07F3"/>
    <w:rsid w:val="00AA153E"/>
    <w:rsid w:val="00AA16B8"/>
    <w:rsid w:val="00AA1925"/>
    <w:rsid w:val="00AA1B63"/>
    <w:rsid w:val="00AA1C77"/>
    <w:rsid w:val="00AA1D91"/>
    <w:rsid w:val="00AA36CC"/>
    <w:rsid w:val="00AA3843"/>
    <w:rsid w:val="00AA386F"/>
    <w:rsid w:val="00AA3ABC"/>
    <w:rsid w:val="00AA4E28"/>
    <w:rsid w:val="00AA544A"/>
    <w:rsid w:val="00AA5ADA"/>
    <w:rsid w:val="00AA5CEC"/>
    <w:rsid w:val="00AA691F"/>
    <w:rsid w:val="00AA69BE"/>
    <w:rsid w:val="00AA6B55"/>
    <w:rsid w:val="00AA6C38"/>
    <w:rsid w:val="00AA6EE5"/>
    <w:rsid w:val="00AA7079"/>
    <w:rsid w:val="00AA763E"/>
    <w:rsid w:val="00AA79BC"/>
    <w:rsid w:val="00AA7F92"/>
    <w:rsid w:val="00AB02C8"/>
    <w:rsid w:val="00AB05E1"/>
    <w:rsid w:val="00AB07A3"/>
    <w:rsid w:val="00AB11AE"/>
    <w:rsid w:val="00AB196F"/>
    <w:rsid w:val="00AB238A"/>
    <w:rsid w:val="00AB2731"/>
    <w:rsid w:val="00AB2E1E"/>
    <w:rsid w:val="00AB31D6"/>
    <w:rsid w:val="00AB33B3"/>
    <w:rsid w:val="00AB37ED"/>
    <w:rsid w:val="00AB3A65"/>
    <w:rsid w:val="00AB3D89"/>
    <w:rsid w:val="00AB3F41"/>
    <w:rsid w:val="00AB470D"/>
    <w:rsid w:val="00AB4B10"/>
    <w:rsid w:val="00AB4B68"/>
    <w:rsid w:val="00AB4F0A"/>
    <w:rsid w:val="00AB55F1"/>
    <w:rsid w:val="00AB573F"/>
    <w:rsid w:val="00AB6122"/>
    <w:rsid w:val="00AB6299"/>
    <w:rsid w:val="00AB7696"/>
    <w:rsid w:val="00AB787B"/>
    <w:rsid w:val="00AC01B0"/>
    <w:rsid w:val="00AC07BB"/>
    <w:rsid w:val="00AC1AAB"/>
    <w:rsid w:val="00AC1B52"/>
    <w:rsid w:val="00AC1EBB"/>
    <w:rsid w:val="00AC2789"/>
    <w:rsid w:val="00AC279E"/>
    <w:rsid w:val="00AC2810"/>
    <w:rsid w:val="00AC2BEA"/>
    <w:rsid w:val="00AC3467"/>
    <w:rsid w:val="00AC39EE"/>
    <w:rsid w:val="00AC39F0"/>
    <w:rsid w:val="00AC4293"/>
    <w:rsid w:val="00AC4C00"/>
    <w:rsid w:val="00AC5E8C"/>
    <w:rsid w:val="00AC6216"/>
    <w:rsid w:val="00AC6891"/>
    <w:rsid w:val="00AC6E83"/>
    <w:rsid w:val="00AC7575"/>
    <w:rsid w:val="00AC7AD4"/>
    <w:rsid w:val="00AC7B56"/>
    <w:rsid w:val="00AD0CC0"/>
    <w:rsid w:val="00AD0E30"/>
    <w:rsid w:val="00AD0F1B"/>
    <w:rsid w:val="00AD1503"/>
    <w:rsid w:val="00AD24A6"/>
    <w:rsid w:val="00AD28C9"/>
    <w:rsid w:val="00AD294E"/>
    <w:rsid w:val="00AD3292"/>
    <w:rsid w:val="00AD385B"/>
    <w:rsid w:val="00AD389C"/>
    <w:rsid w:val="00AD38B9"/>
    <w:rsid w:val="00AD4480"/>
    <w:rsid w:val="00AD493E"/>
    <w:rsid w:val="00AD4AA3"/>
    <w:rsid w:val="00AD4C61"/>
    <w:rsid w:val="00AD5C1F"/>
    <w:rsid w:val="00AD5D30"/>
    <w:rsid w:val="00AD64EC"/>
    <w:rsid w:val="00AD6872"/>
    <w:rsid w:val="00AD7465"/>
    <w:rsid w:val="00AD7D62"/>
    <w:rsid w:val="00AD7F79"/>
    <w:rsid w:val="00AE0AAA"/>
    <w:rsid w:val="00AE17EF"/>
    <w:rsid w:val="00AE199C"/>
    <w:rsid w:val="00AE2B32"/>
    <w:rsid w:val="00AE2B3E"/>
    <w:rsid w:val="00AE32CB"/>
    <w:rsid w:val="00AE35FF"/>
    <w:rsid w:val="00AE3AA5"/>
    <w:rsid w:val="00AE4029"/>
    <w:rsid w:val="00AE48DD"/>
    <w:rsid w:val="00AE4F5C"/>
    <w:rsid w:val="00AE4FA4"/>
    <w:rsid w:val="00AE508B"/>
    <w:rsid w:val="00AE5959"/>
    <w:rsid w:val="00AE5D89"/>
    <w:rsid w:val="00AE601C"/>
    <w:rsid w:val="00AE623A"/>
    <w:rsid w:val="00AE7095"/>
    <w:rsid w:val="00AE729C"/>
    <w:rsid w:val="00AE7B22"/>
    <w:rsid w:val="00AE7FCF"/>
    <w:rsid w:val="00AF02AC"/>
    <w:rsid w:val="00AF0686"/>
    <w:rsid w:val="00AF0D90"/>
    <w:rsid w:val="00AF0E29"/>
    <w:rsid w:val="00AF13A2"/>
    <w:rsid w:val="00AF17ED"/>
    <w:rsid w:val="00AF210A"/>
    <w:rsid w:val="00AF24E6"/>
    <w:rsid w:val="00AF2977"/>
    <w:rsid w:val="00AF310B"/>
    <w:rsid w:val="00AF35C2"/>
    <w:rsid w:val="00AF3FDA"/>
    <w:rsid w:val="00AF4402"/>
    <w:rsid w:val="00AF4581"/>
    <w:rsid w:val="00AF4AE0"/>
    <w:rsid w:val="00AF4D64"/>
    <w:rsid w:val="00AF5075"/>
    <w:rsid w:val="00AF5A89"/>
    <w:rsid w:val="00AF649B"/>
    <w:rsid w:val="00AF65F0"/>
    <w:rsid w:val="00AF6BA7"/>
    <w:rsid w:val="00AF730A"/>
    <w:rsid w:val="00AF7323"/>
    <w:rsid w:val="00AF7C6F"/>
    <w:rsid w:val="00AF7F34"/>
    <w:rsid w:val="00B004DD"/>
    <w:rsid w:val="00B00566"/>
    <w:rsid w:val="00B005EF"/>
    <w:rsid w:val="00B006F1"/>
    <w:rsid w:val="00B0072A"/>
    <w:rsid w:val="00B00964"/>
    <w:rsid w:val="00B01847"/>
    <w:rsid w:val="00B01859"/>
    <w:rsid w:val="00B01936"/>
    <w:rsid w:val="00B01E56"/>
    <w:rsid w:val="00B02F3B"/>
    <w:rsid w:val="00B03084"/>
    <w:rsid w:val="00B03268"/>
    <w:rsid w:val="00B032C2"/>
    <w:rsid w:val="00B0390D"/>
    <w:rsid w:val="00B03BF4"/>
    <w:rsid w:val="00B03CBA"/>
    <w:rsid w:val="00B040E7"/>
    <w:rsid w:val="00B04FB7"/>
    <w:rsid w:val="00B05691"/>
    <w:rsid w:val="00B05AE2"/>
    <w:rsid w:val="00B06D88"/>
    <w:rsid w:val="00B07877"/>
    <w:rsid w:val="00B078ED"/>
    <w:rsid w:val="00B079BA"/>
    <w:rsid w:val="00B07C19"/>
    <w:rsid w:val="00B07DA7"/>
    <w:rsid w:val="00B10327"/>
    <w:rsid w:val="00B10367"/>
    <w:rsid w:val="00B10D24"/>
    <w:rsid w:val="00B1137A"/>
    <w:rsid w:val="00B118B5"/>
    <w:rsid w:val="00B11A33"/>
    <w:rsid w:val="00B12A3E"/>
    <w:rsid w:val="00B12E2B"/>
    <w:rsid w:val="00B12F46"/>
    <w:rsid w:val="00B1442C"/>
    <w:rsid w:val="00B148B0"/>
    <w:rsid w:val="00B14B47"/>
    <w:rsid w:val="00B14C4D"/>
    <w:rsid w:val="00B15CCA"/>
    <w:rsid w:val="00B16197"/>
    <w:rsid w:val="00B176E4"/>
    <w:rsid w:val="00B17744"/>
    <w:rsid w:val="00B177A5"/>
    <w:rsid w:val="00B17918"/>
    <w:rsid w:val="00B203BE"/>
    <w:rsid w:val="00B20649"/>
    <w:rsid w:val="00B217EA"/>
    <w:rsid w:val="00B21D13"/>
    <w:rsid w:val="00B2208C"/>
    <w:rsid w:val="00B22CD1"/>
    <w:rsid w:val="00B2329A"/>
    <w:rsid w:val="00B242EB"/>
    <w:rsid w:val="00B248A4"/>
    <w:rsid w:val="00B24C65"/>
    <w:rsid w:val="00B2500E"/>
    <w:rsid w:val="00B2659A"/>
    <w:rsid w:val="00B2720C"/>
    <w:rsid w:val="00B30226"/>
    <w:rsid w:val="00B30292"/>
    <w:rsid w:val="00B302B5"/>
    <w:rsid w:val="00B30428"/>
    <w:rsid w:val="00B30A17"/>
    <w:rsid w:val="00B30AA9"/>
    <w:rsid w:val="00B31CCF"/>
    <w:rsid w:val="00B324EC"/>
    <w:rsid w:val="00B3250F"/>
    <w:rsid w:val="00B32935"/>
    <w:rsid w:val="00B32BB8"/>
    <w:rsid w:val="00B332A0"/>
    <w:rsid w:val="00B33B63"/>
    <w:rsid w:val="00B33C48"/>
    <w:rsid w:val="00B343B2"/>
    <w:rsid w:val="00B345B7"/>
    <w:rsid w:val="00B34713"/>
    <w:rsid w:val="00B34B38"/>
    <w:rsid w:val="00B34F58"/>
    <w:rsid w:val="00B3536F"/>
    <w:rsid w:val="00B36647"/>
    <w:rsid w:val="00B36B1F"/>
    <w:rsid w:val="00B36D29"/>
    <w:rsid w:val="00B379CB"/>
    <w:rsid w:val="00B37D3C"/>
    <w:rsid w:val="00B37DF4"/>
    <w:rsid w:val="00B40229"/>
    <w:rsid w:val="00B41ACC"/>
    <w:rsid w:val="00B41F23"/>
    <w:rsid w:val="00B428AF"/>
    <w:rsid w:val="00B4378F"/>
    <w:rsid w:val="00B43AA8"/>
    <w:rsid w:val="00B43B06"/>
    <w:rsid w:val="00B43EC7"/>
    <w:rsid w:val="00B44793"/>
    <w:rsid w:val="00B44C2A"/>
    <w:rsid w:val="00B45E37"/>
    <w:rsid w:val="00B46766"/>
    <w:rsid w:val="00B46938"/>
    <w:rsid w:val="00B46BC1"/>
    <w:rsid w:val="00B4753D"/>
    <w:rsid w:val="00B47825"/>
    <w:rsid w:val="00B47945"/>
    <w:rsid w:val="00B47A3B"/>
    <w:rsid w:val="00B47EE0"/>
    <w:rsid w:val="00B51B58"/>
    <w:rsid w:val="00B51E19"/>
    <w:rsid w:val="00B520F6"/>
    <w:rsid w:val="00B5222E"/>
    <w:rsid w:val="00B527E2"/>
    <w:rsid w:val="00B53093"/>
    <w:rsid w:val="00B5365D"/>
    <w:rsid w:val="00B53B46"/>
    <w:rsid w:val="00B53E34"/>
    <w:rsid w:val="00B541C7"/>
    <w:rsid w:val="00B546CA"/>
    <w:rsid w:val="00B54F8A"/>
    <w:rsid w:val="00B54FA6"/>
    <w:rsid w:val="00B5518B"/>
    <w:rsid w:val="00B56254"/>
    <w:rsid w:val="00B56713"/>
    <w:rsid w:val="00B56A93"/>
    <w:rsid w:val="00B56D70"/>
    <w:rsid w:val="00B576B2"/>
    <w:rsid w:val="00B576C3"/>
    <w:rsid w:val="00B60234"/>
    <w:rsid w:val="00B609A8"/>
    <w:rsid w:val="00B60FA7"/>
    <w:rsid w:val="00B60FAE"/>
    <w:rsid w:val="00B616B5"/>
    <w:rsid w:val="00B61EFD"/>
    <w:rsid w:val="00B6289C"/>
    <w:rsid w:val="00B62970"/>
    <w:rsid w:val="00B629B7"/>
    <w:rsid w:val="00B62AA2"/>
    <w:rsid w:val="00B630AC"/>
    <w:rsid w:val="00B645E7"/>
    <w:rsid w:val="00B650A4"/>
    <w:rsid w:val="00B65390"/>
    <w:rsid w:val="00B65CCB"/>
    <w:rsid w:val="00B6621C"/>
    <w:rsid w:val="00B66CA9"/>
    <w:rsid w:val="00B66CC6"/>
    <w:rsid w:val="00B673F6"/>
    <w:rsid w:val="00B67769"/>
    <w:rsid w:val="00B6793D"/>
    <w:rsid w:val="00B701BA"/>
    <w:rsid w:val="00B70CBD"/>
    <w:rsid w:val="00B7135E"/>
    <w:rsid w:val="00B713FB"/>
    <w:rsid w:val="00B71886"/>
    <w:rsid w:val="00B719C2"/>
    <w:rsid w:val="00B71B17"/>
    <w:rsid w:val="00B71B28"/>
    <w:rsid w:val="00B73212"/>
    <w:rsid w:val="00B732AF"/>
    <w:rsid w:val="00B73905"/>
    <w:rsid w:val="00B74075"/>
    <w:rsid w:val="00B74E8C"/>
    <w:rsid w:val="00B75364"/>
    <w:rsid w:val="00B75DA8"/>
    <w:rsid w:val="00B76760"/>
    <w:rsid w:val="00B77C55"/>
    <w:rsid w:val="00B81135"/>
    <w:rsid w:val="00B8116E"/>
    <w:rsid w:val="00B813EB"/>
    <w:rsid w:val="00B814C8"/>
    <w:rsid w:val="00B81B6F"/>
    <w:rsid w:val="00B82214"/>
    <w:rsid w:val="00B82E4D"/>
    <w:rsid w:val="00B83379"/>
    <w:rsid w:val="00B8356A"/>
    <w:rsid w:val="00B83E66"/>
    <w:rsid w:val="00B83F99"/>
    <w:rsid w:val="00B8438A"/>
    <w:rsid w:val="00B84866"/>
    <w:rsid w:val="00B8585D"/>
    <w:rsid w:val="00B85953"/>
    <w:rsid w:val="00B8612E"/>
    <w:rsid w:val="00B862AF"/>
    <w:rsid w:val="00B865E8"/>
    <w:rsid w:val="00B866F1"/>
    <w:rsid w:val="00B86B05"/>
    <w:rsid w:val="00B86C4D"/>
    <w:rsid w:val="00B874F5"/>
    <w:rsid w:val="00B87CC3"/>
    <w:rsid w:val="00B87DC8"/>
    <w:rsid w:val="00B90261"/>
    <w:rsid w:val="00B91E3F"/>
    <w:rsid w:val="00B93190"/>
    <w:rsid w:val="00B931B4"/>
    <w:rsid w:val="00B931F0"/>
    <w:rsid w:val="00B93AA3"/>
    <w:rsid w:val="00B93BCA"/>
    <w:rsid w:val="00B93C09"/>
    <w:rsid w:val="00B945AD"/>
    <w:rsid w:val="00B950FF"/>
    <w:rsid w:val="00B95370"/>
    <w:rsid w:val="00B9591A"/>
    <w:rsid w:val="00B95AAC"/>
    <w:rsid w:val="00B96126"/>
    <w:rsid w:val="00B963AD"/>
    <w:rsid w:val="00B9647B"/>
    <w:rsid w:val="00B96F4F"/>
    <w:rsid w:val="00B9785E"/>
    <w:rsid w:val="00B978B2"/>
    <w:rsid w:val="00B97AC4"/>
    <w:rsid w:val="00B97F1C"/>
    <w:rsid w:val="00BA09D6"/>
    <w:rsid w:val="00BA1793"/>
    <w:rsid w:val="00BA1B09"/>
    <w:rsid w:val="00BA2A4C"/>
    <w:rsid w:val="00BA2A4D"/>
    <w:rsid w:val="00BA2A5E"/>
    <w:rsid w:val="00BA2FC8"/>
    <w:rsid w:val="00BA32E9"/>
    <w:rsid w:val="00BA3B4B"/>
    <w:rsid w:val="00BA3E1A"/>
    <w:rsid w:val="00BA3E49"/>
    <w:rsid w:val="00BA4C0F"/>
    <w:rsid w:val="00BA4C9B"/>
    <w:rsid w:val="00BA4FC0"/>
    <w:rsid w:val="00BA5042"/>
    <w:rsid w:val="00BA59A1"/>
    <w:rsid w:val="00BA59FE"/>
    <w:rsid w:val="00BA6A64"/>
    <w:rsid w:val="00BA7837"/>
    <w:rsid w:val="00BB0252"/>
    <w:rsid w:val="00BB1311"/>
    <w:rsid w:val="00BB1665"/>
    <w:rsid w:val="00BB3114"/>
    <w:rsid w:val="00BB33FD"/>
    <w:rsid w:val="00BB4419"/>
    <w:rsid w:val="00BB4612"/>
    <w:rsid w:val="00BB51D6"/>
    <w:rsid w:val="00BB53E4"/>
    <w:rsid w:val="00BB57EB"/>
    <w:rsid w:val="00BB5CC1"/>
    <w:rsid w:val="00BB5F95"/>
    <w:rsid w:val="00BB64AA"/>
    <w:rsid w:val="00BB67F9"/>
    <w:rsid w:val="00BC0831"/>
    <w:rsid w:val="00BC2345"/>
    <w:rsid w:val="00BC3891"/>
    <w:rsid w:val="00BC3A1D"/>
    <w:rsid w:val="00BC4610"/>
    <w:rsid w:val="00BC4881"/>
    <w:rsid w:val="00BC506B"/>
    <w:rsid w:val="00BC52D0"/>
    <w:rsid w:val="00BC55A6"/>
    <w:rsid w:val="00BC58B0"/>
    <w:rsid w:val="00BC5A18"/>
    <w:rsid w:val="00BC67FA"/>
    <w:rsid w:val="00BC75D2"/>
    <w:rsid w:val="00BC763D"/>
    <w:rsid w:val="00BC78A8"/>
    <w:rsid w:val="00BC7948"/>
    <w:rsid w:val="00BC7A45"/>
    <w:rsid w:val="00BD128E"/>
    <w:rsid w:val="00BD1A1C"/>
    <w:rsid w:val="00BD1B91"/>
    <w:rsid w:val="00BD1D29"/>
    <w:rsid w:val="00BD3301"/>
    <w:rsid w:val="00BD515C"/>
    <w:rsid w:val="00BD51D6"/>
    <w:rsid w:val="00BD5490"/>
    <w:rsid w:val="00BD5824"/>
    <w:rsid w:val="00BD59F8"/>
    <w:rsid w:val="00BD6266"/>
    <w:rsid w:val="00BD681B"/>
    <w:rsid w:val="00BD6AEB"/>
    <w:rsid w:val="00BE170B"/>
    <w:rsid w:val="00BE1A55"/>
    <w:rsid w:val="00BE1E32"/>
    <w:rsid w:val="00BE2079"/>
    <w:rsid w:val="00BE2545"/>
    <w:rsid w:val="00BE2727"/>
    <w:rsid w:val="00BE322B"/>
    <w:rsid w:val="00BE3389"/>
    <w:rsid w:val="00BE3458"/>
    <w:rsid w:val="00BE3778"/>
    <w:rsid w:val="00BE3B94"/>
    <w:rsid w:val="00BE40AE"/>
    <w:rsid w:val="00BE45D6"/>
    <w:rsid w:val="00BE4838"/>
    <w:rsid w:val="00BE48B7"/>
    <w:rsid w:val="00BE5185"/>
    <w:rsid w:val="00BE5373"/>
    <w:rsid w:val="00BE53BC"/>
    <w:rsid w:val="00BE55F4"/>
    <w:rsid w:val="00BE621F"/>
    <w:rsid w:val="00BE6403"/>
    <w:rsid w:val="00BE6A72"/>
    <w:rsid w:val="00BE7375"/>
    <w:rsid w:val="00BE79C1"/>
    <w:rsid w:val="00BE7B1E"/>
    <w:rsid w:val="00BF0B8B"/>
    <w:rsid w:val="00BF0C40"/>
    <w:rsid w:val="00BF10ED"/>
    <w:rsid w:val="00BF1111"/>
    <w:rsid w:val="00BF159F"/>
    <w:rsid w:val="00BF1654"/>
    <w:rsid w:val="00BF178D"/>
    <w:rsid w:val="00BF1F3F"/>
    <w:rsid w:val="00BF2588"/>
    <w:rsid w:val="00BF2730"/>
    <w:rsid w:val="00BF2D8D"/>
    <w:rsid w:val="00BF302B"/>
    <w:rsid w:val="00BF3338"/>
    <w:rsid w:val="00BF4648"/>
    <w:rsid w:val="00BF487E"/>
    <w:rsid w:val="00BF508B"/>
    <w:rsid w:val="00BF569B"/>
    <w:rsid w:val="00BF5A3C"/>
    <w:rsid w:val="00BF5DFD"/>
    <w:rsid w:val="00BF68AD"/>
    <w:rsid w:val="00BF6C28"/>
    <w:rsid w:val="00BF6F21"/>
    <w:rsid w:val="00BF7AA1"/>
    <w:rsid w:val="00C01601"/>
    <w:rsid w:val="00C018BC"/>
    <w:rsid w:val="00C01915"/>
    <w:rsid w:val="00C01ADD"/>
    <w:rsid w:val="00C020C1"/>
    <w:rsid w:val="00C02B60"/>
    <w:rsid w:val="00C02DB3"/>
    <w:rsid w:val="00C0316E"/>
    <w:rsid w:val="00C033A1"/>
    <w:rsid w:val="00C039CC"/>
    <w:rsid w:val="00C03B53"/>
    <w:rsid w:val="00C03C1E"/>
    <w:rsid w:val="00C03DD2"/>
    <w:rsid w:val="00C040FE"/>
    <w:rsid w:val="00C04480"/>
    <w:rsid w:val="00C04559"/>
    <w:rsid w:val="00C04A00"/>
    <w:rsid w:val="00C0560F"/>
    <w:rsid w:val="00C0588D"/>
    <w:rsid w:val="00C05DCD"/>
    <w:rsid w:val="00C05EE2"/>
    <w:rsid w:val="00C062E3"/>
    <w:rsid w:val="00C063F2"/>
    <w:rsid w:val="00C066EC"/>
    <w:rsid w:val="00C07487"/>
    <w:rsid w:val="00C07624"/>
    <w:rsid w:val="00C07CAA"/>
    <w:rsid w:val="00C100B0"/>
    <w:rsid w:val="00C1026D"/>
    <w:rsid w:val="00C10511"/>
    <w:rsid w:val="00C10A14"/>
    <w:rsid w:val="00C10BC8"/>
    <w:rsid w:val="00C1160D"/>
    <w:rsid w:val="00C11D3F"/>
    <w:rsid w:val="00C1217F"/>
    <w:rsid w:val="00C13336"/>
    <w:rsid w:val="00C14264"/>
    <w:rsid w:val="00C145F8"/>
    <w:rsid w:val="00C1490E"/>
    <w:rsid w:val="00C15532"/>
    <w:rsid w:val="00C15BEF"/>
    <w:rsid w:val="00C15E9E"/>
    <w:rsid w:val="00C1711D"/>
    <w:rsid w:val="00C17B41"/>
    <w:rsid w:val="00C17B88"/>
    <w:rsid w:val="00C17BE5"/>
    <w:rsid w:val="00C201CA"/>
    <w:rsid w:val="00C20819"/>
    <w:rsid w:val="00C21018"/>
    <w:rsid w:val="00C21053"/>
    <w:rsid w:val="00C2127F"/>
    <w:rsid w:val="00C21883"/>
    <w:rsid w:val="00C219BB"/>
    <w:rsid w:val="00C21C3F"/>
    <w:rsid w:val="00C22D8B"/>
    <w:rsid w:val="00C22EE8"/>
    <w:rsid w:val="00C23D1D"/>
    <w:rsid w:val="00C24699"/>
    <w:rsid w:val="00C25C7E"/>
    <w:rsid w:val="00C26029"/>
    <w:rsid w:val="00C262D0"/>
    <w:rsid w:val="00C264AA"/>
    <w:rsid w:val="00C26F1A"/>
    <w:rsid w:val="00C30041"/>
    <w:rsid w:val="00C30083"/>
    <w:rsid w:val="00C30321"/>
    <w:rsid w:val="00C306AC"/>
    <w:rsid w:val="00C30832"/>
    <w:rsid w:val="00C30A84"/>
    <w:rsid w:val="00C31139"/>
    <w:rsid w:val="00C313BD"/>
    <w:rsid w:val="00C324FE"/>
    <w:rsid w:val="00C32875"/>
    <w:rsid w:val="00C3298A"/>
    <w:rsid w:val="00C33597"/>
    <w:rsid w:val="00C3388A"/>
    <w:rsid w:val="00C34740"/>
    <w:rsid w:val="00C34AD4"/>
    <w:rsid w:val="00C35116"/>
    <w:rsid w:val="00C360FB"/>
    <w:rsid w:val="00C36146"/>
    <w:rsid w:val="00C363B4"/>
    <w:rsid w:val="00C371A9"/>
    <w:rsid w:val="00C4027F"/>
    <w:rsid w:val="00C403D7"/>
    <w:rsid w:val="00C404DF"/>
    <w:rsid w:val="00C405CD"/>
    <w:rsid w:val="00C419F4"/>
    <w:rsid w:val="00C41CFC"/>
    <w:rsid w:val="00C42375"/>
    <w:rsid w:val="00C424FD"/>
    <w:rsid w:val="00C427F6"/>
    <w:rsid w:val="00C42C75"/>
    <w:rsid w:val="00C441E7"/>
    <w:rsid w:val="00C4429E"/>
    <w:rsid w:val="00C444B0"/>
    <w:rsid w:val="00C44980"/>
    <w:rsid w:val="00C45986"/>
    <w:rsid w:val="00C47F7F"/>
    <w:rsid w:val="00C504F9"/>
    <w:rsid w:val="00C50B78"/>
    <w:rsid w:val="00C50D71"/>
    <w:rsid w:val="00C51802"/>
    <w:rsid w:val="00C51AD1"/>
    <w:rsid w:val="00C51BAE"/>
    <w:rsid w:val="00C5218B"/>
    <w:rsid w:val="00C525EC"/>
    <w:rsid w:val="00C53515"/>
    <w:rsid w:val="00C535E4"/>
    <w:rsid w:val="00C53ABD"/>
    <w:rsid w:val="00C53EE1"/>
    <w:rsid w:val="00C54974"/>
    <w:rsid w:val="00C55AF7"/>
    <w:rsid w:val="00C55D05"/>
    <w:rsid w:val="00C6046D"/>
    <w:rsid w:val="00C60DF4"/>
    <w:rsid w:val="00C60F3D"/>
    <w:rsid w:val="00C61307"/>
    <w:rsid w:val="00C618C3"/>
    <w:rsid w:val="00C623D7"/>
    <w:rsid w:val="00C62EA7"/>
    <w:rsid w:val="00C6325A"/>
    <w:rsid w:val="00C6383E"/>
    <w:rsid w:val="00C640D1"/>
    <w:rsid w:val="00C644F8"/>
    <w:rsid w:val="00C64D57"/>
    <w:rsid w:val="00C64E09"/>
    <w:rsid w:val="00C65516"/>
    <w:rsid w:val="00C658DB"/>
    <w:rsid w:val="00C65B86"/>
    <w:rsid w:val="00C65C62"/>
    <w:rsid w:val="00C65E3A"/>
    <w:rsid w:val="00C66BD5"/>
    <w:rsid w:val="00C66F1A"/>
    <w:rsid w:val="00C67232"/>
    <w:rsid w:val="00C67539"/>
    <w:rsid w:val="00C70D9A"/>
    <w:rsid w:val="00C714AB"/>
    <w:rsid w:val="00C71C44"/>
    <w:rsid w:val="00C71E2D"/>
    <w:rsid w:val="00C7310A"/>
    <w:rsid w:val="00C7359A"/>
    <w:rsid w:val="00C73622"/>
    <w:rsid w:val="00C73C1F"/>
    <w:rsid w:val="00C740E1"/>
    <w:rsid w:val="00C74785"/>
    <w:rsid w:val="00C75796"/>
    <w:rsid w:val="00C758E2"/>
    <w:rsid w:val="00C75C51"/>
    <w:rsid w:val="00C76227"/>
    <w:rsid w:val="00C7676E"/>
    <w:rsid w:val="00C76DDE"/>
    <w:rsid w:val="00C77ECB"/>
    <w:rsid w:val="00C801C2"/>
    <w:rsid w:val="00C8021B"/>
    <w:rsid w:val="00C80C1B"/>
    <w:rsid w:val="00C80D46"/>
    <w:rsid w:val="00C80F4A"/>
    <w:rsid w:val="00C812E3"/>
    <w:rsid w:val="00C81CA9"/>
    <w:rsid w:val="00C82162"/>
    <w:rsid w:val="00C82A3D"/>
    <w:rsid w:val="00C82B0F"/>
    <w:rsid w:val="00C83FD8"/>
    <w:rsid w:val="00C843E1"/>
    <w:rsid w:val="00C84918"/>
    <w:rsid w:val="00C85503"/>
    <w:rsid w:val="00C85A89"/>
    <w:rsid w:val="00C8647E"/>
    <w:rsid w:val="00C865F3"/>
    <w:rsid w:val="00C86E2F"/>
    <w:rsid w:val="00C87188"/>
    <w:rsid w:val="00C87578"/>
    <w:rsid w:val="00C87D6E"/>
    <w:rsid w:val="00C87F99"/>
    <w:rsid w:val="00C902E8"/>
    <w:rsid w:val="00C9045B"/>
    <w:rsid w:val="00C90C21"/>
    <w:rsid w:val="00C90F8C"/>
    <w:rsid w:val="00C9152A"/>
    <w:rsid w:val="00C92B22"/>
    <w:rsid w:val="00C93393"/>
    <w:rsid w:val="00C9348A"/>
    <w:rsid w:val="00C93695"/>
    <w:rsid w:val="00C9393F"/>
    <w:rsid w:val="00C93C3D"/>
    <w:rsid w:val="00C941F7"/>
    <w:rsid w:val="00C94268"/>
    <w:rsid w:val="00C94590"/>
    <w:rsid w:val="00C94E8F"/>
    <w:rsid w:val="00C957C9"/>
    <w:rsid w:val="00C958D6"/>
    <w:rsid w:val="00C9594D"/>
    <w:rsid w:val="00C95C03"/>
    <w:rsid w:val="00C96BA9"/>
    <w:rsid w:val="00C972C9"/>
    <w:rsid w:val="00C97D1A"/>
    <w:rsid w:val="00CA0405"/>
    <w:rsid w:val="00CA0523"/>
    <w:rsid w:val="00CA094C"/>
    <w:rsid w:val="00CA1996"/>
    <w:rsid w:val="00CA1EAB"/>
    <w:rsid w:val="00CA2629"/>
    <w:rsid w:val="00CA28E7"/>
    <w:rsid w:val="00CA2AF7"/>
    <w:rsid w:val="00CA2CDB"/>
    <w:rsid w:val="00CA2ECC"/>
    <w:rsid w:val="00CA2F50"/>
    <w:rsid w:val="00CA3CE7"/>
    <w:rsid w:val="00CA42E0"/>
    <w:rsid w:val="00CA443A"/>
    <w:rsid w:val="00CA4783"/>
    <w:rsid w:val="00CA4872"/>
    <w:rsid w:val="00CA4E55"/>
    <w:rsid w:val="00CA624C"/>
    <w:rsid w:val="00CA6321"/>
    <w:rsid w:val="00CA6496"/>
    <w:rsid w:val="00CA6677"/>
    <w:rsid w:val="00CA7046"/>
    <w:rsid w:val="00CA789F"/>
    <w:rsid w:val="00CA7B0E"/>
    <w:rsid w:val="00CB0600"/>
    <w:rsid w:val="00CB0B32"/>
    <w:rsid w:val="00CB14AC"/>
    <w:rsid w:val="00CB1980"/>
    <w:rsid w:val="00CB1EDF"/>
    <w:rsid w:val="00CB210A"/>
    <w:rsid w:val="00CB2EEA"/>
    <w:rsid w:val="00CB3002"/>
    <w:rsid w:val="00CB3A7B"/>
    <w:rsid w:val="00CB3B5F"/>
    <w:rsid w:val="00CB3D3B"/>
    <w:rsid w:val="00CB43DE"/>
    <w:rsid w:val="00CB4609"/>
    <w:rsid w:val="00CB4863"/>
    <w:rsid w:val="00CB4E06"/>
    <w:rsid w:val="00CB4E8B"/>
    <w:rsid w:val="00CB5C23"/>
    <w:rsid w:val="00CB5EDC"/>
    <w:rsid w:val="00CB7019"/>
    <w:rsid w:val="00CB729B"/>
    <w:rsid w:val="00CC0109"/>
    <w:rsid w:val="00CC02DC"/>
    <w:rsid w:val="00CC1027"/>
    <w:rsid w:val="00CC117D"/>
    <w:rsid w:val="00CC152A"/>
    <w:rsid w:val="00CC1BEC"/>
    <w:rsid w:val="00CC26B1"/>
    <w:rsid w:val="00CC2C84"/>
    <w:rsid w:val="00CC356B"/>
    <w:rsid w:val="00CC37AA"/>
    <w:rsid w:val="00CC38FB"/>
    <w:rsid w:val="00CC3D14"/>
    <w:rsid w:val="00CC4A6A"/>
    <w:rsid w:val="00CC5B05"/>
    <w:rsid w:val="00CC6007"/>
    <w:rsid w:val="00CC630C"/>
    <w:rsid w:val="00CC6CD9"/>
    <w:rsid w:val="00CC766E"/>
    <w:rsid w:val="00CC7A52"/>
    <w:rsid w:val="00CC7DE7"/>
    <w:rsid w:val="00CC7EFE"/>
    <w:rsid w:val="00CD07A5"/>
    <w:rsid w:val="00CD0DD6"/>
    <w:rsid w:val="00CD11A9"/>
    <w:rsid w:val="00CD19BD"/>
    <w:rsid w:val="00CD1FA1"/>
    <w:rsid w:val="00CD2090"/>
    <w:rsid w:val="00CD28E6"/>
    <w:rsid w:val="00CD2B73"/>
    <w:rsid w:val="00CD3C89"/>
    <w:rsid w:val="00CD4324"/>
    <w:rsid w:val="00CD4796"/>
    <w:rsid w:val="00CD4BBE"/>
    <w:rsid w:val="00CD4FE7"/>
    <w:rsid w:val="00CD5039"/>
    <w:rsid w:val="00CD55E7"/>
    <w:rsid w:val="00CD5A3D"/>
    <w:rsid w:val="00CD6233"/>
    <w:rsid w:val="00CD6322"/>
    <w:rsid w:val="00CD6A8B"/>
    <w:rsid w:val="00CD6B73"/>
    <w:rsid w:val="00CD7437"/>
    <w:rsid w:val="00CD7B7C"/>
    <w:rsid w:val="00CE0374"/>
    <w:rsid w:val="00CE0547"/>
    <w:rsid w:val="00CE06FC"/>
    <w:rsid w:val="00CE1200"/>
    <w:rsid w:val="00CE1F25"/>
    <w:rsid w:val="00CE2517"/>
    <w:rsid w:val="00CE287D"/>
    <w:rsid w:val="00CE2982"/>
    <w:rsid w:val="00CE2D87"/>
    <w:rsid w:val="00CE33B2"/>
    <w:rsid w:val="00CE4050"/>
    <w:rsid w:val="00CE458C"/>
    <w:rsid w:val="00CE464F"/>
    <w:rsid w:val="00CE46FB"/>
    <w:rsid w:val="00CE52CE"/>
    <w:rsid w:val="00CE564F"/>
    <w:rsid w:val="00CE5D4B"/>
    <w:rsid w:val="00CE5E1F"/>
    <w:rsid w:val="00CE604A"/>
    <w:rsid w:val="00CE6501"/>
    <w:rsid w:val="00CE7242"/>
    <w:rsid w:val="00CE75B1"/>
    <w:rsid w:val="00CF079D"/>
    <w:rsid w:val="00CF0AB7"/>
    <w:rsid w:val="00CF1A73"/>
    <w:rsid w:val="00CF1C46"/>
    <w:rsid w:val="00CF1DC7"/>
    <w:rsid w:val="00CF1FD4"/>
    <w:rsid w:val="00CF2AD2"/>
    <w:rsid w:val="00CF2CC6"/>
    <w:rsid w:val="00CF32C1"/>
    <w:rsid w:val="00CF3357"/>
    <w:rsid w:val="00CF3506"/>
    <w:rsid w:val="00CF35F8"/>
    <w:rsid w:val="00CF3A9A"/>
    <w:rsid w:val="00CF41BA"/>
    <w:rsid w:val="00CF41F4"/>
    <w:rsid w:val="00CF431C"/>
    <w:rsid w:val="00CF4540"/>
    <w:rsid w:val="00CF5070"/>
    <w:rsid w:val="00CF520F"/>
    <w:rsid w:val="00CF6C4C"/>
    <w:rsid w:val="00CF6F5C"/>
    <w:rsid w:val="00CF73C0"/>
    <w:rsid w:val="00CF74B6"/>
    <w:rsid w:val="00CF7C61"/>
    <w:rsid w:val="00D004F2"/>
    <w:rsid w:val="00D00C58"/>
    <w:rsid w:val="00D00E52"/>
    <w:rsid w:val="00D00EE5"/>
    <w:rsid w:val="00D0190A"/>
    <w:rsid w:val="00D01B02"/>
    <w:rsid w:val="00D01BF5"/>
    <w:rsid w:val="00D02289"/>
    <w:rsid w:val="00D027B8"/>
    <w:rsid w:val="00D02AAB"/>
    <w:rsid w:val="00D0368D"/>
    <w:rsid w:val="00D03921"/>
    <w:rsid w:val="00D03A68"/>
    <w:rsid w:val="00D03DFE"/>
    <w:rsid w:val="00D04363"/>
    <w:rsid w:val="00D048FC"/>
    <w:rsid w:val="00D04921"/>
    <w:rsid w:val="00D04CE0"/>
    <w:rsid w:val="00D060F5"/>
    <w:rsid w:val="00D0617E"/>
    <w:rsid w:val="00D062BB"/>
    <w:rsid w:val="00D073D6"/>
    <w:rsid w:val="00D07B33"/>
    <w:rsid w:val="00D10432"/>
    <w:rsid w:val="00D10D0E"/>
    <w:rsid w:val="00D10F31"/>
    <w:rsid w:val="00D11092"/>
    <w:rsid w:val="00D11D56"/>
    <w:rsid w:val="00D11ED2"/>
    <w:rsid w:val="00D1235B"/>
    <w:rsid w:val="00D12573"/>
    <w:rsid w:val="00D12D56"/>
    <w:rsid w:val="00D13067"/>
    <w:rsid w:val="00D1330A"/>
    <w:rsid w:val="00D1343A"/>
    <w:rsid w:val="00D13AA8"/>
    <w:rsid w:val="00D13ABC"/>
    <w:rsid w:val="00D14783"/>
    <w:rsid w:val="00D14C4C"/>
    <w:rsid w:val="00D14C5F"/>
    <w:rsid w:val="00D15069"/>
    <w:rsid w:val="00D150B2"/>
    <w:rsid w:val="00D15412"/>
    <w:rsid w:val="00D156E0"/>
    <w:rsid w:val="00D1659D"/>
    <w:rsid w:val="00D16CEB"/>
    <w:rsid w:val="00D171E0"/>
    <w:rsid w:val="00D1732E"/>
    <w:rsid w:val="00D1777D"/>
    <w:rsid w:val="00D1787C"/>
    <w:rsid w:val="00D17B8B"/>
    <w:rsid w:val="00D203CA"/>
    <w:rsid w:val="00D20EA7"/>
    <w:rsid w:val="00D21261"/>
    <w:rsid w:val="00D21F63"/>
    <w:rsid w:val="00D21FFE"/>
    <w:rsid w:val="00D22411"/>
    <w:rsid w:val="00D22D87"/>
    <w:rsid w:val="00D23002"/>
    <w:rsid w:val="00D23458"/>
    <w:rsid w:val="00D2351C"/>
    <w:rsid w:val="00D24097"/>
    <w:rsid w:val="00D240BB"/>
    <w:rsid w:val="00D24278"/>
    <w:rsid w:val="00D2440A"/>
    <w:rsid w:val="00D244EC"/>
    <w:rsid w:val="00D24B25"/>
    <w:rsid w:val="00D24B6A"/>
    <w:rsid w:val="00D2539E"/>
    <w:rsid w:val="00D255BB"/>
    <w:rsid w:val="00D262EE"/>
    <w:rsid w:val="00D268AE"/>
    <w:rsid w:val="00D26FE7"/>
    <w:rsid w:val="00D275E8"/>
    <w:rsid w:val="00D27758"/>
    <w:rsid w:val="00D30569"/>
    <w:rsid w:val="00D30F60"/>
    <w:rsid w:val="00D310E7"/>
    <w:rsid w:val="00D31208"/>
    <w:rsid w:val="00D312F2"/>
    <w:rsid w:val="00D31A41"/>
    <w:rsid w:val="00D326A5"/>
    <w:rsid w:val="00D32CBE"/>
    <w:rsid w:val="00D33831"/>
    <w:rsid w:val="00D33BB2"/>
    <w:rsid w:val="00D33EEA"/>
    <w:rsid w:val="00D33EF6"/>
    <w:rsid w:val="00D3408E"/>
    <w:rsid w:val="00D34162"/>
    <w:rsid w:val="00D34387"/>
    <w:rsid w:val="00D346C4"/>
    <w:rsid w:val="00D34C18"/>
    <w:rsid w:val="00D34E39"/>
    <w:rsid w:val="00D34F2F"/>
    <w:rsid w:val="00D359A5"/>
    <w:rsid w:val="00D359C1"/>
    <w:rsid w:val="00D360B8"/>
    <w:rsid w:val="00D3613A"/>
    <w:rsid w:val="00D36766"/>
    <w:rsid w:val="00D3782B"/>
    <w:rsid w:val="00D379ED"/>
    <w:rsid w:val="00D37A25"/>
    <w:rsid w:val="00D37B7A"/>
    <w:rsid w:val="00D37D2F"/>
    <w:rsid w:val="00D401F3"/>
    <w:rsid w:val="00D402B0"/>
    <w:rsid w:val="00D40773"/>
    <w:rsid w:val="00D43C3C"/>
    <w:rsid w:val="00D4414D"/>
    <w:rsid w:val="00D442B3"/>
    <w:rsid w:val="00D4484F"/>
    <w:rsid w:val="00D44CA2"/>
    <w:rsid w:val="00D44DBE"/>
    <w:rsid w:val="00D451AA"/>
    <w:rsid w:val="00D452BC"/>
    <w:rsid w:val="00D455EC"/>
    <w:rsid w:val="00D46A6D"/>
    <w:rsid w:val="00D470D4"/>
    <w:rsid w:val="00D4720E"/>
    <w:rsid w:val="00D47860"/>
    <w:rsid w:val="00D5035F"/>
    <w:rsid w:val="00D5069D"/>
    <w:rsid w:val="00D50BBB"/>
    <w:rsid w:val="00D51249"/>
    <w:rsid w:val="00D51F70"/>
    <w:rsid w:val="00D51FB8"/>
    <w:rsid w:val="00D523F5"/>
    <w:rsid w:val="00D52436"/>
    <w:rsid w:val="00D5283B"/>
    <w:rsid w:val="00D528D8"/>
    <w:rsid w:val="00D52CA3"/>
    <w:rsid w:val="00D530CC"/>
    <w:rsid w:val="00D533FE"/>
    <w:rsid w:val="00D536E8"/>
    <w:rsid w:val="00D537FF"/>
    <w:rsid w:val="00D53D04"/>
    <w:rsid w:val="00D54A5D"/>
    <w:rsid w:val="00D54F89"/>
    <w:rsid w:val="00D55490"/>
    <w:rsid w:val="00D55B53"/>
    <w:rsid w:val="00D55C1D"/>
    <w:rsid w:val="00D55DC1"/>
    <w:rsid w:val="00D564B3"/>
    <w:rsid w:val="00D56508"/>
    <w:rsid w:val="00D56B3F"/>
    <w:rsid w:val="00D574FD"/>
    <w:rsid w:val="00D57998"/>
    <w:rsid w:val="00D57C48"/>
    <w:rsid w:val="00D6019D"/>
    <w:rsid w:val="00D6063A"/>
    <w:rsid w:val="00D60B80"/>
    <w:rsid w:val="00D60EBA"/>
    <w:rsid w:val="00D61550"/>
    <w:rsid w:val="00D615C6"/>
    <w:rsid w:val="00D61969"/>
    <w:rsid w:val="00D6220D"/>
    <w:rsid w:val="00D62C02"/>
    <w:rsid w:val="00D62E82"/>
    <w:rsid w:val="00D62F1E"/>
    <w:rsid w:val="00D62F70"/>
    <w:rsid w:val="00D6305A"/>
    <w:rsid w:val="00D6315B"/>
    <w:rsid w:val="00D634A2"/>
    <w:rsid w:val="00D64D58"/>
    <w:rsid w:val="00D65250"/>
    <w:rsid w:val="00D65390"/>
    <w:rsid w:val="00D6559D"/>
    <w:rsid w:val="00D66193"/>
    <w:rsid w:val="00D66569"/>
    <w:rsid w:val="00D67769"/>
    <w:rsid w:val="00D67EBF"/>
    <w:rsid w:val="00D70F0F"/>
    <w:rsid w:val="00D71316"/>
    <w:rsid w:val="00D71760"/>
    <w:rsid w:val="00D71941"/>
    <w:rsid w:val="00D71E5C"/>
    <w:rsid w:val="00D732C8"/>
    <w:rsid w:val="00D734CC"/>
    <w:rsid w:val="00D73985"/>
    <w:rsid w:val="00D739C1"/>
    <w:rsid w:val="00D740E7"/>
    <w:rsid w:val="00D741D8"/>
    <w:rsid w:val="00D745CE"/>
    <w:rsid w:val="00D74B05"/>
    <w:rsid w:val="00D7552C"/>
    <w:rsid w:val="00D7565F"/>
    <w:rsid w:val="00D756C6"/>
    <w:rsid w:val="00D7653C"/>
    <w:rsid w:val="00D767EF"/>
    <w:rsid w:val="00D76C94"/>
    <w:rsid w:val="00D76DE6"/>
    <w:rsid w:val="00D77413"/>
    <w:rsid w:val="00D77F36"/>
    <w:rsid w:val="00D80C56"/>
    <w:rsid w:val="00D81320"/>
    <w:rsid w:val="00D8137B"/>
    <w:rsid w:val="00D81A61"/>
    <w:rsid w:val="00D81D8E"/>
    <w:rsid w:val="00D81E6F"/>
    <w:rsid w:val="00D81F01"/>
    <w:rsid w:val="00D82F89"/>
    <w:rsid w:val="00D83376"/>
    <w:rsid w:val="00D8338C"/>
    <w:rsid w:val="00D83B46"/>
    <w:rsid w:val="00D84332"/>
    <w:rsid w:val="00D84E85"/>
    <w:rsid w:val="00D85460"/>
    <w:rsid w:val="00D85462"/>
    <w:rsid w:val="00D854BF"/>
    <w:rsid w:val="00D8557D"/>
    <w:rsid w:val="00D85C3D"/>
    <w:rsid w:val="00D86081"/>
    <w:rsid w:val="00D86ACD"/>
    <w:rsid w:val="00D87E72"/>
    <w:rsid w:val="00D87F57"/>
    <w:rsid w:val="00D90CCC"/>
    <w:rsid w:val="00D90E80"/>
    <w:rsid w:val="00D914CA"/>
    <w:rsid w:val="00D91A4D"/>
    <w:rsid w:val="00D9216E"/>
    <w:rsid w:val="00D929C8"/>
    <w:rsid w:val="00D9313D"/>
    <w:rsid w:val="00D93E11"/>
    <w:rsid w:val="00D93EAA"/>
    <w:rsid w:val="00D941B7"/>
    <w:rsid w:val="00D9430E"/>
    <w:rsid w:val="00D94981"/>
    <w:rsid w:val="00D95B06"/>
    <w:rsid w:val="00D96410"/>
    <w:rsid w:val="00D971B5"/>
    <w:rsid w:val="00D97A7B"/>
    <w:rsid w:val="00DA028F"/>
    <w:rsid w:val="00DA06FC"/>
    <w:rsid w:val="00DA0F97"/>
    <w:rsid w:val="00DA13BA"/>
    <w:rsid w:val="00DA1BA4"/>
    <w:rsid w:val="00DA25F1"/>
    <w:rsid w:val="00DA334E"/>
    <w:rsid w:val="00DA3D5A"/>
    <w:rsid w:val="00DA3DC9"/>
    <w:rsid w:val="00DA417B"/>
    <w:rsid w:val="00DA451B"/>
    <w:rsid w:val="00DA5463"/>
    <w:rsid w:val="00DA54F1"/>
    <w:rsid w:val="00DA6723"/>
    <w:rsid w:val="00DA6C22"/>
    <w:rsid w:val="00DA73DF"/>
    <w:rsid w:val="00DA7E0E"/>
    <w:rsid w:val="00DB028F"/>
    <w:rsid w:val="00DB0723"/>
    <w:rsid w:val="00DB0907"/>
    <w:rsid w:val="00DB0D8D"/>
    <w:rsid w:val="00DB3031"/>
    <w:rsid w:val="00DB3163"/>
    <w:rsid w:val="00DB3A4D"/>
    <w:rsid w:val="00DB3BE6"/>
    <w:rsid w:val="00DB40A6"/>
    <w:rsid w:val="00DB4189"/>
    <w:rsid w:val="00DB423A"/>
    <w:rsid w:val="00DB4953"/>
    <w:rsid w:val="00DB4FB4"/>
    <w:rsid w:val="00DB5388"/>
    <w:rsid w:val="00DB5A02"/>
    <w:rsid w:val="00DB67F7"/>
    <w:rsid w:val="00DB6814"/>
    <w:rsid w:val="00DB6FBD"/>
    <w:rsid w:val="00DB706A"/>
    <w:rsid w:val="00DB7626"/>
    <w:rsid w:val="00DB7677"/>
    <w:rsid w:val="00DB776A"/>
    <w:rsid w:val="00DC0301"/>
    <w:rsid w:val="00DC07FF"/>
    <w:rsid w:val="00DC0BBD"/>
    <w:rsid w:val="00DC0D4E"/>
    <w:rsid w:val="00DC16EA"/>
    <w:rsid w:val="00DC1880"/>
    <w:rsid w:val="00DC1A76"/>
    <w:rsid w:val="00DC1F6D"/>
    <w:rsid w:val="00DC266D"/>
    <w:rsid w:val="00DC30A4"/>
    <w:rsid w:val="00DC3540"/>
    <w:rsid w:val="00DC45B3"/>
    <w:rsid w:val="00DC56EC"/>
    <w:rsid w:val="00DC5D4E"/>
    <w:rsid w:val="00DC63BA"/>
    <w:rsid w:val="00DC6A12"/>
    <w:rsid w:val="00DC6F24"/>
    <w:rsid w:val="00DC7112"/>
    <w:rsid w:val="00DC7DF6"/>
    <w:rsid w:val="00DD0565"/>
    <w:rsid w:val="00DD0876"/>
    <w:rsid w:val="00DD0A1A"/>
    <w:rsid w:val="00DD0ACA"/>
    <w:rsid w:val="00DD2208"/>
    <w:rsid w:val="00DD22F3"/>
    <w:rsid w:val="00DD3841"/>
    <w:rsid w:val="00DD3937"/>
    <w:rsid w:val="00DD4993"/>
    <w:rsid w:val="00DD516C"/>
    <w:rsid w:val="00DD61E8"/>
    <w:rsid w:val="00DD6373"/>
    <w:rsid w:val="00DD65AF"/>
    <w:rsid w:val="00DD68FA"/>
    <w:rsid w:val="00DD695B"/>
    <w:rsid w:val="00DD69E5"/>
    <w:rsid w:val="00DD7494"/>
    <w:rsid w:val="00DD749D"/>
    <w:rsid w:val="00DE391E"/>
    <w:rsid w:val="00DE3E8B"/>
    <w:rsid w:val="00DE3F65"/>
    <w:rsid w:val="00DE47DF"/>
    <w:rsid w:val="00DE502F"/>
    <w:rsid w:val="00DE5A52"/>
    <w:rsid w:val="00DE5A56"/>
    <w:rsid w:val="00DE6542"/>
    <w:rsid w:val="00DE6991"/>
    <w:rsid w:val="00DE75DC"/>
    <w:rsid w:val="00DE7ACB"/>
    <w:rsid w:val="00DE7B8B"/>
    <w:rsid w:val="00DE7BB5"/>
    <w:rsid w:val="00DE7EA5"/>
    <w:rsid w:val="00DF0091"/>
    <w:rsid w:val="00DF019C"/>
    <w:rsid w:val="00DF0BD7"/>
    <w:rsid w:val="00DF0BE4"/>
    <w:rsid w:val="00DF1F94"/>
    <w:rsid w:val="00DF235C"/>
    <w:rsid w:val="00DF2A64"/>
    <w:rsid w:val="00DF4311"/>
    <w:rsid w:val="00DF43EB"/>
    <w:rsid w:val="00DF4448"/>
    <w:rsid w:val="00DF4980"/>
    <w:rsid w:val="00DF4AEA"/>
    <w:rsid w:val="00DF54DA"/>
    <w:rsid w:val="00DF648F"/>
    <w:rsid w:val="00DF6ADA"/>
    <w:rsid w:val="00DF6D60"/>
    <w:rsid w:val="00DF6D8B"/>
    <w:rsid w:val="00DF776E"/>
    <w:rsid w:val="00DF796B"/>
    <w:rsid w:val="00DF7BC3"/>
    <w:rsid w:val="00E00437"/>
    <w:rsid w:val="00E00479"/>
    <w:rsid w:val="00E0050F"/>
    <w:rsid w:val="00E01750"/>
    <w:rsid w:val="00E019D5"/>
    <w:rsid w:val="00E01CA8"/>
    <w:rsid w:val="00E01E94"/>
    <w:rsid w:val="00E0269C"/>
    <w:rsid w:val="00E02C2C"/>
    <w:rsid w:val="00E02EA7"/>
    <w:rsid w:val="00E032B6"/>
    <w:rsid w:val="00E03AB5"/>
    <w:rsid w:val="00E03EBE"/>
    <w:rsid w:val="00E048A1"/>
    <w:rsid w:val="00E04E6E"/>
    <w:rsid w:val="00E05076"/>
    <w:rsid w:val="00E05537"/>
    <w:rsid w:val="00E05D63"/>
    <w:rsid w:val="00E05E20"/>
    <w:rsid w:val="00E06B1F"/>
    <w:rsid w:val="00E06E10"/>
    <w:rsid w:val="00E1061A"/>
    <w:rsid w:val="00E1079C"/>
    <w:rsid w:val="00E108B5"/>
    <w:rsid w:val="00E10D75"/>
    <w:rsid w:val="00E11719"/>
    <w:rsid w:val="00E11E15"/>
    <w:rsid w:val="00E12548"/>
    <w:rsid w:val="00E12933"/>
    <w:rsid w:val="00E13543"/>
    <w:rsid w:val="00E139B7"/>
    <w:rsid w:val="00E13AD1"/>
    <w:rsid w:val="00E1428E"/>
    <w:rsid w:val="00E14364"/>
    <w:rsid w:val="00E14A05"/>
    <w:rsid w:val="00E14C9A"/>
    <w:rsid w:val="00E15470"/>
    <w:rsid w:val="00E15FE8"/>
    <w:rsid w:val="00E1607F"/>
    <w:rsid w:val="00E1676D"/>
    <w:rsid w:val="00E16928"/>
    <w:rsid w:val="00E16BB7"/>
    <w:rsid w:val="00E1715F"/>
    <w:rsid w:val="00E178EC"/>
    <w:rsid w:val="00E17AC7"/>
    <w:rsid w:val="00E17AD9"/>
    <w:rsid w:val="00E20BCD"/>
    <w:rsid w:val="00E20EC5"/>
    <w:rsid w:val="00E210D3"/>
    <w:rsid w:val="00E2151E"/>
    <w:rsid w:val="00E2162A"/>
    <w:rsid w:val="00E21AEC"/>
    <w:rsid w:val="00E22522"/>
    <w:rsid w:val="00E22609"/>
    <w:rsid w:val="00E22BEE"/>
    <w:rsid w:val="00E234A6"/>
    <w:rsid w:val="00E23884"/>
    <w:rsid w:val="00E23C9A"/>
    <w:rsid w:val="00E243C3"/>
    <w:rsid w:val="00E247C4"/>
    <w:rsid w:val="00E248A9"/>
    <w:rsid w:val="00E24905"/>
    <w:rsid w:val="00E24C2F"/>
    <w:rsid w:val="00E24E40"/>
    <w:rsid w:val="00E24FEF"/>
    <w:rsid w:val="00E25451"/>
    <w:rsid w:val="00E25DC5"/>
    <w:rsid w:val="00E25F31"/>
    <w:rsid w:val="00E26A74"/>
    <w:rsid w:val="00E2768B"/>
    <w:rsid w:val="00E27715"/>
    <w:rsid w:val="00E27FA9"/>
    <w:rsid w:val="00E304F1"/>
    <w:rsid w:val="00E312EA"/>
    <w:rsid w:val="00E32127"/>
    <w:rsid w:val="00E3333E"/>
    <w:rsid w:val="00E337A7"/>
    <w:rsid w:val="00E3398E"/>
    <w:rsid w:val="00E33993"/>
    <w:rsid w:val="00E33C3F"/>
    <w:rsid w:val="00E33F51"/>
    <w:rsid w:val="00E3428B"/>
    <w:rsid w:val="00E34390"/>
    <w:rsid w:val="00E34740"/>
    <w:rsid w:val="00E34A93"/>
    <w:rsid w:val="00E3521E"/>
    <w:rsid w:val="00E35985"/>
    <w:rsid w:val="00E35B40"/>
    <w:rsid w:val="00E35F0C"/>
    <w:rsid w:val="00E3623C"/>
    <w:rsid w:val="00E36510"/>
    <w:rsid w:val="00E372DA"/>
    <w:rsid w:val="00E374EB"/>
    <w:rsid w:val="00E3760D"/>
    <w:rsid w:val="00E37D13"/>
    <w:rsid w:val="00E40970"/>
    <w:rsid w:val="00E40FC2"/>
    <w:rsid w:val="00E41177"/>
    <w:rsid w:val="00E419BF"/>
    <w:rsid w:val="00E42687"/>
    <w:rsid w:val="00E42992"/>
    <w:rsid w:val="00E42A5D"/>
    <w:rsid w:val="00E4329E"/>
    <w:rsid w:val="00E4331A"/>
    <w:rsid w:val="00E436AD"/>
    <w:rsid w:val="00E43880"/>
    <w:rsid w:val="00E43B47"/>
    <w:rsid w:val="00E43BF4"/>
    <w:rsid w:val="00E43CB6"/>
    <w:rsid w:val="00E4421B"/>
    <w:rsid w:val="00E444D3"/>
    <w:rsid w:val="00E45ABD"/>
    <w:rsid w:val="00E45D5D"/>
    <w:rsid w:val="00E4628F"/>
    <w:rsid w:val="00E46461"/>
    <w:rsid w:val="00E465C3"/>
    <w:rsid w:val="00E46686"/>
    <w:rsid w:val="00E46745"/>
    <w:rsid w:val="00E471A6"/>
    <w:rsid w:val="00E473CA"/>
    <w:rsid w:val="00E4768A"/>
    <w:rsid w:val="00E47850"/>
    <w:rsid w:val="00E50112"/>
    <w:rsid w:val="00E5078B"/>
    <w:rsid w:val="00E5156B"/>
    <w:rsid w:val="00E515BB"/>
    <w:rsid w:val="00E51A7D"/>
    <w:rsid w:val="00E520E0"/>
    <w:rsid w:val="00E536C8"/>
    <w:rsid w:val="00E53A93"/>
    <w:rsid w:val="00E53EE8"/>
    <w:rsid w:val="00E549E5"/>
    <w:rsid w:val="00E5559F"/>
    <w:rsid w:val="00E55A38"/>
    <w:rsid w:val="00E55D41"/>
    <w:rsid w:val="00E55DC2"/>
    <w:rsid w:val="00E56447"/>
    <w:rsid w:val="00E56C63"/>
    <w:rsid w:val="00E60193"/>
    <w:rsid w:val="00E60417"/>
    <w:rsid w:val="00E60C9B"/>
    <w:rsid w:val="00E61292"/>
    <w:rsid w:val="00E61DC5"/>
    <w:rsid w:val="00E624F9"/>
    <w:rsid w:val="00E626F5"/>
    <w:rsid w:val="00E62B12"/>
    <w:rsid w:val="00E62B74"/>
    <w:rsid w:val="00E62BB0"/>
    <w:rsid w:val="00E62F29"/>
    <w:rsid w:val="00E633C9"/>
    <w:rsid w:val="00E637C9"/>
    <w:rsid w:val="00E63823"/>
    <w:rsid w:val="00E6397D"/>
    <w:rsid w:val="00E63E10"/>
    <w:rsid w:val="00E63EC0"/>
    <w:rsid w:val="00E63F94"/>
    <w:rsid w:val="00E63F9A"/>
    <w:rsid w:val="00E6407D"/>
    <w:rsid w:val="00E640D5"/>
    <w:rsid w:val="00E64147"/>
    <w:rsid w:val="00E643EA"/>
    <w:rsid w:val="00E64877"/>
    <w:rsid w:val="00E64AE9"/>
    <w:rsid w:val="00E64B46"/>
    <w:rsid w:val="00E64B9C"/>
    <w:rsid w:val="00E64D08"/>
    <w:rsid w:val="00E661EF"/>
    <w:rsid w:val="00E662D0"/>
    <w:rsid w:val="00E6654C"/>
    <w:rsid w:val="00E669E3"/>
    <w:rsid w:val="00E672E5"/>
    <w:rsid w:val="00E67598"/>
    <w:rsid w:val="00E676E1"/>
    <w:rsid w:val="00E67BCA"/>
    <w:rsid w:val="00E702DE"/>
    <w:rsid w:val="00E70D3C"/>
    <w:rsid w:val="00E71F4B"/>
    <w:rsid w:val="00E7253C"/>
    <w:rsid w:val="00E73F89"/>
    <w:rsid w:val="00E74258"/>
    <w:rsid w:val="00E7432D"/>
    <w:rsid w:val="00E74ACA"/>
    <w:rsid w:val="00E74C26"/>
    <w:rsid w:val="00E7524D"/>
    <w:rsid w:val="00E75606"/>
    <w:rsid w:val="00E757F3"/>
    <w:rsid w:val="00E76465"/>
    <w:rsid w:val="00E7680C"/>
    <w:rsid w:val="00E7792D"/>
    <w:rsid w:val="00E8088A"/>
    <w:rsid w:val="00E8098C"/>
    <w:rsid w:val="00E80C8D"/>
    <w:rsid w:val="00E810D8"/>
    <w:rsid w:val="00E811A0"/>
    <w:rsid w:val="00E811BE"/>
    <w:rsid w:val="00E811FE"/>
    <w:rsid w:val="00E81218"/>
    <w:rsid w:val="00E8131D"/>
    <w:rsid w:val="00E81670"/>
    <w:rsid w:val="00E81B06"/>
    <w:rsid w:val="00E822DE"/>
    <w:rsid w:val="00E823B5"/>
    <w:rsid w:val="00E82960"/>
    <w:rsid w:val="00E82BDF"/>
    <w:rsid w:val="00E82CA4"/>
    <w:rsid w:val="00E82D40"/>
    <w:rsid w:val="00E82DAB"/>
    <w:rsid w:val="00E82DAE"/>
    <w:rsid w:val="00E839A5"/>
    <w:rsid w:val="00E843B2"/>
    <w:rsid w:val="00E84618"/>
    <w:rsid w:val="00E8498F"/>
    <w:rsid w:val="00E84D25"/>
    <w:rsid w:val="00E84F65"/>
    <w:rsid w:val="00E8513C"/>
    <w:rsid w:val="00E86042"/>
    <w:rsid w:val="00E864C9"/>
    <w:rsid w:val="00E86B5A"/>
    <w:rsid w:val="00E86D20"/>
    <w:rsid w:val="00E86E0F"/>
    <w:rsid w:val="00E87440"/>
    <w:rsid w:val="00E87604"/>
    <w:rsid w:val="00E87CD3"/>
    <w:rsid w:val="00E90263"/>
    <w:rsid w:val="00E903F1"/>
    <w:rsid w:val="00E90550"/>
    <w:rsid w:val="00E9072E"/>
    <w:rsid w:val="00E9093E"/>
    <w:rsid w:val="00E91871"/>
    <w:rsid w:val="00E93381"/>
    <w:rsid w:val="00E93946"/>
    <w:rsid w:val="00E93CAF"/>
    <w:rsid w:val="00E93CB3"/>
    <w:rsid w:val="00E94457"/>
    <w:rsid w:val="00E94E6C"/>
    <w:rsid w:val="00E95099"/>
    <w:rsid w:val="00E9515A"/>
    <w:rsid w:val="00E95B0A"/>
    <w:rsid w:val="00E96148"/>
    <w:rsid w:val="00E96268"/>
    <w:rsid w:val="00E96505"/>
    <w:rsid w:val="00E96654"/>
    <w:rsid w:val="00E969A4"/>
    <w:rsid w:val="00E96A07"/>
    <w:rsid w:val="00E96EB2"/>
    <w:rsid w:val="00E96FE5"/>
    <w:rsid w:val="00E971AC"/>
    <w:rsid w:val="00E972EC"/>
    <w:rsid w:val="00E97FD0"/>
    <w:rsid w:val="00EA06FE"/>
    <w:rsid w:val="00EA0A06"/>
    <w:rsid w:val="00EA0EBC"/>
    <w:rsid w:val="00EA2052"/>
    <w:rsid w:val="00EA241E"/>
    <w:rsid w:val="00EA267E"/>
    <w:rsid w:val="00EA2A65"/>
    <w:rsid w:val="00EA2BB5"/>
    <w:rsid w:val="00EA342A"/>
    <w:rsid w:val="00EA36C1"/>
    <w:rsid w:val="00EA3B78"/>
    <w:rsid w:val="00EA3C24"/>
    <w:rsid w:val="00EA3EBD"/>
    <w:rsid w:val="00EA43F2"/>
    <w:rsid w:val="00EA4C27"/>
    <w:rsid w:val="00EA4E18"/>
    <w:rsid w:val="00EA7056"/>
    <w:rsid w:val="00EB00CE"/>
    <w:rsid w:val="00EB00F1"/>
    <w:rsid w:val="00EB0896"/>
    <w:rsid w:val="00EB0BF2"/>
    <w:rsid w:val="00EB1044"/>
    <w:rsid w:val="00EB17ED"/>
    <w:rsid w:val="00EB1B89"/>
    <w:rsid w:val="00EB1C6B"/>
    <w:rsid w:val="00EB29E1"/>
    <w:rsid w:val="00EB396E"/>
    <w:rsid w:val="00EB40F3"/>
    <w:rsid w:val="00EB4D79"/>
    <w:rsid w:val="00EB52A3"/>
    <w:rsid w:val="00EB53D3"/>
    <w:rsid w:val="00EB59E2"/>
    <w:rsid w:val="00EB606D"/>
    <w:rsid w:val="00EB6549"/>
    <w:rsid w:val="00EB6A10"/>
    <w:rsid w:val="00EB785A"/>
    <w:rsid w:val="00EB7F0B"/>
    <w:rsid w:val="00EC0E66"/>
    <w:rsid w:val="00EC103F"/>
    <w:rsid w:val="00EC19B8"/>
    <w:rsid w:val="00EC1CE9"/>
    <w:rsid w:val="00EC2128"/>
    <w:rsid w:val="00EC24CA"/>
    <w:rsid w:val="00EC24F5"/>
    <w:rsid w:val="00EC2CCD"/>
    <w:rsid w:val="00EC2E8C"/>
    <w:rsid w:val="00EC3AD3"/>
    <w:rsid w:val="00EC3C71"/>
    <w:rsid w:val="00EC3D00"/>
    <w:rsid w:val="00EC455F"/>
    <w:rsid w:val="00EC498F"/>
    <w:rsid w:val="00EC4F5B"/>
    <w:rsid w:val="00EC53E0"/>
    <w:rsid w:val="00EC5867"/>
    <w:rsid w:val="00EC5939"/>
    <w:rsid w:val="00EC5977"/>
    <w:rsid w:val="00EC6535"/>
    <w:rsid w:val="00EC6C64"/>
    <w:rsid w:val="00EC6E0D"/>
    <w:rsid w:val="00EC6FFD"/>
    <w:rsid w:val="00EC745C"/>
    <w:rsid w:val="00EC7CBA"/>
    <w:rsid w:val="00ED0098"/>
    <w:rsid w:val="00ED198F"/>
    <w:rsid w:val="00ED2890"/>
    <w:rsid w:val="00ED2E51"/>
    <w:rsid w:val="00ED2F82"/>
    <w:rsid w:val="00ED36AF"/>
    <w:rsid w:val="00ED425A"/>
    <w:rsid w:val="00ED4344"/>
    <w:rsid w:val="00ED490C"/>
    <w:rsid w:val="00ED4F84"/>
    <w:rsid w:val="00ED51A1"/>
    <w:rsid w:val="00ED5B92"/>
    <w:rsid w:val="00ED5C45"/>
    <w:rsid w:val="00ED5D5F"/>
    <w:rsid w:val="00ED6702"/>
    <w:rsid w:val="00ED771A"/>
    <w:rsid w:val="00ED79BE"/>
    <w:rsid w:val="00ED7E7F"/>
    <w:rsid w:val="00EE0218"/>
    <w:rsid w:val="00EE051E"/>
    <w:rsid w:val="00EE09DF"/>
    <w:rsid w:val="00EE0BBE"/>
    <w:rsid w:val="00EE0E5F"/>
    <w:rsid w:val="00EE128F"/>
    <w:rsid w:val="00EE1547"/>
    <w:rsid w:val="00EE21BD"/>
    <w:rsid w:val="00EE2BAD"/>
    <w:rsid w:val="00EE2D7D"/>
    <w:rsid w:val="00EE2EB3"/>
    <w:rsid w:val="00EE34DE"/>
    <w:rsid w:val="00EE39B4"/>
    <w:rsid w:val="00EE3DC6"/>
    <w:rsid w:val="00EE50B9"/>
    <w:rsid w:val="00EE5314"/>
    <w:rsid w:val="00EE5335"/>
    <w:rsid w:val="00EE596C"/>
    <w:rsid w:val="00EE5BED"/>
    <w:rsid w:val="00EE7177"/>
    <w:rsid w:val="00EE72B0"/>
    <w:rsid w:val="00EE73F7"/>
    <w:rsid w:val="00EE7427"/>
    <w:rsid w:val="00EE764E"/>
    <w:rsid w:val="00EE7B8A"/>
    <w:rsid w:val="00EE7D1C"/>
    <w:rsid w:val="00EE7FCA"/>
    <w:rsid w:val="00EF0995"/>
    <w:rsid w:val="00EF0D64"/>
    <w:rsid w:val="00EF205A"/>
    <w:rsid w:val="00EF2740"/>
    <w:rsid w:val="00EF2768"/>
    <w:rsid w:val="00EF284A"/>
    <w:rsid w:val="00EF2B09"/>
    <w:rsid w:val="00EF2F9D"/>
    <w:rsid w:val="00EF320C"/>
    <w:rsid w:val="00EF3F13"/>
    <w:rsid w:val="00EF3FD6"/>
    <w:rsid w:val="00EF487B"/>
    <w:rsid w:val="00EF4980"/>
    <w:rsid w:val="00EF51C8"/>
    <w:rsid w:val="00EF536A"/>
    <w:rsid w:val="00EF5376"/>
    <w:rsid w:val="00EF595F"/>
    <w:rsid w:val="00EF5AA5"/>
    <w:rsid w:val="00EF5D44"/>
    <w:rsid w:val="00EF60DB"/>
    <w:rsid w:val="00EF620D"/>
    <w:rsid w:val="00EF74EE"/>
    <w:rsid w:val="00EF7ED2"/>
    <w:rsid w:val="00F00360"/>
    <w:rsid w:val="00F00999"/>
    <w:rsid w:val="00F00C8E"/>
    <w:rsid w:val="00F00CF5"/>
    <w:rsid w:val="00F0278E"/>
    <w:rsid w:val="00F02AE1"/>
    <w:rsid w:val="00F0313A"/>
    <w:rsid w:val="00F04822"/>
    <w:rsid w:val="00F05699"/>
    <w:rsid w:val="00F05813"/>
    <w:rsid w:val="00F0748C"/>
    <w:rsid w:val="00F07526"/>
    <w:rsid w:val="00F07FDD"/>
    <w:rsid w:val="00F1002C"/>
    <w:rsid w:val="00F10A4B"/>
    <w:rsid w:val="00F10E11"/>
    <w:rsid w:val="00F11D0C"/>
    <w:rsid w:val="00F11FD0"/>
    <w:rsid w:val="00F13B87"/>
    <w:rsid w:val="00F13D0D"/>
    <w:rsid w:val="00F140A1"/>
    <w:rsid w:val="00F14545"/>
    <w:rsid w:val="00F14F25"/>
    <w:rsid w:val="00F150A8"/>
    <w:rsid w:val="00F1511A"/>
    <w:rsid w:val="00F15D89"/>
    <w:rsid w:val="00F15F9F"/>
    <w:rsid w:val="00F1636F"/>
    <w:rsid w:val="00F16D86"/>
    <w:rsid w:val="00F2030E"/>
    <w:rsid w:val="00F20939"/>
    <w:rsid w:val="00F20CF9"/>
    <w:rsid w:val="00F20F65"/>
    <w:rsid w:val="00F216CE"/>
    <w:rsid w:val="00F21F6A"/>
    <w:rsid w:val="00F22112"/>
    <w:rsid w:val="00F234D6"/>
    <w:rsid w:val="00F252C6"/>
    <w:rsid w:val="00F258D1"/>
    <w:rsid w:val="00F25BC1"/>
    <w:rsid w:val="00F261F0"/>
    <w:rsid w:val="00F26BDC"/>
    <w:rsid w:val="00F26FB1"/>
    <w:rsid w:val="00F27834"/>
    <w:rsid w:val="00F305C8"/>
    <w:rsid w:val="00F30DBC"/>
    <w:rsid w:val="00F30EA5"/>
    <w:rsid w:val="00F31BBA"/>
    <w:rsid w:val="00F3212B"/>
    <w:rsid w:val="00F3255B"/>
    <w:rsid w:val="00F3401D"/>
    <w:rsid w:val="00F36150"/>
    <w:rsid w:val="00F3653D"/>
    <w:rsid w:val="00F36D18"/>
    <w:rsid w:val="00F37E47"/>
    <w:rsid w:val="00F4119B"/>
    <w:rsid w:val="00F41521"/>
    <w:rsid w:val="00F427F4"/>
    <w:rsid w:val="00F429F1"/>
    <w:rsid w:val="00F42B9C"/>
    <w:rsid w:val="00F42E33"/>
    <w:rsid w:val="00F44107"/>
    <w:rsid w:val="00F449A2"/>
    <w:rsid w:val="00F45062"/>
    <w:rsid w:val="00F454FD"/>
    <w:rsid w:val="00F45701"/>
    <w:rsid w:val="00F45879"/>
    <w:rsid w:val="00F45CB8"/>
    <w:rsid w:val="00F45DF4"/>
    <w:rsid w:val="00F463EC"/>
    <w:rsid w:val="00F46DE5"/>
    <w:rsid w:val="00F46F53"/>
    <w:rsid w:val="00F47D41"/>
    <w:rsid w:val="00F47EF8"/>
    <w:rsid w:val="00F5031C"/>
    <w:rsid w:val="00F503CB"/>
    <w:rsid w:val="00F5186C"/>
    <w:rsid w:val="00F521AA"/>
    <w:rsid w:val="00F5242B"/>
    <w:rsid w:val="00F52459"/>
    <w:rsid w:val="00F526DD"/>
    <w:rsid w:val="00F52733"/>
    <w:rsid w:val="00F528F1"/>
    <w:rsid w:val="00F52A1C"/>
    <w:rsid w:val="00F53130"/>
    <w:rsid w:val="00F53469"/>
    <w:rsid w:val="00F555C2"/>
    <w:rsid w:val="00F55E4E"/>
    <w:rsid w:val="00F561FF"/>
    <w:rsid w:val="00F603FB"/>
    <w:rsid w:val="00F6043D"/>
    <w:rsid w:val="00F606CF"/>
    <w:rsid w:val="00F6105A"/>
    <w:rsid w:val="00F6133A"/>
    <w:rsid w:val="00F6145C"/>
    <w:rsid w:val="00F615FC"/>
    <w:rsid w:val="00F6188F"/>
    <w:rsid w:val="00F61F77"/>
    <w:rsid w:val="00F627C2"/>
    <w:rsid w:val="00F62BB3"/>
    <w:rsid w:val="00F63E05"/>
    <w:rsid w:val="00F641A9"/>
    <w:rsid w:val="00F64DB4"/>
    <w:rsid w:val="00F651C8"/>
    <w:rsid w:val="00F653E8"/>
    <w:rsid w:val="00F66F08"/>
    <w:rsid w:val="00F67D33"/>
    <w:rsid w:val="00F70094"/>
    <w:rsid w:val="00F700B8"/>
    <w:rsid w:val="00F70B07"/>
    <w:rsid w:val="00F7171D"/>
    <w:rsid w:val="00F717E7"/>
    <w:rsid w:val="00F71C8E"/>
    <w:rsid w:val="00F71E68"/>
    <w:rsid w:val="00F71EBA"/>
    <w:rsid w:val="00F7215A"/>
    <w:rsid w:val="00F7232E"/>
    <w:rsid w:val="00F728FC"/>
    <w:rsid w:val="00F72EE2"/>
    <w:rsid w:val="00F734D1"/>
    <w:rsid w:val="00F73634"/>
    <w:rsid w:val="00F7370F"/>
    <w:rsid w:val="00F73BC7"/>
    <w:rsid w:val="00F74C9D"/>
    <w:rsid w:val="00F7537B"/>
    <w:rsid w:val="00F75605"/>
    <w:rsid w:val="00F75E4B"/>
    <w:rsid w:val="00F75FFF"/>
    <w:rsid w:val="00F7695D"/>
    <w:rsid w:val="00F7698A"/>
    <w:rsid w:val="00F76B84"/>
    <w:rsid w:val="00F76D9B"/>
    <w:rsid w:val="00F770EF"/>
    <w:rsid w:val="00F77383"/>
    <w:rsid w:val="00F774FE"/>
    <w:rsid w:val="00F77AC8"/>
    <w:rsid w:val="00F77F69"/>
    <w:rsid w:val="00F806C5"/>
    <w:rsid w:val="00F806E9"/>
    <w:rsid w:val="00F807EE"/>
    <w:rsid w:val="00F81063"/>
    <w:rsid w:val="00F81D45"/>
    <w:rsid w:val="00F81D60"/>
    <w:rsid w:val="00F83818"/>
    <w:rsid w:val="00F83AD7"/>
    <w:rsid w:val="00F83C71"/>
    <w:rsid w:val="00F83F3A"/>
    <w:rsid w:val="00F84833"/>
    <w:rsid w:val="00F858F6"/>
    <w:rsid w:val="00F8597F"/>
    <w:rsid w:val="00F85AEF"/>
    <w:rsid w:val="00F85D64"/>
    <w:rsid w:val="00F85FB4"/>
    <w:rsid w:val="00F86053"/>
    <w:rsid w:val="00F86EA2"/>
    <w:rsid w:val="00F8718C"/>
    <w:rsid w:val="00F871C6"/>
    <w:rsid w:val="00F8742C"/>
    <w:rsid w:val="00F874B0"/>
    <w:rsid w:val="00F87D1F"/>
    <w:rsid w:val="00F9012B"/>
    <w:rsid w:val="00F90D7A"/>
    <w:rsid w:val="00F90D96"/>
    <w:rsid w:val="00F90FD3"/>
    <w:rsid w:val="00F91D39"/>
    <w:rsid w:val="00F9223E"/>
    <w:rsid w:val="00F9276C"/>
    <w:rsid w:val="00F93915"/>
    <w:rsid w:val="00F93B49"/>
    <w:rsid w:val="00F93FB2"/>
    <w:rsid w:val="00F94054"/>
    <w:rsid w:val="00F94E91"/>
    <w:rsid w:val="00F94ECA"/>
    <w:rsid w:val="00F951A4"/>
    <w:rsid w:val="00F959AE"/>
    <w:rsid w:val="00F96CE9"/>
    <w:rsid w:val="00F978F4"/>
    <w:rsid w:val="00FA0BA7"/>
    <w:rsid w:val="00FA23D0"/>
    <w:rsid w:val="00FA249D"/>
    <w:rsid w:val="00FA2942"/>
    <w:rsid w:val="00FA2E18"/>
    <w:rsid w:val="00FA2FB8"/>
    <w:rsid w:val="00FA387E"/>
    <w:rsid w:val="00FA4534"/>
    <w:rsid w:val="00FA47D9"/>
    <w:rsid w:val="00FA48FF"/>
    <w:rsid w:val="00FA4B54"/>
    <w:rsid w:val="00FA4B81"/>
    <w:rsid w:val="00FA52FB"/>
    <w:rsid w:val="00FA553B"/>
    <w:rsid w:val="00FA592A"/>
    <w:rsid w:val="00FA6138"/>
    <w:rsid w:val="00FA782A"/>
    <w:rsid w:val="00FA7EDB"/>
    <w:rsid w:val="00FB00DE"/>
    <w:rsid w:val="00FB0530"/>
    <w:rsid w:val="00FB0B39"/>
    <w:rsid w:val="00FB1731"/>
    <w:rsid w:val="00FB1BB2"/>
    <w:rsid w:val="00FB28A4"/>
    <w:rsid w:val="00FB2931"/>
    <w:rsid w:val="00FB39B4"/>
    <w:rsid w:val="00FB3E43"/>
    <w:rsid w:val="00FB40FE"/>
    <w:rsid w:val="00FB411B"/>
    <w:rsid w:val="00FB43D6"/>
    <w:rsid w:val="00FB4849"/>
    <w:rsid w:val="00FB485E"/>
    <w:rsid w:val="00FB4871"/>
    <w:rsid w:val="00FB4BC7"/>
    <w:rsid w:val="00FB4F5D"/>
    <w:rsid w:val="00FB5611"/>
    <w:rsid w:val="00FB6173"/>
    <w:rsid w:val="00FB632A"/>
    <w:rsid w:val="00FB6AA2"/>
    <w:rsid w:val="00FB738F"/>
    <w:rsid w:val="00FB7E12"/>
    <w:rsid w:val="00FC0729"/>
    <w:rsid w:val="00FC2060"/>
    <w:rsid w:val="00FC28CD"/>
    <w:rsid w:val="00FC3636"/>
    <w:rsid w:val="00FC409A"/>
    <w:rsid w:val="00FC410A"/>
    <w:rsid w:val="00FC46B9"/>
    <w:rsid w:val="00FC5BA7"/>
    <w:rsid w:val="00FC5CB9"/>
    <w:rsid w:val="00FC5FED"/>
    <w:rsid w:val="00FC6588"/>
    <w:rsid w:val="00FC6741"/>
    <w:rsid w:val="00FC6A6B"/>
    <w:rsid w:val="00FC6B6A"/>
    <w:rsid w:val="00FC6E2E"/>
    <w:rsid w:val="00FC71A6"/>
    <w:rsid w:val="00FC78C7"/>
    <w:rsid w:val="00FC7B70"/>
    <w:rsid w:val="00FC7F91"/>
    <w:rsid w:val="00FD0E2D"/>
    <w:rsid w:val="00FD15B4"/>
    <w:rsid w:val="00FD1815"/>
    <w:rsid w:val="00FD1B1B"/>
    <w:rsid w:val="00FD1B39"/>
    <w:rsid w:val="00FD1D20"/>
    <w:rsid w:val="00FD2637"/>
    <w:rsid w:val="00FD284B"/>
    <w:rsid w:val="00FD2D0C"/>
    <w:rsid w:val="00FD30CD"/>
    <w:rsid w:val="00FD3BEC"/>
    <w:rsid w:val="00FD3F27"/>
    <w:rsid w:val="00FD4C46"/>
    <w:rsid w:val="00FD4C87"/>
    <w:rsid w:val="00FD5071"/>
    <w:rsid w:val="00FD51DA"/>
    <w:rsid w:val="00FD7417"/>
    <w:rsid w:val="00FE05C5"/>
    <w:rsid w:val="00FE06E8"/>
    <w:rsid w:val="00FE108F"/>
    <w:rsid w:val="00FE11B8"/>
    <w:rsid w:val="00FE1BEB"/>
    <w:rsid w:val="00FE1FC9"/>
    <w:rsid w:val="00FE27B9"/>
    <w:rsid w:val="00FE2A11"/>
    <w:rsid w:val="00FE32AC"/>
    <w:rsid w:val="00FE3A74"/>
    <w:rsid w:val="00FE40E4"/>
    <w:rsid w:val="00FE4BD8"/>
    <w:rsid w:val="00FE4D78"/>
    <w:rsid w:val="00FE4EEA"/>
    <w:rsid w:val="00FE51BA"/>
    <w:rsid w:val="00FE53B3"/>
    <w:rsid w:val="00FE5527"/>
    <w:rsid w:val="00FE5828"/>
    <w:rsid w:val="00FE6243"/>
    <w:rsid w:val="00FE69ED"/>
    <w:rsid w:val="00FE729C"/>
    <w:rsid w:val="00FE72C8"/>
    <w:rsid w:val="00FE7AB6"/>
    <w:rsid w:val="00FE7DA9"/>
    <w:rsid w:val="00FF027E"/>
    <w:rsid w:val="00FF03A5"/>
    <w:rsid w:val="00FF0A37"/>
    <w:rsid w:val="00FF0DFD"/>
    <w:rsid w:val="00FF1119"/>
    <w:rsid w:val="00FF1181"/>
    <w:rsid w:val="00FF2241"/>
    <w:rsid w:val="00FF2442"/>
    <w:rsid w:val="00FF2E5D"/>
    <w:rsid w:val="00FF34EC"/>
    <w:rsid w:val="00FF4780"/>
    <w:rsid w:val="00FF486A"/>
    <w:rsid w:val="00FF4CC3"/>
    <w:rsid w:val="00FF6439"/>
    <w:rsid w:val="00FF64B9"/>
    <w:rsid w:val="00FF683B"/>
    <w:rsid w:val="00FF6B2C"/>
    <w:rsid w:val="00FF6C19"/>
    <w:rsid w:val="00FF6F15"/>
    <w:rsid w:val="00FF73CC"/>
    <w:rsid w:val="04EA72F1"/>
    <w:rsid w:val="0ADF3B42"/>
    <w:rsid w:val="0D7D3534"/>
    <w:rsid w:val="0F252D64"/>
    <w:rsid w:val="11257C01"/>
    <w:rsid w:val="13F2715E"/>
    <w:rsid w:val="17E63C9C"/>
    <w:rsid w:val="18E536D8"/>
    <w:rsid w:val="1A1253CF"/>
    <w:rsid w:val="205D03A8"/>
    <w:rsid w:val="21D6293B"/>
    <w:rsid w:val="22672C03"/>
    <w:rsid w:val="26A92CC2"/>
    <w:rsid w:val="26C5522E"/>
    <w:rsid w:val="26EE70F2"/>
    <w:rsid w:val="27E00269"/>
    <w:rsid w:val="2BB07287"/>
    <w:rsid w:val="2FC95D49"/>
    <w:rsid w:val="30E86A9C"/>
    <w:rsid w:val="31633F49"/>
    <w:rsid w:val="32077A07"/>
    <w:rsid w:val="336D59FD"/>
    <w:rsid w:val="362E1852"/>
    <w:rsid w:val="36497F1B"/>
    <w:rsid w:val="38C76AA7"/>
    <w:rsid w:val="39FD3475"/>
    <w:rsid w:val="3B7C31DA"/>
    <w:rsid w:val="3C3446F5"/>
    <w:rsid w:val="3CE15785"/>
    <w:rsid w:val="3DC0038B"/>
    <w:rsid w:val="40011E7C"/>
    <w:rsid w:val="406F2C96"/>
    <w:rsid w:val="4300459D"/>
    <w:rsid w:val="44CB37ED"/>
    <w:rsid w:val="4A2D4B86"/>
    <w:rsid w:val="4A354D71"/>
    <w:rsid w:val="4BE41D7A"/>
    <w:rsid w:val="4FA465E3"/>
    <w:rsid w:val="501E4204"/>
    <w:rsid w:val="508F6718"/>
    <w:rsid w:val="52CC32A3"/>
    <w:rsid w:val="536B01B3"/>
    <w:rsid w:val="55091931"/>
    <w:rsid w:val="5944798E"/>
    <w:rsid w:val="5A430FEF"/>
    <w:rsid w:val="5DB02252"/>
    <w:rsid w:val="5E551E53"/>
    <w:rsid w:val="601D7093"/>
    <w:rsid w:val="63715549"/>
    <w:rsid w:val="67F54FEE"/>
    <w:rsid w:val="68F44983"/>
    <w:rsid w:val="6A770A06"/>
    <w:rsid w:val="6FBD3749"/>
    <w:rsid w:val="70513B0B"/>
    <w:rsid w:val="74F80FCC"/>
    <w:rsid w:val="75994405"/>
    <w:rsid w:val="76D52962"/>
    <w:rsid w:val="772070C2"/>
    <w:rsid w:val="784C48EA"/>
    <w:rsid w:val="79724AA2"/>
    <w:rsid w:val="7B455FD5"/>
    <w:rsid w:val="7C80099C"/>
    <w:rsid w:val="7C9F43A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qFormat="1"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iPriority="99"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qFormat="1" w:unhideWhenUsed="0" w:uiPriority="0" w:semiHidden="0"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5"/>
    <w:link w:val="68"/>
    <w:qFormat/>
    <w:uiPriority w:val="0"/>
    <w:pPr>
      <w:keepNext/>
      <w:keepLines/>
      <w:numPr>
        <w:ilvl w:val="0"/>
        <w:numId w:val="1"/>
      </w:numPr>
      <w:adjustRightInd w:val="0"/>
      <w:snapToGrid w:val="0"/>
      <w:spacing w:beforeLines="50"/>
      <w:jc w:val="left"/>
      <w:outlineLvl w:val="0"/>
    </w:pPr>
    <w:rPr>
      <w:rFonts w:eastAsia="黑体"/>
      <w:b/>
      <w:bCs/>
      <w:kern w:val="44"/>
      <w:sz w:val="32"/>
      <w:szCs w:val="44"/>
    </w:rPr>
  </w:style>
  <w:style w:type="paragraph" w:styleId="6">
    <w:name w:val="heading 2"/>
    <w:basedOn w:val="1"/>
    <w:next w:val="1"/>
    <w:link w:val="69"/>
    <w:qFormat/>
    <w:uiPriority w:val="0"/>
    <w:pPr>
      <w:keepNext/>
      <w:keepLines/>
      <w:numPr>
        <w:ilvl w:val="1"/>
        <w:numId w:val="1"/>
      </w:numPr>
      <w:tabs>
        <w:tab w:val="left" w:pos="432"/>
        <w:tab w:val="left" w:pos="576"/>
      </w:tabs>
      <w:spacing w:before="140" w:after="140"/>
      <w:outlineLvl w:val="1"/>
    </w:pPr>
    <w:rPr>
      <w:rFonts w:ascii="Arial" w:hAnsi="Arial" w:eastAsia="黑体"/>
      <w:b/>
      <w:bCs/>
      <w:sz w:val="30"/>
      <w:szCs w:val="32"/>
    </w:rPr>
  </w:style>
  <w:style w:type="paragraph" w:styleId="7">
    <w:name w:val="heading 3"/>
    <w:basedOn w:val="1"/>
    <w:next w:val="1"/>
    <w:link w:val="70"/>
    <w:qFormat/>
    <w:uiPriority w:val="0"/>
    <w:pPr>
      <w:keepNext/>
      <w:keepLines/>
      <w:spacing w:before="260" w:after="260" w:line="416" w:lineRule="auto"/>
      <w:outlineLvl w:val="2"/>
    </w:pPr>
    <w:rPr>
      <w:b/>
      <w:bCs/>
      <w:sz w:val="32"/>
      <w:szCs w:val="32"/>
    </w:rPr>
  </w:style>
  <w:style w:type="paragraph" w:styleId="8">
    <w:name w:val="heading 4"/>
    <w:basedOn w:val="1"/>
    <w:next w:val="1"/>
    <w:link w:val="71"/>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9">
    <w:name w:val="heading 5"/>
    <w:basedOn w:val="1"/>
    <w:next w:val="1"/>
    <w:link w:val="72"/>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73"/>
    <w:qFormat/>
    <w:uiPriority w:val="9"/>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227"/>
    <w:unhideWhenUsed/>
    <w:qFormat/>
    <w:uiPriority w:val="9"/>
    <w:pPr>
      <w:keepNext/>
      <w:keepLines/>
      <w:widowControl/>
      <w:adjustRightInd w:val="0"/>
      <w:snapToGrid w:val="0"/>
      <w:spacing w:before="240" w:after="64" w:line="320" w:lineRule="auto"/>
      <w:ind w:left="1296" w:hanging="1296"/>
      <w:jc w:val="left"/>
      <w:outlineLvl w:val="6"/>
    </w:pPr>
    <w:rPr>
      <w:b/>
      <w:bCs/>
      <w:snapToGrid w:val="0"/>
      <w:kern w:val="0"/>
      <w:sz w:val="20"/>
    </w:rPr>
  </w:style>
  <w:style w:type="paragraph" w:styleId="12">
    <w:name w:val="heading 8"/>
    <w:basedOn w:val="1"/>
    <w:next w:val="1"/>
    <w:link w:val="228"/>
    <w:unhideWhenUsed/>
    <w:qFormat/>
    <w:uiPriority w:val="9"/>
    <w:pPr>
      <w:keepNext/>
      <w:keepLines/>
      <w:widowControl/>
      <w:adjustRightInd w:val="0"/>
      <w:snapToGrid w:val="0"/>
      <w:spacing w:before="240" w:after="64" w:line="320" w:lineRule="auto"/>
      <w:ind w:left="1440" w:hanging="1440"/>
      <w:jc w:val="left"/>
      <w:outlineLvl w:val="7"/>
    </w:pPr>
    <w:rPr>
      <w:rFonts w:ascii="Cambria" w:hAnsi="Cambria"/>
      <w:snapToGrid w:val="0"/>
      <w:kern w:val="0"/>
      <w:sz w:val="20"/>
    </w:rPr>
  </w:style>
  <w:style w:type="paragraph" w:styleId="13">
    <w:name w:val="heading 9"/>
    <w:basedOn w:val="1"/>
    <w:next w:val="1"/>
    <w:link w:val="229"/>
    <w:unhideWhenUsed/>
    <w:qFormat/>
    <w:uiPriority w:val="9"/>
    <w:pPr>
      <w:keepNext/>
      <w:keepLines/>
      <w:widowControl/>
      <w:adjustRightInd w:val="0"/>
      <w:snapToGrid w:val="0"/>
      <w:spacing w:before="240" w:after="64" w:line="320" w:lineRule="auto"/>
      <w:ind w:left="1584" w:hanging="1584"/>
      <w:jc w:val="left"/>
      <w:outlineLvl w:val="8"/>
    </w:pPr>
    <w:rPr>
      <w:rFonts w:ascii="Cambria" w:hAnsi="Cambria"/>
      <w:snapToGrid w:val="0"/>
      <w:kern w:val="0"/>
      <w:szCs w:val="21"/>
    </w:rPr>
  </w:style>
  <w:style w:type="character" w:default="1" w:styleId="52">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132"/>
    <w:unhideWhenUsed/>
    <w:qFormat/>
    <w:uiPriority w:val="0"/>
    <w:pPr>
      <w:spacing w:after="120"/>
    </w:pPr>
  </w:style>
  <w:style w:type="paragraph" w:customStyle="1" w:styleId="3">
    <w:name w:val="xl27"/>
    <w:basedOn w:val="1"/>
    <w:qFormat/>
    <w:uiPriority w:val="0"/>
    <w:pPr>
      <w:widowControl/>
      <w:pBdr>
        <w:bottom w:val="single" w:color="auto" w:sz="4" w:space="0"/>
        <w:right w:val="single" w:color="auto" w:sz="4" w:space="0"/>
      </w:pBdr>
      <w:spacing w:before="100" w:beforeLines="0" w:beforeAutospacing="1" w:after="100" w:afterLines="0" w:afterAutospacing="1"/>
      <w:jc w:val="center"/>
    </w:pPr>
    <w:rPr>
      <w:kern w:val="0"/>
      <w:szCs w:val="21"/>
    </w:rPr>
  </w:style>
  <w:style w:type="paragraph" w:styleId="5">
    <w:name w:val="Body Text First Indent"/>
    <w:basedOn w:val="2"/>
    <w:next w:val="1"/>
    <w:link w:val="124"/>
    <w:qFormat/>
    <w:uiPriority w:val="0"/>
    <w:pPr>
      <w:ind w:firstLine="420" w:firstLineChars="100"/>
    </w:pPr>
    <w:rPr>
      <w:rFonts w:asciiTheme="minorHAnsi" w:hAnsiTheme="minorHAnsi" w:eastAsiaTheme="minorEastAsia" w:cstheme="minorBidi"/>
    </w:rPr>
  </w:style>
  <w:style w:type="paragraph" w:styleId="14">
    <w:name w:val="toc 7"/>
    <w:basedOn w:val="1"/>
    <w:next w:val="1"/>
    <w:unhideWhenUsed/>
    <w:qFormat/>
    <w:uiPriority w:val="39"/>
    <w:pPr>
      <w:ind w:left="2520" w:leftChars="1200"/>
    </w:pPr>
  </w:style>
  <w:style w:type="paragraph" w:styleId="15">
    <w:name w:val="List Number"/>
    <w:basedOn w:val="1"/>
    <w:unhideWhenUsed/>
    <w:qFormat/>
    <w:uiPriority w:val="99"/>
    <w:pPr>
      <w:numPr>
        <w:ilvl w:val="0"/>
        <w:numId w:val="2"/>
      </w:numPr>
      <w:adjustRightInd w:val="0"/>
      <w:snapToGrid w:val="0"/>
      <w:spacing w:line="360" w:lineRule="auto"/>
    </w:pPr>
    <w:rPr>
      <w:sz w:val="24"/>
      <w:szCs w:val="20"/>
    </w:rPr>
  </w:style>
  <w:style w:type="paragraph" w:styleId="16">
    <w:name w:val="Normal Indent"/>
    <w:basedOn w:val="1"/>
    <w:link w:val="131"/>
    <w:qFormat/>
    <w:uiPriority w:val="0"/>
    <w:pPr>
      <w:adjustRightInd w:val="0"/>
      <w:snapToGrid w:val="0"/>
      <w:spacing w:line="300" w:lineRule="auto"/>
      <w:ind w:left="-50" w:leftChars="-50" w:firstLine="482"/>
      <w:jc w:val="left"/>
    </w:pPr>
    <w:rPr>
      <w:rFonts w:asciiTheme="minorHAnsi" w:hAnsiTheme="minorHAnsi" w:eastAsiaTheme="minorEastAsia" w:cstheme="minorBidi"/>
      <w:sz w:val="24"/>
      <w:szCs w:val="22"/>
    </w:rPr>
  </w:style>
  <w:style w:type="paragraph" w:styleId="17">
    <w:name w:val="caption"/>
    <w:basedOn w:val="1"/>
    <w:next w:val="1"/>
    <w:link w:val="91"/>
    <w:qFormat/>
    <w:uiPriority w:val="0"/>
    <w:pPr>
      <w:adjustRightInd w:val="0"/>
      <w:snapToGrid w:val="0"/>
      <w:jc w:val="center"/>
    </w:pPr>
    <w:rPr>
      <w:rFonts w:asciiTheme="minorHAnsi" w:hAnsiTheme="minorHAnsi" w:eastAsiaTheme="minorEastAsia" w:cstheme="minorBidi"/>
      <w:b/>
      <w:color w:val="000000"/>
      <w:sz w:val="24"/>
      <w:szCs w:val="21"/>
    </w:rPr>
  </w:style>
  <w:style w:type="paragraph" w:styleId="18">
    <w:name w:val="List Bullet"/>
    <w:basedOn w:val="1"/>
    <w:qFormat/>
    <w:uiPriority w:val="0"/>
    <w:pPr>
      <w:numPr>
        <w:ilvl w:val="0"/>
        <w:numId w:val="3"/>
      </w:numPr>
    </w:pPr>
    <w:rPr>
      <w:sz w:val="20"/>
      <w:szCs w:val="20"/>
    </w:rPr>
  </w:style>
  <w:style w:type="paragraph" w:styleId="19">
    <w:name w:val="Document Map"/>
    <w:basedOn w:val="1"/>
    <w:link w:val="101"/>
    <w:qFormat/>
    <w:uiPriority w:val="99"/>
    <w:rPr>
      <w:rFonts w:ascii="宋体" w:hAnsiTheme="minorHAnsi" w:eastAsiaTheme="minorEastAsia" w:cstheme="minorBidi"/>
      <w:sz w:val="18"/>
      <w:szCs w:val="18"/>
    </w:rPr>
  </w:style>
  <w:style w:type="paragraph" w:styleId="20">
    <w:name w:val="annotation text"/>
    <w:basedOn w:val="1"/>
    <w:link w:val="134"/>
    <w:unhideWhenUsed/>
    <w:qFormat/>
    <w:uiPriority w:val="0"/>
    <w:pPr>
      <w:jc w:val="left"/>
    </w:pPr>
  </w:style>
  <w:style w:type="paragraph" w:styleId="21">
    <w:name w:val="Body Text Indent"/>
    <w:basedOn w:val="1"/>
    <w:next w:val="22"/>
    <w:link w:val="111"/>
    <w:qFormat/>
    <w:uiPriority w:val="0"/>
    <w:pPr>
      <w:spacing w:after="120"/>
      <w:ind w:left="420" w:leftChars="200"/>
    </w:pPr>
    <w:rPr>
      <w:rFonts w:asciiTheme="minorHAnsi" w:hAnsiTheme="minorHAnsi" w:eastAsiaTheme="minorEastAsia" w:cstheme="minorBidi"/>
    </w:rPr>
  </w:style>
  <w:style w:type="paragraph" w:customStyle="1" w:styleId="22">
    <w:name w:val="样式 正文文本缩进 + 行距: 1.5 倍行距"/>
    <w:basedOn w:val="1"/>
    <w:next w:val="1"/>
    <w:qFormat/>
    <w:uiPriority w:val="0"/>
    <w:pPr>
      <w:spacing w:after="120" w:line="360" w:lineRule="auto"/>
      <w:ind w:left="90" w:leftChars="32" w:firstLine="560" w:firstLineChars="200"/>
    </w:pPr>
    <w:rPr>
      <w:rFonts w:ascii="Times New Roman" w:hAnsi="Times New Roman" w:eastAsia="宋体" w:cs="宋体"/>
      <w:sz w:val="24"/>
    </w:rPr>
  </w:style>
  <w:style w:type="paragraph" w:styleId="23">
    <w:name w:val="List 2"/>
    <w:basedOn w:val="1"/>
    <w:qFormat/>
    <w:uiPriority w:val="0"/>
    <w:pPr>
      <w:ind w:left="100" w:leftChars="200" w:hanging="200" w:hangingChars="200"/>
    </w:pPr>
  </w:style>
  <w:style w:type="paragraph" w:styleId="24">
    <w:name w:val="toc 5"/>
    <w:basedOn w:val="1"/>
    <w:next w:val="1"/>
    <w:unhideWhenUsed/>
    <w:qFormat/>
    <w:uiPriority w:val="39"/>
    <w:pPr>
      <w:ind w:left="1680" w:leftChars="800"/>
    </w:pPr>
  </w:style>
  <w:style w:type="paragraph" w:styleId="25">
    <w:name w:val="toc 3"/>
    <w:basedOn w:val="1"/>
    <w:next w:val="1"/>
    <w:qFormat/>
    <w:uiPriority w:val="39"/>
    <w:pPr>
      <w:ind w:left="840" w:leftChars="400"/>
    </w:pPr>
  </w:style>
  <w:style w:type="paragraph" w:styleId="26">
    <w:name w:val="Plain Text"/>
    <w:basedOn w:val="1"/>
    <w:link w:val="96"/>
    <w:qFormat/>
    <w:uiPriority w:val="99"/>
    <w:rPr>
      <w:rFonts w:ascii="宋体" w:hAnsi="Courier New" w:cs="Courier New" w:eastAsiaTheme="minorEastAsia"/>
      <w:szCs w:val="21"/>
    </w:rPr>
  </w:style>
  <w:style w:type="paragraph" w:styleId="27">
    <w:name w:val="toc 8"/>
    <w:basedOn w:val="1"/>
    <w:next w:val="1"/>
    <w:unhideWhenUsed/>
    <w:qFormat/>
    <w:uiPriority w:val="39"/>
    <w:pPr>
      <w:ind w:left="2940" w:leftChars="1400"/>
    </w:pPr>
  </w:style>
  <w:style w:type="paragraph" w:styleId="28">
    <w:name w:val="Date"/>
    <w:basedOn w:val="1"/>
    <w:next w:val="1"/>
    <w:link w:val="141"/>
    <w:qFormat/>
    <w:uiPriority w:val="0"/>
    <w:pPr>
      <w:ind w:left="100" w:leftChars="2500"/>
    </w:pPr>
  </w:style>
  <w:style w:type="paragraph" w:styleId="29">
    <w:name w:val="Body Text Indent 2"/>
    <w:basedOn w:val="1"/>
    <w:link w:val="136"/>
    <w:qFormat/>
    <w:uiPriority w:val="0"/>
    <w:pPr>
      <w:tabs>
        <w:tab w:val="left" w:pos="2190"/>
        <w:tab w:val="left" w:pos="2520"/>
        <w:tab w:val="left" w:pos="2940"/>
        <w:tab w:val="left" w:pos="3495"/>
      </w:tabs>
      <w:spacing w:line="600" w:lineRule="exact"/>
      <w:ind w:firstLine="560" w:firstLineChars="200"/>
    </w:pPr>
    <w:rPr>
      <w:rFonts w:ascii="宋体"/>
      <w:sz w:val="28"/>
    </w:rPr>
  </w:style>
  <w:style w:type="paragraph" w:styleId="30">
    <w:name w:val="Balloon Text"/>
    <w:basedOn w:val="1"/>
    <w:link w:val="81"/>
    <w:qFormat/>
    <w:uiPriority w:val="99"/>
    <w:rPr>
      <w:rFonts w:asciiTheme="minorHAnsi" w:hAnsiTheme="minorHAnsi" w:eastAsiaTheme="minorEastAsia" w:cstheme="minorBidi"/>
      <w:sz w:val="18"/>
      <w:szCs w:val="18"/>
    </w:rPr>
  </w:style>
  <w:style w:type="paragraph" w:styleId="31">
    <w:name w:val="footer"/>
    <w:basedOn w:val="1"/>
    <w:link w:val="67"/>
    <w:unhideWhenUsed/>
    <w:qFormat/>
    <w:uiPriority w:val="99"/>
    <w:pPr>
      <w:tabs>
        <w:tab w:val="center" w:pos="4153"/>
        <w:tab w:val="right" w:pos="8306"/>
      </w:tabs>
      <w:snapToGrid w:val="0"/>
      <w:jc w:val="left"/>
    </w:pPr>
    <w:rPr>
      <w:sz w:val="18"/>
      <w:szCs w:val="18"/>
    </w:rPr>
  </w:style>
  <w:style w:type="paragraph" w:styleId="32">
    <w:name w:val="header"/>
    <w:basedOn w:val="1"/>
    <w:next w:val="33"/>
    <w:link w:val="66"/>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33">
    <w:name w:val="样式5"/>
    <w:basedOn w:val="1"/>
    <w:qFormat/>
    <w:uiPriority w:val="0"/>
    <w:pPr>
      <w:snapToGrid w:val="0"/>
      <w:spacing w:line="360" w:lineRule="auto"/>
      <w:ind w:firstLine="510"/>
    </w:pPr>
    <w:rPr>
      <w:sz w:val="24"/>
    </w:rPr>
  </w:style>
  <w:style w:type="paragraph" w:styleId="34">
    <w:name w:val="toc 1"/>
    <w:basedOn w:val="1"/>
    <w:next w:val="1"/>
    <w:qFormat/>
    <w:uiPriority w:val="39"/>
    <w:pPr>
      <w:spacing w:before="120" w:after="120"/>
    </w:pPr>
    <w:rPr>
      <w:sz w:val="28"/>
    </w:rPr>
  </w:style>
  <w:style w:type="paragraph" w:styleId="35">
    <w:name w:val="toc 4"/>
    <w:basedOn w:val="1"/>
    <w:next w:val="1"/>
    <w:unhideWhenUsed/>
    <w:qFormat/>
    <w:uiPriority w:val="39"/>
    <w:pPr>
      <w:ind w:left="1260" w:leftChars="600"/>
    </w:pPr>
  </w:style>
  <w:style w:type="paragraph" w:styleId="36">
    <w:name w:val="List"/>
    <w:basedOn w:val="1"/>
    <w:qFormat/>
    <w:uiPriority w:val="0"/>
    <w:pPr>
      <w:widowControl/>
      <w:spacing w:before="100" w:beforeAutospacing="1" w:after="100" w:afterAutospacing="1"/>
      <w:jc w:val="left"/>
    </w:pPr>
    <w:rPr>
      <w:rFonts w:ascii="宋体" w:hAnsi="宋体" w:cs="宋体"/>
      <w:kern w:val="0"/>
      <w:sz w:val="24"/>
    </w:rPr>
  </w:style>
  <w:style w:type="paragraph" w:styleId="37">
    <w:name w:val="toc 6"/>
    <w:basedOn w:val="1"/>
    <w:next w:val="1"/>
    <w:unhideWhenUsed/>
    <w:qFormat/>
    <w:uiPriority w:val="39"/>
    <w:pPr>
      <w:ind w:left="2100" w:leftChars="1000"/>
    </w:pPr>
  </w:style>
  <w:style w:type="paragraph" w:styleId="38">
    <w:name w:val="Body Text Indent 3"/>
    <w:basedOn w:val="1"/>
    <w:link w:val="80"/>
    <w:qFormat/>
    <w:uiPriority w:val="0"/>
    <w:pPr>
      <w:spacing w:after="120"/>
      <w:ind w:left="420" w:leftChars="200"/>
    </w:pPr>
    <w:rPr>
      <w:rFonts w:asciiTheme="minorHAnsi" w:hAnsiTheme="minorHAnsi" w:eastAsiaTheme="minorEastAsia" w:cstheme="minorBidi"/>
      <w:sz w:val="16"/>
      <w:szCs w:val="16"/>
    </w:rPr>
  </w:style>
  <w:style w:type="paragraph" w:styleId="39">
    <w:name w:val="toc 2"/>
    <w:basedOn w:val="1"/>
    <w:next w:val="1"/>
    <w:qFormat/>
    <w:uiPriority w:val="39"/>
    <w:pPr>
      <w:ind w:left="420" w:leftChars="200"/>
    </w:pPr>
  </w:style>
  <w:style w:type="paragraph" w:styleId="40">
    <w:name w:val="toc 9"/>
    <w:basedOn w:val="1"/>
    <w:next w:val="1"/>
    <w:unhideWhenUsed/>
    <w:qFormat/>
    <w:uiPriority w:val="39"/>
    <w:pPr>
      <w:ind w:left="3360" w:leftChars="1600"/>
    </w:pPr>
  </w:style>
  <w:style w:type="paragraph" w:styleId="41">
    <w:name w:val="Body Text 2"/>
    <w:basedOn w:val="1"/>
    <w:link w:val="144"/>
    <w:qFormat/>
    <w:uiPriority w:val="0"/>
    <w:pPr>
      <w:tabs>
        <w:tab w:val="left" w:pos="360"/>
      </w:tabs>
      <w:spacing w:line="500" w:lineRule="exact"/>
    </w:pPr>
    <w:rPr>
      <w:rFonts w:ascii="宋体" w:hAnsi="宋体"/>
      <w:bCs/>
      <w:color w:val="FF6600"/>
      <w:sz w:val="24"/>
    </w:rPr>
  </w:style>
  <w:style w:type="paragraph" w:styleId="42">
    <w:name w:val="HTML Preformatted"/>
    <w:basedOn w:val="1"/>
    <w:link w:val="253"/>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pPr>
    <w:rPr>
      <w:rFonts w:hint="eastAsia" w:ascii="宋体" w:hAnsi="宋体"/>
      <w:kern w:val="0"/>
      <w:sz w:val="24"/>
    </w:rPr>
  </w:style>
  <w:style w:type="paragraph" w:styleId="43">
    <w:name w:val="Normal (Web)"/>
    <w:basedOn w:val="1"/>
    <w:qFormat/>
    <w:uiPriority w:val="0"/>
    <w:pPr>
      <w:widowControl/>
      <w:spacing w:before="100" w:beforeAutospacing="1" w:after="100" w:afterAutospacing="1"/>
      <w:jc w:val="left"/>
    </w:pPr>
    <w:rPr>
      <w:rFonts w:ascii="宋体" w:hAnsi="宋体"/>
      <w:kern w:val="0"/>
      <w:sz w:val="24"/>
    </w:rPr>
  </w:style>
  <w:style w:type="paragraph" w:styleId="44">
    <w:name w:val="Title"/>
    <w:basedOn w:val="1"/>
    <w:link w:val="85"/>
    <w:qFormat/>
    <w:uiPriority w:val="0"/>
    <w:pPr>
      <w:tabs>
        <w:tab w:val="left" w:pos="1021"/>
      </w:tabs>
      <w:spacing w:before="240" w:after="60" w:line="300" w:lineRule="auto"/>
      <w:jc w:val="center"/>
      <w:outlineLvl w:val="0"/>
    </w:pPr>
    <w:rPr>
      <w:rFonts w:eastAsia="黑体" w:asciiTheme="minorHAnsi" w:hAnsiTheme="minorHAnsi" w:cstheme="minorBidi"/>
      <w:sz w:val="32"/>
      <w:szCs w:val="22"/>
    </w:rPr>
  </w:style>
  <w:style w:type="paragraph" w:styleId="45">
    <w:name w:val="annotation subject"/>
    <w:basedOn w:val="20"/>
    <w:next w:val="20"/>
    <w:link w:val="135"/>
    <w:qFormat/>
    <w:uiPriority w:val="0"/>
    <w:rPr>
      <w:b/>
      <w:bCs/>
    </w:rPr>
  </w:style>
  <w:style w:type="paragraph" w:styleId="46">
    <w:name w:val="Body Text First Indent 2"/>
    <w:basedOn w:val="21"/>
    <w:next w:val="1"/>
    <w:link w:val="266"/>
    <w:semiHidden/>
    <w:unhideWhenUsed/>
    <w:qFormat/>
    <w:uiPriority w:val="99"/>
    <w:pPr>
      <w:ind w:firstLine="420" w:firstLineChars="200"/>
    </w:pPr>
    <w:rPr>
      <w:rFonts w:ascii="Times New Roman" w:hAnsi="Times New Roman" w:eastAsia="宋体" w:cs="Times New Roman"/>
    </w:rPr>
  </w:style>
  <w:style w:type="table" w:styleId="48">
    <w:name w:val="Table Grid"/>
    <w:basedOn w:val="47"/>
    <w:qFormat/>
    <w:uiPriority w:val="59"/>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9">
    <w:name w:val="Table Theme"/>
    <w:basedOn w:val="47"/>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0">
    <w:name w:val="Table Grid 5"/>
    <w:basedOn w:val="47"/>
    <w:qFormat/>
    <w:uiPriority w:val="0"/>
    <w:pPr>
      <w:widowControl w:val="0"/>
      <w:jc w:val="both"/>
    </w:pPr>
    <w:rPr>
      <w:rFonts w:ascii="Calibri" w:hAnsi="Calibri" w:eastAsia="宋体" w:cs="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51">
    <w:name w:val="Table Grid 6"/>
    <w:basedOn w:val="47"/>
    <w:qFormat/>
    <w:uiPriority w:val="0"/>
    <w:pPr>
      <w:widowControl w:val="0"/>
      <w:jc w:val="both"/>
    </w:pPr>
    <w:rPr>
      <w:rFonts w:ascii="Calibri" w:hAnsi="Calibri" w:eastAsia="宋体" w:cs="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53">
    <w:name w:val="Strong"/>
    <w:basedOn w:val="52"/>
    <w:qFormat/>
    <w:uiPriority w:val="22"/>
    <w:rPr>
      <w:b/>
      <w:bCs/>
    </w:rPr>
  </w:style>
  <w:style w:type="character" w:styleId="54">
    <w:name w:val="page number"/>
    <w:basedOn w:val="52"/>
    <w:qFormat/>
    <w:uiPriority w:val="0"/>
  </w:style>
  <w:style w:type="character" w:styleId="55">
    <w:name w:val="FollowedHyperlink"/>
    <w:basedOn w:val="52"/>
    <w:qFormat/>
    <w:uiPriority w:val="0"/>
    <w:rPr>
      <w:color w:val="535353"/>
      <w:u w:val="none"/>
    </w:rPr>
  </w:style>
  <w:style w:type="character" w:styleId="56">
    <w:name w:val="Emphasis"/>
    <w:qFormat/>
    <w:uiPriority w:val="0"/>
    <w:rPr>
      <w:color w:val="CC0033"/>
    </w:rPr>
  </w:style>
  <w:style w:type="character" w:styleId="57">
    <w:name w:val="line number"/>
    <w:basedOn w:val="52"/>
    <w:semiHidden/>
    <w:unhideWhenUsed/>
    <w:qFormat/>
    <w:uiPriority w:val="99"/>
  </w:style>
  <w:style w:type="character" w:styleId="58">
    <w:name w:val="HTML Definition"/>
    <w:basedOn w:val="52"/>
    <w:qFormat/>
    <w:uiPriority w:val="0"/>
  </w:style>
  <w:style w:type="character" w:styleId="59">
    <w:name w:val="HTML Variable"/>
    <w:basedOn w:val="52"/>
    <w:qFormat/>
    <w:uiPriority w:val="0"/>
  </w:style>
  <w:style w:type="character" w:styleId="60">
    <w:name w:val="Hyperlink"/>
    <w:basedOn w:val="52"/>
    <w:unhideWhenUsed/>
    <w:qFormat/>
    <w:uiPriority w:val="99"/>
    <w:rPr>
      <w:color w:val="535353"/>
      <w:u w:val="none"/>
    </w:rPr>
  </w:style>
  <w:style w:type="character" w:styleId="61">
    <w:name w:val="HTML Code"/>
    <w:basedOn w:val="52"/>
    <w:qFormat/>
    <w:uiPriority w:val="0"/>
    <w:rPr>
      <w:rFonts w:hint="default" w:ascii="monospace" w:hAnsi="monospace" w:eastAsia="monospace" w:cs="monospace"/>
      <w:sz w:val="21"/>
      <w:szCs w:val="21"/>
    </w:rPr>
  </w:style>
  <w:style w:type="character" w:styleId="62">
    <w:name w:val="annotation reference"/>
    <w:qFormat/>
    <w:uiPriority w:val="0"/>
    <w:rPr>
      <w:sz w:val="21"/>
      <w:szCs w:val="21"/>
    </w:rPr>
  </w:style>
  <w:style w:type="character" w:styleId="63">
    <w:name w:val="HTML Cite"/>
    <w:basedOn w:val="52"/>
    <w:qFormat/>
    <w:uiPriority w:val="0"/>
  </w:style>
  <w:style w:type="character" w:styleId="64">
    <w:name w:val="HTML Keyboard"/>
    <w:basedOn w:val="52"/>
    <w:qFormat/>
    <w:uiPriority w:val="0"/>
    <w:rPr>
      <w:rFonts w:hint="default" w:ascii="monospace" w:hAnsi="monospace" w:eastAsia="monospace" w:cs="monospace"/>
      <w:sz w:val="21"/>
      <w:szCs w:val="21"/>
    </w:rPr>
  </w:style>
  <w:style w:type="character" w:styleId="65">
    <w:name w:val="HTML Sample"/>
    <w:basedOn w:val="52"/>
    <w:qFormat/>
    <w:uiPriority w:val="0"/>
    <w:rPr>
      <w:rFonts w:ascii="monospace" w:hAnsi="monospace" w:eastAsia="monospace" w:cs="monospace"/>
      <w:sz w:val="21"/>
      <w:szCs w:val="21"/>
    </w:rPr>
  </w:style>
  <w:style w:type="character" w:customStyle="1" w:styleId="66">
    <w:name w:val="页眉 Char"/>
    <w:basedOn w:val="52"/>
    <w:link w:val="32"/>
    <w:qFormat/>
    <w:uiPriority w:val="99"/>
    <w:rPr>
      <w:sz w:val="18"/>
      <w:szCs w:val="18"/>
    </w:rPr>
  </w:style>
  <w:style w:type="character" w:customStyle="1" w:styleId="67">
    <w:name w:val="页脚 Char"/>
    <w:basedOn w:val="52"/>
    <w:link w:val="31"/>
    <w:qFormat/>
    <w:uiPriority w:val="99"/>
    <w:rPr>
      <w:sz w:val="18"/>
      <w:szCs w:val="18"/>
    </w:rPr>
  </w:style>
  <w:style w:type="character" w:customStyle="1" w:styleId="68">
    <w:name w:val="标题 1 Char"/>
    <w:basedOn w:val="52"/>
    <w:link w:val="4"/>
    <w:qFormat/>
    <w:uiPriority w:val="0"/>
    <w:rPr>
      <w:rFonts w:ascii="Times New Roman" w:hAnsi="Times New Roman" w:eastAsia="黑体" w:cs="Times New Roman"/>
      <w:b/>
      <w:bCs/>
      <w:kern w:val="44"/>
      <w:sz w:val="32"/>
      <w:szCs w:val="44"/>
    </w:rPr>
  </w:style>
  <w:style w:type="character" w:customStyle="1" w:styleId="69">
    <w:name w:val="标题 2 Char"/>
    <w:basedOn w:val="52"/>
    <w:link w:val="6"/>
    <w:qFormat/>
    <w:uiPriority w:val="0"/>
    <w:rPr>
      <w:rFonts w:ascii="Arial" w:hAnsi="Arial" w:eastAsia="黑体" w:cs="Times New Roman"/>
      <w:b/>
      <w:bCs/>
      <w:kern w:val="2"/>
      <w:sz w:val="30"/>
      <w:szCs w:val="32"/>
    </w:rPr>
  </w:style>
  <w:style w:type="character" w:customStyle="1" w:styleId="70">
    <w:name w:val="标题 3 Char"/>
    <w:basedOn w:val="52"/>
    <w:link w:val="7"/>
    <w:qFormat/>
    <w:uiPriority w:val="0"/>
    <w:rPr>
      <w:rFonts w:ascii="Times New Roman" w:hAnsi="Times New Roman" w:eastAsia="宋体" w:cs="Times New Roman"/>
      <w:b/>
      <w:bCs/>
      <w:sz w:val="32"/>
      <w:szCs w:val="32"/>
    </w:rPr>
  </w:style>
  <w:style w:type="character" w:customStyle="1" w:styleId="71">
    <w:name w:val="标题 4 Char"/>
    <w:basedOn w:val="52"/>
    <w:link w:val="8"/>
    <w:qFormat/>
    <w:uiPriority w:val="0"/>
    <w:rPr>
      <w:rFonts w:ascii="Arial" w:hAnsi="Arial" w:eastAsia="黑体" w:cs="Times New Roman"/>
      <w:b/>
      <w:bCs/>
      <w:kern w:val="2"/>
      <w:sz w:val="28"/>
      <w:szCs w:val="28"/>
    </w:rPr>
  </w:style>
  <w:style w:type="character" w:customStyle="1" w:styleId="72">
    <w:name w:val="标题 5 Char"/>
    <w:basedOn w:val="52"/>
    <w:link w:val="9"/>
    <w:qFormat/>
    <w:uiPriority w:val="9"/>
    <w:rPr>
      <w:rFonts w:ascii="Times New Roman" w:hAnsi="Times New Roman" w:eastAsia="宋体" w:cs="Times New Roman"/>
      <w:b/>
      <w:bCs/>
      <w:sz w:val="28"/>
      <w:szCs w:val="28"/>
    </w:rPr>
  </w:style>
  <w:style w:type="character" w:customStyle="1" w:styleId="73">
    <w:name w:val="标题 6 Char"/>
    <w:basedOn w:val="52"/>
    <w:link w:val="10"/>
    <w:qFormat/>
    <w:uiPriority w:val="9"/>
    <w:rPr>
      <w:rFonts w:ascii="Arial" w:hAnsi="Arial" w:eastAsia="黑体" w:cs="Times New Roman"/>
      <w:b/>
      <w:bCs/>
      <w:sz w:val="24"/>
      <w:szCs w:val="24"/>
    </w:rPr>
  </w:style>
  <w:style w:type="character" w:customStyle="1" w:styleId="74">
    <w:name w:val="zw1 Char"/>
    <w:link w:val="75"/>
    <w:qFormat/>
    <w:uiPriority w:val="0"/>
    <w:rPr>
      <w:rFonts w:hAnsi="宋体"/>
      <w:bCs/>
      <w:kern w:val="8"/>
      <w:sz w:val="24"/>
      <w:szCs w:val="24"/>
    </w:rPr>
  </w:style>
  <w:style w:type="paragraph" w:customStyle="1" w:styleId="75">
    <w:name w:val="zw1"/>
    <w:basedOn w:val="1"/>
    <w:link w:val="74"/>
    <w:qFormat/>
    <w:uiPriority w:val="0"/>
    <w:pPr>
      <w:spacing w:line="360" w:lineRule="auto"/>
      <w:ind w:right="-107" w:rightChars="-51" w:firstLine="480" w:firstLineChars="200"/>
    </w:pPr>
    <w:rPr>
      <w:rFonts w:hAnsi="宋体" w:asciiTheme="minorHAnsi" w:eastAsiaTheme="minorEastAsia" w:cstheme="minorBidi"/>
      <w:bCs/>
      <w:kern w:val="8"/>
      <w:sz w:val="24"/>
    </w:rPr>
  </w:style>
  <w:style w:type="character" w:customStyle="1" w:styleId="76">
    <w:name w:val="H3 Char"/>
    <w:qFormat/>
    <w:uiPriority w:val="0"/>
    <w:rPr>
      <w:rFonts w:ascii="Arial" w:hAnsi="Arial" w:eastAsia="黑体"/>
      <w:kern w:val="20"/>
      <w:sz w:val="24"/>
      <w:lang w:val="en-US" w:eastAsia="zh-CN" w:bidi="ar-SA"/>
    </w:rPr>
  </w:style>
  <w:style w:type="character" w:customStyle="1" w:styleId="77">
    <w:name w:val="font11"/>
    <w:basedOn w:val="52"/>
    <w:qFormat/>
    <w:uiPriority w:val="0"/>
    <w:rPr>
      <w:rFonts w:hint="eastAsia" w:ascii="宋体" w:hAnsi="宋体" w:eastAsia="宋体" w:cs="宋体"/>
      <w:color w:val="000000"/>
      <w:sz w:val="24"/>
      <w:szCs w:val="24"/>
      <w:u w:val="none"/>
      <w:vertAlign w:val="superscript"/>
    </w:rPr>
  </w:style>
  <w:style w:type="character" w:customStyle="1" w:styleId="78">
    <w:name w:val="表文 Char"/>
    <w:link w:val="79"/>
    <w:qFormat/>
    <w:locked/>
    <w:uiPriority w:val="0"/>
    <w:rPr>
      <w:snapToGrid w:val="0"/>
      <w:kern w:val="28"/>
      <w:position w:val="-24"/>
      <w:szCs w:val="21"/>
      <w:lang w:val="en-US" w:eastAsia="zh-CN"/>
    </w:rPr>
  </w:style>
  <w:style w:type="paragraph" w:customStyle="1" w:styleId="79">
    <w:name w:val="表文"/>
    <w:basedOn w:val="1"/>
    <w:link w:val="78"/>
    <w:qFormat/>
    <w:uiPriority w:val="0"/>
    <w:pPr>
      <w:tabs>
        <w:tab w:val="left" w:pos="1021"/>
      </w:tabs>
      <w:adjustRightInd w:val="0"/>
      <w:snapToGrid w:val="0"/>
      <w:spacing w:beforeLines="30" w:afterLines="30"/>
      <w:jc w:val="center"/>
    </w:pPr>
    <w:rPr>
      <w:rFonts w:asciiTheme="minorHAnsi" w:hAnsiTheme="minorHAnsi" w:eastAsiaTheme="minorEastAsia" w:cstheme="minorBidi"/>
      <w:snapToGrid w:val="0"/>
      <w:kern w:val="28"/>
      <w:position w:val="-24"/>
      <w:szCs w:val="21"/>
    </w:rPr>
  </w:style>
  <w:style w:type="character" w:customStyle="1" w:styleId="80">
    <w:name w:val="正文文本缩进 3 Char"/>
    <w:basedOn w:val="52"/>
    <w:link w:val="38"/>
    <w:qFormat/>
    <w:uiPriority w:val="0"/>
    <w:rPr>
      <w:sz w:val="16"/>
      <w:szCs w:val="16"/>
    </w:rPr>
  </w:style>
  <w:style w:type="character" w:customStyle="1" w:styleId="81">
    <w:name w:val="批注框文本 Char"/>
    <w:link w:val="30"/>
    <w:qFormat/>
    <w:uiPriority w:val="99"/>
    <w:rPr>
      <w:sz w:val="18"/>
      <w:szCs w:val="18"/>
    </w:rPr>
  </w:style>
  <w:style w:type="character" w:customStyle="1" w:styleId="82">
    <w:name w:val="标题1"/>
    <w:basedOn w:val="52"/>
    <w:qFormat/>
    <w:uiPriority w:val="0"/>
  </w:style>
  <w:style w:type="character" w:customStyle="1" w:styleId="83">
    <w:name w:val="表头 Char"/>
    <w:qFormat/>
    <w:uiPriority w:val="0"/>
    <w:rPr>
      <w:rFonts w:eastAsia="黑体"/>
      <w:shadow/>
      <w:kern w:val="2"/>
      <w:sz w:val="24"/>
      <w:szCs w:val="24"/>
      <w:lang w:val="en-US" w:eastAsia="zh-CN" w:bidi="ar-SA"/>
    </w:rPr>
  </w:style>
  <w:style w:type="character" w:customStyle="1" w:styleId="84">
    <w:name w:val="copyright1"/>
    <w:uiPriority w:val="0"/>
    <w:rPr>
      <w:rFonts w:hint="default"/>
      <w:color w:val="000000"/>
    </w:rPr>
  </w:style>
  <w:style w:type="character" w:customStyle="1" w:styleId="85">
    <w:name w:val="标题 Char"/>
    <w:link w:val="44"/>
    <w:qFormat/>
    <w:uiPriority w:val="0"/>
    <w:rPr>
      <w:rFonts w:eastAsia="黑体"/>
      <w:sz w:val="32"/>
      <w:lang w:val="en-US" w:eastAsia="zh-CN"/>
    </w:rPr>
  </w:style>
  <w:style w:type="character" w:customStyle="1" w:styleId="86">
    <w:name w:val="表文字 Char"/>
    <w:link w:val="87"/>
    <w:qFormat/>
    <w:uiPriority w:val="0"/>
    <w:rPr>
      <w:sz w:val="24"/>
    </w:rPr>
  </w:style>
  <w:style w:type="paragraph" w:customStyle="1" w:styleId="87">
    <w:name w:val="表文字"/>
    <w:basedOn w:val="1"/>
    <w:link w:val="86"/>
    <w:qFormat/>
    <w:uiPriority w:val="0"/>
    <w:pPr>
      <w:overflowPunct w:val="0"/>
      <w:autoSpaceDE w:val="0"/>
      <w:autoSpaceDN w:val="0"/>
      <w:adjustRightInd w:val="0"/>
      <w:spacing w:line="240" w:lineRule="atLeast"/>
      <w:jc w:val="center"/>
      <w:textAlignment w:val="baseline"/>
    </w:pPr>
    <w:rPr>
      <w:rFonts w:asciiTheme="minorHAnsi" w:hAnsiTheme="minorHAnsi" w:eastAsiaTheme="minorEastAsia" w:cstheme="minorBidi"/>
      <w:sz w:val="24"/>
      <w:szCs w:val="22"/>
    </w:rPr>
  </w:style>
  <w:style w:type="character" w:customStyle="1" w:styleId="88">
    <w:name w:val="fontborder"/>
    <w:basedOn w:val="52"/>
    <w:qFormat/>
    <w:uiPriority w:val="0"/>
    <w:rPr>
      <w:bdr w:val="single" w:color="000000" w:sz="6" w:space="0"/>
    </w:rPr>
  </w:style>
  <w:style w:type="character" w:customStyle="1" w:styleId="89">
    <w:name w:val="表格文字 Char"/>
    <w:link w:val="90"/>
    <w:qFormat/>
    <w:uiPriority w:val="0"/>
    <w:rPr>
      <w:rFonts w:ascii="仿宋_GB2312" w:hAnsi="Arial Black" w:eastAsia="仿宋_GB2312"/>
      <w:kern w:val="44"/>
      <w:sz w:val="24"/>
      <w:szCs w:val="24"/>
    </w:rPr>
  </w:style>
  <w:style w:type="paragraph" w:customStyle="1" w:styleId="90">
    <w:name w:val="表格文字"/>
    <w:basedOn w:val="1"/>
    <w:link w:val="89"/>
    <w:qFormat/>
    <w:uiPriority w:val="0"/>
    <w:pPr>
      <w:jc w:val="center"/>
    </w:pPr>
    <w:rPr>
      <w:rFonts w:ascii="仿宋_GB2312" w:hAnsi="Arial Black" w:eastAsia="仿宋_GB2312" w:cstheme="minorBidi"/>
      <w:kern w:val="44"/>
      <w:sz w:val="24"/>
    </w:rPr>
  </w:style>
  <w:style w:type="character" w:customStyle="1" w:styleId="91">
    <w:name w:val="题注 Char1"/>
    <w:link w:val="17"/>
    <w:qFormat/>
    <w:uiPriority w:val="0"/>
    <w:rPr>
      <w:b/>
      <w:color w:val="000000"/>
      <w:sz w:val="24"/>
      <w:szCs w:val="21"/>
    </w:rPr>
  </w:style>
  <w:style w:type="character" w:customStyle="1" w:styleId="92">
    <w:name w:val="s4 Char1"/>
    <w:qFormat/>
    <w:uiPriority w:val="0"/>
    <w:rPr>
      <w:rFonts w:eastAsia="宋体"/>
      <w:kern w:val="2"/>
      <w:sz w:val="21"/>
      <w:szCs w:val="24"/>
      <w:lang w:val="en-US" w:eastAsia="zh-CN" w:bidi="ar-SA"/>
    </w:rPr>
  </w:style>
  <w:style w:type="character" w:customStyle="1" w:styleId="93">
    <w:name w:val="样式 宋体 小四 行距: 1.5 倍行距 首行缩进:  2 字符 Char"/>
    <w:link w:val="94"/>
    <w:qFormat/>
    <w:uiPriority w:val="0"/>
    <w:rPr>
      <w:rFonts w:ascii="宋体" w:hAnsi="宋体" w:eastAsia="宋体" w:cs="宋体"/>
      <w:sz w:val="24"/>
    </w:rPr>
  </w:style>
  <w:style w:type="paragraph" w:customStyle="1" w:styleId="94">
    <w:name w:val="样式 宋体 小四 行距: 1.5 倍行距 首行缩进:  2 字符"/>
    <w:basedOn w:val="1"/>
    <w:link w:val="93"/>
    <w:qFormat/>
    <w:uiPriority w:val="0"/>
    <w:pPr>
      <w:spacing w:line="360" w:lineRule="auto"/>
      <w:ind w:firstLine="480" w:firstLineChars="200"/>
    </w:pPr>
    <w:rPr>
      <w:rFonts w:ascii="宋体" w:hAnsi="宋体" w:cs="宋体"/>
      <w:sz w:val="24"/>
      <w:szCs w:val="22"/>
    </w:rPr>
  </w:style>
  <w:style w:type="character" w:customStyle="1" w:styleId="95">
    <w:name w:val="keyword"/>
    <w:basedOn w:val="52"/>
    <w:qFormat/>
    <w:uiPriority w:val="0"/>
  </w:style>
  <w:style w:type="character" w:customStyle="1" w:styleId="96">
    <w:name w:val="纯文本 Char"/>
    <w:link w:val="26"/>
    <w:qFormat/>
    <w:uiPriority w:val="99"/>
    <w:rPr>
      <w:rFonts w:ascii="宋体" w:hAnsi="Courier New" w:cs="Courier New"/>
      <w:szCs w:val="21"/>
    </w:rPr>
  </w:style>
  <w:style w:type="character" w:customStyle="1" w:styleId="97">
    <w:name w:val="正文首行缩进 Char1"/>
    <w:basedOn w:val="52"/>
    <w:link w:val="98"/>
    <w:semiHidden/>
    <w:qFormat/>
    <w:locked/>
    <w:uiPriority w:val="0"/>
    <w:rPr>
      <w:sz w:val="28"/>
    </w:rPr>
  </w:style>
  <w:style w:type="paragraph" w:customStyle="1" w:styleId="98">
    <w:name w:val="正文首行缩进1"/>
    <w:basedOn w:val="1"/>
    <w:link w:val="97"/>
    <w:semiHidden/>
    <w:qFormat/>
    <w:uiPriority w:val="0"/>
    <w:pPr>
      <w:overflowPunct w:val="0"/>
      <w:autoSpaceDE w:val="0"/>
      <w:autoSpaceDN w:val="0"/>
      <w:adjustRightInd w:val="0"/>
      <w:spacing w:line="360" w:lineRule="auto"/>
      <w:ind w:firstLine="539"/>
    </w:pPr>
    <w:rPr>
      <w:rFonts w:asciiTheme="minorHAnsi" w:hAnsiTheme="minorHAnsi" w:eastAsiaTheme="minorEastAsia" w:cstheme="minorBidi"/>
      <w:sz w:val="28"/>
      <w:szCs w:val="22"/>
    </w:rPr>
  </w:style>
  <w:style w:type="character" w:customStyle="1" w:styleId="99">
    <w:name w:val="time"/>
    <w:basedOn w:val="52"/>
    <w:qFormat/>
    <w:uiPriority w:val="0"/>
  </w:style>
  <w:style w:type="character" w:customStyle="1" w:styleId="100">
    <w:name w:val="st"/>
    <w:basedOn w:val="52"/>
    <w:qFormat/>
    <w:uiPriority w:val="0"/>
    <w:rPr>
      <w:color w:val="999999"/>
    </w:rPr>
  </w:style>
  <w:style w:type="character" w:customStyle="1" w:styleId="101">
    <w:name w:val="文档结构图 Char"/>
    <w:link w:val="19"/>
    <w:qFormat/>
    <w:uiPriority w:val="99"/>
    <w:rPr>
      <w:rFonts w:ascii="宋体"/>
      <w:sz w:val="18"/>
      <w:szCs w:val="18"/>
    </w:rPr>
  </w:style>
  <w:style w:type="character" w:customStyle="1" w:styleId="102">
    <w:name w:val="Char Char"/>
    <w:link w:val="103"/>
    <w:qFormat/>
    <w:uiPriority w:val="0"/>
    <w:rPr>
      <w:rFonts w:ascii="宋体" w:hAnsi="宋体" w:eastAsia="楷体_GB2312"/>
      <w:snapToGrid w:val="0"/>
      <w:sz w:val="32"/>
      <w:szCs w:val="24"/>
    </w:rPr>
  </w:style>
  <w:style w:type="paragraph" w:customStyle="1" w:styleId="103">
    <w:name w:val="Char"/>
    <w:basedOn w:val="1"/>
    <w:next w:val="1"/>
    <w:link w:val="102"/>
    <w:qFormat/>
    <w:uiPriority w:val="0"/>
    <w:pPr>
      <w:spacing w:line="620" w:lineRule="exact"/>
      <w:ind w:firstLine="200" w:firstLineChars="200"/>
    </w:pPr>
    <w:rPr>
      <w:rFonts w:ascii="宋体" w:hAnsi="宋体" w:eastAsia="楷体_GB2312" w:cstheme="minorBidi"/>
      <w:snapToGrid w:val="0"/>
      <w:sz w:val="32"/>
    </w:rPr>
  </w:style>
  <w:style w:type="character" w:customStyle="1" w:styleId="104">
    <w:name w:val="zl_txt"/>
    <w:basedOn w:val="52"/>
    <w:qFormat/>
    <w:uiPriority w:val="0"/>
    <w:rPr>
      <w:color w:val="FFFFFF"/>
    </w:rPr>
  </w:style>
  <w:style w:type="character" w:customStyle="1" w:styleId="105">
    <w:name w:val="page_prev"/>
    <w:basedOn w:val="52"/>
    <w:qFormat/>
    <w:uiPriority w:val="0"/>
    <w:rPr>
      <w:sz w:val="18"/>
      <w:szCs w:val="18"/>
    </w:rPr>
  </w:style>
  <w:style w:type="character" w:customStyle="1" w:styleId="106">
    <w:name w:val="正文文本 Char"/>
    <w:basedOn w:val="52"/>
    <w:qFormat/>
    <w:uiPriority w:val="0"/>
    <w:rPr>
      <w:kern w:val="2"/>
      <w:sz w:val="28"/>
      <w:szCs w:val="24"/>
    </w:rPr>
  </w:style>
  <w:style w:type="character" w:customStyle="1" w:styleId="107">
    <w:name w:val="active"/>
    <w:basedOn w:val="52"/>
    <w:qFormat/>
    <w:uiPriority w:val="0"/>
    <w:rPr>
      <w:color w:val="FFFFFF"/>
      <w:sz w:val="18"/>
      <w:szCs w:val="18"/>
      <w:shd w:val="clear" w:color="auto" w:fill="01AEF0"/>
    </w:rPr>
  </w:style>
  <w:style w:type="character" w:customStyle="1" w:styleId="108">
    <w:name w:val="apple-style-span"/>
    <w:basedOn w:val="52"/>
    <w:qFormat/>
    <w:uiPriority w:val="0"/>
    <w:rPr>
      <w:sz w:val="24"/>
    </w:rPr>
  </w:style>
  <w:style w:type="character" w:customStyle="1" w:styleId="109">
    <w:name w:val="表头 Char1"/>
    <w:link w:val="110"/>
    <w:qFormat/>
    <w:uiPriority w:val="0"/>
    <w:rPr>
      <w:rFonts w:hAnsi="宋体" w:eastAsia="仿宋_GB2312"/>
      <w:b/>
      <w:sz w:val="28"/>
      <w:szCs w:val="28"/>
    </w:rPr>
  </w:style>
  <w:style w:type="paragraph" w:customStyle="1" w:styleId="110">
    <w:name w:val="表头"/>
    <w:basedOn w:val="1"/>
    <w:link w:val="109"/>
    <w:qFormat/>
    <w:uiPriority w:val="0"/>
    <w:pPr>
      <w:adjustRightInd w:val="0"/>
      <w:snapToGrid w:val="0"/>
      <w:spacing w:beforeLines="25"/>
      <w:jc w:val="center"/>
      <w:textAlignment w:val="baseline"/>
    </w:pPr>
    <w:rPr>
      <w:rFonts w:hAnsi="宋体" w:eastAsia="仿宋_GB2312" w:asciiTheme="minorHAnsi" w:cstheme="minorBidi"/>
      <w:b/>
      <w:sz w:val="28"/>
      <w:szCs w:val="28"/>
    </w:rPr>
  </w:style>
  <w:style w:type="character" w:customStyle="1" w:styleId="111">
    <w:name w:val="正文文本缩进 Char"/>
    <w:basedOn w:val="52"/>
    <w:link w:val="21"/>
    <w:qFormat/>
    <w:uiPriority w:val="0"/>
    <w:rPr>
      <w:szCs w:val="24"/>
    </w:rPr>
  </w:style>
  <w:style w:type="character" w:customStyle="1" w:styleId="112">
    <w:name w:val="apple-converted-space"/>
    <w:qFormat/>
    <w:uiPriority w:val="0"/>
  </w:style>
  <w:style w:type="character" w:customStyle="1" w:styleId="113">
    <w:name w:val="hover13"/>
    <w:basedOn w:val="52"/>
    <w:qFormat/>
    <w:uiPriority w:val="0"/>
    <w:rPr>
      <w:color w:val="FFFFFF"/>
      <w:shd w:val="clear" w:color="auto" w:fill="01AEF0"/>
    </w:rPr>
  </w:style>
  <w:style w:type="character" w:customStyle="1" w:styleId="114">
    <w:name w:val="hit"/>
    <w:basedOn w:val="52"/>
    <w:qFormat/>
    <w:uiPriority w:val="0"/>
  </w:style>
  <w:style w:type="character" w:customStyle="1" w:styleId="115">
    <w:name w:val="total"/>
    <w:basedOn w:val="52"/>
    <w:qFormat/>
    <w:uiPriority w:val="0"/>
    <w:rPr>
      <w:color w:val="FFFFFF"/>
      <w:shd w:val="clear" w:color="auto" w:fill="24BDF5"/>
    </w:rPr>
  </w:style>
  <w:style w:type="character" w:customStyle="1" w:styleId="116">
    <w:name w:val="题注 Char"/>
    <w:qFormat/>
    <w:uiPriority w:val="0"/>
    <w:rPr>
      <w:rFonts w:eastAsia="黑体"/>
      <w:kern w:val="2"/>
      <w:sz w:val="24"/>
    </w:rPr>
  </w:style>
  <w:style w:type="character" w:customStyle="1" w:styleId="117">
    <w:name w:val="表格文字 Char Char"/>
    <w:basedOn w:val="52"/>
    <w:qFormat/>
    <w:locked/>
    <w:uiPriority w:val="0"/>
    <w:rPr>
      <w:rFonts w:ascii="Times New Roman" w:hAnsi="Times New Roman" w:eastAsia="宋体" w:cs="Times New Roman"/>
      <w:kern w:val="0"/>
      <w:sz w:val="20"/>
      <w:szCs w:val="20"/>
    </w:rPr>
  </w:style>
  <w:style w:type="character" w:customStyle="1" w:styleId="118">
    <w:name w:val="fontstrikethrough"/>
    <w:basedOn w:val="52"/>
    <w:qFormat/>
    <w:uiPriority w:val="0"/>
    <w:rPr>
      <w:strike/>
    </w:rPr>
  </w:style>
  <w:style w:type="character" w:customStyle="1" w:styleId="119">
    <w:name w:val="表字居中O Char"/>
    <w:link w:val="120"/>
    <w:qFormat/>
    <w:uiPriority w:val="0"/>
    <w:rPr>
      <w:spacing w:val="-4"/>
      <w:szCs w:val="21"/>
    </w:rPr>
  </w:style>
  <w:style w:type="paragraph" w:customStyle="1" w:styleId="120">
    <w:name w:val="表字居中O"/>
    <w:basedOn w:val="1"/>
    <w:link w:val="119"/>
    <w:qFormat/>
    <w:uiPriority w:val="0"/>
    <w:pPr>
      <w:spacing w:line="240" w:lineRule="atLeast"/>
      <w:jc w:val="center"/>
    </w:pPr>
    <w:rPr>
      <w:rFonts w:asciiTheme="minorHAnsi" w:hAnsiTheme="minorHAnsi" w:eastAsiaTheme="minorEastAsia" w:cstheme="minorBidi"/>
      <w:spacing w:val="-4"/>
      <w:szCs w:val="21"/>
    </w:rPr>
  </w:style>
  <w:style w:type="character" w:customStyle="1" w:styleId="121">
    <w:name w:val="font21"/>
    <w:basedOn w:val="52"/>
    <w:qFormat/>
    <w:uiPriority w:val="0"/>
    <w:rPr>
      <w:rFonts w:hint="default" w:ascii="Times New Roman" w:hAnsi="Times New Roman" w:cs="Times New Roman"/>
      <w:color w:val="000000"/>
      <w:sz w:val="24"/>
      <w:szCs w:val="24"/>
      <w:u w:val="none"/>
    </w:rPr>
  </w:style>
  <w:style w:type="character" w:customStyle="1" w:styleId="122">
    <w:name w:val="标题 3 Char Char Char1"/>
    <w:qFormat/>
    <w:uiPriority w:val="0"/>
    <w:rPr>
      <w:rFonts w:ascii="Arial" w:hAnsi="Arial" w:eastAsia="宋体" w:cs="Arial"/>
      <w:b/>
      <w:bCs/>
      <w:sz w:val="26"/>
      <w:szCs w:val="26"/>
      <w:lang w:val="en-US" w:eastAsia="zh-CN" w:bidi="ar-SA"/>
    </w:rPr>
  </w:style>
  <w:style w:type="character" w:customStyle="1" w:styleId="123">
    <w:name w:val="tit"/>
    <w:basedOn w:val="52"/>
    <w:qFormat/>
    <w:uiPriority w:val="0"/>
  </w:style>
  <w:style w:type="character" w:customStyle="1" w:styleId="124">
    <w:name w:val="正文首行缩进 Char"/>
    <w:link w:val="5"/>
    <w:qFormat/>
    <w:uiPriority w:val="0"/>
    <w:rPr>
      <w:szCs w:val="24"/>
    </w:rPr>
  </w:style>
  <w:style w:type="character" w:customStyle="1" w:styleId="125">
    <w:name w:val="more"/>
    <w:basedOn w:val="52"/>
    <w:qFormat/>
    <w:uiPriority w:val="0"/>
  </w:style>
  <w:style w:type="character" w:customStyle="1" w:styleId="126">
    <w:name w:val="page_index"/>
    <w:basedOn w:val="52"/>
    <w:qFormat/>
    <w:uiPriority w:val="0"/>
    <w:rPr>
      <w:sz w:val="18"/>
      <w:szCs w:val="18"/>
    </w:rPr>
  </w:style>
  <w:style w:type="character" w:customStyle="1" w:styleId="127">
    <w:name w:val="s1"/>
    <w:qFormat/>
    <w:uiPriority w:val="0"/>
    <w:rPr>
      <w:sz w:val="18"/>
      <w:szCs w:val="18"/>
    </w:rPr>
  </w:style>
  <w:style w:type="character" w:customStyle="1" w:styleId="128">
    <w:name w:val="font01"/>
    <w:basedOn w:val="52"/>
    <w:qFormat/>
    <w:uiPriority w:val="0"/>
    <w:rPr>
      <w:rFonts w:hint="eastAsia" w:ascii="宋体" w:hAnsi="宋体" w:eastAsia="宋体" w:cs="宋体"/>
      <w:color w:val="000000"/>
      <w:sz w:val="24"/>
      <w:szCs w:val="24"/>
      <w:u w:val="none"/>
    </w:rPr>
  </w:style>
  <w:style w:type="character" w:customStyle="1" w:styleId="129">
    <w:name w:val="page_next"/>
    <w:basedOn w:val="52"/>
    <w:qFormat/>
    <w:uiPriority w:val="0"/>
    <w:rPr>
      <w:sz w:val="18"/>
      <w:szCs w:val="18"/>
    </w:rPr>
  </w:style>
  <w:style w:type="character" w:customStyle="1" w:styleId="130">
    <w:name w:val="page_end"/>
    <w:basedOn w:val="52"/>
    <w:qFormat/>
    <w:uiPriority w:val="0"/>
    <w:rPr>
      <w:sz w:val="18"/>
      <w:szCs w:val="18"/>
    </w:rPr>
  </w:style>
  <w:style w:type="character" w:customStyle="1" w:styleId="131">
    <w:name w:val="正文缩进 Char"/>
    <w:link w:val="16"/>
    <w:qFormat/>
    <w:uiPriority w:val="0"/>
    <w:rPr>
      <w:sz w:val="24"/>
    </w:rPr>
  </w:style>
  <w:style w:type="character" w:customStyle="1" w:styleId="132">
    <w:name w:val="正文文本 Char1"/>
    <w:basedOn w:val="52"/>
    <w:link w:val="2"/>
    <w:semiHidden/>
    <w:qFormat/>
    <w:uiPriority w:val="99"/>
    <w:rPr>
      <w:rFonts w:ascii="Times New Roman" w:hAnsi="Times New Roman" w:eastAsia="宋体" w:cs="Times New Roman"/>
      <w:szCs w:val="24"/>
    </w:rPr>
  </w:style>
  <w:style w:type="character" w:customStyle="1" w:styleId="133">
    <w:name w:val="正文首行缩进 Char2"/>
    <w:basedOn w:val="132"/>
    <w:semiHidden/>
    <w:qFormat/>
    <w:uiPriority w:val="99"/>
    <w:rPr>
      <w:rFonts w:ascii="Times New Roman" w:hAnsi="Times New Roman" w:eastAsia="宋体" w:cs="Times New Roman"/>
      <w:szCs w:val="24"/>
    </w:rPr>
  </w:style>
  <w:style w:type="character" w:customStyle="1" w:styleId="134">
    <w:name w:val="批注文字 Char"/>
    <w:basedOn w:val="52"/>
    <w:link w:val="20"/>
    <w:qFormat/>
    <w:uiPriority w:val="99"/>
    <w:rPr>
      <w:rFonts w:ascii="Times New Roman" w:hAnsi="Times New Roman" w:eastAsia="宋体" w:cs="Times New Roman"/>
      <w:szCs w:val="24"/>
    </w:rPr>
  </w:style>
  <w:style w:type="character" w:customStyle="1" w:styleId="135">
    <w:name w:val="批注主题 Char"/>
    <w:basedOn w:val="134"/>
    <w:link w:val="45"/>
    <w:semiHidden/>
    <w:qFormat/>
    <w:uiPriority w:val="0"/>
    <w:rPr>
      <w:rFonts w:ascii="Times New Roman" w:hAnsi="Times New Roman" w:eastAsia="宋体" w:cs="Times New Roman"/>
      <w:b/>
      <w:bCs/>
      <w:szCs w:val="24"/>
    </w:rPr>
  </w:style>
  <w:style w:type="character" w:customStyle="1" w:styleId="136">
    <w:name w:val="正文文本缩进 2 Char"/>
    <w:basedOn w:val="52"/>
    <w:link w:val="29"/>
    <w:qFormat/>
    <w:uiPriority w:val="0"/>
    <w:rPr>
      <w:rFonts w:ascii="宋体" w:hAnsi="Times New Roman" w:eastAsia="宋体" w:cs="Times New Roman"/>
      <w:sz w:val="28"/>
      <w:szCs w:val="24"/>
    </w:rPr>
  </w:style>
  <w:style w:type="character" w:customStyle="1" w:styleId="137">
    <w:name w:val="正文文本缩进 Char1"/>
    <w:basedOn w:val="52"/>
    <w:semiHidden/>
    <w:qFormat/>
    <w:uiPriority w:val="99"/>
    <w:rPr>
      <w:rFonts w:ascii="Times New Roman" w:hAnsi="Times New Roman" w:eastAsia="宋体" w:cs="Times New Roman"/>
      <w:szCs w:val="24"/>
    </w:rPr>
  </w:style>
  <w:style w:type="character" w:customStyle="1" w:styleId="138">
    <w:name w:val="批注框文本 Char1"/>
    <w:basedOn w:val="52"/>
    <w:semiHidden/>
    <w:qFormat/>
    <w:uiPriority w:val="99"/>
    <w:rPr>
      <w:rFonts w:ascii="Times New Roman" w:hAnsi="Times New Roman" w:eastAsia="宋体" w:cs="Times New Roman"/>
      <w:sz w:val="18"/>
      <w:szCs w:val="18"/>
    </w:rPr>
  </w:style>
  <w:style w:type="character" w:customStyle="1" w:styleId="139">
    <w:name w:val="正文文本缩进 3 Char1"/>
    <w:basedOn w:val="52"/>
    <w:semiHidden/>
    <w:qFormat/>
    <w:uiPriority w:val="99"/>
    <w:rPr>
      <w:rFonts w:ascii="Times New Roman" w:hAnsi="Times New Roman" w:eastAsia="宋体" w:cs="Times New Roman"/>
      <w:sz w:val="16"/>
      <w:szCs w:val="16"/>
    </w:rPr>
  </w:style>
  <w:style w:type="character" w:customStyle="1" w:styleId="140">
    <w:name w:val="文档结构图 Char1"/>
    <w:basedOn w:val="52"/>
    <w:semiHidden/>
    <w:qFormat/>
    <w:uiPriority w:val="99"/>
    <w:rPr>
      <w:rFonts w:ascii="宋体" w:hAnsi="Times New Roman" w:eastAsia="宋体" w:cs="Times New Roman"/>
      <w:sz w:val="18"/>
      <w:szCs w:val="18"/>
    </w:rPr>
  </w:style>
  <w:style w:type="character" w:customStyle="1" w:styleId="141">
    <w:name w:val="日期 Char"/>
    <w:basedOn w:val="52"/>
    <w:link w:val="28"/>
    <w:qFormat/>
    <w:uiPriority w:val="0"/>
    <w:rPr>
      <w:rFonts w:ascii="Times New Roman" w:hAnsi="Times New Roman" w:eastAsia="宋体" w:cs="Times New Roman"/>
      <w:szCs w:val="24"/>
    </w:rPr>
  </w:style>
  <w:style w:type="character" w:customStyle="1" w:styleId="142">
    <w:name w:val="标题 Char1"/>
    <w:basedOn w:val="52"/>
    <w:qFormat/>
    <w:uiPriority w:val="10"/>
    <w:rPr>
      <w:rFonts w:eastAsia="宋体" w:asciiTheme="majorHAnsi" w:hAnsiTheme="majorHAnsi" w:cstheme="majorBidi"/>
      <w:b/>
      <w:bCs/>
      <w:sz w:val="32"/>
      <w:szCs w:val="32"/>
    </w:rPr>
  </w:style>
  <w:style w:type="character" w:customStyle="1" w:styleId="143">
    <w:name w:val="纯文本 Char1"/>
    <w:basedOn w:val="52"/>
    <w:semiHidden/>
    <w:qFormat/>
    <w:uiPriority w:val="99"/>
    <w:rPr>
      <w:rFonts w:ascii="宋体" w:hAnsi="Courier New" w:eastAsia="宋体" w:cs="Courier New"/>
      <w:szCs w:val="21"/>
    </w:rPr>
  </w:style>
  <w:style w:type="character" w:customStyle="1" w:styleId="144">
    <w:name w:val="正文文本 2 Char"/>
    <w:basedOn w:val="52"/>
    <w:link w:val="41"/>
    <w:qFormat/>
    <w:uiPriority w:val="0"/>
    <w:rPr>
      <w:rFonts w:ascii="宋体" w:hAnsi="宋体" w:eastAsia="宋体" w:cs="Times New Roman"/>
      <w:bCs/>
      <w:color w:val="FF6600"/>
      <w:sz w:val="24"/>
      <w:szCs w:val="24"/>
    </w:rPr>
  </w:style>
  <w:style w:type="paragraph" w:customStyle="1" w:styleId="145">
    <w:name w:val="环龙公司文本正文"/>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46">
    <w:name w:val="Default"/>
    <w:basedOn w:val="147"/>
    <w:next w:val="46"/>
    <w:link w:val="27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47">
    <w:name w:val="纯文本1"/>
    <w:basedOn w:val="1"/>
    <w:qFormat/>
    <w:uiPriority w:val="0"/>
    <w:rPr>
      <w:rFonts w:ascii="宋体" w:hAnsi="Courier New"/>
    </w:rPr>
  </w:style>
  <w:style w:type="paragraph" w:customStyle="1" w:styleId="148">
    <w:name w:val="_Style 2"/>
    <w:qFormat/>
    <w:uiPriority w:val="34"/>
    <w:pPr>
      <w:widowControl w:val="0"/>
      <w:jc w:val="both"/>
    </w:pPr>
    <w:rPr>
      <w:rFonts w:ascii="Times New Roman" w:hAnsi="Times New Roman" w:eastAsia="宋体" w:cs="Times New Roman"/>
      <w:kern w:val="2"/>
      <w:sz w:val="28"/>
      <w:szCs w:val="24"/>
      <w:lang w:val="en-US" w:eastAsia="zh-CN" w:bidi="ar-SA"/>
    </w:rPr>
  </w:style>
  <w:style w:type="paragraph" w:customStyle="1" w:styleId="149">
    <w:name w:val="表格标题"/>
    <w:basedOn w:val="1"/>
    <w:qFormat/>
    <w:uiPriority w:val="0"/>
    <w:pPr>
      <w:spacing w:before="120"/>
      <w:jc w:val="center"/>
    </w:pPr>
    <w:rPr>
      <w:sz w:val="24"/>
      <w:szCs w:val="20"/>
    </w:rPr>
  </w:style>
  <w:style w:type="paragraph" w:customStyle="1" w:styleId="150">
    <w:name w:val="reader-word-layer reader-word-s1-25"/>
    <w:basedOn w:val="1"/>
    <w:qFormat/>
    <w:uiPriority w:val="0"/>
    <w:pPr>
      <w:widowControl/>
      <w:spacing w:before="100" w:beforeAutospacing="1" w:after="100" w:afterAutospacing="1"/>
      <w:jc w:val="left"/>
    </w:pPr>
    <w:rPr>
      <w:rFonts w:ascii="宋体" w:hAnsi="宋体" w:cs="宋体"/>
      <w:kern w:val="0"/>
      <w:sz w:val="24"/>
    </w:rPr>
  </w:style>
  <w:style w:type="paragraph" w:customStyle="1" w:styleId="151">
    <w:name w:val="表1表2"/>
    <w:basedOn w:val="1"/>
    <w:qFormat/>
    <w:uiPriority w:val="0"/>
    <w:pPr>
      <w:autoSpaceDE w:val="0"/>
      <w:autoSpaceDN w:val="0"/>
      <w:adjustRightInd w:val="0"/>
      <w:jc w:val="center"/>
      <w:textAlignment w:val="center"/>
    </w:pPr>
    <w:rPr>
      <w:rFonts w:eastAsia="仿宋_GB2312"/>
      <w:kern w:val="0"/>
      <w:szCs w:val="21"/>
    </w:rPr>
  </w:style>
  <w:style w:type="paragraph" w:customStyle="1" w:styleId="152">
    <w:name w:val="报告书正文"/>
    <w:basedOn w:val="1"/>
    <w:qFormat/>
    <w:uiPriority w:val="0"/>
    <w:pPr>
      <w:spacing w:line="300" w:lineRule="auto"/>
      <w:ind w:firstLine="200" w:firstLineChars="200"/>
    </w:pPr>
    <w:rPr>
      <w:sz w:val="24"/>
      <w:szCs w:val="20"/>
    </w:rPr>
  </w:style>
  <w:style w:type="paragraph" w:customStyle="1" w:styleId="153">
    <w:name w:val="reader-word-layer reader-word-s2-10"/>
    <w:basedOn w:val="1"/>
    <w:qFormat/>
    <w:uiPriority w:val="0"/>
    <w:pPr>
      <w:widowControl/>
      <w:spacing w:before="100" w:beforeAutospacing="1" w:after="100" w:afterAutospacing="1"/>
      <w:jc w:val="left"/>
    </w:pPr>
    <w:rPr>
      <w:rFonts w:ascii="宋体" w:hAnsi="宋体" w:cs="宋体"/>
      <w:kern w:val="0"/>
      <w:sz w:val="24"/>
    </w:rPr>
  </w:style>
  <w:style w:type="paragraph" w:customStyle="1" w:styleId="154">
    <w:name w:val="表格内容"/>
    <w:basedOn w:val="1"/>
    <w:link w:val="230"/>
    <w:qFormat/>
    <w:uiPriority w:val="0"/>
    <w:pPr>
      <w:jc w:val="center"/>
    </w:pPr>
    <w:rPr>
      <w:rFonts w:cs="宋体"/>
      <w:szCs w:val="21"/>
    </w:rPr>
  </w:style>
  <w:style w:type="paragraph" w:customStyle="1" w:styleId="155">
    <w:name w:val="五级条标题"/>
    <w:basedOn w:val="1"/>
    <w:next w:val="1"/>
    <w:qFormat/>
    <w:uiPriority w:val="0"/>
    <w:pPr>
      <w:widowControl/>
      <w:tabs>
        <w:tab w:val="left" w:pos="1296"/>
      </w:tabs>
      <w:ind w:left="1296" w:hanging="1296"/>
      <w:outlineLvl w:val="6"/>
    </w:pPr>
    <w:rPr>
      <w:rFonts w:ascii="黑体" w:eastAsia="黑体"/>
      <w:kern w:val="0"/>
      <w:szCs w:val="20"/>
    </w:rPr>
  </w:style>
  <w:style w:type="paragraph" w:customStyle="1" w:styleId="156">
    <w:name w:val="样式 小四 行距: 1.5 倍行距"/>
    <w:basedOn w:val="1"/>
    <w:qFormat/>
    <w:uiPriority w:val="0"/>
    <w:pPr>
      <w:spacing w:line="360" w:lineRule="auto"/>
      <w:ind w:firstLine="480" w:firstLineChars="200"/>
    </w:pPr>
    <w:rPr>
      <w:rFonts w:cs="宋体"/>
      <w:sz w:val="24"/>
      <w:szCs w:val="20"/>
    </w:rPr>
  </w:style>
  <w:style w:type="paragraph" w:customStyle="1" w:styleId="157">
    <w:name w:val="TOC 标题1"/>
    <w:basedOn w:val="4"/>
    <w:next w:val="1"/>
    <w:qFormat/>
    <w:uiPriority w:val="39"/>
    <w:pPr>
      <w:widowControl/>
      <w:numPr>
        <w:numId w:val="0"/>
      </w:numPr>
      <w:adjustRightInd/>
      <w:snapToGrid/>
      <w:spacing w:beforeLines="0" w:line="276" w:lineRule="auto"/>
      <w:outlineLvl w:val="9"/>
    </w:pPr>
    <w:rPr>
      <w:rFonts w:ascii="Cambria" w:hAnsi="Cambria" w:eastAsia="宋体"/>
      <w:color w:val="365F91"/>
      <w:kern w:val="0"/>
      <w:sz w:val="28"/>
      <w:szCs w:val="28"/>
    </w:rPr>
  </w:style>
  <w:style w:type="paragraph" w:customStyle="1" w:styleId="158">
    <w:name w:val="列出段落1"/>
    <w:basedOn w:val="1"/>
    <w:qFormat/>
    <w:uiPriority w:val="0"/>
    <w:pPr>
      <w:ind w:firstLine="420" w:firstLineChars="200"/>
    </w:pPr>
    <w:rPr>
      <w:rFonts w:ascii="Calibri" w:hAnsi="Calibri"/>
      <w:szCs w:val="21"/>
    </w:rPr>
  </w:style>
  <w:style w:type="paragraph" w:customStyle="1" w:styleId="159">
    <w:name w:val="Char Char Char Char Char Char1 Char Char Char Char Char Char Char Char Char Char Char Char Char Char Char Char"/>
    <w:basedOn w:val="1"/>
    <w:qFormat/>
    <w:uiPriority w:val="0"/>
  </w:style>
  <w:style w:type="paragraph" w:customStyle="1" w:styleId="160">
    <w:name w:val="段落"/>
    <w:basedOn w:val="1"/>
    <w:qFormat/>
    <w:uiPriority w:val="0"/>
    <w:pPr>
      <w:tabs>
        <w:tab w:val="left" w:pos="1021"/>
      </w:tabs>
      <w:spacing w:line="360" w:lineRule="auto"/>
      <w:ind w:firstLine="480" w:firstLineChars="200"/>
    </w:pPr>
    <w:rPr>
      <w:rFonts w:ascii="宋体" w:hAnsi="宋体"/>
    </w:rPr>
  </w:style>
  <w:style w:type="paragraph" w:customStyle="1" w:styleId="161">
    <w:name w:val="reader-word-layer reader-word-s1-2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2">
    <w:name w:val="正本"/>
    <w:basedOn w:val="1"/>
    <w:qFormat/>
    <w:uiPriority w:val="0"/>
    <w:pPr>
      <w:adjustRightInd w:val="0"/>
      <w:snapToGrid w:val="0"/>
      <w:spacing w:line="360" w:lineRule="auto"/>
      <w:ind w:firstLine="200" w:firstLineChars="200"/>
    </w:pPr>
    <w:rPr>
      <w:rFonts w:ascii="宋体" w:hAnsi="宋体"/>
      <w:sz w:val="24"/>
    </w:rPr>
  </w:style>
  <w:style w:type="paragraph" w:customStyle="1" w:styleId="163">
    <w:name w:val="样式 首行缩进:  2 字符"/>
    <w:basedOn w:val="1"/>
    <w:qFormat/>
    <w:uiPriority w:val="0"/>
    <w:pPr>
      <w:autoSpaceDE w:val="0"/>
      <w:autoSpaceDN w:val="0"/>
      <w:adjustRightInd w:val="0"/>
      <w:snapToGrid w:val="0"/>
      <w:spacing w:line="440" w:lineRule="exact"/>
      <w:ind w:firstLine="480" w:firstLineChars="200"/>
    </w:pPr>
    <w:rPr>
      <w:kern w:val="0"/>
      <w:sz w:val="24"/>
    </w:rPr>
  </w:style>
  <w:style w:type="paragraph" w:customStyle="1" w:styleId="164">
    <w:name w:val="流程图"/>
    <w:basedOn w:val="1"/>
    <w:qFormat/>
    <w:uiPriority w:val="0"/>
    <w:pPr>
      <w:tabs>
        <w:tab w:val="left" w:pos="0"/>
      </w:tabs>
      <w:autoSpaceDE w:val="0"/>
      <w:autoSpaceDN w:val="0"/>
      <w:adjustRightInd w:val="0"/>
      <w:spacing w:line="240" w:lineRule="atLeast"/>
      <w:jc w:val="center"/>
      <w:textAlignment w:val="bottom"/>
    </w:pPr>
    <w:rPr>
      <w:rFonts w:ascii="宋体"/>
      <w:szCs w:val="20"/>
    </w:rPr>
  </w:style>
  <w:style w:type="paragraph" w:customStyle="1" w:styleId="165">
    <w:name w:val="reader-word-layer reader-word-s1-14"/>
    <w:basedOn w:val="1"/>
    <w:qFormat/>
    <w:uiPriority w:val="0"/>
    <w:pPr>
      <w:widowControl/>
      <w:spacing w:before="100" w:beforeAutospacing="1" w:after="100" w:afterAutospacing="1"/>
      <w:jc w:val="left"/>
    </w:pPr>
    <w:rPr>
      <w:rFonts w:ascii="宋体" w:hAnsi="宋体" w:cs="宋体"/>
      <w:kern w:val="0"/>
      <w:sz w:val="24"/>
    </w:rPr>
  </w:style>
  <w:style w:type="paragraph" w:customStyle="1" w:styleId="166">
    <w:name w:val="reader-word-layer reader-word-s1-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7">
    <w:name w:val="正文（用）"/>
    <w:basedOn w:val="1"/>
    <w:link w:val="236"/>
    <w:qFormat/>
    <w:uiPriority w:val="0"/>
    <w:pPr>
      <w:spacing w:line="360" w:lineRule="auto"/>
      <w:ind w:firstLine="480" w:firstLineChars="200"/>
      <w:jc w:val="left"/>
    </w:pPr>
    <w:rPr>
      <w:rFonts w:ascii="宋体" w:hAnsi="宋体" w:cs="宋体"/>
      <w:sz w:val="24"/>
      <w:szCs w:val="20"/>
    </w:rPr>
  </w:style>
  <w:style w:type="paragraph" w:customStyle="1" w:styleId="168">
    <w:name w:val="标题 21"/>
    <w:basedOn w:val="1"/>
    <w:qFormat/>
    <w:uiPriority w:val="1"/>
    <w:pPr>
      <w:autoSpaceDE w:val="0"/>
      <w:autoSpaceDN w:val="0"/>
      <w:adjustRightInd w:val="0"/>
      <w:ind w:left="120"/>
      <w:jc w:val="left"/>
      <w:outlineLvl w:val="1"/>
    </w:pPr>
    <w:rPr>
      <w:rFonts w:ascii="宋体" w:cs="宋体"/>
      <w:kern w:val="0"/>
      <w:sz w:val="42"/>
      <w:szCs w:val="42"/>
    </w:rPr>
  </w:style>
  <w:style w:type="paragraph" w:customStyle="1" w:styleId="169">
    <w:name w:val="reader-word-layer reader-word-s2-6"/>
    <w:basedOn w:val="1"/>
    <w:qFormat/>
    <w:uiPriority w:val="0"/>
    <w:pPr>
      <w:widowControl/>
      <w:spacing w:before="100" w:beforeAutospacing="1" w:after="100" w:afterAutospacing="1"/>
      <w:jc w:val="left"/>
    </w:pPr>
    <w:rPr>
      <w:rFonts w:ascii="宋体" w:hAnsi="宋体" w:cs="宋体"/>
      <w:kern w:val="0"/>
      <w:sz w:val="24"/>
    </w:rPr>
  </w:style>
  <w:style w:type="paragraph" w:customStyle="1" w:styleId="170">
    <w:name w:val="Char Char Char Char Char Char Char"/>
    <w:basedOn w:val="1"/>
    <w:qFormat/>
    <w:uiPriority w:val="0"/>
  </w:style>
  <w:style w:type="paragraph" w:customStyle="1" w:styleId="171">
    <w:name w:val="xl35"/>
    <w:basedOn w:val="1"/>
    <w:qFormat/>
    <w:uiPriority w:val="0"/>
    <w:pPr>
      <w:widowControl/>
      <w:spacing w:before="100" w:beforeAutospacing="1" w:after="100" w:afterAutospacing="1"/>
      <w:jc w:val="center"/>
    </w:pPr>
    <w:rPr>
      <w:rFonts w:hAnsi="宋体" w:eastAsia="仿宋_GB2312"/>
      <w:kern w:val="0"/>
      <w:sz w:val="28"/>
      <w:szCs w:val="28"/>
    </w:rPr>
  </w:style>
  <w:style w:type="paragraph" w:customStyle="1" w:styleId="172">
    <w:name w:val="reader-word-layer reader-word-s1-8"/>
    <w:basedOn w:val="1"/>
    <w:qFormat/>
    <w:uiPriority w:val="0"/>
    <w:pPr>
      <w:widowControl/>
      <w:spacing w:before="100" w:beforeAutospacing="1" w:after="100" w:afterAutospacing="1"/>
      <w:jc w:val="left"/>
    </w:pPr>
    <w:rPr>
      <w:rFonts w:ascii="宋体" w:hAnsi="宋体" w:cs="宋体"/>
      <w:kern w:val="0"/>
      <w:sz w:val="24"/>
    </w:rPr>
  </w:style>
  <w:style w:type="paragraph" w:customStyle="1" w:styleId="173">
    <w:name w:val="reader-word-layer reader-word-s1-16"/>
    <w:basedOn w:val="1"/>
    <w:qFormat/>
    <w:uiPriority w:val="0"/>
    <w:pPr>
      <w:widowControl/>
      <w:spacing w:before="100" w:beforeAutospacing="1" w:after="100" w:afterAutospacing="1"/>
      <w:jc w:val="left"/>
    </w:pPr>
    <w:rPr>
      <w:rFonts w:ascii="宋体" w:hAnsi="宋体" w:cs="宋体"/>
      <w:kern w:val="0"/>
      <w:sz w:val="24"/>
    </w:rPr>
  </w:style>
  <w:style w:type="paragraph" w:customStyle="1" w:styleId="174">
    <w:name w:val="biaoge"/>
    <w:basedOn w:val="1"/>
    <w:qFormat/>
    <w:uiPriority w:val="0"/>
    <w:pPr>
      <w:autoSpaceDE w:val="0"/>
      <w:autoSpaceDN w:val="0"/>
      <w:adjustRightInd w:val="0"/>
      <w:jc w:val="center"/>
    </w:pPr>
    <w:rPr>
      <w:rFonts w:cs="宋体"/>
      <w:szCs w:val="21"/>
    </w:rPr>
  </w:style>
  <w:style w:type="paragraph" w:customStyle="1" w:styleId="175">
    <w:name w:val="1"/>
    <w:basedOn w:val="1"/>
    <w:next w:val="1"/>
    <w:qFormat/>
    <w:uiPriority w:val="0"/>
    <w:pPr>
      <w:spacing w:line="360" w:lineRule="auto"/>
      <w:ind w:firstLine="200" w:firstLineChars="200"/>
    </w:pPr>
    <w:rPr>
      <w:sz w:val="24"/>
      <w:szCs w:val="20"/>
    </w:rPr>
  </w:style>
  <w:style w:type="paragraph" w:customStyle="1" w:styleId="176">
    <w:name w:val="报告书正文 Char Char Char"/>
    <w:basedOn w:val="1"/>
    <w:qFormat/>
    <w:uiPriority w:val="0"/>
    <w:pPr>
      <w:spacing w:line="300" w:lineRule="auto"/>
      <w:ind w:firstLine="480" w:firstLineChars="200"/>
    </w:pPr>
    <w:rPr>
      <w:rFonts w:ascii="宋体" w:hAnsi="宋体"/>
      <w:sz w:val="24"/>
      <w:szCs w:val="20"/>
    </w:rPr>
  </w:style>
  <w:style w:type="paragraph" w:customStyle="1" w:styleId="177">
    <w:name w:val="pa-13"/>
    <w:basedOn w:val="1"/>
    <w:qFormat/>
    <w:uiPriority w:val="0"/>
    <w:pPr>
      <w:widowControl/>
      <w:spacing w:before="150" w:after="150"/>
      <w:jc w:val="left"/>
    </w:pPr>
    <w:rPr>
      <w:rFonts w:ascii="宋体" w:hAnsi="宋体" w:cs="宋体"/>
      <w:kern w:val="0"/>
      <w:sz w:val="24"/>
    </w:rPr>
  </w:style>
  <w:style w:type="paragraph" w:customStyle="1" w:styleId="178">
    <w:name w:val="_Style 131"/>
    <w:basedOn w:val="1"/>
    <w:next w:val="1"/>
    <w:qFormat/>
    <w:uiPriority w:val="0"/>
    <w:pPr>
      <w:widowControl/>
      <w:outlineLvl w:val="6"/>
    </w:pPr>
    <w:rPr>
      <w:rFonts w:ascii="黑体" w:eastAsia="黑体"/>
      <w:kern w:val="0"/>
      <w:szCs w:val="20"/>
    </w:rPr>
  </w:style>
  <w:style w:type="paragraph" w:customStyle="1" w:styleId="179">
    <w:name w:val="默认段落字体 Para Char Char Char Char"/>
    <w:basedOn w:val="1"/>
    <w:next w:val="1"/>
    <w:qFormat/>
    <w:uiPriority w:val="0"/>
    <w:pPr>
      <w:spacing w:line="360" w:lineRule="auto"/>
      <w:ind w:firstLine="200" w:firstLineChars="200"/>
    </w:pPr>
    <w:rPr>
      <w:rFonts w:ascii="宋体" w:hAnsi="宋体" w:cs="宋体"/>
      <w:bCs/>
      <w:snapToGrid w:val="0"/>
      <w:sz w:val="24"/>
      <w:lang w:val="eu-ES"/>
    </w:rPr>
  </w:style>
  <w:style w:type="paragraph" w:customStyle="1" w:styleId="180">
    <w:name w:val="正文缩进2"/>
    <w:basedOn w:val="1"/>
    <w:qFormat/>
    <w:uiPriority w:val="0"/>
    <w:pPr>
      <w:ind w:firstLine="420"/>
    </w:pPr>
    <w:rPr>
      <w:kern w:val="0"/>
      <w:sz w:val="20"/>
      <w:szCs w:val="20"/>
    </w:rPr>
  </w:style>
  <w:style w:type="paragraph" w:customStyle="1" w:styleId="181">
    <w:name w:val="reader-word-layer reader-word-s1-20"/>
    <w:basedOn w:val="1"/>
    <w:qFormat/>
    <w:uiPriority w:val="0"/>
    <w:pPr>
      <w:widowControl/>
      <w:spacing w:before="100" w:beforeAutospacing="1" w:after="100" w:afterAutospacing="1"/>
      <w:jc w:val="left"/>
    </w:pPr>
    <w:rPr>
      <w:rFonts w:ascii="宋体" w:hAnsi="宋体" w:cs="宋体"/>
      <w:kern w:val="0"/>
      <w:sz w:val="24"/>
    </w:rPr>
  </w:style>
  <w:style w:type="paragraph" w:customStyle="1" w:styleId="182">
    <w:name w:val="Char Char Char Char Char Char3 Char Char Char Char Char Char Char"/>
    <w:basedOn w:val="1"/>
    <w:next w:val="1"/>
    <w:qFormat/>
    <w:uiPriority w:val="0"/>
  </w:style>
  <w:style w:type="paragraph" w:customStyle="1" w:styleId="183">
    <w:name w:val="reader-word-layer reader-word-s1-18"/>
    <w:basedOn w:val="1"/>
    <w:qFormat/>
    <w:uiPriority w:val="0"/>
    <w:pPr>
      <w:widowControl/>
      <w:spacing w:before="100" w:beforeAutospacing="1" w:after="100" w:afterAutospacing="1"/>
      <w:jc w:val="left"/>
    </w:pPr>
    <w:rPr>
      <w:rFonts w:ascii="宋体" w:hAnsi="宋体" w:cs="宋体"/>
      <w:kern w:val="0"/>
      <w:sz w:val="24"/>
    </w:rPr>
  </w:style>
  <w:style w:type="paragraph" w:customStyle="1" w:styleId="184">
    <w:name w:val="reader-word-layer reader-word-s2-2"/>
    <w:basedOn w:val="1"/>
    <w:qFormat/>
    <w:uiPriority w:val="0"/>
    <w:pPr>
      <w:widowControl/>
      <w:spacing w:before="100" w:beforeAutospacing="1" w:after="100" w:afterAutospacing="1"/>
      <w:jc w:val="left"/>
    </w:pPr>
    <w:rPr>
      <w:rFonts w:ascii="宋体" w:hAnsi="宋体" w:cs="宋体"/>
      <w:kern w:val="0"/>
      <w:sz w:val="24"/>
    </w:rPr>
  </w:style>
  <w:style w:type="paragraph" w:customStyle="1" w:styleId="185">
    <w:name w:val="reader-word-layer reader-word-s1-19"/>
    <w:basedOn w:val="1"/>
    <w:qFormat/>
    <w:uiPriority w:val="0"/>
    <w:pPr>
      <w:widowControl/>
      <w:spacing w:before="100" w:beforeAutospacing="1" w:after="100" w:afterAutospacing="1"/>
      <w:jc w:val="left"/>
    </w:pPr>
    <w:rPr>
      <w:rFonts w:ascii="宋体" w:hAnsi="宋体" w:cs="宋体"/>
      <w:kern w:val="0"/>
      <w:sz w:val="24"/>
    </w:rPr>
  </w:style>
  <w:style w:type="paragraph" w:customStyle="1" w:styleId="186">
    <w:name w:val="reader-word-layer reader-word-s1-17"/>
    <w:basedOn w:val="1"/>
    <w:qFormat/>
    <w:uiPriority w:val="0"/>
    <w:pPr>
      <w:widowControl/>
      <w:spacing w:before="100" w:beforeAutospacing="1" w:after="100" w:afterAutospacing="1"/>
      <w:jc w:val="left"/>
    </w:pPr>
    <w:rPr>
      <w:rFonts w:ascii="宋体" w:hAnsi="宋体" w:cs="宋体"/>
      <w:kern w:val="0"/>
      <w:sz w:val="24"/>
    </w:rPr>
  </w:style>
  <w:style w:type="paragraph" w:customStyle="1" w:styleId="187">
    <w:name w:val="表格内格式"/>
    <w:basedOn w:val="154"/>
    <w:next w:val="1"/>
    <w:qFormat/>
    <w:uiPriority w:val="0"/>
    <w:pPr>
      <w:widowControl/>
      <w:tabs>
        <w:tab w:val="left" w:pos="1535"/>
        <w:tab w:val="left" w:pos="3105"/>
        <w:tab w:val="left" w:pos="4676"/>
        <w:tab w:val="left" w:pos="6247"/>
        <w:tab w:val="left" w:pos="7740"/>
        <w:tab w:val="left" w:pos="8311"/>
      </w:tabs>
      <w:spacing w:before="40" w:after="60" w:line="360" w:lineRule="exact"/>
    </w:pPr>
    <w:rPr>
      <w:rFonts w:ascii="Arial" w:hAnsi="Arial" w:eastAsia="仿宋_GB2312" w:cs="Arial"/>
    </w:rPr>
  </w:style>
  <w:style w:type="paragraph" w:customStyle="1" w:styleId="188">
    <w:name w:val="样式 标题 2节项目标题4H21标题 1.1节标题 1.11.1标题2标题 2 Charb2h2l22..."/>
    <w:basedOn w:val="6"/>
    <w:next w:val="16"/>
    <w:qFormat/>
    <w:uiPriority w:val="0"/>
    <w:pPr>
      <w:numPr>
        <w:ilvl w:val="0"/>
        <w:numId w:val="0"/>
      </w:numPr>
      <w:spacing w:before="120" w:after="240" w:line="460" w:lineRule="exact"/>
    </w:pPr>
    <w:rPr>
      <w:rFonts w:ascii="宋体" w:hAnsi="宋体" w:eastAsia="宋体" w:cs="宋体"/>
      <w:kern w:val="0"/>
      <w:sz w:val="28"/>
      <w:szCs w:val="20"/>
    </w:rPr>
  </w:style>
  <w:style w:type="paragraph" w:customStyle="1" w:styleId="189">
    <w:name w:val="表内式样"/>
    <w:qFormat/>
    <w:uiPriority w:val="0"/>
    <w:pPr>
      <w:widowControl w:val="0"/>
      <w:spacing w:line="360" w:lineRule="exact"/>
      <w:jc w:val="center"/>
    </w:pPr>
    <w:rPr>
      <w:rFonts w:ascii="宋体" w:hAnsi="宋体" w:eastAsia="宋体" w:cs="Times New Roman"/>
      <w:color w:val="000000"/>
      <w:kern w:val="2"/>
      <w:sz w:val="21"/>
      <w:szCs w:val="24"/>
      <w:lang w:val="en-US" w:eastAsia="zh-CN" w:bidi="ar-SA"/>
    </w:rPr>
  </w:style>
  <w:style w:type="paragraph" w:customStyle="1" w:styleId="190">
    <w:name w:val="罗英样式"/>
    <w:basedOn w:val="1"/>
    <w:qFormat/>
    <w:uiPriority w:val="0"/>
    <w:pPr>
      <w:spacing w:line="500" w:lineRule="exact"/>
      <w:ind w:firstLine="200" w:firstLineChars="200"/>
    </w:pPr>
    <w:rPr>
      <w:rFonts w:ascii="宋体" w:hAnsi="宋体"/>
      <w:sz w:val="24"/>
    </w:rPr>
  </w:style>
  <w:style w:type="paragraph" w:customStyle="1" w:styleId="191">
    <w:name w:val="Char1"/>
    <w:basedOn w:val="1"/>
    <w:qFormat/>
    <w:uiPriority w:val="0"/>
    <w:pPr>
      <w:snapToGrid w:val="0"/>
      <w:spacing w:line="360" w:lineRule="auto"/>
      <w:ind w:firstLine="200" w:firstLineChars="200"/>
    </w:pPr>
    <w:rPr>
      <w:rFonts w:eastAsia="仿宋_GB2312"/>
      <w:sz w:val="24"/>
    </w:rPr>
  </w:style>
  <w:style w:type="paragraph" w:customStyle="1" w:styleId="192">
    <w:name w:val="Char Char1 Char Char Char Char Char Char Char Char Char Char Char Char Char Char Char Char Char Char Char Char1 Char"/>
    <w:basedOn w:val="1"/>
    <w:qFormat/>
    <w:uiPriority w:val="0"/>
    <w:pPr>
      <w:spacing w:line="360" w:lineRule="auto"/>
      <w:ind w:firstLine="200" w:firstLineChars="200"/>
    </w:pPr>
  </w:style>
  <w:style w:type="paragraph" w:customStyle="1" w:styleId="193">
    <w:name w:val="reader-word-layer reader-word-s1-13"/>
    <w:basedOn w:val="1"/>
    <w:qFormat/>
    <w:uiPriority w:val="0"/>
    <w:pPr>
      <w:widowControl/>
      <w:spacing w:before="100" w:beforeAutospacing="1" w:after="100" w:afterAutospacing="1"/>
      <w:jc w:val="left"/>
    </w:pPr>
    <w:rPr>
      <w:rFonts w:ascii="宋体" w:hAnsi="宋体" w:cs="宋体"/>
      <w:kern w:val="0"/>
      <w:sz w:val="24"/>
    </w:rPr>
  </w:style>
  <w:style w:type="paragraph" w:customStyle="1" w:styleId="194">
    <w:name w:val="Char Char Char Char Char"/>
    <w:basedOn w:val="1"/>
    <w:next w:val="1"/>
    <w:semiHidden/>
    <w:qFormat/>
    <w:uiPriority w:val="0"/>
    <w:pPr>
      <w:spacing w:line="336" w:lineRule="auto"/>
      <w:ind w:firstLine="200" w:firstLineChars="200"/>
    </w:pPr>
    <w:rPr>
      <w:rFonts w:ascii="宋体" w:hAnsi="宋体" w:eastAsia="汉鼎简书宋" w:cs="宋体"/>
      <w:sz w:val="24"/>
    </w:rPr>
  </w:style>
  <w:style w:type="paragraph" w:customStyle="1" w:styleId="195">
    <w:name w:val="表名"/>
    <w:basedOn w:val="1"/>
    <w:qFormat/>
    <w:uiPriority w:val="0"/>
    <w:pPr>
      <w:adjustRightInd w:val="0"/>
      <w:ind w:firstLine="100" w:firstLineChars="100"/>
      <w:jc w:val="left"/>
    </w:pPr>
    <w:rPr>
      <w:rFonts w:ascii="Arial" w:hAnsi="Arial" w:eastAsia="黑体"/>
      <w:snapToGrid w:val="0"/>
      <w:kern w:val="0"/>
      <w:szCs w:val="21"/>
    </w:rPr>
  </w:style>
  <w:style w:type="paragraph" w:customStyle="1" w:styleId="196">
    <w:name w:val="Char Char Char Char Char Char1 Char Char Char Char Char Char Char Char Char Char Char Char Char"/>
    <w:basedOn w:val="1"/>
    <w:qFormat/>
    <w:uiPriority w:val="0"/>
  </w:style>
  <w:style w:type="paragraph" w:customStyle="1" w:styleId="197">
    <w:name w:val="样式 样式 样式 首行缩进 + 首行缩进:  2.5 字符 + 首行缩进:  2.5 字符 + 首行缩进:  2.5 字符"/>
    <w:basedOn w:val="1"/>
    <w:qFormat/>
    <w:uiPriority w:val="0"/>
    <w:pPr>
      <w:spacing w:line="360" w:lineRule="auto"/>
      <w:ind w:firstLine="200" w:firstLineChars="200"/>
    </w:pPr>
    <w:rPr>
      <w:rFonts w:cs="宋体"/>
      <w:sz w:val="24"/>
      <w:szCs w:val="20"/>
    </w:rPr>
  </w:style>
  <w:style w:type="paragraph" w:customStyle="1" w:styleId="198">
    <w:name w:val="报告正文"/>
    <w:basedOn w:val="1"/>
    <w:qFormat/>
    <w:uiPriority w:val="0"/>
    <w:pPr>
      <w:adjustRightInd w:val="0"/>
      <w:snapToGrid w:val="0"/>
      <w:spacing w:line="360" w:lineRule="auto"/>
      <w:ind w:firstLine="200" w:firstLineChars="200"/>
    </w:pPr>
    <w:rPr>
      <w:rFonts w:ascii="宋体"/>
      <w:sz w:val="24"/>
      <w:szCs w:val="20"/>
    </w:rPr>
  </w:style>
  <w:style w:type="paragraph" w:customStyle="1" w:styleId="199">
    <w:name w:val="reader-word-layer reader-word-s1-8 reader-word-s1-15"/>
    <w:basedOn w:val="1"/>
    <w:qFormat/>
    <w:uiPriority w:val="0"/>
    <w:pPr>
      <w:widowControl/>
      <w:spacing w:before="100" w:beforeAutospacing="1" w:after="100" w:afterAutospacing="1"/>
      <w:jc w:val="left"/>
    </w:pPr>
    <w:rPr>
      <w:rFonts w:ascii="宋体" w:hAnsi="宋体" w:cs="宋体"/>
      <w:kern w:val="0"/>
      <w:sz w:val="24"/>
    </w:rPr>
  </w:style>
  <w:style w:type="paragraph" w:customStyle="1" w:styleId="200">
    <w:name w:val="reader-word-layer reader-word-s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01">
    <w:name w:val="reader-word-layer reader-word-s1-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02">
    <w:name w:val="表格2"/>
    <w:basedOn w:val="1"/>
    <w:next w:val="1"/>
    <w:qFormat/>
    <w:uiPriority w:val="0"/>
    <w:pPr>
      <w:keepNext/>
      <w:autoSpaceDE w:val="0"/>
      <w:autoSpaceDN w:val="0"/>
      <w:adjustRightInd w:val="0"/>
      <w:jc w:val="center"/>
      <w:textAlignment w:val="baseline"/>
    </w:pPr>
    <w:rPr>
      <w:rFonts w:ascii="宋体" w:cs="宋体"/>
      <w:kern w:val="0"/>
      <w:position w:val="-28"/>
      <w:szCs w:val="21"/>
    </w:rPr>
  </w:style>
  <w:style w:type="paragraph" w:customStyle="1" w:styleId="203">
    <w:name w:val="Char2"/>
    <w:basedOn w:val="1"/>
    <w:qFormat/>
    <w:uiPriority w:val="0"/>
    <w:rPr>
      <w:szCs w:val="20"/>
    </w:rPr>
  </w:style>
  <w:style w:type="paragraph" w:customStyle="1" w:styleId="204">
    <w:name w:val="环表头"/>
    <w:basedOn w:val="205"/>
    <w:qFormat/>
    <w:uiPriority w:val="0"/>
    <w:pPr>
      <w:spacing w:line="360" w:lineRule="exact"/>
      <w:ind w:right="0" w:rightChars="0" w:firstLine="0" w:firstLineChars="0"/>
      <w:jc w:val="center"/>
    </w:pPr>
    <w:rPr>
      <w:rFonts w:ascii="Times New Roman" w:hAnsi="Times New Roman" w:eastAsia="黑体"/>
      <w:sz w:val="24"/>
      <w:szCs w:val="24"/>
    </w:rPr>
  </w:style>
  <w:style w:type="paragraph" w:customStyle="1" w:styleId="205">
    <w:name w:val="环正文"/>
    <w:basedOn w:val="1"/>
    <w:qFormat/>
    <w:uiPriority w:val="0"/>
    <w:pPr>
      <w:widowControl/>
      <w:suppressAutoHyphens/>
      <w:adjustRightInd w:val="0"/>
      <w:spacing w:line="312" w:lineRule="atLeast"/>
      <w:ind w:right="210" w:rightChars="100" w:firstLine="560" w:firstLineChars="200"/>
      <w:textAlignment w:val="baseline"/>
    </w:pPr>
    <w:rPr>
      <w:rFonts w:ascii="宋体" w:hAnsi="宋体"/>
      <w:kern w:val="0"/>
      <w:sz w:val="28"/>
      <w:szCs w:val="20"/>
    </w:rPr>
  </w:style>
  <w:style w:type="paragraph" w:customStyle="1" w:styleId="206">
    <w:name w:val="表头编号"/>
    <w:basedOn w:val="1"/>
    <w:qFormat/>
    <w:uiPriority w:val="0"/>
    <w:pPr>
      <w:tabs>
        <w:tab w:val="left" w:pos="1021"/>
      </w:tabs>
      <w:spacing w:before="60"/>
      <w:jc w:val="left"/>
    </w:pPr>
    <w:rPr>
      <w:rFonts w:eastAsia="黑体"/>
      <w:kern w:val="24"/>
      <w:sz w:val="24"/>
    </w:rPr>
  </w:style>
  <w:style w:type="table" w:customStyle="1" w:styleId="207">
    <w:name w:val="网格型1"/>
    <w:basedOn w:val="47"/>
    <w:qFormat/>
    <w:uiPriority w:val="0"/>
    <w:pPr>
      <w:adjustRightInd w:val="0"/>
      <w:snapToGrid w:val="0"/>
      <w:jc w:val="center"/>
    </w:pPr>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cPr>
      <w:vAlign w:val="center"/>
    </w:tcPr>
  </w:style>
  <w:style w:type="paragraph" w:customStyle="1" w:styleId="208">
    <w:name w:val="正文01"/>
    <w:qFormat/>
    <w:uiPriority w:val="0"/>
    <w:pPr>
      <w:spacing w:before="60" w:line="460" w:lineRule="exact"/>
      <w:ind w:firstLine="200" w:firstLineChars="200"/>
    </w:pPr>
    <w:rPr>
      <w:rFonts w:ascii="Times New Roman" w:hAnsi="Times New Roman" w:eastAsia="宋体" w:cs="Times New Roman"/>
      <w:sz w:val="24"/>
      <w:szCs w:val="22"/>
      <w:lang w:val="en-US" w:eastAsia="zh-CN" w:bidi="ar-SA"/>
    </w:rPr>
  </w:style>
  <w:style w:type="paragraph" w:customStyle="1" w:styleId="209">
    <w:name w:val="永环表内格式"/>
    <w:basedOn w:val="1"/>
    <w:qFormat/>
    <w:uiPriority w:val="0"/>
    <w:pPr>
      <w:spacing w:line="340" w:lineRule="exact"/>
      <w:jc w:val="center"/>
    </w:pPr>
    <w:rPr>
      <w:sz w:val="24"/>
      <w:szCs w:val="21"/>
    </w:rPr>
  </w:style>
  <w:style w:type="paragraph" w:customStyle="1" w:styleId="210">
    <w:name w:val="特殊标题３"/>
    <w:basedOn w:val="1"/>
    <w:qFormat/>
    <w:uiPriority w:val="0"/>
    <w:pPr>
      <w:overflowPunct w:val="0"/>
      <w:autoSpaceDE w:val="0"/>
      <w:autoSpaceDN w:val="0"/>
      <w:spacing w:line="360" w:lineRule="auto"/>
    </w:pPr>
    <w:rPr>
      <w:rFonts w:eastAsia="仿宋_GB2312"/>
      <w:sz w:val="28"/>
    </w:rPr>
  </w:style>
  <w:style w:type="paragraph" w:customStyle="1" w:styleId="211">
    <w:name w:val="烟厂正文"/>
    <w:basedOn w:val="1"/>
    <w:qFormat/>
    <w:uiPriority w:val="0"/>
    <w:pPr>
      <w:spacing w:beforeLines="20" w:afterLines="20" w:line="540" w:lineRule="exact"/>
      <w:ind w:firstLine="480" w:firstLineChars="200"/>
      <w:jc w:val="left"/>
    </w:pPr>
    <w:rPr>
      <w:color w:val="FF0000"/>
      <w:kern w:val="0"/>
      <w:sz w:val="24"/>
      <w:shd w:val="clear" w:color="auto" w:fill="FFFFFF"/>
    </w:rPr>
  </w:style>
  <w:style w:type="paragraph" w:customStyle="1" w:styleId="212">
    <w:name w:val="一级正文"/>
    <w:basedOn w:val="1"/>
    <w:link w:val="213"/>
    <w:qFormat/>
    <w:uiPriority w:val="0"/>
    <w:pPr>
      <w:widowControl/>
      <w:adjustRightInd w:val="0"/>
      <w:snapToGrid w:val="0"/>
      <w:spacing w:line="360" w:lineRule="auto"/>
      <w:ind w:firstLine="200" w:firstLineChars="200"/>
      <w:jc w:val="left"/>
    </w:pPr>
    <w:rPr>
      <w:snapToGrid w:val="0"/>
      <w:kern w:val="0"/>
      <w:sz w:val="24"/>
      <w:szCs w:val="22"/>
    </w:rPr>
  </w:style>
  <w:style w:type="character" w:customStyle="1" w:styleId="213">
    <w:name w:val="一级正文 Char"/>
    <w:link w:val="212"/>
    <w:qFormat/>
    <w:uiPriority w:val="0"/>
    <w:rPr>
      <w:rFonts w:ascii="Times New Roman" w:hAnsi="Times New Roman" w:eastAsia="宋体" w:cs="Times New Roman"/>
      <w:snapToGrid w:val="0"/>
      <w:kern w:val="0"/>
      <w:sz w:val="24"/>
    </w:rPr>
  </w:style>
  <w:style w:type="character" w:styleId="214">
    <w:name w:val="Placeholder Text"/>
    <w:basedOn w:val="52"/>
    <w:semiHidden/>
    <w:qFormat/>
    <w:uiPriority w:val="99"/>
    <w:rPr>
      <w:color w:val="808080"/>
    </w:rPr>
  </w:style>
  <w:style w:type="paragraph" w:customStyle="1" w:styleId="215">
    <w:name w:val="环评正文文字"/>
    <w:basedOn w:val="1"/>
    <w:link w:val="216"/>
    <w:qFormat/>
    <w:uiPriority w:val="0"/>
    <w:pPr>
      <w:spacing w:line="360" w:lineRule="auto"/>
      <w:ind w:firstLine="480" w:firstLineChars="200"/>
    </w:pPr>
    <w:rPr>
      <w:kern w:val="0"/>
      <w:sz w:val="24"/>
      <w:szCs w:val="20"/>
    </w:rPr>
  </w:style>
  <w:style w:type="character" w:customStyle="1" w:styleId="216">
    <w:name w:val="环评正文文字 Char"/>
    <w:basedOn w:val="52"/>
    <w:link w:val="215"/>
    <w:qFormat/>
    <w:uiPriority w:val="0"/>
    <w:rPr>
      <w:rFonts w:ascii="Times New Roman" w:hAnsi="Times New Roman" w:eastAsia="宋体" w:cs="Times New Roman"/>
      <w:kern w:val="0"/>
      <w:sz w:val="24"/>
      <w:szCs w:val="20"/>
    </w:rPr>
  </w:style>
  <w:style w:type="character" w:customStyle="1" w:styleId="217">
    <w:name w:val="表头2 Char"/>
    <w:link w:val="218"/>
    <w:qFormat/>
    <w:uiPriority w:val="0"/>
    <w:rPr>
      <w:rFonts w:ascii="Times New Roman" w:hAnsi="Times New Roman"/>
      <w:b/>
      <w:bCs/>
      <w:szCs w:val="21"/>
    </w:rPr>
  </w:style>
  <w:style w:type="paragraph" w:customStyle="1" w:styleId="218">
    <w:name w:val="表头2"/>
    <w:basedOn w:val="1"/>
    <w:link w:val="217"/>
    <w:qFormat/>
    <w:uiPriority w:val="0"/>
    <w:pPr>
      <w:spacing w:beforeLines="50" w:afterLines="50"/>
      <w:jc w:val="center"/>
    </w:pPr>
    <w:rPr>
      <w:rFonts w:eastAsiaTheme="minorEastAsia" w:cstheme="minorBidi"/>
      <w:b/>
      <w:bCs/>
      <w:szCs w:val="21"/>
    </w:rPr>
  </w:style>
  <w:style w:type="character" w:customStyle="1" w:styleId="219">
    <w:name w:val="报告正文小四 Char"/>
    <w:link w:val="220"/>
    <w:qFormat/>
    <w:uiPriority w:val="0"/>
    <w:rPr>
      <w:sz w:val="24"/>
    </w:rPr>
  </w:style>
  <w:style w:type="paragraph" w:customStyle="1" w:styleId="220">
    <w:name w:val="报告正文小四"/>
    <w:basedOn w:val="1"/>
    <w:link w:val="219"/>
    <w:qFormat/>
    <w:uiPriority w:val="0"/>
    <w:pPr>
      <w:adjustRightInd w:val="0"/>
      <w:snapToGrid w:val="0"/>
      <w:spacing w:line="360" w:lineRule="auto"/>
      <w:ind w:firstLine="420"/>
      <w:jc w:val="left"/>
    </w:pPr>
    <w:rPr>
      <w:rFonts w:asciiTheme="minorHAnsi" w:hAnsiTheme="minorHAnsi" w:eastAsiaTheme="minorEastAsia" w:cstheme="minorBidi"/>
      <w:sz w:val="24"/>
      <w:szCs w:val="22"/>
    </w:rPr>
  </w:style>
  <w:style w:type="paragraph" w:customStyle="1" w:styleId="221">
    <w:name w:val="表内格式"/>
    <w:basedOn w:val="1"/>
    <w:link w:val="222"/>
    <w:qFormat/>
    <w:uiPriority w:val="0"/>
    <w:pPr>
      <w:spacing w:line="360" w:lineRule="auto"/>
      <w:jc w:val="center"/>
    </w:pPr>
    <w:rPr>
      <w:sz w:val="18"/>
      <w:szCs w:val="20"/>
      <w:lang w:val="zh-CN"/>
    </w:rPr>
  </w:style>
  <w:style w:type="character" w:customStyle="1" w:styleId="222">
    <w:name w:val="表内格式 Char1"/>
    <w:link w:val="221"/>
    <w:qFormat/>
    <w:uiPriority w:val="0"/>
    <w:rPr>
      <w:rFonts w:ascii="Times New Roman" w:hAnsi="Times New Roman" w:eastAsia="宋体" w:cs="Times New Roman"/>
      <w:sz w:val="18"/>
      <w:szCs w:val="20"/>
      <w:lang w:val="zh-CN"/>
    </w:rPr>
  </w:style>
  <w:style w:type="table" w:customStyle="1" w:styleId="223">
    <w:name w:val="三线表格"/>
    <w:basedOn w:val="47"/>
    <w:qFormat/>
    <w:uiPriority w:val="99"/>
    <w:pPr>
      <w:jc w:val="center"/>
    </w:pPr>
    <w:rPr>
      <w:rFonts w:ascii="Times New Roman" w:hAnsi="Times New Roman" w:eastAsia="宋体" w:cs="Times New Roman"/>
    </w:rPr>
    <w:tblPr>
      <w:jc w:val="center"/>
      <w:tblBorders>
        <w:top w:val="single" w:color="auto" w:sz="12" w:space="0"/>
        <w:bottom w:val="single" w:color="auto" w:sz="12" w:space="0"/>
        <w:insideH w:val="single" w:color="auto" w:sz="6" w:space="0"/>
        <w:insideV w:val="single" w:color="auto" w:sz="6" w:space="0"/>
      </w:tblBorders>
      <w:tblCellMar>
        <w:top w:w="0" w:type="dxa"/>
        <w:left w:w="57" w:type="dxa"/>
        <w:bottom w:w="0" w:type="dxa"/>
        <w:right w:w="57" w:type="dxa"/>
      </w:tblCellMar>
    </w:tblPr>
    <w:trPr>
      <w:jc w:val="center"/>
    </w:trPr>
    <w:tcPr>
      <w:vAlign w:val="center"/>
    </w:tcPr>
  </w:style>
  <w:style w:type="paragraph" w:customStyle="1" w:styleId="224">
    <w:name w:val="表 头"/>
    <w:basedOn w:val="1"/>
    <w:link w:val="225"/>
    <w:qFormat/>
    <w:uiPriority w:val="0"/>
    <w:pPr>
      <w:jc w:val="center"/>
    </w:pPr>
    <w:rPr>
      <w:rFonts w:eastAsia="Times New Roman" w:asciiTheme="minorHAnsi" w:hAnsiTheme="minorHAnsi" w:cstheme="minorBidi"/>
      <w:b/>
      <w:szCs w:val="22"/>
    </w:rPr>
  </w:style>
  <w:style w:type="character" w:customStyle="1" w:styleId="225">
    <w:name w:val="表 头 Char"/>
    <w:basedOn w:val="52"/>
    <w:link w:val="224"/>
    <w:qFormat/>
    <w:uiPriority w:val="0"/>
    <w:rPr>
      <w:rFonts w:eastAsia="Times New Roman"/>
      <w:b/>
    </w:rPr>
  </w:style>
  <w:style w:type="paragraph" w:customStyle="1" w:styleId="226">
    <w:name w:val="p0"/>
    <w:basedOn w:val="1"/>
    <w:qFormat/>
    <w:uiPriority w:val="0"/>
    <w:pPr>
      <w:widowControl/>
      <w:spacing w:before="100" w:beforeAutospacing="1" w:after="100" w:afterAutospacing="1"/>
      <w:jc w:val="left"/>
    </w:pPr>
    <w:rPr>
      <w:rFonts w:ascii="宋体" w:hAnsi="宋体" w:cs="宋体"/>
      <w:kern w:val="0"/>
      <w:sz w:val="24"/>
    </w:rPr>
  </w:style>
  <w:style w:type="character" w:customStyle="1" w:styleId="227">
    <w:name w:val="标题 7 Char"/>
    <w:basedOn w:val="52"/>
    <w:link w:val="11"/>
    <w:qFormat/>
    <w:uiPriority w:val="9"/>
    <w:rPr>
      <w:rFonts w:ascii="Times New Roman" w:hAnsi="Times New Roman" w:eastAsia="宋体" w:cs="Times New Roman"/>
      <w:b/>
      <w:bCs/>
      <w:snapToGrid w:val="0"/>
      <w:kern w:val="0"/>
      <w:sz w:val="20"/>
      <w:szCs w:val="24"/>
    </w:rPr>
  </w:style>
  <w:style w:type="character" w:customStyle="1" w:styleId="228">
    <w:name w:val="标题 8 Char"/>
    <w:basedOn w:val="52"/>
    <w:link w:val="12"/>
    <w:qFormat/>
    <w:uiPriority w:val="9"/>
    <w:rPr>
      <w:rFonts w:ascii="Cambria" w:hAnsi="Cambria" w:eastAsia="宋体" w:cs="Times New Roman"/>
      <w:snapToGrid w:val="0"/>
      <w:kern w:val="0"/>
      <w:sz w:val="20"/>
      <w:szCs w:val="24"/>
    </w:rPr>
  </w:style>
  <w:style w:type="character" w:customStyle="1" w:styleId="229">
    <w:name w:val="标题 9 Char"/>
    <w:basedOn w:val="52"/>
    <w:link w:val="13"/>
    <w:qFormat/>
    <w:uiPriority w:val="9"/>
    <w:rPr>
      <w:rFonts w:ascii="Cambria" w:hAnsi="Cambria" w:eastAsia="宋体" w:cs="Times New Roman"/>
      <w:snapToGrid w:val="0"/>
      <w:kern w:val="0"/>
      <w:szCs w:val="21"/>
    </w:rPr>
  </w:style>
  <w:style w:type="character" w:customStyle="1" w:styleId="230">
    <w:name w:val="表格内容 Char"/>
    <w:link w:val="154"/>
    <w:qFormat/>
    <w:uiPriority w:val="0"/>
    <w:rPr>
      <w:rFonts w:ascii="Times New Roman" w:hAnsi="Times New Roman" w:eastAsia="宋体" w:cs="宋体"/>
      <w:szCs w:val="21"/>
    </w:rPr>
  </w:style>
  <w:style w:type="character" w:customStyle="1" w:styleId="231">
    <w:name w:val="aa正文 Char"/>
    <w:link w:val="232"/>
    <w:qFormat/>
    <w:uiPriority w:val="0"/>
    <w:rPr>
      <w:rFonts w:eastAsia="宋体"/>
      <w:sz w:val="24"/>
      <w:szCs w:val="24"/>
    </w:rPr>
  </w:style>
  <w:style w:type="paragraph" w:customStyle="1" w:styleId="232">
    <w:name w:val="aa正文"/>
    <w:basedOn w:val="1"/>
    <w:link w:val="231"/>
    <w:qFormat/>
    <w:uiPriority w:val="0"/>
    <w:pPr>
      <w:spacing w:line="360" w:lineRule="auto"/>
      <w:ind w:firstLine="200" w:firstLineChars="200"/>
    </w:pPr>
    <w:rPr>
      <w:rFonts w:asciiTheme="minorHAnsi" w:hAnsiTheme="minorHAnsi" w:cstheme="minorBidi"/>
      <w:sz w:val="24"/>
    </w:rPr>
  </w:style>
  <w:style w:type="paragraph" w:customStyle="1" w:styleId="233">
    <w:name w:val="A-正文"/>
    <w:basedOn w:val="5"/>
    <w:link w:val="234"/>
    <w:qFormat/>
    <w:uiPriority w:val="0"/>
    <w:pPr>
      <w:spacing w:after="0" w:line="360" w:lineRule="auto"/>
      <w:ind w:firstLine="480" w:firstLineChars="200"/>
    </w:pPr>
    <w:rPr>
      <w:rFonts w:ascii="Times New Roman" w:hAnsi="Times New Roman" w:eastAsia="宋体" w:cs="Times New Roman"/>
      <w:sz w:val="24"/>
      <w:szCs w:val="20"/>
    </w:rPr>
  </w:style>
  <w:style w:type="character" w:customStyle="1" w:styleId="234">
    <w:name w:val="A-正文 Char Char"/>
    <w:link w:val="233"/>
    <w:qFormat/>
    <w:uiPriority w:val="0"/>
    <w:rPr>
      <w:rFonts w:ascii="Times New Roman" w:hAnsi="Times New Roman" w:eastAsia="宋体" w:cs="Times New Roman"/>
      <w:sz w:val="24"/>
      <w:szCs w:val="20"/>
    </w:rPr>
  </w:style>
  <w:style w:type="paragraph" w:customStyle="1" w:styleId="235">
    <w:name w:val="0正文"/>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character" w:customStyle="1" w:styleId="236">
    <w:name w:val="正文（用） Char"/>
    <w:link w:val="167"/>
    <w:qFormat/>
    <w:locked/>
    <w:uiPriority w:val="0"/>
    <w:rPr>
      <w:rFonts w:ascii="宋体" w:hAnsi="宋体" w:eastAsia="宋体" w:cs="宋体"/>
      <w:kern w:val="2"/>
      <w:sz w:val="24"/>
    </w:rPr>
  </w:style>
  <w:style w:type="character" w:customStyle="1" w:styleId="237">
    <w:name w:val="标准正文 Char"/>
    <w:link w:val="238"/>
    <w:qFormat/>
    <w:uiPriority w:val="0"/>
    <w:rPr>
      <w:rFonts w:ascii="宋体" w:hAnsi="Tahoma"/>
      <w:sz w:val="24"/>
      <w:szCs w:val="24"/>
    </w:rPr>
  </w:style>
  <w:style w:type="paragraph" w:customStyle="1" w:styleId="238">
    <w:name w:val="标准正文"/>
    <w:basedOn w:val="1"/>
    <w:link w:val="237"/>
    <w:qFormat/>
    <w:uiPriority w:val="0"/>
    <w:pPr>
      <w:spacing w:line="360" w:lineRule="auto"/>
      <w:ind w:firstLine="480" w:firstLineChars="200"/>
    </w:pPr>
    <w:rPr>
      <w:rFonts w:ascii="宋体" w:hAnsi="Tahoma" w:eastAsiaTheme="minorEastAsia" w:cstheme="minorBidi"/>
      <w:kern w:val="0"/>
      <w:sz w:val="24"/>
    </w:rPr>
  </w:style>
  <w:style w:type="character" w:customStyle="1" w:styleId="239">
    <w:name w:val="fontstyle11"/>
    <w:basedOn w:val="52"/>
    <w:qFormat/>
    <w:uiPriority w:val="0"/>
    <w:rPr>
      <w:rFonts w:hint="default" w:ascii="TimesNewRomanPSMT" w:hAnsi="TimesNewRomanPSMT"/>
      <w:color w:val="000000"/>
      <w:sz w:val="28"/>
      <w:szCs w:val="28"/>
    </w:rPr>
  </w:style>
  <w:style w:type="character" w:customStyle="1" w:styleId="240">
    <w:name w:val="标题3古 Char"/>
    <w:link w:val="241"/>
    <w:qFormat/>
    <w:locked/>
    <w:uiPriority w:val="0"/>
    <w:rPr>
      <w:b/>
      <w:snapToGrid w:val="0"/>
      <w:color w:val="000000"/>
      <w:sz w:val="28"/>
      <w:szCs w:val="28"/>
    </w:rPr>
  </w:style>
  <w:style w:type="paragraph" w:customStyle="1" w:styleId="241">
    <w:name w:val="标题3古"/>
    <w:basedOn w:val="1"/>
    <w:link w:val="240"/>
    <w:qFormat/>
    <w:uiPriority w:val="0"/>
    <w:pPr>
      <w:adjustRightInd w:val="0"/>
      <w:snapToGrid w:val="0"/>
      <w:spacing w:beforeLines="50" w:line="360" w:lineRule="auto"/>
      <w:outlineLvl w:val="2"/>
    </w:pPr>
    <w:rPr>
      <w:rFonts w:asciiTheme="minorHAnsi" w:hAnsiTheme="minorHAnsi" w:eastAsiaTheme="minorEastAsia" w:cstheme="minorBidi"/>
      <w:b/>
      <w:snapToGrid w:val="0"/>
      <w:color w:val="000000"/>
      <w:kern w:val="0"/>
      <w:sz w:val="28"/>
      <w:szCs w:val="28"/>
    </w:rPr>
  </w:style>
  <w:style w:type="character" w:customStyle="1" w:styleId="242">
    <w:name w:val="ENFI正文 Char Char"/>
    <w:link w:val="243"/>
    <w:qFormat/>
    <w:uiPriority w:val="0"/>
    <w:rPr>
      <w:rFonts w:ascii="Times New Roman" w:hAnsi="Times New Roman" w:eastAsia="仿宋_GB2312"/>
      <w:color w:val="000000"/>
      <w:sz w:val="24"/>
    </w:rPr>
  </w:style>
  <w:style w:type="paragraph" w:customStyle="1" w:styleId="243">
    <w:name w:val="ENFI正文"/>
    <w:basedOn w:val="1"/>
    <w:link w:val="242"/>
    <w:qFormat/>
    <w:uiPriority w:val="0"/>
    <w:pPr>
      <w:adjustRightInd w:val="0"/>
      <w:snapToGrid w:val="0"/>
      <w:spacing w:line="400" w:lineRule="exact"/>
      <w:ind w:firstLine="567"/>
    </w:pPr>
    <w:rPr>
      <w:rFonts w:eastAsia="仿宋_GB2312" w:cstheme="minorBidi"/>
      <w:color w:val="000000"/>
      <w:kern w:val="0"/>
      <w:sz w:val="24"/>
      <w:szCs w:val="20"/>
    </w:rPr>
  </w:style>
  <w:style w:type="paragraph" w:customStyle="1" w:styleId="244">
    <w:name w:val="段落(G)"/>
    <w:basedOn w:val="1"/>
    <w:qFormat/>
    <w:uiPriority w:val="0"/>
    <w:pPr>
      <w:tabs>
        <w:tab w:val="left" w:pos="1021"/>
        <w:tab w:val="left" w:pos="1320"/>
      </w:tabs>
      <w:spacing w:line="360" w:lineRule="auto"/>
      <w:ind w:firstLine="480" w:firstLineChars="200"/>
    </w:pPr>
    <w:rPr>
      <w:rFonts w:ascii="Calibri" w:hAnsi="Calibri"/>
      <w:color w:val="000000"/>
      <w:kern w:val="24"/>
      <w:sz w:val="24"/>
      <w:lang w:val="zh-CN"/>
    </w:rPr>
  </w:style>
  <w:style w:type="paragraph" w:customStyle="1" w:styleId="245">
    <w:name w:val="表格"/>
    <w:basedOn w:val="1"/>
    <w:link w:val="264"/>
    <w:qFormat/>
    <w:uiPriority w:val="0"/>
    <w:pPr>
      <w:spacing w:line="360" w:lineRule="auto"/>
    </w:pPr>
    <w:rPr>
      <w:rFonts w:ascii="Calibri" w:hAnsi="Calibri"/>
      <w:bCs/>
      <w:kern w:val="0"/>
      <w:sz w:val="20"/>
    </w:rPr>
  </w:style>
  <w:style w:type="paragraph" w:customStyle="1" w:styleId="246">
    <w:name w:val="ENFI图表标题"/>
    <w:basedOn w:val="1"/>
    <w:qFormat/>
    <w:uiPriority w:val="0"/>
    <w:pPr>
      <w:widowControl/>
      <w:adjustRightInd w:val="0"/>
      <w:snapToGrid w:val="0"/>
      <w:spacing w:before="120" w:line="240" w:lineRule="atLeast"/>
      <w:jc w:val="center"/>
    </w:pPr>
    <w:rPr>
      <w:rFonts w:eastAsia="仿宋_GB2312"/>
      <w:b/>
      <w:kern w:val="0"/>
      <w:sz w:val="28"/>
    </w:rPr>
  </w:style>
  <w:style w:type="paragraph" w:customStyle="1" w:styleId="247">
    <w:name w:val="表头(G)"/>
    <w:basedOn w:val="1"/>
    <w:qFormat/>
    <w:uiPriority w:val="0"/>
    <w:pPr>
      <w:tabs>
        <w:tab w:val="left" w:pos="1021"/>
      </w:tabs>
      <w:spacing w:line="288" w:lineRule="auto"/>
      <w:jc w:val="center"/>
    </w:pPr>
    <w:rPr>
      <w:rFonts w:ascii="Calibri" w:hAnsi="Calibri" w:eastAsia="黑体"/>
      <w:b/>
      <w:color w:val="000000"/>
      <w:kern w:val="24"/>
      <w:sz w:val="24"/>
    </w:rPr>
  </w:style>
  <w:style w:type="paragraph" w:customStyle="1" w:styleId="248">
    <w:name w:val="ENFI表体注"/>
    <w:basedOn w:val="1"/>
    <w:qFormat/>
    <w:uiPriority w:val="0"/>
    <w:pPr>
      <w:adjustRightInd w:val="0"/>
      <w:snapToGrid w:val="0"/>
      <w:spacing w:line="360" w:lineRule="auto"/>
      <w:jc w:val="center"/>
      <w:textAlignment w:val="baseline"/>
    </w:pPr>
    <w:rPr>
      <w:rFonts w:eastAsia="仿宋_GB2312"/>
      <w:spacing w:val="-6"/>
      <w:kern w:val="0"/>
      <w:sz w:val="24"/>
    </w:rPr>
  </w:style>
  <w:style w:type="character" w:customStyle="1" w:styleId="249">
    <w:name w:val="font41"/>
    <w:basedOn w:val="52"/>
    <w:qFormat/>
    <w:uiPriority w:val="0"/>
    <w:rPr>
      <w:rFonts w:hint="eastAsia" w:ascii="宋体" w:hAnsi="宋体" w:eastAsia="宋体" w:cs="宋体"/>
      <w:color w:val="000000"/>
      <w:sz w:val="18"/>
      <w:szCs w:val="18"/>
      <w:u w:val="none"/>
    </w:rPr>
  </w:style>
  <w:style w:type="character" w:customStyle="1" w:styleId="250">
    <w:name w:val="font31"/>
    <w:basedOn w:val="52"/>
    <w:qFormat/>
    <w:uiPriority w:val="0"/>
    <w:rPr>
      <w:rFonts w:hint="default" w:ascii="Times New Roman" w:hAnsi="Times New Roman" w:cs="Times New Roman"/>
      <w:color w:val="000000"/>
      <w:sz w:val="18"/>
      <w:szCs w:val="18"/>
      <w:u w:val="none"/>
    </w:rPr>
  </w:style>
  <w:style w:type="character" w:customStyle="1" w:styleId="251">
    <w:name w:val="ENFI表体 Char Char"/>
    <w:qFormat/>
    <w:uiPriority w:val="0"/>
    <w:rPr>
      <w:rFonts w:eastAsia="仿宋_GB2312"/>
      <w:sz w:val="21"/>
    </w:rPr>
  </w:style>
  <w:style w:type="paragraph" w:customStyle="1" w:styleId="252">
    <w:name w:val="正文(首行缩进)宋旭峰"/>
    <w:basedOn w:val="16"/>
    <w:qFormat/>
    <w:uiPriority w:val="0"/>
    <w:pPr>
      <w:spacing w:line="440" w:lineRule="exact"/>
      <w:ind w:left="0" w:leftChars="0" w:firstLine="480"/>
      <w:contextualSpacing/>
      <w:jc w:val="both"/>
    </w:pPr>
    <w:rPr>
      <w:rFonts w:ascii="Calibri" w:hAnsi="Calibri" w:eastAsia="宋体" w:cs="Times New Roman"/>
      <w:snapToGrid w:val="0"/>
      <w:kern w:val="0"/>
      <w:szCs w:val="24"/>
    </w:rPr>
  </w:style>
  <w:style w:type="character" w:customStyle="1" w:styleId="253">
    <w:name w:val="HTML 预设格式 Char"/>
    <w:basedOn w:val="52"/>
    <w:link w:val="42"/>
    <w:qFormat/>
    <w:uiPriority w:val="0"/>
    <w:rPr>
      <w:rFonts w:ascii="宋体" w:hAnsi="宋体" w:eastAsia="宋体" w:cs="Times New Roman"/>
      <w:sz w:val="24"/>
      <w:szCs w:val="24"/>
    </w:rPr>
  </w:style>
  <w:style w:type="paragraph" w:customStyle="1" w:styleId="254">
    <w:name w:val="acee正文"/>
    <w:basedOn w:val="1"/>
    <w:qFormat/>
    <w:uiPriority w:val="0"/>
    <w:pPr>
      <w:spacing w:line="480" w:lineRule="exact"/>
      <w:ind w:firstLine="640" w:firstLineChars="200"/>
    </w:pPr>
    <w:rPr>
      <w:rFonts w:ascii="仿宋_GB2312" w:hAnsi="宋体" w:eastAsia="仿宋_GB2312"/>
      <w:sz w:val="32"/>
    </w:rPr>
  </w:style>
  <w:style w:type="paragraph" w:customStyle="1" w:styleId="255">
    <w:name w:val="样式1"/>
    <w:basedOn w:val="8"/>
    <w:next w:val="8"/>
    <w:qFormat/>
    <w:uiPriority w:val="0"/>
    <w:pPr>
      <w:numPr>
        <w:ilvl w:val="0"/>
        <w:numId w:val="0"/>
      </w:numPr>
      <w:tabs>
        <w:tab w:val="clear" w:pos="1574"/>
      </w:tabs>
      <w:spacing w:before="0" w:after="0" w:line="360" w:lineRule="auto"/>
    </w:pPr>
    <w:rPr>
      <w:rFonts w:eastAsia="宋体"/>
      <w:bCs w:val="0"/>
      <w:sz w:val="24"/>
      <w:szCs w:val="24"/>
    </w:rPr>
  </w:style>
  <w:style w:type="paragraph" w:customStyle="1" w:styleId="256">
    <w:name w:val="ENFI表体"/>
    <w:basedOn w:val="1"/>
    <w:qFormat/>
    <w:uiPriority w:val="0"/>
    <w:pPr>
      <w:adjustRightInd w:val="0"/>
      <w:snapToGrid w:val="0"/>
      <w:spacing w:line="360" w:lineRule="auto"/>
      <w:jc w:val="center"/>
      <w:textAlignment w:val="baseline"/>
    </w:pPr>
    <w:rPr>
      <w:rFonts w:eastAsia="仿宋_GB2312"/>
      <w:kern w:val="0"/>
      <w:sz w:val="24"/>
    </w:rPr>
  </w:style>
  <w:style w:type="paragraph" w:customStyle="1" w:styleId="257">
    <w:name w:val="标题-1"/>
    <w:basedOn w:val="1"/>
    <w:qFormat/>
    <w:uiPriority w:val="0"/>
    <w:pPr>
      <w:keepNext/>
      <w:keepLines/>
      <w:spacing w:afterLines="150" w:line="360" w:lineRule="auto"/>
      <w:jc w:val="center"/>
      <w:outlineLvl w:val="1"/>
    </w:pPr>
    <w:rPr>
      <w:rFonts w:ascii="Arial" w:hAnsi="Arial" w:eastAsia="仿宋_GB2312" w:cs="宋体"/>
      <w:b/>
      <w:bCs/>
      <w:color w:val="000000"/>
      <w:sz w:val="44"/>
    </w:rPr>
  </w:style>
  <w:style w:type="paragraph" w:customStyle="1" w:styleId="258">
    <w:name w:val="ENFI 标注"/>
    <w:basedOn w:val="1"/>
    <w:qFormat/>
    <w:uiPriority w:val="0"/>
    <w:pPr>
      <w:spacing w:line="360" w:lineRule="auto"/>
    </w:pPr>
    <w:rPr>
      <w:rFonts w:eastAsia="仿宋_GB2312"/>
      <w:sz w:val="24"/>
    </w:rPr>
  </w:style>
  <w:style w:type="paragraph" w:customStyle="1" w:styleId="259">
    <w:name w:val="_Style 3"/>
    <w:basedOn w:val="1"/>
    <w:qFormat/>
    <w:uiPriority w:val="34"/>
    <w:pPr>
      <w:spacing w:line="360" w:lineRule="auto"/>
    </w:pPr>
    <w:rPr>
      <w:rFonts w:ascii="Calibri" w:hAnsi="Calibri"/>
      <w:sz w:val="24"/>
    </w:rPr>
  </w:style>
  <w:style w:type="table" w:customStyle="1" w:styleId="260">
    <w:name w:val="常用"/>
    <w:basedOn w:val="49"/>
    <w:qFormat/>
    <w:uiPriority w:val="0"/>
    <w:pPr>
      <w:spacing w:line="320" w:lineRule="exact"/>
      <w:jc w:val="center"/>
    </w:pPr>
    <w:rPr>
      <w:sz w:val="1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customStyle="1" w:styleId="261">
    <w:name w:val="fontstyle01"/>
    <w:basedOn w:val="52"/>
    <w:qFormat/>
    <w:uiPriority w:val="0"/>
    <w:rPr>
      <w:rFonts w:hint="eastAsia" w:ascii="宋体" w:hAnsi="宋体" w:eastAsia="宋体"/>
      <w:color w:val="000000"/>
      <w:sz w:val="24"/>
      <w:szCs w:val="24"/>
    </w:rPr>
  </w:style>
  <w:style w:type="character" w:customStyle="1" w:styleId="262">
    <w:name w:val="文章正文样式 Char Char Char"/>
    <w:link w:val="263"/>
    <w:qFormat/>
    <w:uiPriority w:val="0"/>
    <w:rPr>
      <w:rFonts w:ascii="宋体" w:hAnsi="宋体"/>
      <w:sz w:val="34"/>
    </w:rPr>
  </w:style>
  <w:style w:type="paragraph" w:customStyle="1" w:styleId="263">
    <w:name w:val="文章正文样式"/>
    <w:basedOn w:val="1"/>
    <w:link w:val="262"/>
    <w:qFormat/>
    <w:uiPriority w:val="0"/>
    <w:pPr>
      <w:spacing w:line="520" w:lineRule="exact"/>
      <w:ind w:firstLine="480"/>
      <w:jc w:val="left"/>
    </w:pPr>
    <w:rPr>
      <w:rFonts w:ascii="宋体" w:hAnsi="宋体" w:eastAsiaTheme="minorEastAsia" w:cstheme="minorBidi"/>
      <w:kern w:val="0"/>
      <w:sz w:val="34"/>
      <w:szCs w:val="20"/>
    </w:rPr>
  </w:style>
  <w:style w:type="character" w:customStyle="1" w:styleId="264">
    <w:name w:val="表格 Char"/>
    <w:basedOn w:val="52"/>
    <w:link w:val="245"/>
    <w:qFormat/>
    <w:uiPriority w:val="1"/>
    <w:rPr>
      <w:rFonts w:ascii="Calibri" w:hAnsi="Calibri" w:eastAsia="宋体" w:cs="Times New Roman"/>
      <w:bCs/>
      <w:szCs w:val="24"/>
    </w:rPr>
  </w:style>
  <w:style w:type="paragraph" w:styleId="265">
    <w:name w:val="List Paragraph"/>
    <w:basedOn w:val="1"/>
    <w:unhideWhenUsed/>
    <w:qFormat/>
    <w:uiPriority w:val="34"/>
    <w:pPr>
      <w:ind w:firstLine="420" w:firstLineChars="200"/>
    </w:pPr>
  </w:style>
  <w:style w:type="character" w:customStyle="1" w:styleId="266">
    <w:name w:val="正文首行缩进 2 Char"/>
    <w:basedOn w:val="111"/>
    <w:link w:val="46"/>
    <w:semiHidden/>
    <w:qFormat/>
    <w:uiPriority w:val="99"/>
    <w:rPr>
      <w:rFonts w:ascii="Times New Roman" w:hAnsi="Times New Roman" w:eastAsia="宋体" w:cs="Times New Roman"/>
      <w:kern w:val="2"/>
      <w:sz w:val="21"/>
      <w:szCs w:val="24"/>
    </w:rPr>
  </w:style>
  <w:style w:type="paragraph" w:customStyle="1" w:styleId="267">
    <w:name w:val="FF正文"/>
    <w:basedOn w:val="1"/>
    <w:qFormat/>
    <w:uiPriority w:val="0"/>
    <w:pPr>
      <w:spacing w:line="480" w:lineRule="exact"/>
      <w:ind w:firstLine="480" w:firstLineChars="200"/>
    </w:pPr>
    <w:rPr>
      <w:color w:val="000000"/>
      <w:sz w:val="24"/>
    </w:rPr>
  </w:style>
  <w:style w:type="paragraph" w:styleId="268">
    <w:name w:val="No Spacing"/>
    <w:link w:val="269"/>
    <w:qFormat/>
    <w:uiPriority w:val="1"/>
    <w:rPr>
      <w:rFonts w:asciiTheme="minorHAnsi" w:hAnsiTheme="minorHAnsi" w:eastAsiaTheme="minorEastAsia" w:cstheme="minorBidi"/>
      <w:sz w:val="22"/>
      <w:szCs w:val="22"/>
      <w:lang w:val="en-US" w:eastAsia="zh-CN" w:bidi="ar-SA"/>
    </w:rPr>
  </w:style>
  <w:style w:type="character" w:customStyle="1" w:styleId="269">
    <w:name w:val="无间隔 Char"/>
    <w:basedOn w:val="52"/>
    <w:link w:val="268"/>
    <w:qFormat/>
    <w:uiPriority w:val="1"/>
    <w:rPr>
      <w:sz w:val="22"/>
      <w:szCs w:val="22"/>
    </w:rPr>
  </w:style>
  <w:style w:type="character" w:customStyle="1" w:styleId="270">
    <w:name w:val="正文缩进 Char1"/>
    <w:qFormat/>
    <w:uiPriority w:val="0"/>
    <w:rPr>
      <w:rFonts w:eastAsia="宋体"/>
      <w:sz w:val="24"/>
      <w:lang w:val="en-US" w:eastAsia="zh-CN" w:bidi="ar-SA"/>
    </w:rPr>
  </w:style>
  <w:style w:type="paragraph" w:customStyle="1" w:styleId="271">
    <w:name w:val="Date1"/>
    <w:basedOn w:val="1"/>
    <w:next w:val="1"/>
    <w:qFormat/>
    <w:uiPriority w:val="0"/>
    <w:pPr>
      <w:adjustRightInd w:val="0"/>
      <w:textAlignment w:val="baseline"/>
    </w:pPr>
    <w:rPr>
      <w:szCs w:val="20"/>
    </w:rPr>
  </w:style>
  <w:style w:type="paragraph" w:customStyle="1" w:styleId="272">
    <w:name w:val="环评正文"/>
    <w:basedOn w:val="1"/>
    <w:qFormat/>
    <w:uiPriority w:val="0"/>
    <w:pPr>
      <w:spacing w:beforeLines="30" w:line="360" w:lineRule="auto"/>
      <w:ind w:firstLine="480" w:firstLineChars="200"/>
    </w:pPr>
    <w:rPr>
      <w:kern w:val="0"/>
      <w:sz w:val="24"/>
      <w:szCs w:val="20"/>
    </w:rPr>
  </w:style>
  <w:style w:type="paragraph" w:customStyle="1" w:styleId="273">
    <w:name w:val="样式 样式 (符号) 宋体 小四 行距: 固定值 26 磅 + 宋体"/>
    <w:basedOn w:val="1"/>
    <w:qFormat/>
    <w:uiPriority w:val="0"/>
    <w:pPr>
      <w:spacing w:line="520" w:lineRule="exact"/>
      <w:ind w:firstLine="480" w:firstLineChars="200"/>
    </w:pPr>
    <w:rPr>
      <w:rFonts w:ascii="宋体" w:hAnsi="宋体" w:cs="宋体"/>
      <w:kern w:val="0"/>
      <w:sz w:val="24"/>
    </w:rPr>
  </w:style>
  <w:style w:type="character" w:customStyle="1" w:styleId="274">
    <w:name w:val="Default Char"/>
    <w:link w:val="146"/>
    <w:qFormat/>
    <w:uiPriority w:val="0"/>
    <w:rPr>
      <w:rFonts w:ascii="仿宋_GB2312" w:hAnsi="Times New Roman" w:eastAsia="仿宋_GB2312" w:cs="仿宋_GB2312"/>
      <w:color w:val="000000"/>
      <w:sz w:val="24"/>
      <w:szCs w:val="24"/>
    </w:rPr>
  </w:style>
  <w:style w:type="character" w:customStyle="1" w:styleId="275">
    <w:name w:val="fontstyle21"/>
    <w:qFormat/>
    <w:uiPriority w:val="0"/>
    <w:rPr>
      <w:rFonts w:ascii="宋体" w:hAnsi="宋体" w:eastAsia="宋体" w:cs="宋体"/>
      <w:color w:val="000000"/>
      <w:sz w:val="28"/>
      <w:szCs w:val="28"/>
    </w:rPr>
  </w:style>
  <w:style w:type="paragraph" w:customStyle="1" w:styleId="276">
    <w:name w:val="A正文1"/>
    <w:basedOn w:val="1"/>
    <w:qFormat/>
    <w:uiPriority w:val="0"/>
    <w:pPr>
      <w:spacing w:line="480" w:lineRule="exact"/>
      <w:ind w:firstLine="200" w:firstLineChars="200"/>
    </w:pPr>
    <w:rPr>
      <w:sz w:val="28"/>
      <w:szCs w:val="28"/>
    </w:rPr>
  </w:style>
  <w:style w:type="character" w:customStyle="1" w:styleId="277">
    <w:name w:val="样式 (符号) 宋体 小四 行距: 1.5 倍行距 Char"/>
    <w:link w:val="278"/>
    <w:qFormat/>
    <w:uiPriority w:val="0"/>
    <w:rPr>
      <w:rFonts w:ascii="Times New Roman" w:hAnsi="宋体" w:eastAsia="宋体" w:cs="宋体"/>
      <w:sz w:val="24"/>
      <w:szCs w:val="24"/>
    </w:rPr>
  </w:style>
  <w:style w:type="paragraph" w:customStyle="1" w:styleId="278">
    <w:name w:val="样式 (符号) 宋体 小四 行距: 1.5 倍行距"/>
    <w:basedOn w:val="1"/>
    <w:link w:val="277"/>
    <w:qFormat/>
    <w:uiPriority w:val="0"/>
    <w:pPr>
      <w:spacing w:line="360" w:lineRule="auto"/>
      <w:ind w:firstLine="480" w:firstLineChars="200"/>
    </w:pPr>
    <w:rPr>
      <w:rFonts w:hAnsi="宋体" w:cs="宋体"/>
      <w:kern w:val="0"/>
      <w:sz w:val="24"/>
    </w:rPr>
  </w:style>
  <w:style w:type="paragraph" w:customStyle="1" w:styleId="279">
    <w:name w:val="引用1"/>
    <w:basedOn w:val="1"/>
    <w:next w:val="1"/>
    <w:qFormat/>
    <w:uiPriority w:val="0"/>
    <w:pPr>
      <w:widowControl/>
      <w:snapToGrid w:val="0"/>
      <w:spacing w:line="360" w:lineRule="auto"/>
      <w:contextualSpacing/>
      <w:jc w:val="center"/>
    </w:pPr>
    <w:rPr>
      <w:b/>
      <w:bCs/>
      <w:color w:val="000000"/>
      <w:kern w:val="0"/>
      <w:szCs w:val="21"/>
    </w:rPr>
  </w:style>
  <w:style w:type="paragraph" w:customStyle="1" w:styleId="280">
    <w:name w:val="明显引用1"/>
    <w:basedOn w:val="1"/>
    <w:next w:val="1"/>
    <w:qFormat/>
    <w:uiPriority w:val="0"/>
    <w:pPr>
      <w:widowControl/>
      <w:snapToGrid w:val="0"/>
      <w:contextualSpacing/>
      <w:jc w:val="center"/>
    </w:pPr>
    <w:rPr>
      <w:kern w:val="0"/>
      <w:szCs w:val="21"/>
    </w:rPr>
  </w:style>
  <w:style w:type="paragraph" w:customStyle="1" w:styleId="281">
    <w:name w:val="正文文本缩进 21"/>
    <w:basedOn w:val="1"/>
    <w:qFormat/>
    <w:uiPriority w:val="0"/>
    <w:pPr>
      <w:spacing w:line="360" w:lineRule="auto"/>
      <w:ind w:firstLine="615" w:firstLineChars="200"/>
    </w:pPr>
    <w:rPr>
      <w:color w:val="000000"/>
      <w:kern w:val="0"/>
      <w:sz w:val="24"/>
    </w:rPr>
  </w:style>
  <w:style w:type="paragraph" w:customStyle="1" w:styleId="282">
    <w:name w:val="Default1"/>
    <w:basedOn w:val="1"/>
    <w:next w:val="1"/>
    <w:qFormat/>
    <w:uiPriority w:val="99"/>
    <w:pPr>
      <w:autoSpaceDE w:val="0"/>
      <w:autoSpaceDN w:val="0"/>
      <w:adjustRightInd w:val="0"/>
      <w:spacing w:before="120" w:after="240"/>
    </w:pPr>
    <w:rPr>
      <w:rFonts w:ascii="宋体" w:hAnsi="Calibri" w:cs="宋体"/>
      <w:color w:val="000000"/>
      <w:kern w:val="0"/>
      <w:sz w:val="24"/>
    </w:rPr>
  </w:style>
  <w:style w:type="paragraph" w:customStyle="1" w:styleId="283">
    <w:name w:val="表格标题新"/>
    <w:basedOn w:val="1"/>
    <w:link w:val="284"/>
    <w:qFormat/>
    <w:uiPriority w:val="0"/>
    <w:pPr>
      <w:tabs>
        <w:tab w:val="left" w:pos="0"/>
      </w:tabs>
      <w:adjustRightInd w:val="0"/>
      <w:snapToGrid w:val="0"/>
      <w:spacing w:beforeLines="50"/>
      <w:jc w:val="center"/>
    </w:pPr>
    <w:rPr>
      <w:rFonts w:ascii="黑体" w:eastAsia="黑体"/>
      <w:snapToGrid w:val="0"/>
      <w:spacing w:val="4"/>
      <w:kern w:val="0"/>
      <w:sz w:val="24"/>
    </w:rPr>
  </w:style>
  <w:style w:type="character" w:customStyle="1" w:styleId="284">
    <w:name w:val="表格标题新 Char"/>
    <w:link w:val="283"/>
    <w:qFormat/>
    <w:uiPriority w:val="0"/>
    <w:rPr>
      <w:rFonts w:ascii="黑体" w:hAnsi="Times New Roman" w:eastAsia="黑体" w:cs="Times New Roman"/>
      <w:snapToGrid w:val="0"/>
      <w:spacing w:val="4"/>
      <w:sz w:val="24"/>
      <w:szCs w:val="24"/>
    </w:rPr>
  </w:style>
  <w:style w:type="paragraph" w:customStyle="1" w:styleId="285">
    <w:name w:val="表格标题样式"/>
    <w:basedOn w:val="1"/>
    <w:qFormat/>
    <w:uiPriority w:val="0"/>
    <w:pPr>
      <w:adjustRightInd w:val="0"/>
      <w:snapToGrid w:val="0"/>
      <w:spacing w:line="360" w:lineRule="auto"/>
      <w:jc w:val="center"/>
    </w:pPr>
    <w:rPr>
      <w:rFonts w:eastAsia="黑体"/>
      <w:sz w:val="24"/>
      <w:szCs w:val="22"/>
    </w:rPr>
  </w:style>
  <w:style w:type="paragraph" w:customStyle="1" w:styleId="286">
    <w:name w:val="君邦正文"/>
    <w:basedOn w:val="1"/>
    <w:qFormat/>
    <w:uiPriority w:val="0"/>
    <w:pPr>
      <w:spacing w:after="60" w:line="360" w:lineRule="auto"/>
      <w:ind w:firstLine="200" w:firstLineChars="200"/>
    </w:pPr>
    <w:rPr>
      <w:szCs w:val="20"/>
    </w:rPr>
  </w:style>
  <w:style w:type="paragraph" w:customStyle="1" w:styleId="287">
    <w:name w:val="表头样式1"/>
    <w:basedOn w:val="1"/>
    <w:qFormat/>
    <w:uiPriority w:val="0"/>
    <w:pPr>
      <w:adjustRightInd w:val="0"/>
      <w:snapToGrid w:val="0"/>
      <w:spacing w:line="360" w:lineRule="auto"/>
      <w:jc w:val="center"/>
    </w:pPr>
    <w:rPr>
      <w:rFonts w:eastAsia="黑体"/>
      <w:b/>
      <w:szCs w:val="20"/>
    </w:rPr>
  </w:style>
  <w:style w:type="paragraph" w:customStyle="1" w:styleId="288">
    <w:name w:val="ZH表格内字体"/>
    <w:basedOn w:val="1"/>
    <w:qFormat/>
    <w:uiPriority w:val="0"/>
    <w:pPr>
      <w:jc w:val="center"/>
    </w:pPr>
    <w:rPr>
      <w:rFonts w:eastAsia="Times New Roman"/>
      <w:szCs w:val="21"/>
    </w:rPr>
  </w:style>
  <w:style w:type="paragraph" w:customStyle="1" w:styleId="289">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26.png"/><Relationship Id="rId5" Type="http://schemas.openxmlformats.org/officeDocument/2006/relationships/footer" Target="footer2.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image" Target="media/image16.png"/><Relationship Id="rId4" Type="http://schemas.openxmlformats.org/officeDocument/2006/relationships/footer" Target="footer1.xml"/><Relationship Id="rId39" Type="http://schemas.openxmlformats.org/officeDocument/2006/relationships/image" Target="media/image15.png"/><Relationship Id="rId38" Type="http://schemas.openxmlformats.org/officeDocument/2006/relationships/image" Target="media/image14.emf"/><Relationship Id="rId37" Type="http://schemas.openxmlformats.org/officeDocument/2006/relationships/oleObject" Target="embeddings/oleObject6.bin"/><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wmf"/><Relationship Id="rId32" Type="http://schemas.openxmlformats.org/officeDocument/2006/relationships/oleObject" Target="embeddings/oleObject5.bin"/><Relationship Id="rId31" Type="http://schemas.openxmlformats.org/officeDocument/2006/relationships/image" Target="media/image9.wmf"/><Relationship Id="rId30" Type="http://schemas.openxmlformats.org/officeDocument/2006/relationships/oleObject" Target="embeddings/oleObject4.bin"/><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emf"/><Relationship Id="rId26" Type="http://schemas.openxmlformats.org/officeDocument/2006/relationships/oleObject" Target="embeddings/oleObject3.bin"/><Relationship Id="rId25" Type="http://schemas.openxmlformats.org/officeDocument/2006/relationships/image" Target="media/image5.emf"/><Relationship Id="rId24" Type="http://schemas.openxmlformats.org/officeDocument/2006/relationships/oleObject" Target="embeddings/oleObject2.bin"/><Relationship Id="rId23" Type="http://schemas.openxmlformats.org/officeDocument/2006/relationships/image" Target="media/image4.emf"/><Relationship Id="rId22" Type="http://schemas.openxmlformats.org/officeDocument/2006/relationships/oleObject" Target="embeddings/oleObject1.bin"/><Relationship Id="rId21" Type="http://schemas.openxmlformats.org/officeDocument/2006/relationships/image" Target="media/image3.jpe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jie\Desktop\&#24120;&#23425;&#24066;&#21644;&#24179;&#20892;&#19994;&#20892;&#26426;&#19987;&#19994;&#21512;&#20316;&#31038;&#24180;&#23384;&#26639;4800&#22836;&#27597;&#29482;&#20859;&#27542;&#22330;&#24314;&#35774;&#39033;&#30446;4.2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3" textRotate="1"/>
    <customShpInfo spid="_x0000_s2054" textRotate="1"/>
    <customShpInfo spid="_x0000_s2057" textRotate="1"/>
    <customShpInfo spid="_x0000_s2058" textRotate="1"/>
    <customShpInfo spid="_x0000_s2055" textRotate="1"/>
    <customShpInfo spid="_x0000_s2056" textRotate="1"/>
    <customShpInfo spid="_x0000_s1133"/>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08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6EC154-2E87-46BE-9A59-4D042B2CA101}">
  <ds:schemaRefs/>
</ds:datastoreItem>
</file>

<file path=docProps/app.xml><?xml version="1.0" encoding="utf-8"?>
<Properties xmlns="http://schemas.openxmlformats.org/officeDocument/2006/extended-properties" xmlns:vt="http://schemas.openxmlformats.org/officeDocument/2006/docPropsVTypes">
  <Template>常宁市和平农业农机专业合作社年存栏4800头母猪养殖场建设项目4.26</Template>
  <Company>微软中国</Company>
  <Pages>201</Pages>
  <Words>23954</Words>
  <Characters>136540</Characters>
  <Lines>1137</Lines>
  <Paragraphs>320</Paragraphs>
  <TotalTime>22</TotalTime>
  <ScaleCrop>false</ScaleCrop>
  <LinksUpToDate>false</LinksUpToDate>
  <CharactersWithSpaces>160174</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2022-07-03T01:49:00Z</dcterms:created>
  <dc:creator>pijieliang@qq.com</dc:creator>
  <cp:lastModifiedBy>1366033552</cp:lastModifiedBy>
  <cp:lastPrinted>2023-01-06T02:58:00Z</cp:lastPrinted>
  <dcterms:modified xsi:type="dcterms:W3CDTF">2023-10-11T02:13:23Z</dcterms:modified>
  <cp:revision>308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