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 xml:space="preserve">阳 县 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金溪镇人民政府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部门整体支出绩效自评报告</w:t>
      </w:r>
    </w:p>
    <w:p>
      <w:pPr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（一）机构设置情况</w:t>
      </w:r>
    </w:p>
    <w:p>
      <w:pPr>
        <w:pStyle w:val="10"/>
        <w:widowControl/>
        <w:spacing w:line="600" w:lineRule="exact"/>
        <w:ind w:firstLine="56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衡阳县金溪镇人民政府为正科级全额拨款行政单位。内设4个机构，即三中心一大队分别有：社会事业综合服务中心，农业综合服务中心，政务服务中心，综合行政执法大队。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</w:rPr>
        <w:t>人员编制情况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编制人数93人，镇机关行政定编37人，事业站所定编56人。在职人数67人，行政编在职28人，事业编39人，退休46人。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1" w:firstLineChars="1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（三）主要职能职责</w:t>
      </w:r>
    </w:p>
    <w:p>
      <w:pPr>
        <w:pStyle w:val="10"/>
        <w:widowControl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执行本级人民代表大会决议和上级国家行政机关的决定和命令，发布决定和命令;落实国家政策，严格依法行政。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本乡镇区域内的经济和社会发展计划、预算，管理本镇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按计划组织本级财政收入和地方税的征收，完成国家财政计划，不断培植税源，管好财政资金，增强财政实力。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保障宪法和法律赋予妇女的男女平等、同工同酬和婚姻自由等各项权利，保障少数民族的合法权利和尊重少数民族的风俗习惯。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抓好精神文明建设，丰富群众文化生活，提倡移风易俗，反对封建迷信，破除陈规陋习，树立社会主义新风尚。 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承办县委、县人民政府交办的其他事项。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（四）绩效目标设定情况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保证人员经费和公用经费按照预算项目合理支出，确保单位办公合理运转，按时足额发放职工工资，缴纳政策性社会保障资金（公积金、社保、养老），调灾害防治、安全生产、森林防火实现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零发生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底线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工作，大力发展民生事业，坚决贯彻党中央惠农富农相关政策，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一卡通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补贴发放及时率达100%，坚守民生保障底线。</w:t>
      </w:r>
    </w:p>
    <w:p>
      <w:pPr>
        <w:pStyle w:val="10"/>
        <w:widowControl/>
        <w:numPr>
          <w:ilvl w:val="0"/>
          <w:numId w:val="1"/>
        </w:numPr>
        <w:spacing w:line="600" w:lineRule="exact"/>
        <w:ind w:firstLine="64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（一）经批复的预、决算情况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对金溪镇2022年部门预算批复如下：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组织收入计划。按照巩固总量，提升质量的总体要求，2022年全镇部门财政收入为1395.73万元。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部门支出预算。2022年全镇部门支出为1395.73万元。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对金溪镇2022年部门决算批复如下：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2022年度本部门收入决算数2071.58万元，其中财政拨款收入1618.26万元，上年结转和结余0万元，其他收入153.32万元。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2022年度支出决算数2071.58万元，其中基本支出人员经费736.14万元，公用经费57.62万元；项目支出1277.82万元。</w:t>
      </w:r>
    </w:p>
    <w:p>
      <w:pPr>
        <w:pStyle w:val="10"/>
        <w:widowControl/>
        <w:spacing w:line="600" w:lineRule="exact"/>
        <w:ind w:firstLine="321" w:firstLineChars="100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（二）部门预算执行情况</w:t>
      </w:r>
    </w:p>
    <w:p>
      <w:pPr>
        <w:pStyle w:val="10"/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1.基本支出情况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度全镇实际总支出2071.58万元，比上年增加367万元，增加21.53%，增加的主要原因是：年度执行中单位人数变动及单位事权调整。按支出性质：其中基本支出793.76万元，其中基本支出人员经费736.14万元，公用经费57.62万元，比上年减少764.94万元，减少50%。项目支出1277.82万元，增加1131.94万元，增加上升幅度大于100%。公务接待费本年2.98万元，全年接待批次150次，接待人数745人，比上年3.31元减少0.33万元，主要是接待多在食堂用餐，接待费用大幅下降。公务用车运行费本年支出0万元，其中公务用车购置费为0，公务用车运行维护费0万元，严格控制“三公经费”由镇党政办严格用车制度。</w:t>
      </w:r>
    </w:p>
    <w:p>
      <w:pPr>
        <w:pStyle w:val="10"/>
        <w:widowControl/>
        <w:spacing w:line="600" w:lineRule="exact"/>
        <w:ind w:firstLine="64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2.项目支出情况</w:t>
      </w:r>
      <w:r>
        <w:rPr>
          <w:rFonts w:hint="eastAsia" w:ascii="楷体_GB2312" w:hAnsi="楷体" w:eastAsia="楷体_GB2312" w:cs="楷体"/>
          <w:sz w:val="32"/>
          <w:szCs w:val="32"/>
        </w:rPr>
        <w:tab/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项目支出共1277.82万元，年初预算728.26万元。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hAnsi="楷体" w:eastAsia="楷体_GB2312" w:cs="楷体"/>
          <w:b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“三公”经费使用和管理情况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支出2.98万元，年初预算数无差额；比2021年决算数减少0.33万元，减幅10%。2022年“三公”经费支出比上年对比减少的主要原因是压缩预算数，车辆统一调配及压缩开支，接待多在食堂用自助餐，接待费用大幅下降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2022年因公出国（境）费为0元，年初预算数0元，2022年决算因公出国（境）费为0元。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2022年公务用车购置及运行维护费为0万元，与年初预算数无差额。</w:t>
      </w:r>
    </w:p>
    <w:p>
      <w:pPr>
        <w:pStyle w:val="10"/>
        <w:widowControl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2022年公务接待费支出为2.98万元，与年初预算数无差额；比2021年决算数减少0.33万元，减幅10%。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hAnsi="楷体" w:eastAsia="楷体_GB2312" w:cs="楷体"/>
          <w:b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资金结转和结余情况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年初结转结余287.58万元，本年度年末结余0万。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ascii="楷体_GB2312" w:hAnsi="楷体" w:eastAsia="楷体_GB2312" w:cs="楷体"/>
          <w:b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部门整体支出管理与制度建设情况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1、三公经费控制良好，严格执行年初预算，压减开支，控制率达到100%。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2、按预算执行本镇的各项开支，预算完成率和控制率均达到100%，收支平衡。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3、政府采购执行与控制率达到100%。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4、各项制度管理健全，资金使用合规。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5、重点工作和业务工作完成率100%。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6、取得良好的经济效益和社会效益。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7、提高行政效能，提升社会公众服务对象的满意度。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8、预决算信息公开率100%。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9、农村基础设施建设及民生工程持续改善。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人居环境整治工作呈现良好态势。镇党委、政府牢固树立“绿水青山就是金山银山”的理念，结合本地实际开展整治工作。通过大宣传、大行动、大整治、大考评等一系列措施，全民参与，治垃圾、治污水、治厕所、治“四类房”。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政府自身建设不断加强。镇政府自觉接受镇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pStyle w:val="10"/>
        <w:widowControl/>
        <w:spacing w:line="600" w:lineRule="exact"/>
        <w:ind w:firstLine="64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三、政府性基金预算支出情况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上年结转结余0万元，本年度共支出政府性基金预算财政拨款0万元。</w:t>
      </w:r>
    </w:p>
    <w:p>
      <w:pPr>
        <w:pStyle w:val="10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pStyle w:val="10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>
      <w:pPr>
        <w:pStyle w:val="10"/>
        <w:widowControl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>
      <w:pPr>
        <w:widowControl/>
        <w:spacing w:line="600" w:lineRule="exact"/>
        <w:ind w:firstLine="321" w:firstLineChars="100"/>
        <w:jc w:val="left"/>
        <w:rPr>
          <w:rFonts w:hint="eastAsia" w:ascii="仿宋_GB2312" w:hAnsi="Times New Roman" w:eastAsia="楷体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（一）综合评价结论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反映自评得分及评价等级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）</w:t>
      </w:r>
    </w:p>
    <w:p>
      <w:pPr>
        <w:widowControl/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2022年对照《金溪镇人民政府2022年度部门整体支出绩效评价指标评分表》等方面具体指标综合评分，得分为99分，综合评价等级分为优秀。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left"/>
        <w:textAlignment w:val="auto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</w:rPr>
        <w:t>评价指标分析（或综合评价情况）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600" w:lineRule="exact"/>
        <w:ind w:left="0" w:firstLine="64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1、年度资金总额分析情况：2022年度本部门收入决算数2071.58万元，其中财政拨款收入1618.26万元，上年结转和结余287.58万元。本部门预算数1395.73，预算执行率148.42，分值满分为10分，该项指标得分10分。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21901"/>
      <w:r>
        <w:rPr>
          <w:rFonts w:hint="eastAsia" w:ascii="仿宋_GB2312" w:hAnsi="仿宋_GB2312" w:eastAsia="仿宋_GB2312" w:cs="仿宋_GB2312"/>
          <w:bCs/>
          <w:sz w:val="32"/>
          <w:szCs w:val="32"/>
        </w:rPr>
        <w:t>2、产出指标情况分析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2022年部门整体支出绩效目标：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①保障人员经费合理支出②保证安全生产，做好“底线”工作③发展民生事业，做好惠民惠农工作这三个方面发展。产出指标总分50分，该项指标得分49分。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600" w:lineRule="exact"/>
        <w:ind w:left="0" w:firstLine="64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出现偏差原因：1、关于做好保障民生工作方面，因交通不便利，家中青年在外务工，老人不方便到镇财政所办理惠民惠农相关业务，导致惠农补贴发放失败不能及时更改错误信息。措施：及时查询惠农补贴发放失败名单，筛选分发至各村，由村统一汇总正确惠农信息，带办理更正惠农的资料复印件到镇财政所统一办理。2、关于做好安全生产工作方面，全面做好安全生产“底线”工作经费超年初预算，要把经费用在关键上。措施：由安全领导工作小组开会讨论整年的经费安排，把经费用在刀刃上，削减不必要的开支，严格控制安全生产经费并做好安全生产工作，兜劳安全“底线”。</w:t>
      </w:r>
    </w:p>
    <w:bookmarkEnd w:id="0"/>
    <w:p>
      <w:pPr>
        <w:pStyle w:val="10"/>
        <w:widowControl/>
        <w:spacing w:line="600" w:lineRule="exact"/>
        <w:ind w:firstLine="640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七、存在的问题及原因分析</w:t>
      </w:r>
    </w:p>
    <w:p>
      <w:pPr>
        <w:pStyle w:val="10"/>
        <w:widowControl/>
        <w:spacing w:line="600" w:lineRule="exact"/>
        <w:ind w:firstLine="56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村级项目资金需项目完成且验收合格才资金下拨，因不可抗拒因素，项目进度稍微缓慢。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督促村级抓紧项目完工，所有的项目资金必须填报村级项目资金拨付申请表，验收合格予以拨付。同时抓好资金监管，不定期抽巡查工作，确保村级所有支出必须专款专用。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无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报告应包括以下附件：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1.部门整体支出绩效评价基础数据表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2.部门整体支出绩效自评表</w:t>
      </w: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填报单位：衡阳县金溪镇人民政府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>填报时间：2023/2/28</w:t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7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93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67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793.76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793.76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1558.69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其中：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56.32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56.32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2.98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2.98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3.31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2.98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2.98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1277.82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1277.82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工资福利支出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276.14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276.14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商品服务支出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284.47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284.47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对个人和家庭补助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94.16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94.16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0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资本性支出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623.05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623.05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、运行维护专项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、县级专项资金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继续严格按照要求压缩三公经费　</w:t>
            </w:r>
          </w:p>
        </w:tc>
      </w:tr>
    </w:tbl>
    <w:p>
      <w:pPr>
        <w:spacing w:beforeLines="20"/>
        <w:rPr>
          <w:rFonts w:ascii="Times New Roman" w:hAnsi="Times New Roman"/>
          <w:kern w:val="0"/>
          <w:szCs w:val="22"/>
        </w:rPr>
      </w:pPr>
      <w:r>
        <w:rPr>
          <w:rFonts w:hint="eastAsia" w:ascii="Times New Roman" w:hAnsi="Times New Roman"/>
          <w:kern w:val="0"/>
          <w:szCs w:val="22"/>
        </w:rPr>
        <w:t>说明：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公用经费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填报基本支出中的一般商品和服务支出；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项目支出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填表人：贾缘龙       联系电话：17378238890   单位负责人签字：吕伟</w:t>
      </w:r>
    </w:p>
    <w:p>
      <w:pPr>
        <w:spacing w:beforeLines="20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Lines="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1-2 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>（</w:t>
      </w:r>
      <w:r>
        <w:rPr>
          <w:rFonts w:hint="eastAsia" w:ascii="Times New Roman" w:hAnsi="Times New Roman" w:eastAsia="方正小标宋_GBK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年度</w:t>
      </w:r>
      <w:r>
        <w:rPr>
          <w:rFonts w:ascii="Times New Roman" w:hAnsi="Times New Roman" w:eastAsia="方正小标宋_GBK"/>
          <w:sz w:val="28"/>
          <w:szCs w:val="28"/>
        </w:rPr>
        <w:t>）</w:t>
      </w:r>
    </w:p>
    <w:p>
      <w:pPr>
        <w:spacing w:line="32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/>
          <w:sz w:val="24"/>
        </w:rPr>
        <w:t>填报单位（盖章）：</w:t>
      </w:r>
      <w:r>
        <w:rPr>
          <w:rFonts w:hint="eastAsia" w:ascii="Times New Roman" w:hAnsi="Times New Roman"/>
          <w:sz w:val="24"/>
        </w:rPr>
        <w:t>衡阳县金溪镇人民政府</w:t>
      </w:r>
      <w:r>
        <w:rPr>
          <w:rFonts w:ascii="Times New Roman" w:hAnsi="Times New Roman"/>
          <w:sz w:val="24"/>
        </w:rPr>
        <w:t xml:space="preserve">                填报时间：</w:t>
      </w:r>
      <w:r>
        <w:rPr>
          <w:rFonts w:hint="eastAsia" w:ascii="Times New Roman" w:hAnsi="Times New Roman"/>
          <w:sz w:val="24"/>
        </w:rPr>
        <w:t>2023/2/28</w:t>
      </w:r>
    </w:p>
    <w:tbl>
      <w:tblPr>
        <w:tblStyle w:val="7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695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全年预算数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年度资金总额　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2071.58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2071.58　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&gt;100%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按收入性质分类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按支出性质分类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一般公共预算拨款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1618.26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政府性基金拨款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纳入管理的非税收入拨款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ind w:firstLine="420" w:firstLineChars="20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……拨款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其他资金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年度总体目标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年初预期（设定）目标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标1：建立稳定、完善的村级组织运转经费长效机制、规范财政补助村级组织运转保障资金管理。目标2：确保单位办公合理运转，按时足额发放职工工资，缴纳政策性社会保障资金（公积金、社保、养老）目标3：大力发展民生事业，坚决贯彻党中央惠农富农相关政策，"一卡通"补贴发放及时率达100%，坚守民生保障底线。</w:t>
            </w: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严格合理支出公用经费和人员经费 ，合理及时支付全额人员工资， 全面保障安全生产工作，大力发展民生事业。   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二级指标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产出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数量指标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村级组织运转经费用于金溪镇下辖17个村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17个村集体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17个村集体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工资及政策性社会保障性资金按月支付次数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1月/次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1月/次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质量指标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确保规范使用财政补助村级组织运转保障资金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财政资金及时下发率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时效指标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开展工作时效节点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1年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成本指标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对村民委员会和党支部的补助资金预算金额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不突破预算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未突破预算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职工工资福利财政支出成本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不突破预算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未突破预算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效益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（30分）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经济效益指标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拉动全镇经济发展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保障村级组织正常运转，提高村干部工作积极性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服务民生，维持社会稳定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生态效益指标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农村环境整治经费提升村民生活居住环境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有所改善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有所改善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可持续影响指标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提高综合服务水平，提升群众综合素质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满意度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社会公众或服务对象满意度指标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社会公众满意度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服务对象满意度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&gt;95%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综合评定等级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  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说明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偏差及原因分析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4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村级项目资金需项目完成且验收合格才资金下拨，因不可抗拒因素，导致预算内指标小部分结转至2023年初。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督促村级抓紧项目完工，等待验收，抓好资金监管，不定期抽巡查工作</w:t>
            </w:r>
          </w:p>
        </w:tc>
      </w:tr>
    </w:tbl>
    <w:p>
      <w:pPr>
        <w:spacing w:beforeLines="50"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填表人：</w:t>
      </w:r>
      <w:r>
        <w:rPr>
          <w:rFonts w:hint="eastAsia" w:ascii="Times New Roman" w:hAnsi="Times New Roman"/>
        </w:rPr>
        <w:t>贾缘龙</w:t>
      </w:r>
      <w:r>
        <w:rPr>
          <w:rFonts w:ascii="Times New Roman" w:hAnsi="Times New Roman"/>
        </w:rPr>
        <w:t xml:space="preserve">          联系电话：</w:t>
      </w:r>
      <w:r>
        <w:rPr>
          <w:rFonts w:hint="eastAsia" w:ascii="Times New Roman" w:hAnsi="Times New Roman"/>
        </w:rPr>
        <w:t>17378238890</w:t>
      </w:r>
      <w:r>
        <w:rPr>
          <w:rFonts w:ascii="Times New Roman" w:hAnsi="Times New Roman"/>
        </w:rPr>
        <w:t xml:space="preserve">        单位负责人签字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</w:rPr>
        <w:t>吕伟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2.综合评价等级分为优秀（S≥90）、良好（90＞S≥80）、较差（80＞S≥60）、 差（S＜60）</w:t>
      </w:r>
      <w:r>
        <w:rPr>
          <w:rFonts w:hint="eastAsia" w:eastAsia="仿宋_GB2312"/>
          <w:sz w:val="24"/>
        </w:rPr>
        <w:t>。</w:t>
      </w:r>
    </w:p>
    <w:p>
      <w:r>
        <w:rPr>
          <w:rFonts w:hint="eastAsia" w:ascii="仿宋_GB2312" w:hAnsi="仿宋_GB2312" w:eastAsia="仿宋_GB2312" w:cs="仿宋_GB2312"/>
          <w:sz w:val="24"/>
        </w:rPr>
        <w:t xml:space="preserve">      3.三级绩效指标按需自行增减行。个别不涉及的二级指标可删除不要。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965E8-DA4C-497F-96B4-392B813AEA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4F3C01-614E-452D-9D83-E3A98E8243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6D690B-D3D3-4A87-A211-35383B136F6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EC6F34-18B2-451F-A4D7-6857D74FDB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ECA03E9-3ACE-4F65-BBB8-FD4D5748BBFC}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  <w:embedRegular r:id="rId6" w:fontKey="{B612FBBA-BCC0-4059-97F1-03994AF3975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B8770FB-CB19-40AB-8FC1-31E4D73065CF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  <w:embedRegular r:id="rId8" w:fontKey="{97258AE7-7D60-4C86-8269-7B6BDE95310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CD273"/>
    <w:multiLevelType w:val="singleLevel"/>
    <w:tmpl w:val="A57CD2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393533"/>
    <w:multiLevelType w:val="singleLevel"/>
    <w:tmpl w:val="7639353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0MGRkMmY0MTYxYjMwNjg0ODc5MTIzYjY2ZGIifQ=="/>
  </w:docVars>
  <w:rsids>
    <w:rsidRoot w:val="0A6B47B8"/>
    <w:rsid w:val="002B6D98"/>
    <w:rsid w:val="00381524"/>
    <w:rsid w:val="004563A2"/>
    <w:rsid w:val="0048548D"/>
    <w:rsid w:val="0052107C"/>
    <w:rsid w:val="007F4C96"/>
    <w:rsid w:val="00975452"/>
    <w:rsid w:val="009878BA"/>
    <w:rsid w:val="00B371B7"/>
    <w:rsid w:val="00BC2E6C"/>
    <w:rsid w:val="00BD0513"/>
    <w:rsid w:val="00D723E4"/>
    <w:rsid w:val="00E67565"/>
    <w:rsid w:val="00EA76D2"/>
    <w:rsid w:val="00F05F92"/>
    <w:rsid w:val="00F60CAA"/>
    <w:rsid w:val="00F62F38"/>
    <w:rsid w:val="00F63DFB"/>
    <w:rsid w:val="00F76567"/>
    <w:rsid w:val="00F865B5"/>
    <w:rsid w:val="00FD017D"/>
    <w:rsid w:val="0462668B"/>
    <w:rsid w:val="0A6B47B8"/>
    <w:rsid w:val="10593A4C"/>
    <w:rsid w:val="19B53245"/>
    <w:rsid w:val="1BA0121F"/>
    <w:rsid w:val="1ECC04E4"/>
    <w:rsid w:val="24244F5F"/>
    <w:rsid w:val="26AD77E2"/>
    <w:rsid w:val="285B71F7"/>
    <w:rsid w:val="2D556ABA"/>
    <w:rsid w:val="3240150B"/>
    <w:rsid w:val="3E4D63CA"/>
    <w:rsid w:val="43F7549F"/>
    <w:rsid w:val="4772431F"/>
    <w:rsid w:val="48F959AB"/>
    <w:rsid w:val="4C891102"/>
    <w:rsid w:val="4D652035"/>
    <w:rsid w:val="4DCB12EF"/>
    <w:rsid w:val="52360AEF"/>
    <w:rsid w:val="57A23F9D"/>
    <w:rsid w:val="58873D56"/>
    <w:rsid w:val="59F7462D"/>
    <w:rsid w:val="5C640FA2"/>
    <w:rsid w:val="645160A8"/>
    <w:rsid w:val="6A347226"/>
    <w:rsid w:val="720D7C27"/>
    <w:rsid w:val="76A1249F"/>
    <w:rsid w:val="76D42955"/>
    <w:rsid w:val="7A5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120" w:after="12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4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4409</Words>
  <Characters>2087</Characters>
  <Lines>17</Lines>
  <Paragraphs>12</Paragraphs>
  <TotalTime>341</TotalTime>
  <ScaleCrop>false</ScaleCrop>
  <LinksUpToDate>false</LinksUpToDate>
  <CharactersWithSpaces>6484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2023-02-21T02:18:00Z</dcterms:created>
  <dc:creator>lenovo</dc:creator>
  <cp:lastModifiedBy>佩</cp:lastModifiedBy>
  <cp:lastPrinted>2023-10-19T02:47:00Z</cp:lastPrinted>
  <dcterms:modified xsi:type="dcterms:W3CDTF">2023-10-19T07:46:14Z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7FD4E6021BF54F37838B5309FB2E2B75_13</vt:lpwstr>
  </property>
</Properties>
</file>