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jc w:val="center"/>
        <w:rPr>
          <w:rFonts w:hint="eastAsia" w:ascii="黑体" w:hAnsi="黑体" w:eastAsia="黑体"/>
          <w:sz w:val="40"/>
          <w:szCs w:val="32"/>
        </w:rPr>
      </w:pPr>
      <w:bookmarkStart w:id="0" w:name="_GoBack"/>
      <w:bookmarkEnd w:id="0"/>
    </w:p>
    <w:p>
      <w:pPr>
        <w:pStyle w:val="2"/>
        <w:ind w:left="0" w:leftChars="0" w:firstLine="0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衡阳县</w:t>
      </w:r>
      <w:r>
        <w:rPr>
          <w:rFonts w:hint="eastAsia" w:ascii="黑体" w:hAnsi="黑体" w:eastAsia="黑体"/>
          <w:sz w:val="40"/>
          <w:szCs w:val="32"/>
          <w:lang w:val="en-US" w:eastAsia="zh-CN"/>
        </w:rPr>
        <w:t>第五中学</w:t>
      </w:r>
      <w:r>
        <w:rPr>
          <w:rFonts w:hint="eastAsia" w:ascii="黑体" w:hAnsi="黑体" w:eastAsia="黑体"/>
          <w:sz w:val="40"/>
          <w:szCs w:val="32"/>
        </w:rPr>
        <w:t>2021年整体支出绩效</w:t>
      </w:r>
    </w:p>
    <w:p>
      <w:pPr>
        <w:pStyle w:val="2"/>
        <w:ind w:left="0" w:leftChars="0" w:firstLine="0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自评报告</w:t>
      </w:r>
    </w:p>
    <w:p>
      <w:pPr>
        <w:pStyle w:val="2"/>
        <w:ind w:left="0" w:leftChars="0" w:firstLine="0"/>
        <w:jc w:val="center"/>
        <w:rPr>
          <w:rFonts w:ascii="黑体" w:hAnsi="黑体" w:eastAsia="黑体"/>
          <w:sz w:val="36"/>
          <w:szCs w:val="32"/>
        </w:rPr>
      </w:pPr>
    </w:p>
    <w:p>
      <w:pPr>
        <w:pStyle w:val="2"/>
        <w:ind w:left="0" w:leftChars="0" w:firstLine="578" w:firstLineChars="18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一、部门基本情况</w:t>
      </w:r>
    </w:p>
    <w:p>
      <w:pPr>
        <w:pStyle w:val="2"/>
        <w:ind w:left="0" w:leftChars="0" w:firstLine="424" w:firstLineChars="132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1.部门职责</w:t>
      </w:r>
    </w:p>
    <w:p>
      <w:pPr>
        <w:pStyle w:val="2"/>
        <w:ind w:left="0" w:leftChars="0" w:firstLine="425" w:firstLineChars="13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（一）贯彻落实国家教育工作的方针、政策和法律、法规、规章，结合本镇拟定具体实施办法和管理制度，并监督实施。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（二）研究拟定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教育改革与发展战略和教育事业发展规划、年度计划及教育发展的重点、结构、速度和步骤，指导并协调实施。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（三）管理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的基础教育，负责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办学的管理工作；指导、协调有关教育的工作。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（四）组织指导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各项教育改革。组织实施农村教育综合改革，拟定教育体制及教育教学方法改革的实施办法，指导学校内部管理体制的改革，组织开展教研活动，提高教育教学管理水平。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（五）统筹管理本部门教育经费；会同有关部门拟订教育经费筹措、教育拨款、教育基建投资的政策规定，完善教育经费管理制度；检查监督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教育经费的投入和使用情况；负责管理本级的教育经费及有关组织和个人对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的教育援助和教育贷款；监管教育系统国有资产。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（六）主管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的教师工作，制定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师资建设发展规划、教职工管理制度和培训计划，并组织实施；负责全面实施素质教育，规划并指导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各级各类学校的思想政治工作、德育工作、体育卫生与艺术教育及国防教育等工作。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（七）管理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勤工俭学、教育技术装备和图书建设工作；负责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教育基本信息的统计、分析和发布；指导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教育行政执法工作和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教育系统的纪检、监察、内部审计、计划生育等工作；协助、协调教育学会、教育基金会、关工委、退（离）协会等社团组织的工作。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八）完成上级交办的其他事项。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2、机构情况</w:t>
      </w:r>
    </w:p>
    <w:p>
      <w:pPr>
        <w:pStyle w:val="2"/>
        <w:ind w:firstLine="42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根据编委核定，我校内设科室10个，全部纳入2021年部门预算编制范围。</w:t>
      </w:r>
    </w:p>
    <w:p>
      <w:pPr>
        <w:pStyle w:val="2"/>
        <w:ind w:firstLine="42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内设股室分别是下设校长室、教务科、办公室、工会、团妇委、德育处、安保处、总务科、资助室、纪检室等</w:t>
      </w:r>
    </w:p>
    <w:p>
      <w:pPr>
        <w:pStyle w:val="2"/>
        <w:ind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3.人员编制情况: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2021年我单位在编教师有162人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ind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4.部门主要工作任务及实施情况。</w:t>
      </w:r>
    </w:p>
    <w:p>
      <w:pPr>
        <w:ind w:firstLine="736" w:firstLineChars="2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积极做好教育迎检、评估工作，国家义务教育发展基本均衡县实现全覆盖。二是大力夯实教育发展基础，不断扩大教育资源。三是着力激发基础教育办学活力，不断提升基础教育办学水平。四是以履职评价为抓手，推进城乡义务教育一体化优质发展。五是进一步提升教育服务经济社会的能力，推进职业教育和高等教育高质量发展。六是抓好师教、高教和语言文字工作。七是深化教师队伍建设，搞好教师管理和培训工作。八是加快推进教育信息化建设，加强信息技术与教育教学深度融合。</w:t>
      </w:r>
    </w:p>
    <w:p>
      <w:pPr>
        <w:pStyle w:val="2"/>
        <w:ind w:left="0" w:leftChars="0" w:firstLine="585" w:firstLineChars="182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二、部门整体支出管理及使用情况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（一）部门预算收支情况（含公共财政拨款、政府性基金拨款、纳入专户管理的非税收入拨款及其他资金）及部门决算情况。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1、2021年度预算收支基本情况</w:t>
      </w:r>
    </w:p>
    <w:p>
      <w:pPr>
        <w:pStyle w:val="8"/>
        <w:ind w:firstLine="640" w:firstLineChars="200"/>
        <w:rPr>
          <w:rFonts w:hint="eastAsia" w:ascii="仿宋_GB2312" w:hAnsi="华文仿宋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2021年度财政拨款支出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1953.59</w:t>
      </w:r>
      <w:r>
        <w:rPr>
          <w:rFonts w:hint="eastAsia" w:ascii="仿宋_GB2312" w:hAnsi="华文仿宋" w:eastAsia="仿宋_GB2312"/>
          <w:sz w:val="32"/>
          <w:szCs w:val="32"/>
        </w:rPr>
        <w:t>万元，主要用于以下方面：普通教育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1953.59</w:t>
      </w:r>
      <w:r>
        <w:rPr>
          <w:rFonts w:hint="eastAsia" w:ascii="仿宋_GB2312" w:hAnsi="华文仿宋" w:eastAsia="仿宋_GB2312"/>
          <w:sz w:val="32"/>
          <w:szCs w:val="32"/>
        </w:rPr>
        <w:t>万元（高中教育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1953.59</w:t>
      </w:r>
      <w:r>
        <w:rPr>
          <w:rFonts w:hint="eastAsia" w:ascii="仿宋_GB2312" w:hAnsi="华文仿宋" w:eastAsia="仿宋_GB2312"/>
          <w:sz w:val="32"/>
          <w:szCs w:val="32"/>
        </w:rPr>
        <w:t>万元）。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年初部门预算安排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1953.59</w:t>
      </w:r>
      <w:r>
        <w:rPr>
          <w:rFonts w:hint="eastAsia" w:ascii="仿宋_GB2312" w:hAnsi="仿宋" w:eastAsia="仿宋_GB2312"/>
          <w:sz w:val="32"/>
          <w:szCs w:val="32"/>
        </w:rPr>
        <w:t>万元（其中人员支出安排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1729.69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223.90</w:t>
      </w:r>
      <w:r>
        <w:rPr>
          <w:rFonts w:hint="eastAsia" w:ascii="仿宋_GB2312" w:hAnsi="仿宋" w:eastAsia="仿宋_GB2312"/>
          <w:sz w:val="32"/>
          <w:szCs w:val="32"/>
        </w:rPr>
        <w:t>万元）。财政拨款支出占总支出的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78.77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pStyle w:val="2"/>
        <w:ind w:left="0" w:leftChars="0" w:firstLine="745" w:firstLineChars="23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2、2021年度部门决算情况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（1）2021年度收入决算情况</w:t>
      </w:r>
    </w:p>
    <w:p>
      <w:pPr>
        <w:pStyle w:val="2"/>
        <w:ind w:left="0" w:leftChars="0" w:firstLine="585" w:firstLineChars="183"/>
        <w:rPr>
          <w:rFonts w:ascii="仿宋_GB2312" w:hAnsi="华文仿宋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2021年度收入合计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2480.21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万元，实际收到的一般公共预算财政拨款收入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  <w:lang w:val="en-US" w:eastAsia="zh-CN"/>
        </w:rPr>
        <w:t>1953.59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  <w:lang w:val="en-US" w:eastAsia="zh-CN"/>
        </w:rPr>
        <w:t>78.77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%。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（2）2021年预算追加情况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2021年度我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无预算追加。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（3）2021年度支出决算情况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2021年决算支出金额为</w:t>
      </w:r>
      <w:r>
        <w:rPr>
          <w:rFonts w:hint="eastAsia" w:ascii="仿宋_GB2312" w:hAnsi="华文仿宋" w:eastAsia="仿宋_GB2312"/>
          <w:sz w:val="32"/>
          <w:szCs w:val="32"/>
        </w:rPr>
        <w:t>2480.21</w:t>
      </w:r>
      <w:r>
        <w:rPr>
          <w:rFonts w:hint="eastAsia" w:ascii="仿宋_GB2312" w:hAnsi="仿宋" w:eastAsia="仿宋_GB2312"/>
          <w:sz w:val="32"/>
          <w:szCs w:val="32"/>
        </w:rPr>
        <w:t>万元，按资金来源分类其中财政拨款支出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1953.59</w:t>
      </w:r>
      <w:r>
        <w:rPr>
          <w:rFonts w:hint="eastAsia" w:ascii="仿宋_GB2312" w:hAnsi="仿宋" w:eastAsia="仿宋_GB2312"/>
          <w:sz w:val="32"/>
          <w:szCs w:val="32"/>
        </w:rPr>
        <w:t>万元，占总支出的78.77%；按支出性质分类其中基本支出</w:t>
      </w:r>
      <w:r>
        <w:rPr>
          <w:rFonts w:hint="eastAsia" w:ascii="仿宋_GB2312" w:hAnsi="华文仿宋" w:eastAsia="仿宋_GB2312"/>
          <w:sz w:val="32"/>
          <w:szCs w:val="32"/>
        </w:rPr>
        <w:t>1953.59</w:t>
      </w:r>
      <w:r>
        <w:rPr>
          <w:rFonts w:hint="eastAsia" w:ascii="仿宋_GB2312" w:hAnsi="仿宋" w:eastAsia="仿宋_GB2312"/>
          <w:sz w:val="32"/>
          <w:szCs w:val="32"/>
        </w:rPr>
        <w:t>万元，占总支出的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%；按支出经济分类其中工资福利支出1863.07万元，占总支出的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75.11</w:t>
      </w:r>
      <w:r>
        <w:rPr>
          <w:rFonts w:hint="eastAsia" w:ascii="仿宋_GB2312" w:hAnsi="仿宋" w:eastAsia="仿宋_GB2312"/>
          <w:sz w:val="32"/>
          <w:szCs w:val="32"/>
        </w:rPr>
        <w:t>%，商品和服务支出488.58万元，占总支出的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19.69</w:t>
      </w:r>
      <w:r>
        <w:rPr>
          <w:rFonts w:hint="eastAsia" w:ascii="仿宋_GB2312" w:hAnsi="仿宋" w:eastAsia="仿宋_GB2312"/>
          <w:sz w:val="32"/>
          <w:szCs w:val="32"/>
        </w:rPr>
        <w:t>%，对个人和家庭的补助支出128.55万元，占总支出的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5.18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（二）支出分类情况。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1.基本支出，基本支出用于为保障机构正常运转、完成日常工作任务而发生的支出，包括人员经费和公用经费。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（1）基本支出情况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2021年基本支出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2480.21</w:t>
      </w:r>
      <w:r>
        <w:rPr>
          <w:rFonts w:hint="eastAsia" w:ascii="仿宋_GB2312" w:hAnsi="仿宋" w:eastAsia="仿宋_GB2312"/>
          <w:sz w:val="32"/>
          <w:szCs w:val="32"/>
        </w:rPr>
        <w:t>万元，其中：人员经费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1729.69</w:t>
      </w:r>
      <w:r>
        <w:rPr>
          <w:rFonts w:hint="eastAsia" w:ascii="仿宋_GB2312" w:hAnsi="仿宋" w:eastAsia="仿宋_GB2312"/>
          <w:sz w:val="32"/>
          <w:szCs w:val="32"/>
        </w:rPr>
        <w:t>万元，占基本支出比例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94.88</w:t>
      </w:r>
      <w:r>
        <w:rPr>
          <w:rFonts w:hint="eastAsia" w:ascii="仿宋_GB2312" w:hAnsi="仿宋" w:eastAsia="仿宋_GB2312"/>
          <w:sz w:val="32"/>
          <w:szCs w:val="32"/>
        </w:rPr>
        <w:t>%（工资福利支出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1641.14</w:t>
      </w:r>
      <w:r>
        <w:rPr>
          <w:rFonts w:hint="eastAsia" w:ascii="仿宋_GB2312" w:hAnsi="仿宋" w:eastAsia="仿宋_GB2312"/>
          <w:sz w:val="32"/>
          <w:szCs w:val="32"/>
        </w:rPr>
        <w:t>万元、占基本支出比例%，对个人和家庭的补助支出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88.55</w:t>
      </w:r>
      <w:r>
        <w:rPr>
          <w:rFonts w:hint="eastAsia" w:ascii="仿宋_GB2312" w:hAnsi="仿宋" w:eastAsia="仿宋_GB2312"/>
          <w:sz w:val="32"/>
          <w:szCs w:val="32"/>
        </w:rPr>
        <w:t>万元、占基本支出比例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5.11</w:t>
      </w:r>
      <w:r>
        <w:rPr>
          <w:rFonts w:hint="eastAsia" w:ascii="仿宋_GB2312" w:hAnsi="仿宋" w:eastAsia="仿宋_GB2312"/>
          <w:sz w:val="32"/>
          <w:szCs w:val="32"/>
        </w:rPr>
        <w:t>%）；商品和服务支出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223.9</w:t>
      </w:r>
      <w:r>
        <w:rPr>
          <w:rFonts w:hint="eastAsia" w:ascii="仿宋_GB2312" w:hAnsi="仿宋" w:eastAsia="仿宋_GB2312"/>
          <w:sz w:val="32"/>
          <w:szCs w:val="32"/>
        </w:rPr>
        <w:t>万元，占基本支出比例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9.02</w:t>
      </w:r>
      <w:r>
        <w:rPr>
          <w:rFonts w:hint="eastAsia" w:ascii="仿宋_GB2312" w:hAnsi="仿宋" w:eastAsia="仿宋_GB2312"/>
          <w:sz w:val="32"/>
          <w:szCs w:val="32"/>
        </w:rPr>
        <w:t>%；其他资本性支出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万元，占基本支出比例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（2）“三公经费”支出情况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（3）整体支出组织管理情况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加强内部控制。根据财政相关文件的要求，我乡（镇）召开了内部控制工作专题会议、并进行了专题培训，成立了内部控制领导小组。加强财务管理，强化财务监督，增强法纪观念，遵守规章制度。对历年来的内部控制资料进行了整理并做好内控报告。为保证财务管理工作规范有序进行，2021年我乡（镇）修改完善了相关财务管理的制度，加强了内部控制和监督。对各项资金的管理、经费收支审批等均作了明确规定，正确组织资金的筹集和使用，债权债务及时结算、结清。二是强化制度执行。严格贯彻落实中央八项规定， “三公经费”较好地控制在预算范围之内。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部门（单位）专项组织实施情况。在实施过程中，对照年初设定指标逐项进行评价，按照“谁花钱、谁负责”的原则，每个项目都有专人负责，重大项目有工作领导小组实施，明确规定了各个项目的目标任务，为各项目工作实施提供了保障。项目实施过程中，遵守各项法律法规制度，使各项年初设定的计划和方案得到了有效实施。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3.资产管理情况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按照财政要求开展资产月报及年报编制工作，动态了解国有资产变动情况，及时发现管理中存在的问题，对于进一步夯实行政事业性国有资产报告、加强行政事业单位国有资产管理具有重要意义。</w:t>
      </w:r>
    </w:p>
    <w:p>
      <w:pPr>
        <w:pStyle w:val="2"/>
        <w:ind w:left="0" w:leftChars="0" w:firstLine="588" w:firstLineChars="18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三、部门整体支出绩效评价情况</w:t>
      </w:r>
    </w:p>
    <w:p>
      <w:pPr>
        <w:pStyle w:val="2"/>
        <w:ind w:left="0" w:leftChars="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强化管理，较好的完成了年度工作目标任务。通过加强预算收支管理，不断建立健全内部管理制度，梳理内部管理流程，整体支出管理水平得到提升。根据部门整体支出绩效评价指标体系，我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2021年度部门整体支出绩效自评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" w:eastAsia="仿宋_GB2312"/>
          <w:sz w:val="32"/>
          <w:szCs w:val="32"/>
        </w:rPr>
        <w:t>分。</w:t>
      </w:r>
    </w:p>
    <w:p>
      <w:pPr>
        <w:pStyle w:val="2"/>
        <w:ind w:left="0" w:leftChars="0" w:firstLine="588" w:firstLineChars="18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四、绩效评价工作情况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（一）绩效评价目的</w:t>
      </w:r>
    </w:p>
    <w:p>
      <w:pPr>
        <w:pStyle w:val="2"/>
        <w:ind w:left="0" w:leftChars="0" w:firstLine="745" w:firstLineChars="23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的目的是全面加强经费管理，使财政资金的使用趋于科学化、精细化管理，着力提高财政资金使用效率，提升财政资金的社会经济效益和生态效益。通过绩效评价所反馈的信息，更好的为整体支出、项目支出的开展提供改进措施，提高工作质量和工作效率，同时，有助领导正确决策有关事项，有助更好的履行工作职能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（二）绩效评价过程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预算绩效管理，不断提高财政资金配置和使用效益，根据《衡阳县财政局关于开展2021年度财政支出绩效自评工作的能知》（蒸财绩〔2021〕1号）文件，我单位成立了绩效管理工作领导小组，领导小组在做好前期调研工作、收集查阅与评价项目有关政策的基础上，坚持以绩效考核的各项文件精神为指导、采取座谈等方式听取情况，检查基本支出有关账目，收集整理支出相关资料，以整体绩效支出为内容，对各项支出的质量、数量等指标，对指标内容进行一一的评价考核打分，对绩效自评材料进行分析，形成评价结论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（三）综合评价结论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根据我单位制定的《部门整体支出绩效评价自评分值表》评分，得分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" w:eastAsia="仿宋_GB2312"/>
          <w:sz w:val="32"/>
          <w:szCs w:val="32"/>
        </w:rPr>
        <w:t>分，财政支出绩效评价等级为“优秀”。</w:t>
      </w:r>
    </w:p>
    <w:p>
      <w:pPr>
        <w:pStyle w:val="2"/>
        <w:ind w:left="0" w:leftChars="0" w:firstLine="588" w:firstLineChars="18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五、存在的主要问题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提高上级专项资金使用效益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进一步编实项目年初预算，细化项目年初目标，规范项目管理，强化项目监督，提高专项资金使用效益，让每一分钱都花在刀刃上，让每一笔支出都产出成果。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2.公务卡管理未按财政要求实施到位。</w:t>
      </w:r>
    </w:p>
    <w:p>
      <w:pPr>
        <w:pStyle w:val="2"/>
        <w:ind w:left="0" w:leftChars="0" w:firstLine="588" w:firstLineChars="183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六、改进措施及建议</w:t>
      </w:r>
    </w:p>
    <w:p>
      <w:pPr>
        <w:pStyle w:val="2"/>
        <w:ind w:left="0" w:leftChars="0" w:firstLine="745" w:firstLineChars="23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细化预算编制工作，认真做好预算的编制。进一步加强内设机构的预算管理意识，严格按照预算编制的相关制度和要求进行预算编制。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  <w:ind w:left="0" w:leftChars="0" w:firstLine="745" w:firstLineChars="23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ind w:left="0" w:leftChars="0" w:firstLine="745" w:firstLineChars="233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3、进一步深化国库集中支付制度改革，规范财务管理，提高公务支出透明度，减少现金支付预算，结合我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实际情况，制定公务卡管理制度，加强公务卡管理。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WM5NThkNWRiYjIxMTkyNDM5OTIyYmEwZmQyZjkifQ=="/>
  </w:docVars>
  <w:rsids>
    <w:rsidRoot w:val="00CE525C"/>
    <w:rsid w:val="000529DC"/>
    <w:rsid w:val="00194667"/>
    <w:rsid w:val="00CE525C"/>
    <w:rsid w:val="0F675A68"/>
    <w:rsid w:val="17214184"/>
    <w:rsid w:val="266A16A4"/>
    <w:rsid w:val="27133AE9"/>
    <w:rsid w:val="404E2DBA"/>
    <w:rsid w:val="4AB747E4"/>
    <w:rsid w:val="5DF8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qFormat/>
    <w:uiPriority w:val="99"/>
    <w:pPr>
      <w:ind w:firstLine="21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7">
    <w:name w:val="正文首行缩进 2 Char"/>
    <w:basedOn w:val="6"/>
    <w:link w:val="2"/>
    <w:qFormat/>
    <w:uiPriority w:val="99"/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3068</Words>
  <Characters>3296</Characters>
  <Lines>24</Lines>
  <Paragraphs>6</Paragraphs>
  <TotalTime>23</TotalTime>
  <ScaleCrop>false</ScaleCrop>
  <LinksUpToDate>false</LinksUpToDate>
  <CharactersWithSpaces>3299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2022-09-29T11:15:00Z</dcterms:created>
  <dc:creator>Administrator</dc:creator>
  <cp:lastModifiedBy>浅笑</cp:lastModifiedBy>
  <dcterms:modified xsi:type="dcterms:W3CDTF">2023-10-07T01:03:27Z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83693FBAC861496FA8FAF9953BC89853_13</vt:lpwstr>
  </property>
</Properties>
</file>