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9437" w:type="dxa"/>
            <w:tcBorders>
              <w:top w:val="nil"/>
              <w:left w:val="nil"/>
              <w:bottom w:val="nil"/>
              <w:right w:val="nil"/>
            </w:tcBorders>
            <w:noWrap w:val="0"/>
            <w:vAlign w:val="center"/>
          </w:tcPr>
          <w:p>
            <w:pPr>
              <w:pStyle w:val="6"/>
              <w:jc w:val="center"/>
              <w:rPr>
                <w:rFonts w:hint="eastAsia" w:ascii="仿宋" w:hAnsi="仿宋" w:eastAsia="仿宋" w:cs="仿宋"/>
                <w:b/>
                <w:bCs/>
                <w:sz w:val="52"/>
                <w:szCs w:val="52"/>
              </w:rPr>
            </w:pPr>
            <w:r>
              <w:rPr>
                <w:rFonts w:hint="eastAsia" w:ascii="仿宋" w:hAnsi="仿宋" w:eastAsia="仿宋" w:cs="仿宋"/>
                <w:b/>
                <w:bCs/>
                <w:sz w:val="52"/>
                <w:szCs w:val="52"/>
              </w:rPr>
              <w:t>第五部分</w:t>
            </w:r>
          </w:p>
          <w:p>
            <w:pPr>
              <w:pStyle w:val="6"/>
              <w:jc w:val="center"/>
              <w:rPr>
                <w:rFonts w:hint="eastAsia" w:ascii="仿宋" w:hAnsi="仿宋" w:eastAsia="仿宋" w:cs="仿宋"/>
                <w:b/>
                <w:bCs/>
                <w:sz w:val="52"/>
                <w:szCs w:val="52"/>
              </w:rPr>
            </w:pPr>
          </w:p>
          <w:p>
            <w:pPr>
              <w:pStyle w:val="6"/>
              <w:jc w:val="center"/>
              <w:rPr>
                <w:rFonts w:hint="eastAsia" w:ascii="仿宋" w:hAnsi="仿宋" w:eastAsia="仿宋" w:cs="仿宋"/>
                <w:b/>
                <w:bCs/>
                <w:sz w:val="52"/>
                <w:szCs w:val="52"/>
              </w:rPr>
            </w:pPr>
            <w:r>
              <w:rPr>
                <w:rFonts w:hint="eastAsia" w:ascii="仿宋" w:hAnsi="仿宋" w:eastAsia="仿宋" w:cs="仿宋"/>
                <w:b/>
                <w:bCs/>
                <w:sz w:val="52"/>
                <w:szCs w:val="5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9437" w:type="dxa"/>
            <w:tcBorders>
              <w:top w:val="nil"/>
              <w:left w:val="nil"/>
              <w:bottom w:val="nil"/>
              <w:right w:val="nil"/>
            </w:tcBorders>
            <w:noWrap w:val="0"/>
            <w:vAlign w:val="center"/>
          </w:tcPr>
          <w:p>
            <w:pPr>
              <w:rPr>
                <w:rFonts w:ascii="仿宋_GB2312"/>
                <w:sz w:val="32"/>
                <w:szCs w:val="32"/>
              </w:rPr>
            </w:pPr>
            <w:r>
              <w:rPr>
                <w:rFonts w:ascii="仿宋_GB2312" w:hAnsi="仿宋_GB2312"/>
                <w:sz w:val="32"/>
                <w:szCs w:val="32"/>
              </w:rPr>
              <w:t>附件</w:t>
            </w:r>
            <w:r>
              <w:rPr>
                <w:rFonts w:hint="eastAsia" w:ascii="Times New Roman" w:hAnsi="Times New Roman" w:eastAsia="仿宋"/>
                <w:color w:val="000000"/>
                <w:kern w:val="0"/>
                <w:sz w:val="32"/>
                <w:szCs w:val="32"/>
              </w:rPr>
              <w:t>1</w:t>
            </w:r>
          </w:p>
          <w:p>
            <w:r>
              <w:t xml:space="preserve"> </w:t>
            </w:r>
          </w:p>
          <w:p>
            <w:r>
              <w:t xml:space="preserve"> </w:t>
            </w:r>
          </w:p>
          <w:p>
            <w:r>
              <w:t xml:space="preserve"> </w:t>
            </w:r>
          </w:p>
          <w:p>
            <w:pPr>
              <w:jc w:val="center"/>
              <w:rPr>
                <w:rFonts w:ascii="方正小标宋_GBK"/>
                <w:sz w:val="44"/>
                <w:szCs w:val="44"/>
              </w:rPr>
            </w:pPr>
            <w:r>
              <w:rPr>
                <w:rFonts w:ascii="方正小标宋_GBK" w:hAnsi="方正小标宋_GBK"/>
                <w:sz w:val="44"/>
                <w:szCs w:val="44"/>
              </w:rPr>
              <w:t>衡阳县部门整体支出绩效自评报告</w:t>
            </w:r>
          </w:p>
          <w:p>
            <w:r>
              <w:t xml:space="preserve"> </w:t>
            </w:r>
          </w:p>
          <w:p>
            <w:pPr>
              <w:jc w:val="center"/>
              <w:rPr>
                <w:rFonts w:ascii="仿宋_GB2312"/>
                <w:sz w:val="32"/>
                <w:szCs w:val="32"/>
              </w:rPr>
            </w:pPr>
            <w:r>
              <w:rPr>
                <w:rFonts w:ascii="仿宋_GB2312" w:hAnsi="仿宋_GB2312"/>
                <w:sz w:val="32"/>
                <w:szCs w:val="32"/>
              </w:rPr>
              <w:t>（</w:t>
            </w:r>
            <w:r>
              <w:rPr>
                <w:rFonts w:ascii="仿宋_GB2312"/>
                <w:sz w:val="32"/>
                <w:szCs w:val="32"/>
              </w:rPr>
              <w:t xml:space="preserve"> </w:t>
            </w:r>
            <w:r>
              <w:rPr>
                <w:rFonts w:ascii="仿宋_GB2312" w:hAnsi="仿宋_GB2312"/>
                <w:sz w:val="32"/>
                <w:szCs w:val="32"/>
              </w:rPr>
              <w:t>20</w:t>
            </w:r>
            <w:r>
              <w:rPr>
                <w:rFonts w:ascii="仿宋_GB2312"/>
                <w:sz w:val="32"/>
                <w:szCs w:val="32"/>
                <w:u w:val="single"/>
              </w:rPr>
              <w:t xml:space="preserve"> </w:t>
            </w:r>
            <w:r>
              <w:rPr>
                <w:rFonts w:ascii="仿宋_GB2312" w:hAnsi="仿宋_GB2312"/>
                <w:sz w:val="32"/>
                <w:szCs w:val="32"/>
                <w:u w:val="single"/>
              </w:rPr>
              <w:t>21</w:t>
            </w:r>
            <w:r>
              <w:rPr>
                <w:rFonts w:ascii="仿宋_GB2312"/>
                <w:sz w:val="32"/>
                <w:szCs w:val="32"/>
                <w:u w:val="single"/>
              </w:rPr>
              <w:t xml:space="preserve"> </w:t>
            </w:r>
            <w:r>
              <w:rPr>
                <w:rFonts w:ascii="仿宋_GB2312" w:hAnsi="仿宋_GB2312"/>
                <w:sz w:val="32"/>
                <w:szCs w:val="32"/>
              </w:rPr>
              <w:t>年度</w:t>
            </w:r>
            <w:r>
              <w:rPr>
                <w:rFonts w:ascii="仿宋_GB2312"/>
                <w:sz w:val="32"/>
                <w:szCs w:val="32"/>
              </w:rPr>
              <w:t xml:space="preserve"> </w:t>
            </w:r>
            <w:r>
              <w:rPr>
                <w:rFonts w:ascii="仿宋_GB2312" w:hAnsi="仿宋_GB2312"/>
                <w:sz w:val="32"/>
                <w:szCs w:val="32"/>
              </w:rPr>
              <w:t>）</w:t>
            </w:r>
          </w:p>
          <w:p>
            <w:r>
              <w:t xml:space="preserve"> </w:t>
            </w:r>
          </w:p>
          <w:p>
            <w:r>
              <w:t xml:space="preserve"> </w:t>
            </w:r>
          </w:p>
          <w:p>
            <w:r>
              <w:t xml:space="preserve"> </w:t>
            </w:r>
          </w:p>
          <w:p>
            <w:pPr>
              <w:ind w:firstLine="640" w:firstLineChars="200"/>
              <w:rPr>
                <w:rFonts w:ascii="仿宋_GB2312"/>
                <w:sz w:val="32"/>
                <w:szCs w:val="32"/>
              </w:rPr>
            </w:pPr>
            <w:r>
              <w:rPr>
                <w:rFonts w:ascii="仿宋_GB2312" w:hAnsi="仿宋_GB2312"/>
                <w:sz w:val="32"/>
                <w:szCs w:val="32"/>
              </w:rPr>
              <w:t xml:space="preserve">部门(单位)名称：         </w:t>
            </w:r>
          </w:p>
          <w:p>
            <w:pPr>
              <w:ind w:firstLine="640" w:firstLineChars="200"/>
              <w:rPr>
                <w:rFonts w:ascii="仿宋_GB2312"/>
                <w:sz w:val="32"/>
                <w:szCs w:val="32"/>
              </w:rPr>
            </w:pPr>
            <w:r>
              <w:rPr>
                <w:rFonts w:ascii="仿宋_GB2312" w:hAnsi="仿宋_GB2312"/>
                <w:sz w:val="32"/>
                <w:szCs w:val="32"/>
              </w:rPr>
              <w:t>预算编码：</w:t>
            </w:r>
            <w:r>
              <w:rPr>
                <w:rFonts w:ascii="仿宋_GB2312"/>
                <w:sz w:val="32"/>
                <w:szCs w:val="32"/>
              </w:rPr>
              <w:t xml:space="preserve">                   </w:t>
            </w:r>
          </w:p>
          <w:p>
            <w:pPr>
              <w:ind w:firstLine="640" w:firstLineChars="200"/>
              <w:rPr>
                <w:rFonts w:ascii="仿宋_GB2312"/>
                <w:sz w:val="32"/>
                <w:szCs w:val="32"/>
              </w:rPr>
            </w:pPr>
            <w:r>
              <w:rPr>
                <w:rFonts w:ascii="仿宋_GB2312" w:hAnsi="仿宋_GB2312"/>
                <w:sz w:val="32"/>
                <w:szCs w:val="32"/>
              </w:rPr>
              <w:t xml:space="preserve">评价方式：部门（单位）自评■ </w:t>
            </w:r>
          </w:p>
          <w:p>
            <w:pPr>
              <w:ind w:firstLine="2240" w:firstLineChars="700"/>
              <w:rPr>
                <w:rFonts w:ascii="仿宋_GB2312"/>
                <w:sz w:val="32"/>
                <w:szCs w:val="32"/>
              </w:rPr>
            </w:pPr>
            <w:r>
              <w:rPr>
                <w:rFonts w:ascii="仿宋_GB2312" w:hAnsi="仿宋_GB2312"/>
                <w:sz w:val="32"/>
                <w:szCs w:val="32"/>
              </w:rPr>
              <w:t>中介机构评价□</w:t>
            </w:r>
          </w:p>
          <w:p>
            <w:pPr>
              <w:ind w:firstLine="640" w:firstLineChars="200"/>
              <w:rPr>
                <w:rFonts w:ascii="仿宋_GB2312"/>
                <w:sz w:val="32"/>
                <w:szCs w:val="32"/>
              </w:rPr>
            </w:pPr>
            <w:r>
              <w:rPr>
                <w:rFonts w:ascii="仿宋_GB2312" w:hAnsi="仿宋_GB2312"/>
                <w:sz w:val="32"/>
                <w:szCs w:val="32"/>
              </w:rPr>
              <w:t>评价机构：部门（单位）评价组■</w:t>
            </w:r>
          </w:p>
          <w:p>
            <w:pPr>
              <w:ind w:firstLine="640" w:firstLineChars="200"/>
              <w:rPr>
                <w:rFonts w:ascii="仿宋_GB2312"/>
                <w:sz w:val="32"/>
                <w:szCs w:val="32"/>
              </w:rPr>
            </w:pPr>
            <w:r>
              <w:rPr>
                <w:rFonts w:ascii="仿宋_GB2312"/>
                <w:sz w:val="32"/>
                <w:szCs w:val="32"/>
              </w:rPr>
              <w:t xml:space="preserve">          </w:t>
            </w:r>
            <w:r>
              <w:rPr>
                <w:rFonts w:ascii="仿宋_GB2312" w:hAnsi="仿宋_GB2312"/>
                <w:sz w:val="32"/>
                <w:szCs w:val="32"/>
              </w:rPr>
              <w:t>中介机构□</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Pr>
              <w:jc w:val="center"/>
              <w:rPr>
                <w:rFonts w:ascii="仿宋_GB2312"/>
                <w:sz w:val="32"/>
                <w:szCs w:val="32"/>
              </w:rPr>
            </w:pPr>
            <w:r>
              <w:rPr>
                <w:rFonts w:ascii="仿宋_GB2312" w:hAnsi="仿宋_GB2312"/>
                <w:sz w:val="32"/>
                <w:szCs w:val="32"/>
              </w:rPr>
              <w:t>报告日期：</w:t>
            </w:r>
            <w:r>
              <w:rPr>
                <w:rFonts w:ascii="仿宋_GB2312"/>
                <w:sz w:val="32"/>
                <w:szCs w:val="32"/>
              </w:rPr>
              <w:t xml:space="preserve">    </w:t>
            </w:r>
            <w:r>
              <w:rPr>
                <w:rFonts w:ascii="仿宋_GB2312" w:hAnsi="仿宋_GB2312"/>
                <w:sz w:val="32"/>
                <w:szCs w:val="32"/>
              </w:rPr>
              <w:t>2021</w:t>
            </w:r>
            <w:r>
              <w:rPr>
                <w:rFonts w:ascii="仿宋_GB2312"/>
                <w:sz w:val="32"/>
                <w:szCs w:val="32"/>
              </w:rPr>
              <w:t xml:space="preserve"> </w:t>
            </w:r>
            <w:r>
              <w:rPr>
                <w:rFonts w:ascii="仿宋_GB2312" w:hAnsi="仿宋_GB2312"/>
                <w:sz w:val="32"/>
                <w:szCs w:val="32"/>
              </w:rPr>
              <w:t>年</w:t>
            </w:r>
            <w:r>
              <w:rPr>
                <w:rFonts w:ascii="仿宋_GB2312"/>
                <w:sz w:val="32"/>
                <w:szCs w:val="32"/>
              </w:rPr>
              <w:t xml:space="preserve"> </w:t>
            </w:r>
            <w:r>
              <w:rPr>
                <w:rFonts w:ascii="仿宋_GB2312" w:hAnsi="仿宋_GB2312"/>
                <w:sz w:val="32"/>
                <w:szCs w:val="32"/>
              </w:rPr>
              <w:t>4</w:t>
            </w:r>
            <w:r>
              <w:rPr>
                <w:rFonts w:ascii="仿宋_GB2312"/>
                <w:sz w:val="32"/>
                <w:szCs w:val="32"/>
              </w:rPr>
              <w:t xml:space="preserve"> </w:t>
            </w:r>
            <w:r>
              <w:rPr>
                <w:rFonts w:ascii="仿宋_GB2312" w:hAnsi="仿宋_GB2312"/>
                <w:sz w:val="32"/>
                <w:szCs w:val="32"/>
              </w:rPr>
              <w:t>月</w:t>
            </w:r>
            <w:r>
              <w:rPr>
                <w:rFonts w:hint="eastAsia" w:ascii="仿宋_GB2312" w:hAnsi="仿宋_GB2312"/>
                <w:sz w:val="32"/>
                <w:szCs w:val="32"/>
                <w:lang w:val="en-US" w:eastAsia="zh-CN"/>
              </w:rPr>
              <w:t>1</w:t>
            </w:r>
            <w:r>
              <w:rPr>
                <w:rFonts w:ascii="仿宋_GB2312" w:hAnsi="仿宋_GB2312"/>
                <w:sz w:val="32"/>
                <w:szCs w:val="32"/>
              </w:rPr>
              <w:t>7</w:t>
            </w:r>
            <w:r>
              <w:rPr>
                <w:rFonts w:ascii="仿宋_GB2312"/>
                <w:sz w:val="32"/>
                <w:szCs w:val="32"/>
              </w:rPr>
              <w:t xml:space="preserve"> </w:t>
            </w:r>
            <w:r>
              <w:rPr>
                <w:rFonts w:ascii="仿宋_GB2312" w:hAnsi="仿宋_GB2312"/>
                <w:sz w:val="32"/>
                <w:szCs w:val="32"/>
              </w:rPr>
              <w:t>日</w:t>
            </w:r>
          </w:p>
          <w:p>
            <w:r>
              <w:t xml:space="preserve"> </w:t>
            </w:r>
          </w:p>
          <w:p>
            <w:r>
              <w:t xml:space="preserve"> </w:t>
            </w:r>
          </w:p>
          <w:p>
            <w:pPr>
              <w:rPr>
                <w:rFonts w:ascii="方正小标宋_GBK"/>
                <w:color w:val="FF0000"/>
                <w:kern w:val="0"/>
                <w:sz w:val="109"/>
                <w:szCs w:val="109"/>
              </w:rPr>
            </w:pPr>
            <w:r>
              <w:rPr>
                <w:rFonts w:ascii="方正小标宋_GBK"/>
                <w:color w:val="FF0000"/>
                <w:kern w:val="0"/>
                <w:sz w:val="109"/>
                <w:szCs w:val="109"/>
              </w:rPr>
              <w:t xml:space="preserve"> </w:t>
            </w:r>
          </w:p>
          <w:p>
            <w:pPr>
              <w:rPr>
                <w:rFonts w:ascii="方正小标宋_GBK"/>
                <w:color w:val="FF0000"/>
                <w:kern w:val="0"/>
                <w:sz w:val="109"/>
                <w:szCs w:val="109"/>
              </w:rPr>
            </w:pPr>
          </w:p>
          <w:p>
            <w:pPr>
              <w:rPr>
                <w:rFonts w:ascii="方正小标宋_GBK"/>
                <w:color w:val="FF0000"/>
                <w:kern w:val="0"/>
                <w:sz w:val="109"/>
                <w:szCs w:val="109"/>
              </w:rPr>
            </w:pPr>
          </w:p>
          <w:p>
            <w:pPr>
              <w:ind w:firstLine="840" w:firstLineChars="100"/>
              <w:rPr>
                <w:rFonts w:hint="default" w:ascii="方正小标宋_GBK" w:eastAsia="宋体"/>
                <w:color w:val="FF0000"/>
                <w:sz w:val="109"/>
                <w:szCs w:val="109"/>
                <w:lang w:val="en-US" w:eastAsia="zh-CN"/>
              </w:rPr>
            </w:pPr>
            <w:r>
              <w:rPr>
                <w:rFonts w:ascii="方正小标宋_GBK" w:hAnsi="方正小标宋_GBK"/>
                <w:color w:val="FF0000"/>
                <w:kern w:val="0"/>
                <w:sz w:val="84"/>
                <w:szCs w:val="84"/>
              </w:rPr>
              <w:t>衡阳县</w:t>
            </w:r>
            <w:r>
              <w:rPr>
                <w:rFonts w:hint="eastAsia" w:ascii="方正小标宋_GBK" w:hAnsi="方正小标宋_GBK"/>
                <w:color w:val="FF0000"/>
                <w:kern w:val="0"/>
                <w:sz w:val="84"/>
                <w:szCs w:val="84"/>
                <w:lang w:val="en-US" w:eastAsia="zh-CN"/>
              </w:rPr>
              <w:t>园林绿化所</w:t>
            </w:r>
          </w:p>
          <w:p>
            <w:r>
              <w:drawing>
                <wp:inline distT="0" distB="0" distL="114300" distR="114300">
                  <wp:extent cx="5284470" cy="23495"/>
                  <wp:effectExtent l="0" t="0" r="11430" b="5080"/>
                  <wp:docPr id="1" name="图片 1" descr="C:\Users\ADMINI~1\AppData\Local\Temp\ksohtml651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6512\wps1.png"/>
                          <pic:cNvPicPr>
                            <a:picLocks noChangeAspect="1"/>
                          </pic:cNvPicPr>
                        </pic:nvPicPr>
                        <pic:blipFill>
                          <a:blip r:embed="rId4"/>
                          <a:stretch>
                            <a:fillRect/>
                          </a:stretch>
                        </pic:blipFill>
                        <pic:spPr>
                          <a:xfrm>
                            <a:off x="0" y="0"/>
                            <a:ext cx="5284470" cy="23495"/>
                          </a:xfrm>
                          <a:prstGeom prst="rect">
                            <a:avLst/>
                          </a:prstGeom>
                          <a:noFill/>
                          <a:ln>
                            <a:noFill/>
                          </a:ln>
                        </pic:spPr>
                      </pic:pic>
                    </a:graphicData>
                  </a:graphic>
                </wp:inline>
              </w:drawing>
            </w:r>
            <w:r>
              <w:rPr>
                <w:rFonts w:hint="eastAsia"/>
              </w:rPr>
              <w:t xml:space="preserve"> </w:t>
            </w:r>
          </w:p>
          <w:p>
            <w:pPr>
              <w:spacing w:line="600" w:lineRule="exact"/>
              <w:jc w:val="center"/>
              <w:rPr>
                <w:rFonts w:hint="eastAsia" w:ascii="方正小标宋_GBK"/>
                <w:sz w:val="36"/>
                <w:szCs w:val="36"/>
              </w:rPr>
            </w:pPr>
            <w:r>
              <w:rPr>
                <w:rFonts w:ascii="方正小标宋_GBK" w:hAnsi="方正小标宋_GBK"/>
                <w:sz w:val="36"/>
                <w:szCs w:val="36"/>
              </w:rPr>
              <w:t>部门整体支出绩效自评报告</w:t>
            </w:r>
          </w:p>
          <w:p>
            <w:pPr>
              <w:spacing w:line="600" w:lineRule="exact"/>
            </w:pPr>
            <w:r>
              <w:t xml:space="preserve"> </w:t>
            </w:r>
          </w:p>
          <w:p>
            <w:pPr>
              <w:pStyle w:val="2"/>
              <w:widowControl/>
              <w:spacing w:line="555" w:lineRule="atLeast"/>
              <w:ind w:firstLine="615"/>
              <w:rPr>
                <w:rFonts w:ascii="黑体" w:eastAsia="黑体"/>
                <w:sz w:val="32"/>
                <w:szCs w:val="32"/>
              </w:rPr>
            </w:pPr>
            <w:r>
              <w:rPr>
                <w:rFonts w:hint="eastAsia" w:ascii="黑体" w:hAnsi="黑体" w:eastAsia="黑体"/>
                <w:sz w:val="32"/>
                <w:szCs w:val="32"/>
              </w:rPr>
              <w:t>一、部门基本情况</w:t>
            </w:r>
          </w:p>
          <w:p>
            <w:pPr>
              <w:spacing w:line="600" w:lineRule="exact"/>
              <w:ind w:firstLine="640" w:firstLineChars="200"/>
              <w:rPr>
                <w:rFonts w:ascii="仿宋_GB2312" w:hAnsi="仿宋_GB2312"/>
                <w:sz w:val="32"/>
                <w:szCs w:val="32"/>
              </w:rPr>
            </w:pPr>
            <w:r>
              <w:rPr>
                <w:rFonts w:ascii="仿宋_GB2312" w:hAnsi="仿宋_GB2312"/>
                <w:sz w:val="32"/>
                <w:szCs w:val="32"/>
              </w:rPr>
              <w:t>（一）部门职责。</w:t>
            </w:r>
          </w:p>
          <w:p>
            <w:pPr>
              <w:numPr>
                <w:ilvl w:val="0"/>
                <w:numId w:val="0"/>
              </w:num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衡阳县园林绿化所为县城市管理行政执法局所属副科级全额拔款公益一类事业单位主要负责县城规划区内公共绿地及配套设施的维护和管理。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rightChars="0"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rPr>
              <w:t>机构设置情况。</w:t>
            </w:r>
          </w:p>
          <w:p>
            <w:pPr>
              <w:numPr>
                <w:ilvl w:val="0"/>
                <w:numId w:val="0"/>
              </w:numPr>
              <w:spacing w:line="600" w:lineRule="exact"/>
              <w:ind w:firstLine="560" w:firstLineChars="200"/>
              <w:rPr>
                <w:rFonts w:hint="eastAsia" w:ascii="仿宋" w:hAnsi="仿宋" w:eastAsia="仿宋"/>
                <w:sz w:val="32"/>
                <w:szCs w:val="32"/>
              </w:rPr>
            </w:pPr>
            <w:r>
              <w:rPr>
                <w:rFonts w:hint="eastAsia" w:ascii="仿宋" w:hAnsi="仿宋" w:eastAsia="仿宋" w:cs="仿宋"/>
                <w:color w:val="333333"/>
                <w:sz w:val="28"/>
                <w:szCs w:val="28"/>
                <w:lang w:val="en-US" w:eastAsia="zh-CN"/>
              </w:rPr>
              <w:t>内设7个股室：办公室、人财股、督查考核股、园林工程股、园林维护股、园林技术股、公园游园股。我所只有本级，没有其他下设预算单位，因此，纳入2020年部门预算编制范围的只有园林绿化所本级。</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（三）人员编制情况：</w:t>
            </w:r>
          </w:p>
          <w:p>
            <w:pPr>
              <w:ind w:firstLine="560" w:firstLineChars="200"/>
              <w:rPr>
                <w:rFonts w:hint="eastAsia" w:ascii="仿宋" w:hAnsi="仿宋" w:eastAsia="仿宋"/>
                <w:sz w:val="32"/>
                <w:szCs w:val="32"/>
              </w:rPr>
            </w:pPr>
            <w:r>
              <w:rPr>
                <w:rFonts w:hint="eastAsia" w:ascii="仿宋" w:hAnsi="仿宋" w:eastAsia="仿宋" w:cs="仿宋"/>
                <w:color w:val="333333"/>
                <w:sz w:val="28"/>
                <w:szCs w:val="28"/>
                <w:lang w:val="en-US" w:eastAsia="zh-CN"/>
              </w:rPr>
              <w:t>核定事业编制24人，年底实有在职人数23人。</w:t>
            </w:r>
          </w:p>
          <w:p>
            <w:pPr>
              <w:numPr>
                <w:ilvl w:val="0"/>
                <w:numId w:val="1"/>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部门主要工作任务及实施情况：</w:t>
            </w:r>
          </w:p>
          <w:p>
            <w:pPr>
              <w:spacing w:line="600" w:lineRule="exact"/>
              <w:ind w:firstLine="640" w:firstLineChars="200"/>
              <w:rPr>
                <w:rFonts w:hint="eastAsia" w:ascii="仿宋" w:hAnsi="仿宋" w:eastAsia="仿宋"/>
                <w:b/>
                <w:bCs/>
                <w:sz w:val="32"/>
                <w:szCs w:val="32"/>
              </w:rPr>
            </w:pPr>
            <w:r>
              <w:rPr>
                <w:rFonts w:hint="eastAsia" w:ascii="仿宋" w:hAnsi="仿宋" w:eastAsia="仿宋"/>
                <w:color w:val="000000"/>
                <w:kern w:val="0"/>
                <w:sz w:val="32"/>
                <w:szCs w:val="32"/>
              </w:rPr>
              <w:t xml:space="preserve"> </w:t>
            </w:r>
            <w:r>
              <w:rPr>
                <w:rFonts w:hint="eastAsia" w:ascii="仿宋" w:hAnsi="仿宋" w:eastAsia="仿宋"/>
                <w:b/>
                <w:bCs/>
                <w:sz w:val="32"/>
                <w:szCs w:val="32"/>
              </w:rPr>
              <w:t>二、一般公共预算支出情况</w:t>
            </w:r>
          </w:p>
          <w:p>
            <w:pPr>
              <w:numPr>
                <w:ilvl w:val="0"/>
                <w:numId w:val="0"/>
              </w:num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2021年一般公共预算拨款收入899.90  万元。2021年一般公共预算决算支出1070.98万元，其中基本支出480.98万元，项目支出590万元，年末结余0.22万元。</w:t>
            </w:r>
          </w:p>
          <w:p>
            <w:pPr>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（一）基本支出情况</w:t>
            </w:r>
          </w:p>
          <w:p>
            <w:pPr>
              <w:numPr>
                <w:ilvl w:val="0"/>
                <w:numId w:val="0"/>
              </w:numPr>
              <w:spacing w:line="600" w:lineRule="exact"/>
              <w:ind w:firstLine="560" w:firstLineChars="200"/>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基本支出为保障机构正常运转、完成日常工作任务而发生的支出，包括人员经费和公用经费。2021年的基本支出共计480.98万元。其中人员经费262.69万元，公用经费218.29万元。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（1）工资福利支出为 260.32 万元：其中工资193.96万元，养老保险缴费 28.76万元，医疗保险缴费13.29万元，其他社会保障缴0.79万元，住房公积金23.52 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 xml:space="preserve">（2）公用经费支出 46.99 万元：其中“三公经费”2021年预算2.22万元（公车运行维护费1.46 万元，公务接待费  0.76 万元），“三公经费”决算支出 2.21万元（公务接待费 0.75万元，公车运行维护费1.46 万元），“三公经费”总额及明细均控制在预算范围内。办公费 6.39 万元；印刷费0.03 万元；咨询费0.08万元；邮电费4.6万元；差旅费2.06 万元；维修（护）费8.04万元；培训费 0.43 万元；劳务费1.84万元；工会经费 14.71万；委托业务费 0.26万元；其他交通费用等 0.22万元；其他商品和服务支出 2.52 万元。 </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（3）对个人和家庭的补助2.37  万元：奖励金 1.86万元，其他对个人和家庭的补助0.51万元。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二、部门整体支出管理及使用情况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（一）部门预算收支情况及部门决算情况。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2021年度部门总收入1071.24 万元（其中公共财政拨款收入为899.90万元，其他收入171.33万元）。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（二）支出分类情况。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1、基本支出：</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（1）基本支出</w:t>
            </w:r>
          </w:p>
          <w:p>
            <w:pPr>
              <w:spacing w:line="600" w:lineRule="exact"/>
              <w:ind w:firstLine="560" w:firstLineChars="200"/>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2021年基本支出 1070.98万元，其中工资福利支出260.32 万元，商品和服务支出726.47万元，对个人和家庭补助2.37万元，资本性支出81.82万元。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“三公”经费情况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2021年初批复预算指标数“三公”经费为 2.22万元，其中公车运行维护费1.46万元，公务接待0.76万元。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全年决算支出“三公”经费2.21万元，其中公车运行维护费1.46万元，公务接待0.75万元，完成98%，。</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2、项目支出</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项目支出共计590万元。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其中维护费500万元，主要是对城市公共绿地的日常管理维护所产生的费用，包括补植苗木花卉款、水车燃油费、劳务费、农药肥料款等。</w:t>
            </w:r>
          </w:p>
          <w:p>
            <w:pPr>
              <w:spacing w:line="600" w:lineRule="exact"/>
              <w:ind w:firstLine="560" w:firstLineChars="200"/>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摆花经费90万元，主要是春节期间县城内重要节点的鲜花布置及花箱更换支出。</w:t>
            </w:r>
          </w:p>
          <w:p>
            <w:pPr>
              <w:spacing w:line="600" w:lineRule="exact"/>
              <w:ind w:firstLine="560" w:firstLineChars="200"/>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年初预算数为500万元，年末实际支出590万元。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（三）单位预算管理制度建设情况。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为完成上述绩效目标，我单位成立了绩效评价工作领导小组，由胡建国主任任组长，王满江任副组长，其他相关业务部门负责人为成员。并依据文件精神组织开展绩效评价工作。进一步规范了单位财务管理工作。</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三、部门整体支出绩效评价情况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（一）经济性分析</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1、预算配置方面，总体较为科学合理。</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（1）财政供养人员控制率为100 %；</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（2）重点支出安排率超过100 %。</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2、预算执行方面，各项指标基本顺利完成。</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（1）项目支出为590万元；</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（2）“三公经费”控制为预算数的98 %；</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（3）政府采购执行率为 99%。</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3、预算管理方面，制度执行总体较为有效。</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修订完善了管理制度，相关制度合法合规，并得到有效执行；</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合理安排支出进度和支出项目，加强资金使用管理，严格遵守各项财经纪律的，支出依据合规。</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4、资产管理方面，总体执行较好。</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建立了资产管理制度，资产配置合理，帐实相符，但也存在着资产清理不及时。</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（二）效率性分析</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1、加强自身建设，建立健全日常管理制度，保证单位机构正常运转；</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2、人员经费按相关政策基本发放到位；</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3、严格控制三公经费支出，2021年度“三公”经费财政拨款支出预算为2.22 万元，支出决算为2.21万元，完成预算的98 %。</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4、顺利完成2021年各项工作及年初设立的预算绩效目标，由于拨款未及时造成上年度支出在本年度支付情况。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 xml:space="preserve">   四、绩效评价工作情况</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（一）绩效评价目的。</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绩效评价的目的是全面加强经费管理，使财政资金的使用趋于科学化、精细化管理，着力提高财政资金使用效率，提升财政资金的社会经济效益和生态效益。通过绩效评价所反馈的信息，更好的为整体支出、项目支出的开展提供改进措施，提高工作质量和工作效率。同时，有助领导正确决策有关事项，有助更好的履行工作职能。</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绩效评价过程。</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为加强预算绩效管理，不断提高财政资金配置和使用效益，根据《衡阳县财政局关于开展2021年度财政支出绩效自评工作的通知》文件，我单位领导小组在做好前期调研工作、收集查阅与评价项目有关政策的基础上，坚持以绩效考核的各项文件精神为指导，采取座谈等方式听取情况，检查基本支出、收集整理支出相关资料，以整体绩效支出为内容，对各项支出的质量指标，数量指标，对指标内容进行一一的评价考核打分，对绩效自评材料进行分析，形成评价结论。</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(三）综合评价结论。</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考评组认为各项支出实施达到预期目标，2021年部门整体支出绩效自我评价92分，自评结果为优秀。</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五、存在的主要问题及原因分析</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通过加强我单位预算绩效管理工作，使各部门牢固树立“讲绩效、重绩效、用绩效”的观念，但在具体工作中也存在一些问题需要解决：</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一是财政部门资金没有及时拨付存在着资金混用现象；</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二是预算绩效管理水平有待进一步提高。由于预算绩效管理工作开展时间短，涉及面广，专业性强，单位对预算绩效管理理解不充分，对预算绩效管理业务不精通，在一定程度上影响了绩效评价工作质量；</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六、改进措施及建议</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1.科学合理编制预算，严格执行预算，争取2022年预算更加精细化，全面化，准确化。</w:t>
            </w:r>
          </w:p>
          <w:p>
            <w:pPr>
              <w:spacing w:line="600" w:lineRule="exact"/>
              <w:ind w:firstLine="560" w:firstLineChars="20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2.加强单位内控制度建设，完善相关内部管理制度，压减年末结余，提高预算完成率。</w:t>
            </w:r>
          </w:p>
          <w:p>
            <w:pPr>
              <w:rPr>
                <w:rFonts w:hint="eastAsia" w:ascii="Times New Roman" w:hAnsi="Times New Roman" w:eastAsia="仿宋"/>
                <w:color w:val="000000"/>
                <w:kern w:val="0"/>
                <w:sz w:val="32"/>
                <w:szCs w:val="32"/>
              </w:rPr>
            </w:pPr>
            <w:r>
              <w:rPr>
                <w:rFonts w:hint="eastAsia" w:ascii="Times New Roman" w:hAnsi="Times New Roman" w:eastAsia="仿宋"/>
                <w:i/>
                <w:color w:val="000000"/>
                <w:kern w:val="0"/>
                <w:sz w:val="32"/>
                <w:szCs w:val="32"/>
              </w:rPr>
              <w:t xml:space="preserve">   </w:t>
            </w: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hint="eastAsia" w:ascii="Times New Roman" w:hAnsi="Times New Roman"/>
                <w:kern w:val="0"/>
                <w:sz w:val="24"/>
                <w:lang w:eastAsia="zh-CN"/>
              </w:rPr>
              <w:t>衡阳县园林绿化所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eastAsia="PMingLiU"/>
                <w:kern w:val="0"/>
                <w:sz w:val="24"/>
              </w:rPr>
              <w:t>填报时间：</w:t>
            </w:r>
            <w:r>
              <w:rPr>
                <w:rFonts w:hint="eastAsia" w:ascii="Times New Roman" w:hAnsi="Times New Roman"/>
                <w:kern w:val="0"/>
                <w:sz w:val="24"/>
                <w:lang w:val="en-US" w:eastAsia="zh-CN"/>
              </w:rPr>
              <w:t>2021.04.18</w:t>
            </w:r>
            <w:r>
              <w:rPr>
                <w:rFonts w:ascii="Times New Roman" w:hAnsi="Times New Roman" w:eastAsia="PMingLiU"/>
                <w:kern w:val="0"/>
                <w:sz w:val="24"/>
              </w:rPr>
              <w:tab/>
            </w:r>
          </w:p>
          <w:tbl>
            <w:tblPr>
              <w:tblStyle w:val="3"/>
              <w:tblW w:w="0" w:type="auto"/>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ascii="Times New Roman" w:hAnsi="Times New Roman"/>
                      <w:kern w:val="0"/>
                      <w:szCs w:val="21"/>
                    </w:rPr>
                    <w:t>20</w:t>
                  </w:r>
                  <w:r>
                    <w:rPr>
                      <w:rFonts w:hint="eastAsia" w:ascii="Times New Roman" w:hAnsi="Times New Roman"/>
                      <w:kern w:val="0"/>
                      <w:szCs w:val="21"/>
                    </w:rPr>
                    <w:t>2</w:t>
                  </w:r>
                  <w:r>
                    <w:rPr>
                      <w:rFonts w:hint="eastAsia" w:ascii="Times New Roman" w:hAnsi="Times New Roman"/>
                      <w:kern w:val="0"/>
                      <w:szCs w:val="21"/>
                      <w:lang w:val="en-US" w:eastAsia="zh-CN"/>
                    </w:rPr>
                    <w:t>1</w:t>
                  </w:r>
                  <w:r>
                    <w:rPr>
                      <w:rFonts w:hint="eastAsia" w:ascii="Times New Roman" w:hAnsi="Times New Roman"/>
                      <w:kern w:val="0"/>
                      <w:szCs w:val="21"/>
                    </w:rPr>
                    <w:t>年实际在职人数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24</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23</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ascii="Times New Roman" w:hAnsi="Times New Roman"/>
                      <w:kern w:val="0"/>
                      <w:szCs w:val="21"/>
                    </w:rPr>
                    <w:t>20</w:t>
                  </w:r>
                  <w:r>
                    <w:rPr>
                      <w:rFonts w:hint="eastAsia" w:ascii="Times New Roman" w:hAnsi="Times New Roman"/>
                      <w:kern w:val="0"/>
                      <w:szCs w:val="21"/>
                      <w:lang w:val="en-US" w:eastAsia="zh-CN"/>
                    </w:rPr>
                    <w:t>21</w:t>
                  </w:r>
                  <w:r>
                    <w:rPr>
                      <w:rFonts w:hint="eastAsia" w:ascii="Times New Roman" w:hAnsi="Times New Roman"/>
                      <w:kern w:val="0"/>
                      <w:szCs w:val="21"/>
                    </w:rPr>
                    <w:t>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ascii="Times New Roman" w:hAnsi="Times New Roman"/>
                      <w:kern w:val="0"/>
                      <w:szCs w:val="21"/>
                    </w:rPr>
                    <w:t>20</w:t>
                  </w:r>
                  <w:r>
                    <w:rPr>
                      <w:rFonts w:hint="eastAsia" w:ascii="Times New Roman" w:hAnsi="Times New Roman"/>
                      <w:kern w:val="0"/>
                      <w:szCs w:val="21"/>
                    </w:rPr>
                    <w:t>2</w:t>
                  </w:r>
                  <w:r>
                    <w:rPr>
                      <w:rFonts w:hint="eastAsia" w:ascii="Times New Roman" w:hAnsi="Times New Roman"/>
                      <w:kern w:val="0"/>
                      <w:szCs w:val="21"/>
                      <w:lang w:val="en-US" w:eastAsia="zh-CN"/>
                    </w:rPr>
                    <w:t>1</w:t>
                  </w:r>
                  <w:r>
                    <w:rPr>
                      <w:rFonts w:hint="eastAsia" w:ascii="Times New Roman" w:hAnsi="Times New Roman"/>
                      <w:kern w:val="0"/>
                      <w:szCs w:val="21"/>
                    </w:rPr>
                    <w:t>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ascii="Times New Roman" w:hAnsi="Times New Roman"/>
                      <w:kern w:val="0"/>
                      <w:szCs w:val="21"/>
                    </w:rPr>
                    <w:t>20</w:t>
                  </w:r>
                  <w:r>
                    <w:rPr>
                      <w:rFonts w:hint="eastAsia" w:ascii="Times New Roman" w:hAnsi="Times New Roman"/>
                      <w:kern w:val="0"/>
                      <w:szCs w:val="21"/>
                      <w:lang w:val="en-US" w:eastAsia="zh-CN"/>
                    </w:rPr>
                    <w:t>20</w:t>
                  </w:r>
                  <w:r>
                    <w:rPr>
                      <w:rFonts w:hint="eastAsia" w:ascii="Times New Roman" w:hAnsi="Times New Roman"/>
                      <w:kern w:val="0"/>
                      <w:szCs w:val="21"/>
                    </w:rPr>
                    <w:t>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480.98</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285.56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948.04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2.21</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2.22</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2.42</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1.46</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1.46</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eastAsia="宋体"/>
                      <w:kern w:val="0"/>
                      <w:szCs w:val="21"/>
                      <w:lang w:val="en-US" w:eastAsia="zh-CN"/>
                    </w:rPr>
                    <w:t>1.59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1.46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1.46</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eastAsia="宋体"/>
                      <w:kern w:val="0"/>
                      <w:szCs w:val="21"/>
                      <w:lang w:val="en-US" w:eastAsia="zh-CN"/>
                    </w:rPr>
                    <w:t>1.59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0.75</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0.76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 xml:space="preserve">   0.83</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出国经费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 xml:space="preserve"> 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60" w:firstLineChars="400"/>
                    <w:jc w:val="left"/>
                    <w:rPr>
                      <w:rFonts w:hint="eastAsia" w:ascii="Times New Roman" w:hAnsi="Times New Roman" w:eastAsia="仿宋_GB2312"/>
                      <w:kern w:val="0"/>
                      <w:szCs w:val="21"/>
                      <w:lang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080" w:firstLineChars="450"/>
                    <w:jc w:val="left"/>
                    <w:rPr>
                      <w:rFonts w:ascii="Times New Roman" w:hAnsi="Times New Roman" w:eastAsia="仿宋_GB2312"/>
                      <w:kern w:val="0"/>
                      <w:szCs w:val="21"/>
                    </w:rPr>
                  </w:pPr>
                  <w:r>
                    <w:rPr>
                      <w:rFonts w:hint="eastAsia" w:ascii="Times New Roman" w:hAnsi="Times New Roman"/>
                      <w:kern w:val="0"/>
                      <w:szCs w:val="21"/>
                      <w:lang w:val="en-US" w:eastAsia="zh-CN"/>
                    </w:rPr>
                    <w:t>城市维护费用</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500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500.00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080" w:firstLineChars="450"/>
                    <w:jc w:val="left"/>
                    <w:rPr>
                      <w:rFonts w:ascii="Times New Roman" w:hAnsi="Times New Roman"/>
                      <w:kern w:val="0"/>
                      <w:szCs w:val="21"/>
                    </w:rPr>
                  </w:pPr>
                  <w:r>
                    <w:rPr>
                      <w:rFonts w:hint="eastAsia" w:ascii="Times New Roman" w:hAnsi="Times New Roman"/>
                      <w:kern w:val="0"/>
                      <w:szCs w:val="21"/>
                      <w:lang w:val="en-US" w:eastAsia="zh-CN"/>
                    </w:rPr>
                    <w:t>春节摆花费用</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90.00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117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1、加强领导，确保节约落到实处；2、加强宣传，促进正确观念的树立；3、完善机制，确保节约措施的落实；4、开展节约的活动，制订节约的具体规定。</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cs="宋体"/>
                <w:sz w:val="24"/>
              </w:rPr>
            </w:pPr>
            <w:r>
              <w:rPr>
                <w:rFonts w:hint="eastAsia" w:ascii="宋体" w:hAnsi="宋体" w:cs="宋体"/>
                <w:sz w:val="24"/>
              </w:rPr>
              <w:t>填表人：</w:t>
            </w:r>
            <w:r>
              <w:rPr>
                <w:rFonts w:hint="eastAsia" w:ascii="宋体" w:hAnsi="宋体" w:cs="宋体"/>
                <w:sz w:val="24"/>
                <w:lang w:val="en-US" w:eastAsia="zh-CN"/>
              </w:rPr>
              <w:t>陈艳玲</w:t>
            </w:r>
            <w:r>
              <w:rPr>
                <w:rFonts w:hint="eastAsia" w:ascii="宋体" w:hAnsi="宋体" w:cs="宋体"/>
                <w:sz w:val="24"/>
              </w:rPr>
              <w:t xml:space="preserve">            联系电话：</w:t>
            </w:r>
            <w:r>
              <w:rPr>
                <w:rFonts w:hint="eastAsia" w:ascii="宋体" w:hAnsi="宋体" w:cs="宋体"/>
                <w:sz w:val="24"/>
                <w:lang w:val="en-US" w:eastAsia="zh-CN"/>
              </w:rPr>
              <w:t>6789148</w:t>
            </w:r>
            <w:r>
              <w:rPr>
                <w:rFonts w:hint="eastAsia" w:ascii="宋体" w:hAnsi="宋体" w:cs="宋体"/>
                <w:sz w:val="24"/>
              </w:rPr>
              <w:t xml:space="preserve">    单位负责人签字：</w:t>
            </w: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eastAsia" w:ascii="宋体"/>
                <w:sz w:val="24"/>
              </w:rPr>
            </w:pPr>
            <w:r>
              <w:rPr>
                <w:rFonts w:hint="eastAsia" w:ascii="宋体"/>
                <w:sz w:val="24"/>
              </w:rPr>
              <w:t>填报单位（盖章）：</w:t>
            </w:r>
            <w:r>
              <w:rPr>
                <w:rFonts w:ascii="宋体"/>
                <w:sz w:val="24"/>
              </w:rPr>
              <w:t xml:space="preserve">                             </w:t>
            </w:r>
            <w:r>
              <w:rPr>
                <w:rFonts w:hint="eastAsia" w:ascii="宋体"/>
                <w:sz w:val="24"/>
              </w:rPr>
              <w:t xml:space="preserve"> 填报时间：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1"/>
              <w:gridCol w:w="399"/>
              <w:gridCol w:w="741"/>
              <w:gridCol w:w="609"/>
              <w:gridCol w:w="1335"/>
              <w:gridCol w:w="1290"/>
              <w:gridCol w:w="1110"/>
              <w:gridCol w:w="82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部门资金（万元）</w:t>
                  </w:r>
                </w:p>
              </w:tc>
              <w:tc>
                <w:tcPr>
                  <w:tcW w:w="1500" w:type="dxa"/>
                  <w:gridSpan w:val="2"/>
                  <w:noWrap w:val="0"/>
                  <w:vAlign w:val="center"/>
                </w:tcPr>
                <w:p>
                  <w:pPr>
                    <w:widowControl/>
                    <w:jc w:val="center"/>
                    <w:rPr>
                      <w:rFonts w:hint="eastAsia" w:ascii="宋体" w:hAnsi="宋体" w:cs="宋体"/>
                      <w:color w:val="000000"/>
                      <w:kern w:val="0"/>
                      <w:szCs w:val="21"/>
                    </w:rPr>
                  </w:pPr>
                </w:p>
              </w:tc>
              <w:tc>
                <w:tcPr>
                  <w:tcW w:w="135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年初预算数</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执行率</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15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350"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899.9</w:t>
                  </w:r>
                </w:p>
              </w:tc>
              <w:tc>
                <w:tcPr>
                  <w:tcW w:w="133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899.9</w:t>
                  </w:r>
                  <w:r>
                    <w:rPr>
                      <w:rFonts w:hint="eastAsia" w:ascii="宋体" w:hAnsi="宋体" w:cs="宋体"/>
                      <w:color w:val="000000"/>
                      <w:kern w:val="0"/>
                      <w:szCs w:val="21"/>
                    </w:rPr>
                    <w:t>　</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899.9</w:t>
                  </w:r>
                  <w:r>
                    <w:rPr>
                      <w:rFonts w:hint="eastAsia" w:ascii="宋体" w:hAnsi="宋体" w:cs="宋体"/>
                      <w:color w:val="000000"/>
                      <w:kern w:val="0"/>
                      <w:szCs w:val="21"/>
                    </w:rPr>
                    <w:t>　</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w:t>
                  </w:r>
                </w:p>
              </w:tc>
              <w:tc>
                <w:tcPr>
                  <w:tcW w:w="133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899.9</w:t>
                  </w: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33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2400" w:type="dxa"/>
                  <w:gridSpan w:val="2"/>
                  <w:noWrap w:val="0"/>
                  <w:vAlign w:val="center"/>
                </w:tcPr>
                <w:p>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其中：人员经费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262.69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400" w:type="dxa"/>
                  <w:gridSpan w:val="2"/>
                  <w:noWrap w:val="0"/>
                  <w:vAlign w:val="center"/>
                </w:tcPr>
                <w:p>
                  <w:pPr>
                    <w:widowControl/>
                    <w:ind w:firstLine="480" w:firstLineChars="200"/>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公用经费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171.33</w:t>
                  </w:r>
                  <w:r>
                    <w:rPr>
                      <w:rFonts w:hint="eastAsia" w:ascii="宋体" w:hAnsi="宋体" w:cs="宋体"/>
                      <w:color w:val="000000"/>
                      <w:kern w:val="0"/>
                      <w:szCs w:val="21"/>
                    </w:rPr>
                    <w:t>　</w:t>
                  </w: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年度总体目标</w:t>
                  </w: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185" w:type="dxa"/>
                  <w:gridSpan w:val="5"/>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本次绩效评价的目的是为了全面分析和综合评价我单位对本级财政预算资金的使用管理情况，为切实提高财政资金使用效益，强化支出的的责任和效率提供参考依据。</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已完成年度总体目标</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4" w:type="dxa"/>
                  <w:vMerge w:val="restart"/>
                  <w:noWrap w:val="0"/>
                  <w:textDirection w:val="tbRlV"/>
                  <w:vAlign w:val="center"/>
                </w:tcPr>
                <w:p>
                  <w:pPr>
                    <w:jc w:val="center"/>
                    <w:rPr>
                      <w:rFonts w:hint="eastAsia" w:ascii="宋体" w:hAnsi="宋体" w:cs="宋体"/>
                      <w:color w:val="000000"/>
                      <w:kern w:val="0"/>
                      <w:sz w:val="28"/>
                      <w:szCs w:val="28"/>
                    </w:rPr>
                  </w:pPr>
                  <w:r>
                    <w:rPr>
                      <w:rFonts w:hint="eastAsia" w:ascii="宋体" w:hAnsi="宋体" w:cs="宋体"/>
                      <w:color w:val="000000"/>
                      <w:kern w:val="0"/>
                      <w:sz w:val="28"/>
                      <w:szCs w:val="28"/>
                    </w:rPr>
                    <w:t>绩效指标</w:t>
                  </w:r>
                </w:p>
              </w:tc>
              <w:tc>
                <w:tcPr>
                  <w:tcW w:w="1101"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1140"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1944"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　</w:t>
                  </w:r>
                </w:p>
              </w:tc>
              <w:tc>
                <w:tcPr>
                  <w:tcW w:w="129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11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完成值</w:t>
                  </w:r>
                </w:p>
              </w:tc>
              <w:tc>
                <w:tcPr>
                  <w:tcW w:w="825"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987"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0分）</w:t>
                  </w: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1944"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lang w:eastAsia="zh-CN"/>
                    </w:rPr>
                    <w:t>部门整体支出预算总额</w:t>
                  </w:r>
                </w:p>
                <w:p>
                  <w:pPr>
                    <w:widowControl/>
                    <w:rPr>
                      <w:rFonts w:hint="eastAsia" w:ascii="宋体" w:hAnsi="宋体" w:cs="宋体"/>
                      <w:color w:val="000000"/>
                      <w:kern w:val="0"/>
                      <w:szCs w:val="21"/>
                    </w:rPr>
                  </w:pPr>
                  <w:r>
                    <w:rPr>
                      <w:rFonts w:hint="eastAsia" w:ascii="宋体" w:hAnsi="宋体" w:cs="宋体"/>
                      <w:color w:val="000000"/>
                      <w:kern w:val="0"/>
                      <w:szCs w:val="21"/>
                    </w:rPr>
                    <w:t>　　</w:t>
                  </w:r>
                </w:p>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29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eastAsia="宋体" w:cs="宋体"/>
                      <w:color w:val="000000"/>
                      <w:kern w:val="0"/>
                      <w:szCs w:val="21"/>
                      <w:lang w:val="en-US" w:eastAsia="zh-CN"/>
                    </w:rPr>
                    <w:t>完成</w:t>
                  </w:r>
                </w:p>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绿化养护</w:t>
                  </w:r>
                </w:p>
              </w:tc>
              <w:tc>
                <w:tcPr>
                  <w:tcW w:w="1290"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补植补种</w:t>
                  </w:r>
                </w:p>
              </w:tc>
              <w:tc>
                <w:tcPr>
                  <w:tcW w:w="129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财政投入</w:t>
                  </w:r>
                </w:p>
              </w:tc>
              <w:tc>
                <w:tcPr>
                  <w:tcW w:w="1290"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2021年年底完成</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2021年年底完成</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01" w:type="dxa"/>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（30分）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经济效益指标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厉行节约</w:t>
                  </w:r>
                </w:p>
              </w:tc>
              <w:tc>
                <w:tcPr>
                  <w:tcW w:w="1290" w:type="dxa"/>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完成</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完成</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助力文明县城</w:t>
                  </w:r>
                </w:p>
              </w:tc>
              <w:tc>
                <w:tcPr>
                  <w:tcW w:w="129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eastAsia="zh-CN"/>
                    </w:rPr>
                    <w:t>完成</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完成</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确保机关的正常运行</w:t>
                  </w:r>
                </w:p>
              </w:tc>
              <w:tc>
                <w:tcPr>
                  <w:tcW w:w="1290"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确保项目资金的正常运行率</w:t>
                  </w:r>
                </w:p>
              </w:tc>
              <w:tc>
                <w:tcPr>
                  <w:tcW w:w="1290"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氨氮达标</w:t>
                  </w:r>
                </w:p>
              </w:tc>
              <w:tc>
                <w:tcPr>
                  <w:tcW w:w="1290"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各项绿化指标达标</w:t>
                  </w:r>
                </w:p>
              </w:tc>
              <w:tc>
                <w:tcPr>
                  <w:tcW w:w="1290"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99%</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1944" w:type="dxa"/>
                  <w:gridSpan w:val="2"/>
                  <w:noWrap w:val="0"/>
                  <w:vAlign w:val="center"/>
                </w:tcPr>
                <w:p>
                  <w:pPr>
                    <w:widowControl/>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助力“文明县城”复评</w:t>
                  </w:r>
                </w:p>
              </w:tc>
              <w:tc>
                <w:tcPr>
                  <w:tcW w:w="1290" w:type="dxa"/>
                  <w:noWrap w:val="0"/>
                  <w:vAlign w:val="center"/>
                </w:tcPr>
                <w:p>
                  <w:pPr>
                    <w:widowControl/>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完成</w:t>
                  </w:r>
                </w:p>
              </w:tc>
              <w:tc>
                <w:tcPr>
                  <w:tcW w:w="1110" w:type="dxa"/>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完成</w:t>
                  </w:r>
                </w:p>
              </w:tc>
              <w:tc>
                <w:tcPr>
                  <w:tcW w:w="825"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督促各项绿化工作正常开展</w:t>
                  </w:r>
                </w:p>
              </w:tc>
              <w:tc>
                <w:tcPr>
                  <w:tcW w:w="1290" w:type="dxa"/>
                  <w:noWrap w:val="0"/>
                  <w:vAlign w:val="center"/>
                </w:tcPr>
                <w:p>
                  <w:pPr>
                    <w:widowControl/>
                    <w:spacing w:line="28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eastAsia="zh-CN"/>
                    </w:rPr>
                    <w:t>完成</w:t>
                  </w:r>
                </w:p>
              </w:tc>
              <w:tc>
                <w:tcPr>
                  <w:tcW w:w="1110" w:type="dxa"/>
                  <w:noWrap w:val="0"/>
                  <w:vAlign w:val="center"/>
                </w:tcPr>
                <w:p>
                  <w:pPr>
                    <w:widowControl/>
                    <w:spacing w:line="28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完成</w:t>
                  </w:r>
                </w:p>
              </w:tc>
              <w:tc>
                <w:tcPr>
                  <w:tcW w:w="825"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群众满意度</w:t>
                  </w:r>
                </w:p>
              </w:tc>
              <w:tc>
                <w:tcPr>
                  <w:tcW w:w="1290"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人文环境优美，生活宜居满意率</w:t>
                  </w:r>
                </w:p>
              </w:tc>
              <w:tc>
                <w:tcPr>
                  <w:tcW w:w="1290"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97%</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1944" w:type="dxa"/>
                  <w:gridSpan w:val="2"/>
                  <w:noWrap w:val="0"/>
                  <w:vAlign w:val="center"/>
                </w:tcPr>
                <w:p>
                  <w:pPr>
                    <w:widowControl/>
                    <w:jc w:val="center"/>
                    <w:rPr>
                      <w:rFonts w:hint="eastAsia" w:ascii="宋体" w:hAnsi="宋体" w:cs="宋体"/>
                      <w:color w:val="000000"/>
                      <w:kern w:val="0"/>
                      <w:szCs w:val="21"/>
                    </w:rPr>
                  </w:pP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8"/>
                      <w:szCs w:val="28"/>
                    </w:rPr>
                    <w:t>说明</w:t>
                  </w: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14" w:type="dxa"/>
                  <w:vMerge w:val="continue"/>
                  <w:noWrap w:val="0"/>
                  <w:vAlign w:val="center"/>
                </w:tcPr>
                <w:p>
                  <w:pPr>
                    <w:widowControl/>
                    <w:jc w:val="center"/>
                  </w:pPr>
                </w:p>
              </w:tc>
              <w:tc>
                <w:tcPr>
                  <w:tcW w:w="4185" w:type="dxa"/>
                  <w:gridSpan w:val="5"/>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主要原因：</w:t>
                  </w:r>
                  <w:r>
                    <w:rPr>
                      <w:rFonts w:hint="eastAsia" w:ascii="宋体" w:hAnsi="宋体" w:cs="宋体"/>
                      <w:color w:val="000000"/>
                      <w:kern w:val="0"/>
                      <w:szCs w:val="21"/>
                      <w:lang w:val="en-US" w:eastAsia="zh-CN"/>
                    </w:rPr>
                    <w:t>工程建设绿化损毁部分未能及时修复。</w:t>
                  </w:r>
                </w:p>
              </w:tc>
              <w:tc>
                <w:tcPr>
                  <w:tcW w:w="4212" w:type="dxa"/>
                  <w:gridSpan w:val="4"/>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园林所致力配合政府各项建设，进一步发挥职能，将县城打造成宜居生活环境。</w:t>
                  </w:r>
                </w:p>
              </w:tc>
            </w:tr>
          </w:tbl>
          <w:p>
            <w:pPr>
              <w:spacing w:before="312" w:beforeLines="100" w:line="300" w:lineRule="exact"/>
              <w:rPr>
                <w:rFonts w:hint="eastAsia" w:ascii="宋体" w:hAnsi="宋体" w:cs="宋体"/>
                <w:sz w:val="24"/>
              </w:rPr>
            </w:pPr>
            <w:r>
              <w:rPr>
                <w:rFonts w:hint="eastAsia" w:ascii="宋体" w:hAnsi="宋体" w:cs="宋体"/>
                <w:sz w:val="22"/>
                <w:szCs w:val="22"/>
              </w:rPr>
              <w:t xml:space="preserve">填表人： </w:t>
            </w:r>
            <w:r>
              <w:rPr>
                <w:rFonts w:hint="eastAsia" w:ascii="宋体" w:hAnsi="宋体" w:cs="宋体"/>
                <w:sz w:val="22"/>
                <w:szCs w:val="22"/>
                <w:lang w:val="en-US" w:eastAsia="zh-CN"/>
              </w:rPr>
              <w:t>陈艳玲</w:t>
            </w:r>
            <w:r>
              <w:rPr>
                <w:rFonts w:hint="eastAsia" w:ascii="宋体" w:hAnsi="宋体" w:cs="宋体"/>
                <w:sz w:val="22"/>
                <w:szCs w:val="22"/>
              </w:rPr>
              <w:t xml:space="preserve">     联系电话：  </w:t>
            </w:r>
            <w:r>
              <w:rPr>
                <w:rFonts w:hint="eastAsia" w:ascii="宋体" w:hAnsi="宋体" w:cs="宋体"/>
                <w:sz w:val="22"/>
                <w:szCs w:val="22"/>
                <w:lang w:val="en-US" w:eastAsia="zh-CN"/>
              </w:rPr>
              <w:t>6789148</w:t>
            </w:r>
            <w:r>
              <w:rPr>
                <w:rFonts w:hint="eastAsia" w:ascii="宋体" w:hAnsi="宋体" w:cs="宋体"/>
                <w:sz w:val="22"/>
                <w:szCs w:val="22"/>
              </w:rPr>
              <w:t xml:space="preserve">        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2.三级绩效指标按需自行增减行。不涉及的二级指标可删除不要。</w:t>
            </w:r>
          </w:p>
          <w:p>
            <w:pPr>
              <w:pStyle w:val="6"/>
              <w:jc w:val="center"/>
              <w:rPr>
                <w:rFonts w:hint="eastAsia" w:ascii="仿宋" w:hAnsi="仿宋" w:eastAsia="仿宋" w:cs="仿宋"/>
                <w:b/>
                <w:bCs/>
                <w:sz w:val="52"/>
                <w:szCs w:val="52"/>
              </w:rPr>
            </w:pPr>
          </w:p>
        </w:tc>
      </w:tr>
    </w:tbl>
    <w:p/>
    <w:p/>
    <w:p>
      <w:bookmarkStart w:id="0" w:name="_GoBack"/>
      <w:bookmarkEnd w:id="0"/>
    </w:p>
    <w:sectPr>
      <w:pgSz w:w="11906" w:h="16838"/>
      <w:pgMar w:top="1440" w:right="746" w:bottom="1440" w:left="72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24AAD"/>
    <w:multiLevelType w:val="multilevel"/>
    <w:tmpl w:val="65124AAD"/>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GE5NDk5YzRiYTQzZWQyYzA5M2RiYThjZjNlMWEifQ=="/>
  </w:docVars>
  <w:rsids>
    <w:rsidRoot w:val="6CBE5341"/>
    <w:rsid w:val="6CBE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 w:type="table" w:styleId="4">
    <w:name w:val="Table Grid"/>
    <w:basedOn w:val="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2023-09-26T03:32:00Z</dcterms:created>
  <dc:creator>LENOVO</dc:creator>
  <cp:lastModifiedBy>LENOVO</cp:lastModifiedBy>
  <dcterms:modified xsi:type="dcterms:W3CDTF">2023-09-26T03:32:57Z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9F8221402F534E5DAE56C6B6FBA15BA6_11</vt:lpwstr>
  </property>
</Properties>
</file>